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activeX/activeX1.xml" ContentType="application/vnd.ms-office.activeX+xml"/>
  <Override PartName="/word/activeX/activeX2.xml" ContentType="application/vnd.ms-office.activeX+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activeX/activeX3.xml" ContentType="application/vnd.ms-office.activeX+xml"/>
  <Override PartName="/word/activeX/activeX4.xml" ContentType="application/vnd.ms-office.activeX+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151" w:rsidRPr="00387656" w:rsidRDefault="00D223B5" w:rsidP="00313B3D">
      <w:pPr>
        <w:jc w:val="center"/>
      </w:pPr>
      <w:r>
        <w:t>Effect</w:t>
      </w:r>
      <w:r w:rsidR="00EA7410">
        <w:t xml:space="preserve"> of a Leucine/Pyridoxine Nutraceutical on </w:t>
      </w:r>
      <w:r w:rsidR="00EB3ADB">
        <w:t>Energy Metabolism and Satiety in Lean and Obese Dogs</w:t>
      </w:r>
    </w:p>
    <w:p w:rsidR="003D07F7" w:rsidRDefault="003D07F7" w:rsidP="00313B3D">
      <w:pPr>
        <w:jc w:val="center"/>
      </w:pPr>
    </w:p>
    <w:p w:rsidR="00EB3ADB" w:rsidRDefault="00EB3ADB" w:rsidP="00313B3D">
      <w:pPr>
        <w:jc w:val="center"/>
      </w:pPr>
    </w:p>
    <w:p w:rsidR="00EB3ADB" w:rsidRPr="00387656" w:rsidRDefault="00EB3ADB"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236E6D" w:rsidP="00313B3D">
      <w:pPr>
        <w:jc w:val="center"/>
      </w:pPr>
    </w:p>
    <w:p w:rsidR="00236E6D" w:rsidRDefault="00236E6D" w:rsidP="00313B3D">
      <w:pPr>
        <w:jc w:val="center"/>
      </w:pPr>
    </w:p>
    <w:p w:rsidR="00387656" w:rsidRDefault="00387656" w:rsidP="00313B3D">
      <w:pPr>
        <w:jc w:val="center"/>
      </w:pPr>
    </w:p>
    <w:p w:rsidR="00387656" w:rsidRDefault="00387656" w:rsidP="00313B3D">
      <w:pPr>
        <w:jc w:val="center"/>
      </w:pPr>
    </w:p>
    <w:p w:rsidR="00387656" w:rsidRDefault="00387656" w:rsidP="00313B3D">
      <w:pPr>
        <w:jc w:val="center"/>
      </w:pPr>
    </w:p>
    <w:p w:rsidR="00387656" w:rsidRDefault="00387656" w:rsidP="00313B3D">
      <w:pPr>
        <w:jc w:val="center"/>
      </w:pPr>
    </w:p>
    <w:p w:rsidR="00387656" w:rsidRDefault="00387656" w:rsidP="00313B3D">
      <w:pPr>
        <w:jc w:val="center"/>
      </w:pPr>
    </w:p>
    <w:p w:rsidR="00387656" w:rsidRPr="00387656" w:rsidRDefault="00387656"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FF3AF5" w:rsidP="00313B3D">
      <w:pPr>
        <w:jc w:val="center"/>
      </w:pPr>
      <w:r>
        <w:t>A Dissertation</w:t>
      </w:r>
      <w:r w:rsidR="009C755C" w:rsidRPr="00387656">
        <w:t xml:space="preserve"> Presented for</w:t>
      </w:r>
      <w:r w:rsidR="008865B6" w:rsidRPr="00387656">
        <w:t xml:space="preserve"> the</w:t>
      </w:r>
    </w:p>
    <w:p w:rsidR="009C755C" w:rsidRPr="00387656" w:rsidRDefault="00EB3ADB" w:rsidP="00313B3D">
      <w:pPr>
        <w:jc w:val="center"/>
      </w:pPr>
      <w:r>
        <w:t>Doctor of Philosophy</w:t>
      </w:r>
    </w:p>
    <w:p w:rsidR="009C755C" w:rsidRPr="00387656" w:rsidRDefault="009C755C" w:rsidP="00313B3D">
      <w:pPr>
        <w:jc w:val="center"/>
      </w:pPr>
      <w:r w:rsidRPr="00387656">
        <w:t>Degree</w:t>
      </w:r>
    </w:p>
    <w:p w:rsidR="009C755C" w:rsidRPr="00387656" w:rsidRDefault="009C755C" w:rsidP="00313B3D">
      <w:pPr>
        <w:jc w:val="center"/>
      </w:pPr>
      <w:r w:rsidRPr="00387656">
        <w:t>The University of Tennessee, Knoxville</w:t>
      </w:r>
    </w:p>
    <w:p w:rsidR="00387656" w:rsidRDefault="00387656" w:rsidP="00313B3D">
      <w:pPr>
        <w:jc w:val="center"/>
      </w:pPr>
    </w:p>
    <w:p w:rsidR="00387656" w:rsidRDefault="00387656" w:rsidP="00313B3D">
      <w:pPr>
        <w:jc w:val="center"/>
      </w:pPr>
    </w:p>
    <w:p w:rsidR="00387656" w:rsidRPr="00387656" w:rsidRDefault="00387656"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236E6D" w:rsidP="00313B3D">
      <w:pPr>
        <w:jc w:val="center"/>
      </w:pPr>
    </w:p>
    <w:p w:rsidR="00236E6D" w:rsidRPr="00387656" w:rsidRDefault="00EB3ADB" w:rsidP="00313B3D">
      <w:pPr>
        <w:jc w:val="center"/>
      </w:pPr>
      <w:r>
        <w:t>Maryanne Murphy</w:t>
      </w:r>
    </w:p>
    <w:p w:rsidR="009C755C" w:rsidRPr="00387656" w:rsidRDefault="00CA3387" w:rsidP="00313B3D">
      <w:pPr>
        <w:jc w:val="center"/>
      </w:pPr>
      <w:r>
        <w:t>May</w:t>
      </w:r>
      <w:r w:rsidR="009C755C" w:rsidRPr="00387656">
        <w:t xml:space="preserve"> </w:t>
      </w:r>
      <w:r w:rsidR="003D07F7" w:rsidRPr="00387656">
        <w:t>2</w:t>
      </w:r>
      <w:r>
        <w:t>014</w:t>
      </w:r>
    </w:p>
    <w:p w:rsidR="00526151" w:rsidRDefault="00526151" w:rsidP="00313B3D">
      <w:pPr>
        <w:jc w:val="center"/>
      </w:pPr>
    </w:p>
    <w:p w:rsidR="00526151" w:rsidRDefault="00526151" w:rsidP="00313B3D">
      <w:pPr>
        <w:jc w:val="center"/>
      </w:pPr>
    </w:p>
    <w:p w:rsidR="00526151" w:rsidRDefault="00387656" w:rsidP="00313B3D">
      <w:pPr>
        <w:jc w:val="center"/>
      </w:pPr>
      <w:r>
        <w:br w:type="page"/>
      </w:r>
    </w:p>
    <w:p w:rsidR="00526151" w:rsidRDefault="00526151" w:rsidP="005E54E2"/>
    <w:p w:rsidR="00236E6D" w:rsidRDefault="00CA3387" w:rsidP="00CE4E27">
      <w:pPr>
        <w:jc w:val="center"/>
      </w:pPr>
      <w:r>
        <w:t>Copyright © 2014</w:t>
      </w:r>
      <w:r w:rsidR="00236E6D">
        <w:t xml:space="preserve"> by </w:t>
      </w:r>
      <w:r w:rsidR="00CE4E27">
        <w:t>Maryanne Murphy</w:t>
      </w:r>
    </w:p>
    <w:p w:rsidR="00236E6D" w:rsidRDefault="00236E6D" w:rsidP="00CE4E27">
      <w:pPr>
        <w:jc w:val="center"/>
      </w:pPr>
      <w:r>
        <w:t>All rights reserved.</w:t>
      </w:r>
    </w:p>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904969" w:rsidRDefault="00236E6D" w:rsidP="00D223B5">
      <w:r w:rsidRPr="005E54E2">
        <w:br w:type="page"/>
      </w:r>
    </w:p>
    <w:p w:rsidR="00CD73A9" w:rsidRDefault="00CD73A9" w:rsidP="00387656">
      <w:r>
        <w:lastRenderedPageBreak/>
        <w:t>ACKNOWLEDGEMENTS</w:t>
      </w:r>
    </w:p>
    <w:p w:rsidR="00CD73A9" w:rsidRDefault="00CD73A9" w:rsidP="005E54E2"/>
    <w:p w:rsidR="009D794C" w:rsidRDefault="009D794C" w:rsidP="005E54E2"/>
    <w:p w:rsidR="0085757D" w:rsidRDefault="00A34F5F" w:rsidP="005E54E2">
      <w:commentRangeStart w:id="0"/>
      <w:r>
        <w:t>Thank you all for your help.</w:t>
      </w:r>
      <w:r w:rsidR="008865B6">
        <w:t xml:space="preserve"> However, this page is optional.</w:t>
      </w:r>
      <w:commentRangeEnd w:id="0"/>
      <w:r w:rsidR="00CE4E27">
        <w:rPr>
          <w:rStyle w:val="CommentSubjectChar"/>
        </w:rPr>
        <w:commentReference w:id="0"/>
      </w:r>
    </w:p>
    <w:p w:rsidR="0085757D" w:rsidRDefault="0085757D" w:rsidP="005E54E2"/>
    <w:p w:rsidR="00904969" w:rsidRDefault="00904969" w:rsidP="005E54E2"/>
    <w:p w:rsidR="00904969" w:rsidRDefault="00D62925" w:rsidP="005E54E2">
      <w:r>
        <w:t>Angela Witzel</w:t>
      </w:r>
    </w:p>
    <w:p w:rsidR="00D62925" w:rsidRDefault="00D62925" w:rsidP="005E54E2">
      <w:r>
        <w:t>Joe Bartges</w:t>
      </w:r>
    </w:p>
    <w:p w:rsidR="00D62925" w:rsidRDefault="00D62925" w:rsidP="005E54E2">
      <w:r>
        <w:t>Claudia Kirk</w:t>
      </w:r>
    </w:p>
    <w:p w:rsidR="00D62925" w:rsidRDefault="00D62925" w:rsidP="005E54E2">
      <w:r>
        <w:t>Michael Zemel</w:t>
      </w:r>
    </w:p>
    <w:p w:rsidR="00D62925" w:rsidRDefault="00D62925" w:rsidP="005E54E2">
      <w:r>
        <w:t>Stephen Kania</w:t>
      </w:r>
    </w:p>
    <w:p w:rsidR="00D62925" w:rsidRDefault="00D62925" w:rsidP="005E54E2">
      <w:r>
        <w:t>Amy LeBlanc</w:t>
      </w:r>
    </w:p>
    <w:p w:rsidR="00D62925" w:rsidRDefault="00D62925" w:rsidP="005E54E2">
      <w:r>
        <w:t>Tamberlyn Moyers</w:t>
      </w:r>
    </w:p>
    <w:p w:rsidR="00D62925" w:rsidRDefault="00D62925" w:rsidP="005E54E2">
      <w:r>
        <w:t>Gina Galyon</w:t>
      </w:r>
    </w:p>
    <w:p w:rsidR="00D62925" w:rsidRDefault="00D62925" w:rsidP="005E54E2">
      <w:r>
        <w:t>Martha Cline</w:t>
      </w:r>
    </w:p>
    <w:p w:rsidR="00D62925" w:rsidRDefault="00D62925" w:rsidP="005E54E2">
      <w:r>
        <w:t>Robbyne Williams, rest of animal care staff</w:t>
      </w:r>
    </w:p>
    <w:p w:rsidR="00D62925" w:rsidRDefault="00D62925" w:rsidP="005E54E2">
      <w:r>
        <w:t>Satiety volunteers</w:t>
      </w:r>
    </w:p>
    <w:p w:rsidR="00D62925" w:rsidRDefault="00D62925" w:rsidP="005E54E2">
      <w:r>
        <w:t>Lab staff: Rupal, Sarah, Dianne, Becky, Matt, Mansi, Sujata</w:t>
      </w:r>
    </w:p>
    <w:p w:rsidR="00D62925" w:rsidRDefault="00D62925" w:rsidP="005E54E2">
      <w:r>
        <w:t>Ashley Cox</w:t>
      </w:r>
    </w:p>
    <w:p w:rsidR="00D62925" w:rsidRDefault="00D62925" w:rsidP="005E54E2">
      <w:r>
        <w:t>Cormac Anderson, Dan Murphy, rest of family</w:t>
      </w:r>
    </w:p>
    <w:p w:rsidR="00386C3A" w:rsidRDefault="006061AD" w:rsidP="005E54E2">
      <w:r>
        <w:t>Stats help:</w:t>
      </w:r>
      <w:r w:rsidR="00386C3A">
        <w:t xml:space="preserve"> Sun</w:t>
      </w:r>
    </w:p>
    <w:p w:rsidR="00904969" w:rsidRDefault="00904969" w:rsidP="005E54E2"/>
    <w:p w:rsidR="00236E6D" w:rsidRPr="005E54E2" w:rsidRDefault="0085757D" w:rsidP="00387656">
      <w:r w:rsidRPr="005E54E2">
        <w:br w:type="page"/>
      </w:r>
      <w:r w:rsidR="00236E6D" w:rsidRPr="005E54E2">
        <w:lastRenderedPageBreak/>
        <w:t>ABSTRACT</w:t>
      </w:r>
    </w:p>
    <w:p w:rsidR="009D794C" w:rsidRPr="005E54E2" w:rsidRDefault="009D794C" w:rsidP="005E54E2"/>
    <w:p w:rsidR="009D794C" w:rsidRPr="005E54E2" w:rsidRDefault="009D794C" w:rsidP="005E54E2"/>
    <w:p w:rsidR="009D794C" w:rsidRPr="005E54E2" w:rsidRDefault="009D794C" w:rsidP="005E54E2">
      <w:commentRangeStart w:id="1"/>
      <w:r w:rsidRPr="005E54E2">
        <w:t xml:space="preserve">This is a sample Word document that can be used as a template in formatting your </w:t>
      </w:r>
      <w:r w:rsidR="00526151" w:rsidRPr="00526151">
        <w:t>multipart or manuscript</w:t>
      </w:r>
      <w:r w:rsidR="00526151" w:rsidRPr="005E54E2">
        <w:t xml:space="preserve"> </w:t>
      </w:r>
      <w:r w:rsidR="00387656">
        <w:t>thesis/dissertation.</w:t>
      </w:r>
      <w:r w:rsidRPr="005E54E2">
        <w:t xml:space="preserve"> </w:t>
      </w:r>
      <w:r w:rsidR="003C7FC5" w:rsidRPr="005E54E2">
        <w:t xml:space="preserve"> </w:t>
      </w:r>
      <w:r w:rsidR="003C7FC5" w:rsidRPr="003C7FC5">
        <w:t>This abstract should cover all parts of your multi-part thesis or dissertation</w:t>
      </w:r>
      <w:r w:rsidR="003C7FC5" w:rsidRPr="005E54E2">
        <w:t xml:space="preserve">.  </w:t>
      </w:r>
      <w:r w:rsidR="005049EE">
        <w:t>This</w:t>
      </w:r>
      <w:r w:rsidR="005049EE" w:rsidRPr="009D794C">
        <w:t xml:space="preserve"> </w:t>
      </w:r>
      <w:r w:rsidR="00334FC9" w:rsidRPr="009D794C">
        <w:t>abstract must</w:t>
      </w:r>
      <w:r w:rsidR="005049EE" w:rsidRPr="009D794C">
        <w:t xml:space="preserve"> be 350 words or fewer</w:t>
      </w:r>
      <w:r w:rsidR="005049EE" w:rsidRPr="005E54E2">
        <w:t xml:space="preserve"> </w:t>
      </w:r>
      <w:r w:rsidR="001D43DE" w:rsidRPr="005E54E2">
        <w:t>if</w:t>
      </w:r>
      <w:r w:rsidRPr="005E54E2">
        <w:t xml:space="preserve"> you are using special characters, you’ll want to spell them out between square brackets after each time you use them (this is in the abstract only. It’s not necessary elsewhere in the document, although use of special characters in the title is prohibited.) </w:t>
      </w:r>
    </w:p>
    <w:p w:rsidR="003C7FC5" w:rsidRDefault="009D794C" w:rsidP="00AA3E0C">
      <w:pPr>
        <w:ind w:firstLine="720"/>
      </w:pPr>
      <w:r w:rsidRPr="009D794C">
        <w:t xml:space="preserve">For our purposes a special character is any character which cannot be found on your typical English language keyboard. Because of how your abstract is used in the cataloging process, you will want to tell people how to interpret your special character in case the character itself gets garbled. So, if I wanted to use the µ [micro] character in my abstract, I would have to tell people how to interpret it. Since you’re the expert, you decide how to best interpret that character. It could be µ [micro] or µ [mu], whichever would make the most sense if the symbol itself cannot be replicated </w:t>
      </w:r>
      <w:commentRangeEnd w:id="1"/>
      <w:r w:rsidR="00CE4E27">
        <w:rPr>
          <w:rStyle w:val="CommentSubjectChar"/>
        </w:rPr>
        <w:commentReference w:id="1"/>
      </w:r>
    </w:p>
    <w:p w:rsidR="00236E6D" w:rsidRDefault="00236E6D" w:rsidP="00387656">
      <w:r w:rsidRPr="005E54E2">
        <w:br w:type="page"/>
      </w:r>
    </w:p>
    <w:p w:rsidR="00387656" w:rsidRDefault="00387656" w:rsidP="00387656">
      <w:r>
        <w:lastRenderedPageBreak/>
        <w:t>TABLE OF CONTENTS</w:t>
      </w:r>
    </w:p>
    <w:p w:rsidR="00387656" w:rsidRDefault="00387656" w:rsidP="00387656"/>
    <w:p w:rsidR="007F0498" w:rsidRDefault="00387656">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376465751" w:history="1">
        <w:r w:rsidR="007F0498" w:rsidRPr="00770F12">
          <w:rPr>
            <w:rStyle w:val="Hyperlink"/>
            <w:noProof/>
          </w:rPr>
          <w:t>INTRODUCTION</w:t>
        </w:r>
        <w:r w:rsidR="007F0498">
          <w:rPr>
            <w:noProof/>
            <w:webHidden/>
          </w:rPr>
          <w:tab/>
        </w:r>
        <w:r w:rsidR="007F0498">
          <w:rPr>
            <w:noProof/>
            <w:webHidden/>
          </w:rPr>
          <w:fldChar w:fldCharType="begin"/>
        </w:r>
        <w:r w:rsidR="007F0498">
          <w:rPr>
            <w:noProof/>
            <w:webHidden/>
          </w:rPr>
          <w:instrText xml:space="preserve"> PAGEREF _Toc376465751 \h </w:instrText>
        </w:r>
        <w:r w:rsidR="007F0498">
          <w:rPr>
            <w:noProof/>
            <w:webHidden/>
          </w:rPr>
        </w:r>
        <w:r w:rsidR="007F0498">
          <w:rPr>
            <w:noProof/>
            <w:webHidden/>
          </w:rPr>
          <w:fldChar w:fldCharType="separate"/>
        </w:r>
        <w:r w:rsidR="007F0498">
          <w:rPr>
            <w:noProof/>
            <w:webHidden/>
          </w:rPr>
          <w:t>1</w:t>
        </w:r>
        <w:r w:rsidR="007F0498">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52" w:history="1">
        <w:r w:rsidRPr="00770F12">
          <w:rPr>
            <w:rStyle w:val="Hyperlink"/>
            <w:noProof/>
          </w:rPr>
          <w:t>Statement of problem: obesity</w:t>
        </w:r>
        <w:r>
          <w:rPr>
            <w:noProof/>
            <w:webHidden/>
          </w:rPr>
          <w:tab/>
        </w:r>
        <w:r>
          <w:rPr>
            <w:noProof/>
            <w:webHidden/>
          </w:rPr>
          <w:fldChar w:fldCharType="begin"/>
        </w:r>
        <w:r>
          <w:rPr>
            <w:noProof/>
            <w:webHidden/>
          </w:rPr>
          <w:instrText xml:space="preserve"> PAGEREF _Toc376465752 \h </w:instrText>
        </w:r>
        <w:r>
          <w:rPr>
            <w:noProof/>
            <w:webHidden/>
          </w:rPr>
        </w:r>
        <w:r>
          <w:rPr>
            <w:noProof/>
            <w:webHidden/>
          </w:rPr>
          <w:fldChar w:fldCharType="separate"/>
        </w:r>
        <w:r>
          <w:rPr>
            <w:noProof/>
            <w:webHidden/>
          </w:rPr>
          <w:t>1</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53" w:history="1">
        <w:r w:rsidRPr="00770F12">
          <w:rPr>
            <w:rStyle w:val="Hyperlink"/>
            <w:noProof/>
          </w:rPr>
          <w:t>Pathophysiology of obesity</w:t>
        </w:r>
        <w:r>
          <w:rPr>
            <w:noProof/>
            <w:webHidden/>
          </w:rPr>
          <w:tab/>
        </w:r>
        <w:r>
          <w:rPr>
            <w:noProof/>
            <w:webHidden/>
          </w:rPr>
          <w:fldChar w:fldCharType="begin"/>
        </w:r>
        <w:r>
          <w:rPr>
            <w:noProof/>
            <w:webHidden/>
          </w:rPr>
          <w:instrText xml:space="preserve"> PAGEREF _Toc376465753 \h </w:instrText>
        </w:r>
        <w:r>
          <w:rPr>
            <w:noProof/>
            <w:webHidden/>
          </w:rPr>
        </w:r>
        <w:r>
          <w:rPr>
            <w:noProof/>
            <w:webHidden/>
          </w:rPr>
          <w:fldChar w:fldCharType="separate"/>
        </w:r>
        <w:r>
          <w:rPr>
            <w:noProof/>
            <w:webHidden/>
          </w:rPr>
          <w:t>5</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54" w:history="1">
        <w:r w:rsidRPr="00770F12">
          <w:rPr>
            <w:rStyle w:val="Hyperlink"/>
            <w:noProof/>
          </w:rPr>
          <w:t>Mechanisms controlling weight</w:t>
        </w:r>
        <w:r>
          <w:rPr>
            <w:noProof/>
            <w:webHidden/>
          </w:rPr>
          <w:tab/>
        </w:r>
        <w:r>
          <w:rPr>
            <w:noProof/>
            <w:webHidden/>
          </w:rPr>
          <w:fldChar w:fldCharType="begin"/>
        </w:r>
        <w:r>
          <w:rPr>
            <w:noProof/>
            <w:webHidden/>
          </w:rPr>
          <w:instrText xml:space="preserve"> PAGEREF _Toc376465754 \h </w:instrText>
        </w:r>
        <w:r>
          <w:rPr>
            <w:noProof/>
            <w:webHidden/>
          </w:rPr>
        </w:r>
        <w:r>
          <w:rPr>
            <w:noProof/>
            <w:webHidden/>
          </w:rPr>
          <w:fldChar w:fldCharType="separate"/>
        </w:r>
        <w:r>
          <w:rPr>
            <w:noProof/>
            <w:webHidden/>
          </w:rPr>
          <w:t>7</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55" w:history="1">
        <w:r w:rsidRPr="00770F12">
          <w:rPr>
            <w:rStyle w:val="Hyperlink"/>
            <w:noProof/>
          </w:rPr>
          <w:t>Animal models of obesity</w:t>
        </w:r>
        <w:r>
          <w:rPr>
            <w:noProof/>
            <w:webHidden/>
          </w:rPr>
          <w:tab/>
        </w:r>
        <w:r>
          <w:rPr>
            <w:noProof/>
            <w:webHidden/>
          </w:rPr>
          <w:fldChar w:fldCharType="begin"/>
        </w:r>
        <w:r>
          <w:rPr>
            <w:noProof/>
            <w:webHidden/>
          </w:rPr>
          <w:instrText xml:space="preserve"> PAGEREF _Toc376465755 \h </w:instrText>
        </w:r>
        <w:r>
          <w:rPr>
            <w:noProof/>
            <w:webHidden/>
          </w:rPr>
        </w:r>
        <w:r>
          <w:rPr>
            <w:noProof/>
            <w:webHidden/>
          </w:rPr>
          <w:fldChar w:fldCharType="separate"/>
        </w:r>
        <w:r>
          <w:rPr>
            <w:noProof/>
            <w:webHidden/>
          </w:rPr>
          <w:t>26</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56" w:history="1">
        <w:r w:rsidRPr="00770F12">
          <w:rPr>
            <w:rStyle w:val="Hyperlink"/>
            <w:noProof/>
          </w:rPr>
          <w:t>Theories on how to combat the problem</w:t>
        </w:r>
        <w:r>
          <w:rPr>
            <w:noProof/>
            <w:webHidden/>
          </w:rPr>
          <w:tab/>
        </w:r>
        <w:r>
          <w:rPr>
            <w:noProof/>
            <w:webHidden/>
          </w:rPr>
          <w:fldChar w:fldCharType="begin"/>
        </w:r>
        <w:r>
          <w:rPr>
            <w:noProof/>
            <w:webHidden/>
          </w:rPr>
          <w:instrText xml:space="preserve"> PAGEREF _Toc376465756 \h </w:instrText>
        </w:r>
        <w:r>
          <w:rPr>
            <w:noProof/>
            <w:webHidden/>
          </w:rPr>
        </w:r>
        <w:r>
          <w:rPr>
            <w:noProof/>
            <w:webHidden/>
          </w:rPr>
          <w:fldChar w:fldCharType="separate"/>
        </w:r>
        <w:r>
          <w:rPr>
            <w:noProof/>
            <w:webHidden/>
          </w:rPr>
          <w:t>27</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57" w:history="1">
        <w:r w:rsidRPr="00770F12">
          <w:rPr>
            <w:rStyle w:val="Hyperlink"/>
            <w:noProof/>
          </w:rPr>
          <w:t>Dietary strategies</w:t>
        </w:r>
        <w:r>
          <w:rPr>
            <w:noProof/>
            <w:webHidden/>
          </w:rPr>
          <w:tab/>
        </w:r>
        <w:r>
          <w:rPr>
            <w:noProof/>
            <w:webHidden/>
          </w:rPr>
          <w:fldChar w:fldCharType="begin"/>
        </w:r>
        <w:r>
          <w:rPr>
            <w:noProof/>
            <w:webHidden/>
          </w:rPr>
          <w:instrText xml:space="preserve"> PAGEREF _Toc376465757 \h </w:instrText>
        </w:r>
        <w:r>
          <w:rPr>
            <w:noProof/>
            <w:webHidden/>
          </w:rPr>
        </w:r>
        <w:r>
          <w:rPr>
            <w:noProof/>
            <w:webHidden/>
          </w:rPr>
          <w:fldChar w:fldCharType="separate"/>
        </w:r>
        <w:r>
          <w:rPr>
            <w:noProof/>
            <w:webHidden/>
          </w:rPr>
          <w:t>27</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58" w:history="1">
        <w:r w:rsidRPr="00770F12">
          <w:rPr>
            <w:rStyle w:val="Hyperlink"/>
            <w:noProof/>
          </w:rPr>
          <w:t>Exercise strategies</w:t>
        </w:r>
        <w:r>
          <w:rPr>
            <w:noProof/>
            <w:webHidden/>
          </w:rPr>
          <w:tab/>
        </w:r>
        <w:r>
          <w:rPr>
            <w:noProof/>
            <w:webHidden/>
          </w:rPr>
          <w:fldChar w:fldCharType="begin"/>
        </w:r>
        <w:r>
          <w:rPr>
            <w:noProof/>
            <w:webHidden/>
          </w:rPr>
          <w:instrText xml:space="preserve"> PAGEREF _Toc376465758 \h </w:instrText>
        </w:r>
        <w:r>
          <w:rPr>
            <w:noProof/>
            <w:webHidden/>
          </w:rPr>
        </w:r>
        <w:r>
          <w:rPr>
            <w:noProof/>
            <w:webHidden/>
          </w:rPr>
          <w:fldChar w:fldCharType="separate"/>
        </w:r>
        <w:r>
          <w:rPr>
            <w:noProof/>
            <w:webHidden/>
          </w:rPr>
          <w:t>31</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59" w:history="1">
        <w:r w:rsidRPr="00770F12">
          <w:rPr>
            <w:rStyle w:val="Hyperlink"/>
            <w:noProof/>
          </w:rPr>
          <w:t>Drug/nutraceutical strategies</w:t>
        </w:r>
        <w:r>
          <w:rPr>
            <w:noProof/>
            <w:webHidden/>
          </w:rPr>
          <w:tab/>
        </w:r>
        <w:r>
          <w:rPr>
            <w:noProof/>
            <w:webHidden/>
          </w:rPr>
          <w:fldChar w:fldCharType="begin"/>
        </w:r>
        <w:r>
          <w:rPr>
            <w:noProof/>
            <w:webHidden/>
          </w:rPr>
          <w:instrText xml:space="preserve"> PAGEREF _Toc376465759 \h </w:instrText>
        </w:r>
        <w:r>
          <w:rPr>
            <w:noProof/>
            <w:webHidden/>
          </w:rPr>
        </w:r>
        <w:r>
          <w:rPr>
            <w:noProof/>
            <w:webHidden/>
          </w:rPr>
          <w:fldChar w:fldCharType="separate"/>
        </w:r>
        <w:r>
          <w:rPr>
            <w:noProof/>
            <w:webHidden/>
          </w:rPr>
          <w:t>31</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60" w:history="1">
        <w:r w:rsidRPr="00770F12">
          <w:rPr>
            <w:rStyle w:val="Hyperlink"/>
            <w:noProof/>
          </w:rPr>
          <w:t>NuShape®: a leucine/pyridoxine nutraceutical</w:t>
        </w:r>
        <w:r>
          <w:rPr>
            <w:noProof/>
            <w:webHidden/>
          </w:rPr>
          <w:tab/>
        </w:r>
        <w:r>
          <w:rPr>
            <w:noProof/>
            <w:webHidden/>
          </w:rPr>
          <w:fldChar w:fldCharType="begin"/>
        </w:r>
        <w:r>
          <w:rPr>
            <w:noProof/>
            <w:webHidden/>
          </w:rPr>
          <w:instrText xml:space="preserve"> PAGEREF _Toc376465760 \h </w:instrText>
        </w:r>
        <w:r>
          <w:rPr>
            <w:noProof/>
            <w:webHidden/>
          </w:rPr>
        </w:r>
        <w:r>
          <w:rPr>
            <w:noProof/>
            <w:webHidden/>
          </w:rPr>
          <w:fldChar w:fldCharType="separate"/>
        </w:r>
        <w:r>
          <w:rPr>
            <w:noProof/>
            <w:webHidden/>
          </w:rPr>
          <w:t>35</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61" w:history="1">
        <w:r w:rsidRPr="00770F12">
          <w:rPr>
            <w:rStyle w:val="Hyperlink"/>
            <w:noProof/>
          </w:rPr>
          <w:t>Leucine</w:t>
        </w:r>
        <w:r>
          <w:rPr>
            <w:noProof/>
            <w:webHidden/>
          </w:rPr>
          <w:tab/>
        </w:r>
        <w:r>
          <w:rPr>
            <w:noProof/>
            <w:webHidden/>
          </w:rPr>
          <w:fldChar w:fldCharType="begin"/>
        </w:r>
        <w:r>
          <w:rPr>
            <w:noProof/>
            <w:webHidden/>
          </w:rPr>
          <w:instrText xml:space="preserve"> PAGEREF _Toc376465761 \h </w:instrText>
        </w:r>
        <w:r>
          <w:rPr>
            <w:noProof/>
            <w:webHidden/>
          </w:rPr>
        </w:r>
        <w:r>
          <w:rPr>
            <w:noProof/>
            <w:webHidden/>
          </w:rPr>
          <w:fldChar w:fldCharType="separate"/>
        </w:r>
        <w:r>
          <w:rPr>
            <w:noProof/>
            <w:webHidden/>
          </w:rPr>
          <w:t>36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62" w:history="1">
        <w:r w:rsidRPr="00770F12">
          <w:rPr>
            <w:rStyle w:val="Hyperlink"/>
            <w:noProof/>
          </w:rPr>
          <w:t>Pyridoxine</w:t>
        </w:r>
        <w:r>
          <w:rPr>
            <w:noProof/>
            <w:webHidden/>
          </w:rPr>
          <w:tab/>
        </w:r>
        <w:r>
          <w:rPr>
            <w:noProof/>
            <w:webHidden/>
          </w:rPr>
          <w:fldChar w:fldCharType="begin"/>
        </w:r>
        <w:r>
          <w:rPr>
            <w:noProof/>
            <w:webHidden/>
          </w:rPr>
          <w:instrText xml:space="preserve"> PAGEREF _Toc376465762 \h </w:instrText>
        </w:r>
        <w:r>
          <w:rPr>
            <w:noProof/>
            <w:webHidden/>
          </w:rPr>
        </w:r>
        <w:r>
          <w:rPr>
            <w:noProof/>
            <w:webHidden/>
          </w:rPr>
          <w:fldChar w:fldCharType="separate"/>
        </w:r>
        <w:r>
          <w:rPr>
            <w:noProof/>
            <w:webHidden/>
          </w:rPr>
          <w:t>45</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63" w:history="1">
        <w:r w:rsidRPr="00770F12">
          <w:rPr>
            <w:rStyle w:val="Hyperlink"/>
            <w:noProof/>
          </w:rPr>
          <w:t>NuShape® (previously NuFit active blend); 2.25 g leucine/30 mg pyridoxine</w:t>
        </w:r>
        <w:r>
          <w:rPr>
            <w:noProof/>
            <w:webHidden/>
          </w:rPr>
          <w:tab/>
        </w:r>
        <w:r>
          <w:rPr>
            <w:noProof/>
            <w:webHidden/>
          </w:rPr>
          <w:fldChar w:fldCharType="begin"/>
        </w:r>
        <w:r>
          <w:rPr>
            <w:noProof/>
            <w:webHidden/>
          </w:rPr>
          <w:instrText xml:space="preserve"> PAGEREF _Toc376465763 \h </w:instrText>
        </w:r>
        <w:r>
          <w:rPr>
            <w:noProof/>
            <w:webHidden/>
          </w:rPr>
        </w:r>
        <w:r>
          <w:rPr>
            <w:noProof/>
            <w:webHidden/>
          </w:rPr>
          <w:fldChar w:fldCharType="separate"/>
        </w:r>
        <w:r>
          <w:rPr>
            <w:noProof/>
            <w:webHidden/>
          </w:rPr>
          <w:t>46</w:t>
        </w:r>
        <w:r>
          <w:rPr>
            <w:noProof/>
            <w:webHidden/>
          </w:rPr>
          <w:fldChar w:fldCharType="end"/>
        </w:r>
      </w:hyperlink>
    </w:p>
    <w:p w:rsidR="007F0498" w:rsidRDefault="007F0498">
      <w:pPr>
        <w:pStyle w:val="TOC1"/>
        <w:tabs>
          <w:tab w:val="right" w:leader="dot" w:pos="8630"/>
        </w:tabs>
        <w:rPr>
          <w:rFonts w:asciiTheme="minorHAnsi" w:eastAsiaTheme="minorEastAsia" w:hAnsiTheme="minorHAnsi" w:cstheme="minorBidi"/>
          <w:noProof/>
          <w:sz w:val="22"/>
          <w:szCs w:val="22"/>
        </w:rPr>
      </w:pPr>
      <w:hyperlink w:anchor="_Toc376465764" w:history="1">
        <w:r w:rsidRPr="00770F12">
          <w:rPr>
            <w:rStyle w:val="Hyperlink"/>
            <w:noProof/>
          </w:rPr>
          <w:t>CHAPTER I Effect of a leucine/pyridoxine nutraceutical on food intake and body composition of obese dogs losing weight</w:t>
        </w:r>
        <w:r>
          <w:rPr>
            <w:noProof/>
            <w:webHidden/>
          </w:rPr>
          <w:tab/>
        </w:r>
        <w:r>
          <w:rPr>
            <w:noProof/>
            <w:webHidden/>
          </w:rPr>
          <w:fldChar w:fldCharType="begin"/>
        </w:r>
        <w:r>
          <w:rPr>
            <w:noProof/>
            <w:webHidden/>
          </w:rPr>
          <w:instrText xml:space="preserve"> PAGEREF _Toc376465764 \h </w:instrText>
        </w:r>
        <w:r>
          <w:rPr>
            <w:noProof/>
            <w:webHidden/>
          </w:rPr>
        </w:r>
        <w:r>
          <w:rPr>
            <w:noProof/>
            <w:webHidden/>
          </w:rPr>
          <w:fldChar w:fldCharType="separate"/>
        </w:r>
        <w:r>
          <w:rPr>
            <w:noProof/>
            <w:webHidden/>
          </w:rPr>
          <w:t>48</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65" w:history="1">
        <w:r w:rsidRPr="00770F12">
          <w:rPr>
            <w:rStyle w:val="Hyperlink"/>
            <w:noProof/>
          </w:rPr>
          <w:t>Introduction</w:t>
        </w:r>
        <w:r>
          <w:rPr>
            <w:noProof/>
            <w:webHidden/>
          </w:rPr>
          <w:tab/>
        </w:r>
        <w:r>
          <w:rPr>
            <w:noProof/>
            <w:webHidden/>
          </w:rPr>
          <w:fldChar w:fldCharType="begin"/>
        </w:r>
        <w:r>
          <w:rPr>
            <w:noProof/>
            <w:webHidden/>
          </w:rPr>
          <w:instrText xml:space="preserve"> PAGEREF _Toc376465765 \h </w:instrText>
        </w:r>
        <w:r>
          <w:rPr>
            <w:noProof/>
            <w:webHidden/>
          </w:rPr>
        </w:r>
        <w:r>
          <w:rPr>
            <w:noProof/>
            <w:webHidden/>
          </w:rPr>
          <w:fldChar w:fldCharType="separate"/>
        </w:r>
        <w:r>
          <w:rPr>
            <w:noProof/>
            <w:webHidden/>
          </w:rPr>
          <w:t>49</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66" w:history="1">
        <w:r w:rsidRPr="00770F12">
          <w:rPr>
            <w:rStyle w:val="Hyperlink"/>
            <w:noProof/>
          </w:rPr>
          <w:t>Materials and methods</w:t>
        </w:r>
        <w:r>
          <w:rPr>
            <w:noProof/>
            <w:webHidden/>
          </w:rPr>
          <w:tab/>
        </w:r>
        <w:r>
          <w:rPr>
            <w:noProof/>
            <w:webHidden/>
          </w:rPr>
          <w:fldChar w:fldCharType="begin"/>
        </w:r>
        <w:r>
          <w:rPr>
            <w:noProof/>
            <w:webHidden/>
          </w:rPr>
          <w:instrText xml:space="preserve"> PAGEREF _Toc376465766 \h </w:instrText>
        </w:r>
        <w:r>
          <w:rPr>
            <w:noProof/>
            <w:webHidden/>
          </w:rPr>
        </w:r>
        <w:r>
          <w:rPr>
            <w:noProof/>
            <w:webHidden/>
          </w:rPr>
          <w:fldChar w:fldCharType="separate"/>
        </w:r>
        <w:r>
          <w:rPr>
            <w:noProof/>
            <w:webHidden/>
          </w:rPr>
          <w:t>49</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67" w:history="1">
        <w:r w:rsidRPr="00770F12">
          <w:rPr>
            <w:rStyle w:val="Hyperlink"/>
            <w:noProof/>
          </w:rPr>
          <w:t>Animals</w:t>
        </w:r>
        <w:r>
          <w:rPr>
            <w:noProof/>
            <w:webHidden/>
          </w:rPr>
          <w:tab/>
        </w:r>
        <w:r>
          <w:rPr>
            <w:noProof/>
            <w:webHidden/>
          </w:rPr>
          <w:fldChar w:fldCharType="begin"/>
        </w:r>
        <w:r>
          <w:rPr>
            <w:noProof/>
            <w:webHidden/>
          </w:rPr>
          <w:instrText xml:space="preserve"> PAGEREF _Toc376465767 \h </w:instrText>
        </w:r>
        <w:r>
          <w:rPr>
            <w:noProof/>
            <w:webHidden/>
          </w:rPr>
        </w:r>
        <w:r>
          <w:rPr>
            <w:noProof/>
            <w:webHidden/>
          </w:rPr>
          <w:fldChar w:fldCharType="separate"/>
        </w:r>
        <w:r>
          <w:rPr>
            <w:noProof/>
            <w:webHidden/>
          </w:rPr>
          <w:t>49</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68" w:history="1">
        <w:r w:rsidRPr="00770F12">
          <w:rPr>
            <w:rStyle w:val="Hyperlink"/>
            <w:noProof/>
          </w:rPr>
          <w:t>Diet and group assignments</w:t>
        </w:r>
        <w:r>
          <w:rPr>
            <w:noProof/>
            <w:webHidden/>
          </w:rPr>
          <w:tab/>
        </w:r>
        <w:r>
          <w:rPr>
            <w:noProof/>
            <w:webHidden/>
          </w:rPr>
          <w:fldChar w:fldCharType="begin"/>
        </w:r>
        <w:r>
          <w:rPr>
            <w:noProof/>
            <w:webHidden/>
          </w:rPr>
          <w:instrText xml:space="preserve"> PAGEREF _Toc376465768 \h </w:instrText>
        </w:r>
        <w:r>
          <w:rPr>
            <w:noProof/>
            <w:webHidden/>
          </w:rPr>
        </w:r>
        <w:r>
          <w:rPr>
            <w:noProof/>
            <w:webHidden/>
          </w:rPr>
          <w:fldChar w:fldCharType="separate"/>
        </w:r>
        <w:r>
          <w:rPr>
            <w:noProof/>
            <w:webHidden/>
          </w:rPr>
          <w:t>50</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69" w:history="1">
        <w:r w:rsidRPr="00770F12">
          <w:rPr>
            <w:rStyle w:val="Hyperlink"/>
            <w:noProof/>
          </w:rPr>
          <w:t>Food consumption</w:t>
        </w:r>
        <w:r>
          <w:rPr>
            <w:noProof/>
            <w:webHidden/>
          </w:rPr>
          <w:tab/>
        </w:r>
        <w:r>
          <w:rPr>
            <w:noProof/>
            <w:webHidden/>
          </w:rPr>
          <w:fldChar w:fldCharType="begin"/>
        </w:r>
        <w:r>
          <w:rPr>
            <w:noProof/>
            <w:webHidden/>
          </w:rPr>
          <w:instrText xml:space="preserve"> PAGEREF _Toc376465769 \h </w:instrText>
        </w:r>
        <w:r>
          <w:rPr>
            <w:noProof/>
            <w:webHidden/>
          </w:rPr>
        </w:r>
        <w:r>
          <w:rPr>
            <w:noProof/>
            <w:webHidden/>
          </w:rPr>
          <w:fldChar w:fldCharType="separate"/>
        </w:r>
        <w:r>
          <w:rPr>
            <w:noProof/>
            <w:webHidden/>
          </w:rPr>
          <w:t>53</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70" w:history="1">
        <w:r w:rsidRPr="00770F12">
          <w:rPr>
            <w:rStyle w:val="Hyperlink"/>
            <w:noProof/>
          </w:rPr>
          <w:t>Intrusion meal consumption</w:t>
        </w:r>
        <w:r>
          <w:rPr>
            <w:noProof/>
            <w:webHidden/>
          </w:rPr>
          <w:tab/>
        </w:r>
        <w:r>
          <w:rPr>
            <w:noProof/>
            <w:webHidden/>
          </w:rPr>
          <w:fldChar w:fldCharType="begin"/>
        </w:r>
        <w:r>
          <w:rPr>
            <w:noProof/>
            <w:webHidden/>
          </w:rPr>
          <w:instrText xml:space="preserve"> PAGEREF _Toc376465770 \h </w:instrText>
        </w:r>
        <w:r>
          <w:rPr>
            <w:noProof/>
            <w:webHidden/>
          </w:rPr>
        </w:r>
        <w:r>
          <w:rPr>
            <w:noProof/>
            <w:webHidden/>
          </w:rPr>
          <w:fldChar w:fldCharType="separate"/>
        </w:r>
        <w:r>
          <w:rPr>
            <w:noProof/>
            <w:webHidden/>
          </w:rPr>
          <w:t>54</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71" w:history="1">
        <w:r w:rsidRPr="00770F12">
          <w:rPr>
            <w:rStyle w:val="Hyperlink"/>
            <w:noProof/>
          </w:rPr>
          <w:t>Body composition</w:t>
        </w:r>
        <w:r>
          <w:rPr>
            <w:noProof/>
            <w:webHidden/>
          </w:rPr>
          <w:tab/>
        </w:r>
        <w:r>
          <w:rPr>
            <w:noProof/>
            <w:webHidden/>
          </w:rPr>
          <w:fldChar w:fldCharType="begin"/>
        </w:r>
        <w:r>
          <w:rPr>
            <w:noProof/>
            <w:webHidden/>
          </w:rPr>
          <w:instrText xml:space="preserve"> PAGEREF _Toc376465771 \h </w:instrText>
        </w:r>
        <w:r>
          <w:rPr>
            <w:noProof/>
            <w:webHidden/>
          </w:rPr>
        </w:r>
        <w:r>
          <w:rPr>
            <w:noProof/>
            <w:webHidden/>
          </w:rPr>
          <w:fldChar w:fldCharType="separate"/>
        </w:r>
        <w:r>
          <w:rPr>
            <w:noProof/>
            <w:webHidden/>
          </w:rPr>
          <w:t>54</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72" w:history="1">
        <w:r w:rsidRPr="00770F12">
          <w:rPr>
            <w:rStyle w:val="Hyperlink"/>
            <w:noProof/>
          </w:rPr>
          <w:t>Behavioral observations</w:t>
        </w:r>
        <w:r>
          <w:rPr>
            <w:noProof/>
            <w:webHidden/>
          </w:rPr>
          <w:tab/>
        </w:r>
        <w:r>
          <w:rPr>
            <w:noProof/>
            <w:webHidden/>
          </w:rPr>
          <w:fldChar w:fldCharType="begin"/>
        </w:r>
        <w:r>
          <w:rPr>
            <w:noProof/>
            <w:webHidden/>
          </w:rPr>
          <w:instrText xml:space="preserve"> PAGEREF _Toc376465772 \h </w:instrText>
        </w:r>
        <w:r>
          <w:rPr>
            <w:noProof/>
            <w:webHidden/>
          </w:rPr>
        </w:r>
        <w:r>
          <w:rPr>
            <w:noProof/>
            <w:webHidden/>
          </w:rPr>
          <w:fldChar w:fldCharType="separate"/>
        </w:r>
        <w:r>
          <w:rPr>
            <w:noProof/>
            <w:webHidden/>
          </w:rPr>
          <w:t>55</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73" w:history="1">
        <w:r w:rsidRPr="00770F12">
          <w:rPr>
            <w:rStyle w:val="Hyperlink"/>
            <w:noProof/>
          </w:rPr>
          <w:t>Blood samples</w:t>
        </w:r>
        <w:r>
          <w:rPr>
            <w:noProof/>
            <w:webHidden/>
          </w:rPr>
          <w:tab/>
        </w:r>
        <w:r>
          <w:rPr>
            <w:noProof/>
            <w:webHidden/>
          </w:rPr>
          <w:fldChar w:fldCharType="begin"/>
        </w:r>
        <w:r>
          <w:rPr>
            <w:noProof/>
            <w:webHidden/>
          </w:rPr>
          <w:instrText xml:space="preserve"> PAGEREF _Toc376465773 \h </w:instrText>
        </w:r>
        <w:r>
          <w:rPr>
            <w:noProof/>
            <w:webHidden/>
          </w:rPr>
        </w:r>
        <w:r>
          <w:rPr>
            <w:noProof/>
            <w:webHidden/>
          </w:rPr>
          <w:fldChar w:fldCharType="separate"/>
        </w:r>
        <w:r>
          <w:rPr>
            <w:noProof/>
            <w:webHidden/>
          </w:rPr>
          <w:t>56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74" w:history="1">
        <w:r w:rsidRPr="00770F12">
          <w:rPr>
            <w:rStyle w:val="Hyperlink"/>
            <w:noProof/>
          </w:rPr>
          <w:t>Biopsies, RNA extraction</w:t>
        </w:r>
        <w:r>
          <w:rPr>
            <w:noProof/>
            <w:webHidden/>
          </w:rPr>
          <w:tab/>
        </w:r>
        <w:r>
          <w:rPr>
            <w:noProof/>
            <w:webHidden/>
          </w:rPr>
          <w:fldChar w:fldCharType="begin"/>
        </w:r>
        <w:r>
          <w:rPr>
            <w:noProof/>
            <w:webHidden/>
          </w:rPr>
          <w:instrText xml:space="preserve"> PAGEREF _Toc376465774 \h </w:instrText>
        </w:r>
        <w:r>
          <w:rPr>
            <w:noProof/>
            <w:webHidden/>
          </w:rPr>
        </w:r>
        <w:r>
          <w:rPr>
            <w:noProof/>
            <w:webHidden/>
          </w:rPr>
          <w:fldChar w:fldCharType="separate"/>
        </w:r>
        <w:r>
          <w:rPr>
            <w:noProof/>
            <w:webHidden/>
          </w:rPr>
          <w:t>56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75" w:history="1">
        <w:r w:rsidRPr="00770F12">
          <w:rPr>
            <w:rStyle w:val="Hyperlink"/>
            <w:noProof/>
          </w:rPr>
          <w:t>Reverse transcription and real-time PCR</w:t>
        </w:r>
        <w:r>
          <w:rPr>
            <w:noProof/>
            <w:webHidden/>
          </w:rPr>
          <w:tab/>
        </w:r>
        <w:r>
          <w:rPr>
            <w:noProof/>
            <w:webHidden/>
          </w:rPr>
          <w:fldChar w:fldCharType="begin"/>
        </w:r>
        <w:r>
          <w:rPr>
            <w:noProof/>
            <w:webHidden/>
          </w:rPr>
          <w:instrText xml:space="preserve"> PAGEREF _Toc376465775 \h </w:instrText>
        </w:r>
        <w:r>
          <w:rPr>
            <w:noProof/>
            <w:webHidden/>
          </w:rPr>
        </w:r>
        <w:r>
          <w:rPr>
            <w:noProof/>
            <w:webHidden/>
          </w:rPr>
          <w:fldChar w:fldCharType="separate"/>
        </w:r>
        <w:r>
          <w:rPr>
            <w:noProof/>
            <w:webHidden/>
          </w:rPr>
          <w:t>56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76" w:history="1">
        <w:r w:rsidRPr="00770F12">
          <w:rPr>
            <w:rStyle w:val="Hyperlink"/>
            <w:noProof/>
          </w:rPr>
          <w:t>ELISA</w:t>
        </w:r>
        <w:r>
          <w:rPr>
            <w:noProof/>
            <w:webHidden/>
          </w:rPr>
          <w:tab/>
        </w:r>
        <w:r>
          <w:rPr>
            <w:noProof/>
            <w:webHidden/>
          </w:rPr>
          <w:fldChar w:fldCharType="begin"/>
        </w:r>
        <w:r>
          <w:rPr>
            <w:noProof/>
            <w:webHidden/>
          </w:rPr>
          <w:instrText xml:space="preserve"> PAGEREF _Toc376465776 \h </w:instrText>
        </w:r>
        <w:r>
          <w:rPr>
            <w:noProof/>
            <w:webHidden/>
          </w:rPr>
        </w:r>
        <w:r>
          <w:rPr>
            <w:noProof/>
            <w:webHidden/>
          </w:rPr>
          <w:fldChar w:fldCharType="separate"/>
        </w:r>
        <w:r>
          <w:rPr>
            <w:noProof/>
            <w:webHidden/>
          </w:rPr>
          <w:t>57</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77" w:history="1">
        <w:r w:rsidRPr="00770F12">
          <w:rPr>
            <w:rStyle w:val="Hyperlink"/>
            <w:noProof/>
          </w:rPr>
          <w:t>Multiplex ELISA</w:t>
        </w:r>
        <w:r>
          <w:rPr>
            <w:noProof/>
            <w:webHidden/>
          </w:rPr>
          <w:tab/>
        </w:r>
        <w:r>
          <w:rPr>
            <w:noProof/>
            <w:webHidden/>
          </w:rPr>
          <w:fldChar w:fldCharType="begin"/>
        </w:r>
        <w:r>
          <w:rPr>
            <w:noProof/>
            <w:webHidden/>
          </w:rPr>
          <w:instrText xml:space="preserve"> PAGEREF _Toc376465777 \h </w:instrText>
        </w:r>
        <w:r>
          <w:rPr>
            <w:noProof/>
            <w:webHidden/>
          </w:rPr>
        </w:r>
        <w:r>
          <w:rPr>
            <w:noProof/>
            <w:webHidden/>
          </w:rPr>
          <w:fldChar w:fldCharType="separate"/>
        </w:r>
        <w:r>
          <w:rPr>
            <w:noProof/>
            <w:webHidden/>
          </w:rPr>
          <w:t>60</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78" w:history="1">
        <w:r w:rsidRPr="00770F12">
          <w:rPr>
            <w:rStyle w:val="Hyperlink"/>
            <w:noProof/>
          </w:rPr>
          <w:t>Insulin:glucose ratio</w:t>
        </w:r>
        <w:r>
          <w:rPr>
            <w:noProof/>
            <w:webHidden/>
          </w:rPr>
          <w:tab/>
        </w:r>
        <w:r>
          <w:rPr>
            <w:noProof/>
            <w:webHidden/>
          </w:rPr>
          <w:fldChar w:fldCharType="begin"/>
        </w:r>
        <w:r>
          <w:rPr>
            <w:noProof/>
            <w:webHidden/>
          </w:rPr>
          <w:instrText xml:space="preserve"> PAGEREF _Toc376465778 \h </w:instrText>
        </w:r>
        <w:r>
          <w:rPr>
            <w:noProof/>
            <w:webHidden/>
          </w:rPr>
        </w:r>
        <w:r>
          <w:rPr>
            <w:noProof/>
            <w:webHidden/>
          </w:rPr>
          <w:fldChar w:fldCharType="separate"/>
        </w:r>
        <w:r>
          <w:rPr>
            <w:noProof/>
            <w:webHidden/>
          </w:rPr>
          <w:t>60</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79" w:history="1">
        <w:r w:rsidRPr="00770F12">
          <w:rPr>
            <w:rStyle w:val="Hyperlink"/>
            <w:noProof/>
          </w:rPr>
          <w:t>Statistical analysis</w:t>
        </w:r>
        <w:r>
          <w:rPr>
            <w:noProof/>
            <w:webHidden/>
          </w:rPr>
          <w:tab/>
        </w:r>
        <w:r>
          <w:rPr>
            <w:noProof/>
            <w:webHidden/>
          </w:rPr>
          <w:fldChar w:fldCharType="begin"/>
        </w:r>
        <w:r>
          <w:rPr>
            <w:noProof/>
            <w:webHidden/>
          </w:rPr>
          <w:instrText xml:space="preserve"> PAGEREF _Toc376465779 \h </w:instrText>
        </w:r>
        <w:r>
          <w:rPr>
            <w:noProof/>
            <w:webHidden/>
          </w:rPr>
        </w:r>
        <w:r>
          <w:rPr>
            <w:noProof/>
            <w:webHidden/>
          </w:rPr>
          <w:fldChar w:fldCharType="separate"/>
        </w:r>
        <w:r>
          <w:rPr>
            <w:noProof/>
            <w:webHidden/>
          </w:rPr>
          <w:t>60</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80" w:history="1">
        <w:r w:rsidRPr="00770F12">
          <w:rPr>
            <w:rStyle w:val="Hyperlink"/>
            <w:noProof/>
          </w:rPr>
          <w:t>Results</w:t>
        </w:r>
        <w:r>
          <w:rPr>
            <w:noProof/>
            <w:webHidden/>
          </w:rPr>
          <w:tab/>
        </w:r>
        <w:r>
          <w:rPr>
            <w:noProof/>
            <w:webHidden/>
          </w:rPr>
          <w:fldChar w:fldCharType="begin"/>
        </w:r>
        <w:r>
          <w:rPr>
            <w:noProof/>
            <w:webHidden/>
          </w:rPr>
          <w:instrText xml:space="preserve"> PAGEREF _Toc376465780 \h </w:instrText>
        </w:r>
        <w:r>
          <w:rPr>
            <w:noProof/>
            <w:webHidden/>
          </w:rPr>
        </w:r>
        <w:r>
          <w:rPr>
            <w:noProof/>
            <w:webHidden/>
          </w:rPr>
          <w:fldChar w:fldCharType="separate"/>
        </w:r>
        <w:r>
          <w:rPr>
            <w:noProof/>
            <w:webHidden/>
          </w:rPr>
          <w:t>61</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81" w:history="1">
        <w:r w:rsidRPr="00770F12">
          <w:rPr>
            <w:rStyle w:val="Hyperlink"/>
            <w:noProof/>
          </w:rPr>
          <w:t>Scale weight and BCS</w:t>
        </w:r>
        <w:r>
          <w:rPr>
            <w:noProof/>
            <w:webHidden/>
          </w:rPr>
          <w:tab/>
        </w:r>
        <w:r>
          <w:rPr>
            <w:noProof/>
            <w:webHidden/>
          </w:rPr>
          <w:fldChar w:fldCharType="begin"/>
        </w:r>
        <w:r>
          <w:rPr>
            <w:noProof/>
            <w:webHidden/>
          </w:rPr>
          <w:instrText xml:space="preserve"> PAGEREF _Toc376465781 \h </w:instrText>
        </w:r>
        <w:r>
          <w:rPr>
            <w:noProof/>
            <w:webHidden/>
          </w:rPr>
        </w:r>
        <w:r>
          <w:rPr>
            <w:noProof/>
            <w:webHidden/>
          </w:rPr>
          <w:fldChar w:fldCharType="separate"/>
        </w:r>
        <w:r>
          <w:rPr>
            <w:noProof/>
            <w:webHidden/>
          </w:rPr>
          <w:t>61</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82" w:history="1">
        <w:r w:rsidRPr="00770F12">
          <w:rPr>
            <w:rStyle w:val="Hyperlink"/>
            <w:noProof/>
          </w:rPr>
          <w:t>Food consumption</w:t>
        </w:r>
        <w:r>
          <w:rPr>
            <w:noProof/>
            <w:webHidden/>
          </w:rPr>
          <w:tab/>
        </w:r>
        <w:r>
          <w:rPr>
            <w:noProof/>
            <w:webHidden/>
          </w:rPr>
          <w:fldChar w:fldCharType="begin"/>
        </w:r>
        <w:r>
          <w:rPr>
            <w:noProof/>
            <w:webHidden/>
          </w:rPr>
          <w:instrText xml:space="preserve"> PAGEREF _Toc376465782 \h </w:instrText>
        </w:r>
        <w:r>
          <w:rPr>
            <w:noProof/>
            <w:webHidden/>
          </w:rPr>
        </w:r>
        <w:r>
          <w:rPr>
            <w:noProof/>
            <w:webHidden/>
          </w:rPr>
          <w:fldChar w:fldCharType="separate"/>
        </w:r>
        <w:r>
          <w:rPr>
            <w:noProof/>
            <w:webHidden/>
          </w:rPr>
          <w:t>61</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83" w:history="1">
        <w:r w:rsidRPr="00770F12">
          <w:rPr>
            <w:rStyle w:val="Hyperlink"/>
            <w:noProof/>
          </w:rPr>
          <w:t>Body composition</w:t>
        </w:r>
        <w:r>
          <w:rPr>
            <w:noProof/>
            <w:webHidden/>
          </w:rPr>
          <w:tab/>
        </w:r>
        <w:r>
          <w:rPr>
            <w:noProof/>
            <w:webHidden/>
          </w:rPr>
          <w:fldChar w:fldCharType="begin"/>
        </w:r>
        <w:r>
          <w:rPr>
            <w:noProof/>
            <w:webHidden/>
          </w:rPr>
          <w:instrText xml:space="preserve"> PAGEREF _Toc376465783 \h </w:instrText>
        </w:r>
        <w:r>
          <w:rPr>
            <w:noProof/>
            <w:webHidden/>
          </w:rPr>
        </w:r>
        <w:r>
          <w:rPr>
            <w:noProof/>
            <w:webHidden/>
          </w:rPr>
          <w:fldChar w:fldCharType="separate"/>
        </w:r>
        <w:r>
          <w:rPr>
            <w:noProof/>
            <w:webHidden/>
          </w:rPr>
          <w:t>65</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84" w:history="1">
        <w:r w:rsidRPr="00770F12">
          <w:rPr>
            <w:rStyle w:val="Hyperlink"/>
            <w:noProof/>
          </w:rPr>
          <w:t>Negative control (Group IBW)</w:t>
        </w:r>
        <w:r>
          <w:rPr>
            <w:noProof/>
            <w:webHidden/>
          </w:rPr>
          <w:tab/>
        </w:r>
        <w:r>
          <w:rPr>
            <w:noProof/>
            <w:webHidden/>
          </w:rPr>
          <w:fldChar w:fldCharType="begin"/>
        </w:r>
        <w:r>
          <w:rPr>
            <w:noProof/>
            <w:webHidden/>
          </w:rPr>
          <w:instrText xml:space="preserve"> PAGEREF _Toc376465784 \h </w:instrText>
        </w:r>
        <w:r>
          <w:rPr>
            <w:noProof/>
            <w:webHidden/>
          </w:rPr>
        </w:r>
        <w:r>
          <w:rPr>
            <w:noProof/>
            <w:webHidden/>
          </w:rPr>
          <w:fldChar w:fldCharType="separate"/>
        </w:r>
        <w:r>
          <w:rPr>
            <w:noProof/>
            <w:webHidden/>
          </w:rPr>
          <w:t>67</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85" w:history="1">
        <w:r w:rsidRPr="00770F12">
          <w:rPr>
            <w:rStyle w:val="Hyperlink"/>
            <w:noProof/>
          </w:rPr>
          <w:t>Intrusion meal consumption</w:t>
        </w:r>
        <w:r>
          <w:rPr>
            <w:noProof/>
            <w:webHidden/>
          </w:rPr>
          <w:tab/>
        </w:r>
        <w:r>
          <w:rPr>
            <w:noProof/>
            <w:webHidden/>
          </w:rPr>
          <w:fldChar w:fldCharType="begin"/>
        </w:r>
        <w:r>
          <w:rPr>
            <w:noProof/>
            <w:webHidden/>
          </w:rPr>
          <w:instrText xml:space="preserve"> PAGEREF _Toc376465785 \h </w:instrText>
        </w:r>
        <w:r>
          <w:rPr>
            <w:noProof/>
            <w:webHidden/>
          </w:rPr>
        </w:r>
        <w:r>
          <w:rPr>
            <w:noProof/>
            <w:webHidden/>
          </w:rPr>
          <w:fldChar w:fldCharType="separate"/>
        </w:r>
        <w:r>
          <w:rPr>
            <w:noProof/>
            <w:webHidden/>
          </w:rPr>
          <w:t>67</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86" w:history="1">
        <w:r w:rsidRPr="00770F12">
          <w:rPr>
            <w:rStyle w:val="Hyperlink"/>
            <w:noProof/>
          </w:rPr>
          <w:t>Behavioral observations</w:t>
        </w:r>
        <w:r>
          <w:rPr>
            <w:noProof/>
            <w:webHidden/>
          </w:rPr>
          <w:tab/>
        </w:r>
        <w:r>
          <w:rPr>
            <w:noProof/>
            <w:webHidden/>
          </w:rPr>
          <w:fldChar w:fldCharType="begin"/>
        </w:r>
        <w:r>
          <w:rPr>
            <w:noProof/>
            <w:webHidden/>
          </w:rPr>
          <w:instrText xml:space="preserve"> PAGEREF _Toc376465786 \h </w:instrText>
        </w:r>
        <w:r>
          <w:rPr>
            <w:noProof/>
            <w:webHidden/>
          </w:rPr>
        </w:r>
        <w:r>
          <w:rPr>
            <w:noProof/>
            <w:webHidden/>
          </w:rPr>
          <w:fldChar w:fldCharType="separate"/>
        </w:r>
        <w:r>
          <w:rPr>
            <w:noProof/>
            <w:webHidden/>
          </w:rPr>
          <w:t>67</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87" w:history="1">
        <w:r w:rsidRPr="00770F12">
          <w:rPr>
            <w:rStyle w:val="Hyperlink"/>
            <w:noProof/>
          </w:rPr>
          <w:t>Gut hormones and endocrine factors</w:t>
        </w:r>
        <w:r>
          <w:rPr>
            <w:noProof/>
            <w:webHidden/>
          </w:rPr>
          <w:tab/>
        </w:r>
        <w:r>
          <w:rPr>
            <w:noProof/>
            <w:webHidden/>
          </w:rPr>
          <w:fldChar w:fldCharType="begin"/>
        </w:r>
        <w:r>
          <w:rPr>
            <w:noProof/>
            <w:webHidden/>
          </w:rPr>
          <w:instrText xml:space="preserve"> PAGEREF _Toc376465787 \h </w:instrText>
        </w:r>
        <w:r>
          <w:rPr>
            <w:noProof/>
            <w:webHidden/>
          </w:rPr>
        </w:r>
        <w:r>
          <w:rPr>
            <w:noProof/>
            <w:webHidden/>
          </w:rPr>
          <w:fldChar w:fldCharType="separate"/>
        </w:r>
        <w:r>
          <w:rPr>
            <w:noProof/>
            <w:webHidden/>
          </w:rPr>
          <w:t>72</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88" w:history="1">
        <w:r w:rsidRPr="00770F12">
          <w:rPr>
            <w:rStyle w:val="Hyperlink"/>
            <w:noProof/>
          </w:rPr>
          <w:t>PCR</w:t>
        </w:r>
        <w:r>
          <w:rPr>
            <w:noProof/>
            <w:webHidden/>
          </w:rPr>
          <w:tab/>
        </w:r>
        <w:r>
          <w:rPr>
            <w:noProof/>
            <w:webHidden/>
          </w:rPr>
          <w:fldChar w:fldCharType="begin"/>
        </w:r>
        <w:r>
          <w:rPr>
            <w:noProof/>
            <w:webHidden/>
          </w:rPr>
          <w:instrText xml:space="preserve"> PAGEREF _Toc376465788 \h </w:instrText>
        </w:r>
        <w:r>
          <w:rPr>
            <w:noProof/>
            <w:webHidden/>
          </w:rPr>
        </w:r>
        <w:r>
          <w:rPr>
            <w:noProof/>
            <w:webHidden/>
          </w:rPr>
          <w:fldChar w:fldCharType="separate"/>
        </w:r>
        <w:r>
          <w:rPr>
            <w:noProof/>
            <w:webHidden/>
          </w:rPr>
          <w:t>83</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89" w:history="1">
        <w:r w:rsidRPr="00770F12">
          <w:rPr>
            <w:rStyle w:val="Hyperlink"/>
            <w:noProof/>
          </w:rPr>
          <w:t>Cytokines</w:t>
        </w:r>
        <w:r>
          <w:rPr>
            <w:noProof/>
            <w:webHidden/>
          </w:rPr>
          <w:tab/>
        </w:r>
        <w:r>
          <w:rPr>
            <w:noProof/>
            <w:webHidden/>
          </w:rPr>
          <w:fldChar w:fldCharType="begin"/>
        </w:r>
        <w:r>
          <w:rPr>
            <w:noProof/>
            <w:webHidden/>
          </w:rPr>
          <w:instrText xml:space="preserve"> PAGEREF _Toc376465789 \h </w:instrText>
        </w:r>
        <w:r>
          <w:rPr>
            <w:noProof/>
            <w:webHidden/>
          </w:rPr>
        </w:r>
        <w:r>
          <w:rPr>
            <w:noProof/>
            <w:webHidden/>
          </w:rPr>
          <w:fldChar w:fldCharType="separate"/>
        </w:r>
        <w:r>
          <w:rPr>
            <w:noProof/>
            <w:webHidden/>
          </w:rPr>
          <w:t>84</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90" w:history="1">
        <w:r w:rsidRPr="00770F12">
          <w:rPr>
            <w:rStyle w:val="Hyperlink"/>
            <w:noProof/>
          </w:rPr>
          <w:t>Discussion</w:t>
        </w:r>
        <w:r>
          <w:rPr>
            <w:noProof/>
            <w:webHidden/>
          </w:rPr>
          <w:tab/>
        </w:r>
        <w:r>
          <w:rPr>
            <w:noProof/>
            <w:webHidden/>
          </w:rPr>
          <w:fldChar w:fldCharType="begin"/>
        </w:r>
        <w:r>
          <w:rPr>
            <w:noProof/>
            <w:webHidden/>
          </w:rPr>
          <w:instrText xml:space="preserve"> PAGEREF _Toc376465790 \h </w:instrText>
        </w:r>
        <w:r>
          <w:rPr>
            <w:noProof/>
            <w:webHidden/>
          </w:rPr>
        </w:r>
        <w:r>
          <w:rPr>
            <w:noProof/>
            <w:webHidden/>
          </w:rPr>
          <w:fldChar w:fldCharType="separate"/>
        </w:r>
        <w:r>
          <w:rPr>
            <w:noProof/>
            <w:webHidden/>
          </w:rPr>
          <w:t>88</w:t>
        </w:r>
        <w:r>
          <w:rPr>
            <w:noProof/>
            <w:webHidden/>
          </w:rPr>
          <w:fldChar w:fldCharType="end"/>
        </w:r>
      </w:hyperlink>
    </w:p>
    <w:p w:rsidR="007F0498" w:rsidRDefault="007F0498">
      <w:pPr>
        <w:pStyle w:val="TOC1"/>
        <w:tabs>
          <w:tab w:val="right" w:leader="dot" w:pos="8630"/>
        </w:tabs>
        <w:rPr>
          <w:rFonts w:asciiTheme="minorHAnsi" w:eastAsiaTheme="minorEastAsia" w:hAnsiTheme="minorHAnsi" w:cstheme="minorBidi"/>
          <w:noProof/>
          <w:sz w:val="22"/>
          <w:szCs w:val="22"/>
        </w:rPr>
      </w:pPr>
      <w:hyperlink w:anchor="_Toc376465791" w:history="1">
        <w:r w:rsidRPr="00770F12">
          <w:rPr>
            <w:rStyle w:val="Hyperlink"/>
            <w:noProof/>
          </w:rPr>
          <w:t>CHAPTER II Effect of a leucine/pyridoxine nutraceutical on food intake and body composition of lean dogs consuming excess calories</w:t>
        </w:r>
        <w:r>
          <w:rPr>
            <w:noProof/>
            <w:webHidden/>
          </w:rPr>
          <w:tab/>
        </w:r>
        <w:r>
          <w:rPr>
            <w:noProof/>
            <w:webHidden/>
          </w:rPr>
          <w:fldChar w:fldCharType="begin"/>
        </w:r>
        <w:r>
          <w:rPr>
            <w:noProof/>
            <w:webHidden/>
          </w:rPr>
          <w:instrText xml:space="preserve"> PAGEREF _Toc376465791 \h </w:instrText>
        </w:r>
        <w:r>
          <w:rPr>
            <w:noProof/>
            <w:webHidden/>
          </w:rPr>
        </w:r>
        <w:r>
          <w:rPr>
            <w:noProof/>
            <w:webHidden/>
          </w:rPr>
          <w:fldChar w:fldCharType="separate"/>
        </w:r>
        <w:r>
          <w:rPr>
            <w:noProof/>
            <w:webHidden/>
          </w:rPr>
          <w:t>101</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92" w:history="1">
        <w:r w:rsidRPr="00770F12">
          <w:rPr>
            <w:rStyle w:val="Hyperlink"/>
            <w:noProof/>
          </w:rPr>
          <w:t>Introduction</w:t>
        </w:r>
        <w:r>
          <w:rPr>
            <w:noProof/>
            <w:webHidden/>
          </w:rPr>
          <w:tab/>
        </w:r>
        <w:r>
          <w:rPr>
            <w:noProof/>
            <w:webHidden/>
          </w:rPr>
          <w:fldChar w:fldCharType="begin"/>
        </w:r>
        <w:r>
          <w:rPr>
            <w:noProof/>
            <w:webHidden/>
          </w:rPr>
          <w:instrText xml:space="preserve"> PAGEREF _Toc376465792 \h </w:instrText>
        </w:r>
        <w:r>
          <w:rPr>
            <w:noProof/>
            <w:webHidden/>
          </w:rPr>
        </w:r>
        <w:r>
          <w:rPr>
            <w:noProof/>
            <w:webHidden/>
          </w:rPr>
          <w:fldChar w:fldCharType="separate"/>
        </w:r>
        <w:r>
          <w:rPr>
            <w:noProof/>
            <w:webHidden/>
          </w:rPr>
          <w:t>102</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793" w:history="1">
        <w:r w:rsidRPr="00770F12">
          <w:rPr>
            <w:rStyle w:val="Hyperlink"/>
            <w:noProof/>
          </w:rPr>
          <w:t>Materials and methods</w:t>
        </w:r>
        <w:r>
          <w:rPr>
            <w:noProof/>
            <w:webHidden/>
          </w:rPr>
          <w:tab/>
        </w:r>
        <w:r>
          <w:rPr>
            <w:noProof/>
            <w:webHidden/>
          </w:rPr>
          <w:fldChar w:fldCharType="begin"/>
        </w:r>
        <w:r>
          <w:rPr>
            <w:noProof/>
            <w:webHidden/>
          </w:rPr>
          <w:instrText xml:space="preserve"> PAGEREF _Toc376465793 \h </w:instrText>
        </w:r>
        <w:r>
          <w:rPr>
            <w:noProof/>
            <w:webHidden/>
          </w:rPr>
        </w:r>
        <w:r>
          <w:rPr>
            <w:noProof/>
            <w:webHidden/>
          </w:rPr>
          <w:fldChar w:fldCharType="separate"/>
        </w:r>
        <w:r>
          <w:rPr>
            <w:noProof/>
            <w:webHidden/>
          </w:rPr>
          <w:t>103</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94" w:history="1">
        <w:r w:rsidRPr="00770F12">
          <w:rPr>
            <w:rStyle w:val="Hyperlink"/>
            <w:noProof/>
          </w:rPr>
          <w:t>Animals</w:t>
        </w:r>
        <w:r>
          <w:rPr>
            <w:noProof/>
            <w:webHidden/>
          </w:rPr>
          <w:tab/>
        </w:r>
        <w:r>
          <w:rPr>
            <w:noProof/>
            <w:webHidden/>
          </w:rPr>
          <w:fldChar w:fldCharType="begin"/>
        </w:r>
        <w:r>
          <w:rPr>
            <w:noProof/>
            <w:webHidden/>
          </w:rPr>
          <w:instrText xml:space="preserve"> PAGEREF _Toc376465794 \h </w:instrText>
        </w:r>
        <w:r>
          <w:rPr>
            <w:noProof/>
            <w:webHidden/>
          </w:rPr>
        </w:r>
        <w:r>
          <w:rPr>
            <w:noProof/>
            <w:webHidden/>
          </w:rPr>
          <w:fldChar w:fldCharType="separate"/>
        </w:r>
        <w:r>
          <w:rPr>
            <w:noProof/>
            <w:webHidden/>
          </w:rPr>
          <w:t>103</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95" w:history="1">
        <w:r w:rsidRPr="00770F12">
          <w:rPr>
            <w:rStyle w:val="Hyperlink"/>
            <w:noProof/>
          </w:rPr>
          <w:t>Diet and group assignments</w:t>
        </w:r>
        <w:r>
          <w:rPr>
            <w:noProof/>
            <w:webHidden/>
          </w:rPr>
          <w:tab/>
        </w:r>
        <w:r>
          <w:rPr>
            <w:noProof/>
            <w:webHidden/>
          </w:rPr>
          <w:fldChar w:fldCharType="begin"/>
        </w:r>
        <w:r>
          <w:rPr>
            <w:noProof/>
            <w:webHidden/>
          </w:rPr>
          <w:instrText xml:space="preserve"> PAGEREF _Toc376465795 \h </w:instrText>
        </w:r>
        <w:r>
          <w:rPr>
            <w:noProof/>
            <w:webHidden/>
          </w:rPr>
        </w:r>
        <w:r>
          <w:rPr>
            <w:noProof/>
            <w:webHidden/>
          </w:rPr>
          <w:fldChar w:fldCharType="separate"/>
        </w:r>
        <w:r>
          <w:rPr>
            <w:noProof/>
            <w:webHidden/>
          </w:rPr>
          <w:t>103</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96" w:history="1">
        <w:r w:rsidRPr="00770F12">
          <w:rPr>
            <w:rStyle w:val="Hyperlink"/>
            <w:noProof/>
          </w:rPr>
          <w:t>Food consumption</w:t>
        </w:r>
        <w:r>
          <w:rPr>
            <w:noProof/>
            <w:webHidden/>
          </w:rPr>
          <w:tab/>
        </w:r>
        <w:r>
          <w:rPr>
            <w:noProof/>
            <w:webHidden/>
          </w:rPr>
          <w:fldChar w:fldCharType="begin"/>
        </w:r>
        <w:r>
          <w:rPr>
            <w:noProof/>
            <w:webHidden/>
          </w:rPr>
          <w:instrText xml:space="preserve"> PAGEREF _Toc376465796 \h </w:instrText>
        </w:r>
        <w:r>
          <w:rPr>
            <w:noProof/>
            <w:webHidden/>
          </w:rPr>
        </w:r>
        <w:r>
          <w:rPr>
            <w:noProof/>
            <w:webHidden/>
          </w:rPr>
          <w:fldChar w:fldCharType="separate"/>
        </w:r>
        <w:r>
          <w:rPr>
            <w:noProof/>
            <w:webHidden/>
          </w:rPr>
          <w:t>106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97" w:history="1">
        <w:r w:rsidRPr="00770F12">
          <w:rPr>
            <w:rStyle w:val="Hyperlink"/>
            <w:noProof/>
          </w:rPr>
          <w:t>Intrusion meal consumption</w:t>
        </w:r>
        <w:r>
          <w:rPr>
            <w:noProof/>
            <w:webHidden/>
          </w:rPr>
          <w:tab/>
        </w:r>
        <w:r>
          <w:rPr>
            <w:noProof/>
            <w:webHidden/>
          </w:rPr>
          <w:fldChar w:fldCharType="begin"/>
        </w:r>
        <w:r>
          <w:rPr>
            <w:noProof/>
            <w:webHidden/>
          </w:rPr>
          <w:instrText xml:space="preserve"> PAGEREF _Toc376465797 \h </w:instrText>
        </w:r>
        <w:r>
          <w:rPr>
            <w:noProof/>
            <w:webHidden/>
          </w:rPr>
        </w:r>
        <w:r>
          <w:rPr>
            <w:noProof/>
            <w:webHidden/>
          </w:rPr>
          <w:fldChar w:fldCharType="separate"/>
        </w:r>
        <w:r>
          <w:rPr>
            <w:noProof/>
            <w:webHidden/>
          </w:rPr>
          <w:t>106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98" w:history="1">
        <w:r w:rsidRPr="00770F12">
          <w:rPr>
            <w:rStyle w:val="Hyperlink"/>
            <w:noProof/>
          </w:rPr>
          <w:t>Body composition</w:t>
        </w:r>
        <w:r>
          <w:rPr>
            <w:noProof/>
            <w:webHidden/>
          </w:rPr>
          <w:tab/>
        </w:r>
        <w:r>
          <w:rPr>
            <w:noProof/>
            <w:webHidden/>
          </w:rPr>
          <w:fldChar w:fldCharType="begin"/>
        </w:r>
        <w:r>
          <w:rPr>
            <w:noProof/>
            <w:webHidden/>
          </w:rPr>
          <w:instrText xml:space="preserve"> PAGEREF _Toc376465798 \h </w:instrText>
        </w:r>
        <w:r>
          <w:rPr>
            <w:noProof/>
            <w:webHidden/>
          </w:rPr>
        </w:r>
        <w:r>
          <w:rPr>
            <w:noProof/>
            <w:webHidden/>
          </w:rPr>
          <w:fldChar w:fldCharType="separate"/>
        </w:r>
        <w:r>
          <w:rPr>
            <w:noProof/>
            <w:webHidden/>
          </w:rPr>
          <w:t>106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799" w:history="1">
        <w:r w:rsidRPr="00770F12">
          <w:rPr>
            <w:rStyle w:val="Hyperlink"/>
            <w:noProof/>
          </w:rPr>
          <w:t>Behavioral observations</w:t>
        </w:r>
        <w:r>
          <w:rPr>
            <w:noProof/>
            <w:webHidden/>
          </w:rPr>
          <w:tab/>
        </w:r>
        <w:r>
          <w:rPr>
            <w:noProof/>
            <w:webHidden/>
          </w:rPr>
          <w:fldChar w:fldCharType="begin"/>
        </w:r>
        <w:r>
          <w:rPr>
            <w:noProof/>
            <w:webHidden/>
          </w:rPr>
          <w:instrText xml:space="preserve"> PAGEREF _Toc376465799 \h </w:instrText>
        </w:r>
        <w:r>
          <w:rPr>
            <w:noProof/>
            <w:webHidden/>
          </w:rPr>
        </w:r>
        <w:r>
          <w:rPr>
            <w:noProof/>
            <w:webHidden/>
          </w:rPr>
          <w:fldChar w:fldCharType="separate"/>
        </w:r>
        <w:r>
          <w:rPr>
            <w:noProof/>
            <w:webHidden/>
          </w:rPr>
          <w:t>106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00" w:history="1">
        <w:r w:rsidRPr="00770F12">
          <w:rPr>
            <w:rStyle w:val="Hyperlink"/>
            <w:noProof/>
          </w:rPr>
          <w:t>Blood samples</w:t>
        </w:r>
        <w:r>
          <w:rPr>
            <w:noProof/>
            <w:webHidden/>
          </w:rPr>
          <w:tab/>
        </w:r>
        <w:r>
          <w:rPr>
            <w:noProof/>
            <w:webHidden/>
          </w:rPr>
          <w:fldChar w:fldCharType="begin"/>
        </w:r>
        <w:r>
          <w:rPr>
            <w:noProof/>
            <w:webHidden/>
          </w:rPr>
          <w:instrText xml:space="preserve"> PAGEREF _Toc376465800 \h </w:instrText>
        </w:r>
        <w:r>
          <w:rPr>
            <w:noProof/>
            <w:webHidden/>
          </w:rPr>
        </w:r>
        <w:r>
          <w:rPr>
            <w:noProof/>
            <w:webHidden/>
          </w:rPr>
          <w:fldChar w:fldCharType="separate"/>
        </w:r>
        <w:r>
          <w:rPr>
            <w:noProof/>
            <w:webHidden/>
          </w:rPr>
          <w:t>107</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01" w:history="1">
        <w:r w:rsidRPr="00770F12">
          <w:rPr>
            <w:rStyle w:val="Hyperlink"/>
            <w:noProof/>
          </w:rPr>
          <w:t>Biopsies, RNA extraction</w:t>
        </w:r>
        <w:r>
          <w:rPr>
            <w:noProof/>
            <w:webHidden/>
          </w:rPr>
          <w:tab/>
        </w:r>
        <w:r>
          <w:rPr>
            <w:noProof/>
            <w:webHidden/>
          </w:rPr>
          <w:fldChar w:fldCharType="begin"/>
        </w:r>
        <w:r>
          <w:rPr>
            <w:noProof/>
            <w:webHidden/>
          </w:rPr>
          <w:instrText xml:space="preserve"> PAGEREF _Toc376465801 \h </w:instrText>
        </w:r>
        <w:r>
          <w:rPr>
            <w:noProof/>
            <w:webHidden/>
          </w:rPr>
        </w:r>
        <w:r>
          <w:rPr>
            <w:noProof/>
            <w:webHidden/>
          </w:rPr>
          <w:fldChar w:fldCharType="separate"/>
        </w:r>
        <w:r>
          <w:rPr>
            <w:noProof/>
            <w:webHidden/>
          </w:rPr>
          <w:t>108</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02" w:history="1">
        <w:r w:rsidRPr="00770F12">
          <w:rPr>
            <w:rStyle w:val="Hyperlink"/>
            <w:noProof/>
          </w:rPr>
          <w:t>Reverse transcription and real-time PCR</w:t>
        </w:r>
        <w:r>
          <w:rPr>
            <w:noProof/>
            <w:webHidden/>
          </w:rPr>
          <w:tab/>
        </w:r>
        <w:r>
          <w:rPr>
            <w:noProof/>
            <w:webHidden/>
          </w:rPr>
          <w:fldChar w:fldCharType="begin"/>
        </w:r>
        <w:r>
          <w:rPr>
            <w:noProof/>
            <w:webHidden/>
          </w:rPr>
          <w:instrText xml:space="preserve"> PAGEREF _Toc376465802 \h </w:instrText>
        </w:r>
        <w:r>
          <w:rPr>
            <w:noProof/>
            <w:webHidden/>
          </w:rPr>
        </w:r>
        <w:r>
          <w:rPr>
            <w:noProof/>
            <w:webHidden/>
          </w:rPr>
          <w:fldChar w:fldCharType="separate"/>
        </w:r>
        <w:r>
          <w:rPr>
            <w:noProof/>
            <w:webHidden/>
          </w:rPr>
          <w:t>108</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03" w:history="1">
        <w:r w:rsidRPr="00770F12">
          <w:rPr>
            <w:rStyle w:val="Hyperlink"/>
            <w:noProof/>
          </w:rPr>
          <w:t>ELISA</w:t>
        </w:r>
        <w:r>
          <w:rPr>
            <w:noProof/>
            <w:webHidden/>
          </w:rPr>
          <w:tab/>
        </w:r>
        <w:r>
          <w:rPr>
            <w:noProof/>
            <w:webHidden/>
          </w:rPr>
          <w:fldChar w:fldCharType="begin"/>
        </w:r>
        <w:r>
          <w:rPr>
            <w:noProof/>
            <w:webHidden/>
          </w:rPr>
          <w:instrText xml:space="preserve"> PAGEREF _Toc376465803 \h </w:instrText>
        </w:r>
        <w:r>
          <w:rPr>
            <w:noProof/>
            <w:webHidden/>
          </w:rPr>
        </w:r>
        <w:r>
          <w:rPr>
            <w:noProof/>
            <w:webHidden/>
          </w:rPr>
          <w:fldChar w:fldCharType="separate"/>
        </w:r>
        <w:r>
          <w:rPr>
            <w:noProof/>
            <w:webHidden/>
          </w:rPr>
          <w:t>109</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04" w:history="1">
        <w:r w:rsidRPr="00770F12">
          <w:rPr>
            <w:rStyle w:val="Hyperlink"/>
            <w:noProof/>
          </w:rPr>
          <w:t>Multiplex ELISA</w:t>
        </w:r>
        <w:r>
          <w:rPr>
            <w:noProof/>
            <w:webHidden/>
          </w:rPr>
          <w:tab/>
        </w:r>
        <w:r>
          <w:rPr>
            <w:noProof/>
            <w:webHidden/>
          </w:rPr>
          <w:fldChar w:fldCharType="begin"/>
        </w:r>
        <w:r>
          <w:rPr>
            <w:noProof/>
            <w:webHidden/>
          </w:rPr>
          <w:instrText xml:space="preserve"> PAGEREF _Toc376465804 \h </w:instrText>
        </w:r>
        <w:r>
          <w:rPr>
            <w:noProof/>
            <w:webHidden/>
          </w:rPr>
        </w:r>
        <w:r>
          <w:rPr>
            <w:noProof/>
            <w:webHidden/>
          </w:rPr>
          <w:fldChar w:fldCharType="separate"/>
        </w:r>
        <w:r>
          <w:rPr>
            <w:noProof/>
            <w:webHidden/>
          </w:rPr>
          <w:t>112</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05" w:history="1">
        <w:r w:rsidRPr="00770F12">
          <w:rPr>
            <w:rStyle w:val="Hyperlink"/>
            <w:noProof/>
          </w:rPr>
          <w:t>Insulin:glucose ratio</w:t>
        </w:r>
        <w:r>
          <w:rPr>
            <w:noProof/>
            <w:webHidden/>
          </w:rPr>
          <w:tab/>
        </w:r>
        <w:r>
          <w:rPr>
            <w:noProof/>
            <w:webHidden/>
          </w:rPr>
          <w:fldChar w:fldCharType="begin"/>
        </w:r>
        <w:r>
          <w:rPr>
            <w:noProof/>
            <w:webHidden/>
          </w:rPr>
          <w:instrText xml:space="preserve"> PAGEREF _Toc376465805 \h </w:instrText>
        </w:r>
        <w:r>
          <w:rPr>
            <w:noProof/>
            <w:webHidden/>
          </w:rPr>
        </w:r>
        <w:r>
          <w:rPr>
            <w:noProof/>
            <w:webHidden/>
          </w:rPr>
          <w:fldChar w:fldCharType="separate"/>
        </w:r>
        <w:r>
          <w:rPr>
            <w:noProof/>
            <w:webHidden/>
          </w:rPr>
          <w:t>112</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06" w:history="1">
        <w:r w:rsidRPr="00770F12">
          <w:rPr>
            <w:rStyle w:val="Hyperlink"/>
            <w:noProof/>
          </w:rPr>
          <w:t>Statistical analysis</w:t>
        </w:r>
        <w:r>
          <w:rPr>
            <w:noProof/>
            <w:webHidden/>
          </w:rPr>
          <w:tab/>
        </w:r>
        <w:r>
          <w:rPr>
            <w:noProof/>
            <w:webHidden/>
          </w:rPr>
          <w:fldChar w:fldCharType="begin"/>
        </w:r>
        <w:r>
          <w:rPr>
            <w:noProof/>
            <w:webHidden/>
          </w:rPr>
          <w:instrText xml:space="preserve"> PAGEREF _Toc376465806 \h </w:instrText>
        </w:r>
        <w:r>
          <w:rPr>
            <w:noProof/>
            <w:webHidden/>
          </w:rPr>
        </w:r>
        <w:r>
          <w:rPr>
            <w:noProof/>
            <w:webHidden/>
          </w:rPr>
          <w:fldChar w:fldCharType="separate"/>
        </w:r>
        <w:r>
          <w:rPr>
            <w:noProof/>
            <w:webHidden/>
          </w:rPr>
          <w:t>112</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807" w:history="1">
        <w:r w:rsidRPr="00770F12">
          <w:rPr>
            <w:rStyle w:val="Hyperlink"/>
            <w:noProof/>
          </w:rPr>
          <w:t>Results</w:t>
        </w:r>
        <w:r>
          <w:rPr>
            <w:noProof/>
            <w:webHidden/>
          </w:rPr>
          <w:tab/>
        </w:r>
        <w:r>
          <w:rPr>
            <w:noProof/>
            <w:webHidden/>
          </w:rPr>
          <w:fldChar w:fldCharType="begin"/>
        </w:r>
        <w:r>
          <w:rPr>
            <w:noProof/>
            <w:webHidden/>
          </w:rPr>
          <w:instrText xml:space="preserve"> PAGEREF _Toc376465807 \h </w:instrText>
        </w:r>
        <w:r>
          <w:rPr>
            <w:noProof/>
            <w:webHidden/>
          </w:rPr>
        </w:r>
        <w:r>
          <w:rPr>
            <w:noProof/>
            <w:webHidden/>
          </w:rPr>
          <w:fldChar w:fldCharType="separate"/>
        </w:r>
        <w:r>
          <w:rPr>
            <w:noProof/>
            <w:webHidden/>
          </w:rPr>
          <w:t>113</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08" w:history="1">
        <w:r w:rsidRPr="00770F12">
          <w:rPr>
            <w:rStyle w:val="Hyperlink"/>
            <w:noProof/>
          </w:rPr>
          <w:t>Scale weight and BCS (Groups ExN, ExP)</w:t>
        </w:r>
        <w:r>
          <w:rPr>
            <w:noProof/>
            <w:webHidden/>
          </w:rPr>
          <w:tab/>
        </w:r>
        <w:r>
          <w:rPr>
            <w:noProof/>
            <w:webHidden/>
          </w:rPr>
          <w:fldChar w:fldCharType="begin"/>
        </w:r>
        <w:r>
          <w:rPr>
            <w:noProof/>
            <w:webHidden/>
          </w:rPr>
          <w:instrText xml:space="preserve"> PAGEREF _Toc376465808 \h </w:instrText>
        </w:r>
        <w:r>
          <w:rPr>
            <w:noProof/>
            <w:webHidden/>
          </w:rPr>
        </w:r>
        <w:r>
          <w:rPr>
            <w:noProof/>
            <w:webHidden/>
          </w:rPr>
          <w:fldChar w:fldCharType="separate"/>
        </w:r>
        <w:r>
          <w:rPr>
            <w:noProof/>
            <w:webHidden/>
          </w:rPr>
          <w:t>113</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09" w:history="1">
        <w:r w:rsidRPr="00770F12">
          <w:rPr>
            <w:rStyle w:val="Hyperlink"/>
            <w:noProof/>
          </w:rPr>
          <w:t>Food consumption (Groups ExN, ExP)</w:t>
        </w:r>
        <w:r>
          <w:rPr>
            <w:noProof/>
            <w:webHidden/>
          </w:rPr>
          <w:tab/>
        </w:r>
        <w:r>
          <w:rPr>
            <w:noProof/>
            <w:webHidden/>
          </w:rPr>
          <w:fldChar w:fldCharType="begin"/>
        </w:r>
        <w:r>
          <w:rPr>
            <w:noProof/>
            <w:webHidden/>
          </w:rPr>
          <w:instrText xml:space="preserve"> PAGEREF _Toc376465809 \h </w:instrText>
        </w:r>
        <w:r>
          <w:rPr>
            <w:noProof/>
            <w:webHidden/>
          </w:rPr>
        </w:r>
        <w:r>
          <w:rPr>
            <w:noProof/>
            <w:webHidden/>
          </w:rPr>
          <w:fldChar w:fldCharType="separate"/>
        </w:r>
        <w:r>
          <w:rPr>
            <w:noProof/>
            <w:webHidden/>
          </w:rPr>
          <w:t>113</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10" w:history="1">
        <w:r w:rsidRPr="00770F12">
          <w:rPr>
            <w:rStyle w:val="Hyperlink"/>
            <w:noProof/>
          </w:rPr>
          <w:t>Body composition (Groups ExN, ExP)</w:t>
        </w:r>
        <w:r>
          <w:rPr>
            <w:noProof/>
            <w:webHidden/>
          </w:rPr>
          <w:tab/>
        </w:r>
        <w:r>
          <w:rPr>
            <w:noProof/>
            <w:webHidden/>
          </w:rPr>
          <w:fldChar w:fldCharType="begin"/>
        </w:r>
        <w:r>
          <w:rPr>
            <w:noProof/>
            <w:webHidden/>
          </w:rPr>
          <w:instrText xml:space="preserve"> PAGEREF _Toc376465810 \h </w:instrText>
        </w:r>
        <w:r>
          <w:rPr>
            <w:noProof/>
            <w:webHidden/>
          </w:rPr>
        </w:r>
        <w:r>
          <w:rPr>
            <w:noProof/>
            <w:webHidden/>
          </w:rPr>
          <w:fldChar w:fldCharType="separate"/>
        </w:r>
        <w:r>
          <w:rPr>
            <w:noProof/>
            <w:webHidden/>
          </w:rPr>
          <w:t>116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11" w:history="1">
        <w:r w:rsidRPr="00770F12">
          <w:rPr>
            <w:rStyle w:val="Hyperlink"/>
            <w:noProof/>
          </w:rPr>
          <w:t>Negative control (Group IBW)</w:t>
        </w:r>
        <w:r>
          <w:rPr>
            <w:noProof/>
            <w:webHidden/>
          </w:rPr>
          <w:tab/>
        </w:r>
        <w:r>
          <w:rPr>
            <w:noProof/>
            <w:webHidden/>
          </w:rPr>
          <w:fldChar w:fldCharType="begin"/>
        </w:r>
        <w:r>
          <w:rPr>
            <w:noProof/>
            <w:webHidden/>
          </w:rPr>
          <w:instrText xml:space="preserve"> PAGEREF _Toc376465811 \h </w:instrText>
        </w:r>
        <w:r>
          <w:rPr>
            <w:noProof/>
            <w:webHidden/>
          </w:rPr>
        </w:r>
        <w:r>
          <w:rPr>
            <w:noProof/>
            <w:webHidden/>
          </w:rPr>
          <w:fldChar w:fldCharType="separate"/>
        </w:r>
        <w:r>
          <w:rPr>
            <w:noProof/>
            <w:webHidden/>
          </w:rPr>
          <w:t>116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12" w:history="1">
        <w:r w:rsidRPr="00770F12">
          <w:rPr>
            <w:rStyle w:val="Hyperlink"/>
            <w:noProof/>
          </w:rPr>
          <w:t>Intrusion meal consumption</w:t>
        </w:r>
        <w:r>
          <w:rPr>
            <w:noProof/>
            <w:webHidden/>
          </w:rPr>
          <w:tab/>
        </w:r>
        <w:r>
          <w:rPr>
            <w:noProof/>
            <w:webHidden/>
          </w:rPr>
          <w:fldChar w:fldCharType="begin"/>
        </w:r>
        <w:r>
          <w:rPr>
            <w:noProof/>
            <w:webHidden/>
          </w:rPr>
          <w:instrText xml:space="preserve"> PAGEREF _Toc376465812 \h </w:instrText>
        </w:r>
        <w:r>
          <w:rPr>
            <w:noProof/>
            <w:webHidden/>
          </w:rPr>
        </w:r>
        <w:r>
          <w:rPr>
            <w:noProof/>
            <w:webHidden/>
          </w:rPr>
          <w:fldChar w:fldCharType="separate"/>
        </w:r>
        <w:r>
          <w:rPr>
            <w:noProof/>
            <w:webHidden/>
          </w:rPr>
          <w:t>116</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13" w:history="1">
        <w:r w:rsidRPr="00770F12">
          <w:rPr>
            <w:rStyle w:val="Hyperlink"/>
            <w:noProof/>
          </w:rPr>
          <w:t>Behavioral observations</w:t>
        </w:r>
        <w:r>
          <w:rPr>
            <w:noProof/>
            <w:webHidden/>
          </w:rPr>
          <w:tab/>
        </w:r>
        <w:r>
          <w:rPr>
            <w:noProof/>
            <w:webHidden/>
          </w:rPr>
          <w:fldChar w:fldCharType="begin"/>
        </w:r>
        <w:r>
          <w:rPr>
            <w:noProof/>
            <w:webHidden/>
          </w:rPr>
          <w:instrText xml:space="preserve"> PAGEREF _Toc376465813 \h </w:instrText>
        </w:r>
        <w:r>
          <w:rPr>
            <w:noProof/>
            <w:webHidden/>
          </w:rPr>
        </w:r>
        <w:r>
          <w:rPr>
            <w:noProof/>
            <w:webHidden/>
          </w:rPr>
          <w:fldChar w:fldCharType="separate"/>
        </w:r>
        <w:r>
          <w:rPr>
            <w:noProof/>
            <w:webHidden/>
          </w:rPr>
          <w:t>119</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14" w:history="1">
        <w:r w:rsidRPr="00770F12">
          <w:rPr>
            <w:rStyle w:val="Hyperlink"/>
            <w:noProof/>
          </w:rPr>
          <w:t>Gut hormones and endocrine factors</w:t>
        </w:r>
        <w:r>
          <w:rPr>
            <w:noProof/>
            <w:webHidden/>
          </w:rPr>
          <w:tab/>
        </w:r>
        <w:r>
          <w:rPr>
            <w:noProof/>
            <w:webHidden/>
          </w:rPr>
          <w:fldChar w:fldCharType="begin"/>
        </w:r>
        <w:r>
          <w:rPr>
            <w:noProof/>
            <w:webHidden/>
          </w:rPr>
          <w:instrText xml:space="preserve"> PAGEREF _Toc376465814 \h </w:instrText>
        </w:r>
        <w:r>
          <w:rPr>
            <w:noProof/>
            <w:webHidden/>
          </w:rPr>
        </w:r>
        <w:r>
          <w:rPr>
            <w:noProof/>
            <w:webHidden/>
          </w:rPr>
          <w:fldChar w:fldCharType="separate"/>
        </w:r>
        <w:r>
          <w:rPr>
            <w:noProof/>
            <w:webHidden/>
          </w:rPr>
          <w:t>120</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15" w:history="1">
        <w:r w:rsidRPr="00770F12">
          <w:rPr>
            <w:rStyle w:val="Hyperlink"/>
            <w:noProof/>
          </w:rPr>
          <w:t>PCR</w:t>
        </w:r>
        <w:r>
          <w:rPr>
            <w:noProof/>
            <w:webHidden/>
          </w:rPr>
          <w:tab/>
        </w:r>
        <w:r>
          <w:rPr>
            <w:noProof/>
            <w:webHidden/>
          </w:rPr>
          <w:fldChar w:fldCharType="begin"/>
        </w:r>
        <w:r>
          <w:rPr>
            <w:noProof/>
            <w:webHidden/>
          </w:rPr>
          <w:instrText xml:space="preserve"> PAGEREF _Toc376465815 \h </w:instrText>
        </w:r>
        <w:r>
          <w:rPr>
            <w:noProof/>
            <w:webHidden/>
          </w:rPr>
        </w:r>
        <w:r>
          <w:rPr>
            <w:noProof/>
            <w:webHidden/>
          </w:rPr>
          <w:fldChar w:fldCharType="separate"/>
        </w:r>
        <w:r>
          <w:rPr>
            <w:noProof/>
            <w:webHidden/>
          </w:rPr>
          <w:t>132</w:t>
        </w:r>
        <w:r>
          <w:rPr>
            <w:noProof/>
            <w:webHidden/>
          </w:rPr>
          <w:fldChar w:fldCharType="end"/>
        </w:r>
      </w:hyperlink>
    </w:p>
    <w:p w:rsidR="007F0498" w:rsidRDefault="007F0498">
      <w:pPr>
        <w:pStyle w:val="TOC3"/>
        <w:tabs>
          <w:tab w:val="right" w:leader="dot" w:pos="8630"/>
        </w:tabs>
        <w:rPr>
          <w:rFonts w:asciiTheme="minorHAnsi" w:eastAsiaTheme="minorEastAsia" w:hAnsiTheme="minorHAnsi" w:cstheme="minorBidi"/>
          <w:noProof/>
          <w:sz w:val="22"/>
          <w:szCs w:val="22"/>
        </w:rPr>
      </w:pPr>
      <w:hyperlink w:anchor="_Toc376465816" w:history="1">
        <w:r w:rsidRPr="00770F12">
          <w:rPr>
            <w:rStyle w:val="Hyperlink"/>
            <w:noProof/>
          </w:rPr>
          <w:t>Cytokines</w:t>
        </w:r>
        <w:r>
          <w:rPr>
            <w:noProof/>
            <w:webHidden/>
          </w:rPr>
          <w:tab/>
        </w:r>
        <w:r>
          <w:rPr>
            <w:noProof/>
            <w:webHidden/>
          </w:rPr>
          <w:fldChar w:fldCharType="begin"/>
        </w:r>
        <w:r>
          <w:rPr>
            <w:noProof/>
            <w:webHidden/>
          </w:rPr>
          <w:instrText xml:space="preserve"> PAGEREF _Toc376465816 \h </w:instrText>
        </w:r>
        <w:r>
          <w:rPr>
            <w:noProof/>
            <w:webHidden/>
          </w:rPr>
        </w:r>
        <w:r>
          <w:rPr>
            <w:noProof/>
            <w:webHidden/>
          </w:rPr>
          <w:fldChar w:fldCharType="separate"/>
        </w:r>
        <w:r>
          <w:rPr>
            <w:noProof/>
            <w:webHidden/>
          </w:rPr>
          <w:t>132</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817" w:history="1">
        <w:r w:rsidRPr="00770F12">
          <w:rPr>
            <w:rStyle w:val="Hyperlink"/>
            <w:noProof/>
          </w:rPr>
          <w:t>Discussion</w:t>
        </w:r>
        <w:r>
          <w:rPr>
            <w:noProof/>
            <w:webHidden/>
          </w:rPr>
          <w:tab/>
        </w:r>
        <w:r>
          <w:rPr>
            <w:noProof/>
            <w:webHidden/>
          </w:rPr>
          <w:fldChar w:fldCharType="begin"/>
        </w:r>
        <w:r>
          <w:rPr>
            <w:noProof/>
            <w:webHidden/>
          </w:rPr>
          <w:instrText xml:space="preserve"> PAGEREF _Toc376465817 \h </w:instrText>
        </w:r>
        <w:r>
          <w:rPr>
            <w:noProof/>
            <w:webHidden/>
          </w:rPr>
        </w:r>
        <w:r>
          <w:rPr>
            <w:noProof/>
            <w:webHidden/>
          </w:rPr>
          <w:fldChar w:fldCharType="separate"/>
        </w:r>
        <w:r>
          <w:rPr>
            <w:noProof/>
            <w:webHidden/>
          </w:rPr>
          <w:t>135</w:t>
        </w:r>
        <w:r>
          <w:rPr>
            <w:noProof/>
            <w:webHidden/>
          </w:rPr>
          <w:fldChar w:fldCharType="end"/>
        </w:r>
      </w:hyperlink>
    </w:p>
    <w:p w:rsidR="007F0498" w:rsidRDefault="007F0498">
      <w:pPr>
        <w:pStyle w:val="TOC1"/>
        <w:tabs>
          <w:tab w:val="right" w:leader="dot" w:pos="8630"/>
        </w:tabs>
        <w:rPr>
          <w:rFonts w:asciiTheme="minorHAnsi" w:eastAsiaTheme="minorEastAsia" w:hAnsiTheme="minorHAnsi" w:cstheme="minorBidi"/>
          <w:noProof/>
          <w:sz w:val="22"/>
          <w:szCs w:val="22"/>
        </w:rPr>
      </w:pPr>
      <w:hyperlink w:anchor="_Toc376465818" w:history="1">
        <w:r w:rsidRPr="00770F12">
          <w:rPr>
            <w:rStyle w:val="Hyperlink"/>
            <w:noProof/>
          </w:rPr>
          <w:t>CONCLUSION</w:t>
        </w:r>
        <w:r>
          <w:rPr>
            <w:noProof/>
            <w:webHidden/>
          </w:rPr>
          <w:tab/>
        </w:r>
        <w:r>
          <w:rPr>
            <w:noProof/>
            <w:webHidden/>
          </w:rPr>
          <w:fldChar w:fldCharType="begin"/>
        </w:r>
        <w:r>
          <w:rPr>
            <w:noProof/>
            <w:webHidden/>
          </w:rPr>
          <w:instrText xml:space="preserve"> PAGEREF _Toc376465818 \h </w:instrText>
        </w:r>
        <w:r>
          <w:rPr>
            <w:noProof/>
            <w:webHidden/>
          </w:rPr>
        </w:r>
        <w:r>
          <w:rPr>
            <w:noProof/>
            <w:webHidden/>
          </w:rPr>
          <w:fldChar w:fldCharType="separate"/>
        </w:r>
        <w:r>
          <w:rPr>
            <w:noProof/>
            <w:webHidden/>
          </w:rPr>
          <w:t>147</w:t>
        </w:r>
        <w:r>
          <w:rPr>
            <w:noProof/>
            <w:webHidden/>
          </w:rPr>
          <w:fldChar w:fldCharType="end"/>
        </w:r>
      </w:hyperlink>
    </w:p>
    <w:p w:rsidR="007F0498" w:rsidRDefault="007F0498">
      <w:pPr>
        <w:pStyle w:val="TOC2"/>
        <w:tabs>
          <w:tab w:val="right" w:leader="dot" w:pos="8630"/>
        </w:tabs>
        <w:rPr>
          <w:rFonts w:asciiTheme="minorHAnsi" w:eastAsiaTheme="minorEastAsia" w:hAnsiTheme="minorHAnsi" w:cstheme="minorBidi"/>
          <w:noProof/>
          <w:sz w:val="22"/>
          <w:szCs w:val="22"/>
        </w:rPr>
      </w:pPr>
      <w:hyperlink w:anchor="_Toc376465819" w:history="1">
        <w:r w:rsidRPr="00770F12">
          <w:rPr>
            <w:rStyle w:val="Hyperlink"/>
            <w:noProof/>
          </w:rPr>
          <w:t>Heading 2</w:t>
        </w:r>
        <w:r>
          <w:rPr>
            <w:noProof/>
            <w:webHidden/>
          </w:rPr>
          <w:tab/>
        </w:r>
        <w:r>
          <w:rPr>
            <w:noProof/>
            <w:webHidden/>
          </w:rPr>
          <w:fldChar w:fldCharType="begin"/>
        </w:r>
        <w:r>
          <w:rPr>
            <w:noProof/>
            <w:webHidden/>
          </w:rPr>
          <w:instrText xml:space="preserve"> PAGEREF _Toc376465819 \h </w:instrText>
        </w:r>
        <w:r>
          <w:rPr>
            <w:noProof/>
            <w:webHidden/>
          </w:rPr>
        </w:r>
        <w:r>
          <w:rPr>
            <w:noProof/>
            <w:webHidden/>
          </w:rPr>
          <w:fldChar w:fldCharType="separate"/>
        </w:r>
        <w:r>
          <w:rPr>
            <w:noProof/>
            <w:webHidden/>
          </w:rPr>
          <w:t>147</w:t>
        </w:r>
        <w:r>
          <w:rPr>
            <w:noProof/>
            <w:webHidden/>
          </w:rPr>
          <w:fldChar w:fldCharType="end"/>
        </w:r>
      </w:hyperlink>
    </w:p>
    <w:p w:rsidR="007F0498" w:rsidRDefault="007F0498">
      <w:pPr>
        <w:pStyle w:val="TOC1"/>
        <w:tabs>
          <w:tab w:val="right" w:leader="dot" w:pos="8630"/>
        </w:tabs>
        <w:rPr>
          <w:rFonts w:asciiTheme="minorHAnsi" w:eastAsiaTheme="minorEastAsia" w:hAnsiTheme="minorHAnsi" w:cstheme="minorBidi"/>
          <w:noProof/>
          <w:sz w:val="22"/>
          <w:szCs w:val="22"/>
        </w:rPr>
      </w:pPr>
      <w:hyperlink w:anchor="_Toc376465820" w:history="1">
        <w:r w:rsidRPr="00770F12">
          <w:rPr>
            <w:rStyle w:val="Hyperlink"/>
            <w:noProof/>
          </w:rPr>
          <w:t>References</w:t>
        </w:r>
        <w:r>
          <w:rPr>
            <w:noProof/>
            <w:webHidden/>
          </w:rPr>
          <w:tab/>
        </w:r>
        <w:r>
          <w:rPr>
            <w:noProof/>
            <w:webHidden/>
          </w:rPr>
          <w:fldChar w:fldCharType="begin"/>
        </w:r>
        <w:r>
          <w:rPr>
            <w:noProof/>
            <w:webHidden/>
          </w:rPr>
          <w:instrText xml:space="preserve"> PAGEREF _Toc376465820 \h </w:instrText>
        </w:r>
        <w:r>
          <w:rPr>
            <w:noProof/>
            <w:webHidden/>
          </w:rPr>
        </w:r>
        <w:r>
          <w:rPr>
            <w:noProof/>
            <w:webHidden/>
          </w:rPr>
          <w:fldChar w:fldCharType="separate"/>
        </w:r>
        <w:r>
          <w:rPr>
            <w:noProof/>
            <w:webHidden/>
          </w:rPr>
          <w:t>148</w:t>
        </w:r>
        <w:r>
          <w:rPr>
            <w:noProof/>
            <w:webHidden/>
          </w:rPr>
          <w:fldChar w:fldCharType="end"/>
        </w:r>
      </w:hyperlink>
    </w:p>
    <w:p w:rsidR="007F0498" w:rsidRDefault="007F0498">
      <w:pPr>
        <w:pStyle w:val="TOC1"/>
        <w:tabs>
          <w:tab w:val="right" w:leader="dot" w:pos="8630"/>
        </w:tabs>
        <w:rPr>
          <w:rFonts w:asciiTheme="minorHAnsi" w:eastAsiaTheme="minorEastAsia" w:hAnsiTheme="minorHAnsi" w:cstheme="minorBidi"/>
          <w:noProof/>
          <w:sz w:val="22"/>
          <w:szCs w:val="22"/>
        </w:rPr>
      </w:pPr>
      <w:hyperlink w:anchor="_Toc376465821" w:history="1">
        <w:r w:rsidRPr="00770F12">
          <w:rPr>
            <w:rStyle w:val="Hyperlink"/>
            <w:noProof/>
          </w:rPr>
          <w:t>Appendix Data</w:t>
        </w:r>
        <w:r>
          <w:rPr>
            <w:noProof/>
            <w:webHidden/>
          </w:rPr>
          <w:tab/>
        </w:r>
        <w:r>
          <w:rPr>
            <w:noProof/>
            <w:webHidden/>
          </w:rPr>
          <w:fldChar w:fldCharType="begin"/>
        </w:r>
        <w:r>
          <w:rPr>
            <w:noProof/>
            <w:webHidden/>
          </w:rPr>
          <w:instrText xml:space="preserve"> PAGEREF _Toc376465821 \h </w:instrText>
        </w:r>
        <w:r>
          <w:rPr>
            <w:noProof/>
            <w:webHidden/>
          </w:rPr>
        </w:r>
        <w:r>
          <w:rPr>
            <w:noProof/>
            <w:webHidden/>
          </w:rPr>
          <w:fldChar w:fldCharType="separate"/>
        </w:r>
        <w:r>
          <w:rPr>
            <w:noProof/>
            <w:webHidden/>
          </w:rPr>
          <w:t>177</w:t>
        </w:r>
        <w:r>
          <w:rPr>
            <w:noProof/>
            <w:webHidden/>
          </w:rPr>
          <w:fldChar w:fldCharType="end"/>
        </w:r>
      </w:hyperlink>
    </w:p>
    <w:p w:rsidR="007F0498" w:rsidRDefault="007F0498">
      <w:pPr>
        <w:pStyle w:val="TOC1"/>
        <w:tabs>
          <w:tab w:val="right" w:leader="dot" w:pos="8630"/>
        </w:tabs>
        <w:rPr>
          <w:rFonts w:asciiTheme="minorHAnsi" w:eastAsiaTheme="minorEastAsia" w:hAnsiTheme="minorHAnsi" w:cstheme="minorBidi"/>
          <w:noProof/>
          <w:sz w:val="22"/>
          <w:szCs w:val="22"/>
        </w:rPr>
      </w:pPr>
      <w:hyperlink w:anchor="_Toc376465822" w:history="1">
        <w:r w:rsidRPr="00770F12">
          <w:rPr>
            <w:rStyle w:val="Hyperlink"/>
            <w:noProof/>
          </w:rPr>
          <w:t>VITA</w:t>
        </w:r>
        <w:r>
          <w:rPr>
            <w:noProof/>
            <w:webHidden/>
          </w:rPr>
          <w:tab/>
        </w:r>
        <w:r>
          <w:rPr>
            <w:noProof/>
            <w:webHidden/>
          </w:rPr>
          <w:fldChar w:fldCharType="begin"/>
        </w:r>
        <w:r>
          <w:rPr>
            <w:noProof/>
            <w:webHidden/>
          </w:rPr>
          <w:instrText xml:space="preserve"> PAGEREF _Toc376465822 \h </w:instrText>
        </w:r>
        <w:r>
          <w:rPr>
            <w:noProof/>
            <w:webHidden/>
          </w:rPr>
        </w:r>
        <w:r>
          <w:rPr>
            <w:noProof/>
            <w:webHidden/>
          </w:rPr>
          <w:fldChar w:fldCharType="separate"/>
        </w:r>
        <w:r>
          <w:rPr>
            <w:noProof/>
            <w:webHidden/>
          </w:rPr>
          <w:t>213</w:t>
        </w:r>
        <w:r>
          <w:rPr>
            <w:noProof/>
            <w:webHidden/>
          </w:rPr>
          <w:fldChar w:fldCharType="end"/>
        </w:r>
      </w:hyperlink>
    </w:p>
    <w:p w:rsidR="00025B7A" w:rsidRDefault="00387656" w:rsidP="00387656">
      <w:pPr>
        <w:rPr>
          <w:b/>
          <w:bCs/>
          <w:noProof/>
        </w:rPr>
      </w:pPr>
      <w:r>
        <w:rPr>
          <w:b/>
          <w:bCs/>
          <w:noProof/>
        </w:rPr>
        <w:fldChar w:fldCharType="end"/>
      </w:r>
    </w:p>
    <w:p w:rsidR="00025B7A" w:rsidRDefault="00025B7A">
      <w:pPr>
        <w:rPr>
          <w:b/>
          <w:bCs/>
          <w:noProof/>
        </w:rPr>
      </w:pPr>
      <w:r>
        <w:rPr>
          <w:b/>
          <w:bCs/>
          <w:noProof/>
        </w:rPr>
        <w:br w:type="page"/>
      </w:r>
    </w:p>
    <w:p w:rsidR="00387656" w:rsidRDefault="00387656" w:rsidP="00387656">
      <w:r>
        <w:lastRenderedPageBreak/>
        <w:t>LIST OF TABLES</w:t>
      </w:r>
    </w:p>
    <w:p w:rsidR="00387656" w:rsidRDefault="00387656" w:rsidP="00387656"/>
    <w:p w:rsidR="007F0498"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376465823" w:history="1">
        <w:r w:rsidR="007F0498" w:rsidRPr="002D7916">
          <w:rPr>
            <w:rStyle w:val="Hyperlink"/>
            <w:noProof/>
          </w:rPr>
          <w:t>Table 1 ACSM position regarding physical activity for weight loss and maintenance.</w:t>
        </w:r>
        <w:r w:rsidR="007F0498">
          <w:rPr>
            <w:noProof/>
            <w:webHidden/>
          </w:rPr>
          <w:tab/>
        </w:r>
        <w:r w:rsidR="007F0498">
          <w:rPr>
            <w:noProof/>
            <w:webHidden/>
          </w:rPr>
          <w:fldChar w:fldCharType="begin"/>
        </w:r>
        <w:r w:rsidR="007F0498">
          <w:rPr>
            <w:noProof/>
            <w:webHidden/>
          </w:rPr>
          <w:instrText xml:space="preserve"> PAGEREF _Toc376465823 \h </w:instrText>
        </w:r>
        <w:r w:rsidR="007F0498">
          <w:rPr>
            <w:noProof/>
            <w:webHidden/>
          </w:rPr>
        </w:r>
        <w:r w:rsidR="007F0498">
          <w:rPr>
            <w:noProof/>
            <w:webHidden/>
          </w:rPr>
          <w:fldChar w:fldCharType="separate"/>
        </w:r>
        <w:r w:rsidR="007F0498">
          <w:rPr>
            <w:noProof/>
            <w:webHidden/>
          </w:rPr>
          <w:t>32</w:t>
        </w:r>
        <w:r w:rsidR="007F0498">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24" w:history="1">
        <w:r w:rsidRPr="002D7916">
          <w:rPr>
            <w:rStyle w:val="Hyperlink"/>
            <w:noProof/>
          </w:rPr>
          <w:t>Table 2 Diet nutrient profiles</w:t>
        </w:r>
        <w:r>
          <w:rPr>
            <w:noProof/>
            <w:webHidden/>
          </w:rPr>
          <w:tab/>
        </w:r>
        <w:r>
          <w:rPr>
            <w:noProof/>
            <w:webHidden/>
          </w:rPr>
          <w:fldChar w:fldCharType="begin"/>
        </w:r>
        <w:r>
          <w:rPr>
            <w:noProof/>
            <w:webHidden/>
          </w:rPr>
          <w:instrText xml:space="preserve"> PAGEREF _Toc376465824 \h </w:instrText>
        </w:r>
        <w:r>
          <w:rPr>
            <w:noProof/>
            <w:webHidden/>
          </w:rPr>
        </w:r>
        <w:r>
          <w:rPr>
            <w:noProof/>
            <w:webHidden/>
          </w:rPr>
          <w:fldChar w:fldCharType="separate"/>
        </w:r>
        <w:r>
          <w:rPr>
            <w:noProof/>
            <w:webHidden/>
          </w:rPr>
          <w:t>53</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25" w:history="1">
        <w:r w:rsidRPr="002D7916">
          <w:rPr>
            <w:rStyle w:val="Hyperlink"/>
            <w:noProof/>
          </w:rPr>
          <w:t>Table 3 Sequences for primers and probes</w:t>
        </w:r>
        <w:r>
          <w:rPr>
            <w:noProof/>
            <w:webHidden/>
          </w:rPr>
          <w:tab/>
        </w:r>
        <w:r>
          <w:rPr>
            <w:noProof/>
            <w:webHidden/>
          </w:rPr>
          <w:fldChar w:fldCharType="begin"/>
        </w:r>
        <w:r>
          <w:rPr>
            <w:noProof/>
            <w:webHidden/>
          </w:rPr>
          <w:instrText xml:space="preserve"> PAGEREF _Toc376465825 \h </w:instrText>
        </w:r>
        <w:r>
          <w:rPr>
            <w:noProof/>
            <w:webHidden/>
          </w:rPr>
        </w:r>
        <w:r>
          <w:rPr>
            <w:noProof/>
            <w:webHidden/>
          </w:rPr>
          <w:fldChar w:fldCharType="separate"/>
        </w:r>
        <w:r>
          <w:rPr>
            <w:noProof/>
            <w:webHidden/>
          </w:rPr>
          <w:t>58</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26" w:history="1">
        <w:r w:rsidRPr="002D7916">
          <w:rPr>
            <w:rStyle w:val="Hyperlink"/>
            <w:noProof/>
          </w:rPr>
          <w:t>Table 4 Body weight, BCS, and food consumption by obesification group and time point (study week).</w:t>
        </w:r>
        <w:r>
          <w:rPr>
            <w:noProof/>
            <w:webHidden/>
          </w:rPr>
          <w:tab/>
        </w:r>
        <w:r>
          <w:rPr>
            <w:noProof/>
            <w:webHidden/>
          </w:rPr>
          <w:fldChar w:fldCharType="begin"/>
        </w:r>
        <w:r>
          <w:rPr>
            <w:noProof/>
            <w:webHidden/>
          </w:rPr>
          <w:instrText xml:space="preserve"> PAGEREF _Toc376465826 \h </w:instrText>
        </w:r>
        <w:r>
          <w:rPr>
            <w:noProof/>
            <w:webHidden/>
          </w:rPr>
        </w:r>
        <w:r>
          <w:rPr>
            <w:noProof/>
            <w:webHidden/>
          </w:rPr>
          <w:fldChar w:fldCharType="separate"/>
        </w:r>
        <w:r>
          <w:rPr>
            <w:noProof/>
            <w:webHidden/>
          </w:rPr>
          <w:t>62</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27" w:history="1">
        <w:r w:rsidRPr="002D7916">
          <w:rPr>
            <w:rStyle w:val="Hyperlink"/>
            <w:noProof/>
          </w:rPr>
          <w:t>Table 5 Change in body composition by obesification group and time point</w:t>
        </w:r>
        <w:r>
          <w:rPr>
            <w:noProof/>
            <w:webHidden/>
          </w:rPr>
          <w:tab/>
        </w:r>
        <w:r>
          <w:rPr>
            <w:noProof/>
            <w:webHidden/>
          </w:rPr>
          <w:fldChar w:fldCharType="begin"/>
        </w:r>
        <w:r>
          <w:rPr>
            <w:noProof/>
            <w:webHidden/>
          </w:rPr>
          <w:instrText xml:space="preserve"> PAGEREF _Toc376465827 \h </w:instrText>
        </w:r>
        <w:r>
          <w:rPr>
            <w:noProof/>
            <w:webHidden/>
          </w:rPr>
        </w:r>
        <w:r>
          <w:rPr>
            <w:noProof/>
            <w:webHidden/>
          </w:rPr>
          <w:fldChar w:fldCharType="separate"/>
        </w:r>
        <w:r>
          <w:rPr>
            <w:noProof/>
            <w:webHidden/>
          </w:rPr>
          <w:t>64</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28" w:history="1">
        <w:r w:rsidRPr="002D7916">
          <w:rPr>
            <w:rStyle w:val="Hyperlink"/>
            <w:noProof/>
          </w:rPr>
          <w:t>Table 6 DXA body composition by obesification group and time point (study week).</w:t>
        </w:r>
        <w:r>
          <w:rPr>
            <w:noProof/>
            <w:webHidden/>
          </w:rPr>
          <w:tab/>
        </w:r>
        <w:r>
          <w:rPr>
            <w:noProof/>
            <w:webHidden/>
          </w:rPr>
          <w:fldChar w:fldCharType="begin"/>
        </w:r>
        <w:r>
          <w:rPr>
            <w:noProof/>
            <w:webHidden/>
          </w:rPr>
          <w:instrText xml:space="preserve"> PAGEREF _Toc376465828 \h </w:instrText>
        </w:r>
        <w:r>
          <w:rPr>
            <w:noProof/>
            <w:webHidden/>
          </w:rPr>
        </w:r>
        <w:r>
          <w:rPr>
            <w:noProof/>
            <w:webHidden/>
          </w:rPr>
          <w:fldChar w:fldCharType="separate"/>
        </w:r>
        <w:r>
          <w:rPr>
            <w:noProof/>
            <w:webHidden/>
          </w:rPr>
          <w:t>66</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29" w:history="1">
        <w:r w:rsidRPr="002D7916">
          <w:rPr>
            <w:rStyle w:val="Hyperlink"/>
            <w:noProof/>
          </w:rPr>
          <w:t>Table 7 Food consumption and body composition by ideal body weight group time point</w:t>
        </w:r>
        <w:r>
          <w:rPr>
            <w:noProof/>
            <w:webHidden/>
          </w:rPr>
          <w:tab/>
        </w:r>
        <w:r>
          <w:rPr>
            <w:noProof/>
            <w:webHidden/>
          </w:rPr>
          <w:fldChar w:fldCharType="begin"/>
        </w:r>
        <w:r>
          <w:rPr>
            <w:noProof/>
            <w:webHidden/>
          </w:rPr>
          <w:instrText xml:space="preserve"> PAGEREF _Toc376465829 \h </w:instrText>
        </w:r>
        <w:r>
          <w:rPr>
            <w:noProof/>
            <w:webHidden/>
          </w:rPr>
        </w:r>
        <w:r>
          <w:rPr>
            <w:noProof/>
            <w:webHidden/>
          </w:rPr>
          <w:fldChar w:fldCharType="separate"/>
        </w:r>
        <w:r>
          <w:rPr>
            <w:noProof/>
            <w:webHidden/>
          </w:rPr>
          <w:t>68</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30" w:history="1">
        <w:r w:rsidRPr="002D7916">
          <w:rPr>
            <w:rStyle w:val="Hyperlink"/>
            <w:noProof/>
          </w:rPr>
          <w:t>Table 8 Body weight, BCS, and intrusion meal intake by group and point.</w:t>
        </w:r>
        <w:r>
          <w:rPr>
            <w:noProof/>
            <w:webHidden/>
          </w:rPr>
          <w:tab/>
        </w:r>
        <w:r>
          <w:rPr>
            <w:noProof/>
            <w:webHidden/>
          </w:rPr>
          <w:fldChar w:fldCharType="begin"/>
        </w:r>
        <w:r>
          <w:rPr>
            <w:noProof/>
            <w:webHidden/>
          </w:rPr>
          <w:instrText xml:space="preserve"> PAGEREF _Toc376465830 \h </w:instrText>
        </w:r>
        <w:r>
          <w:rPr>
            <w:noProof/>
            <w:webHidden/>
          </w:rPr>
        </w:r>
        <w:r>
          <w:rPr>
            <w:noProof/>
            <w:webHidden/>
          </w:rPr>
          <w:fldChar w:fldCharType="separate"/>
        </w:r>
        <w:r>
          <w:rPr>
            <w:noProof/>
            <w:webHidden/>
          </w:rPr>
          <w:t>69</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31" w:history="1">
        <w:r w:rsidRPr="002D7916">
          <w:rPr>
            <w:rStyle w:val="Hyperlink"/>
            <w:noProof/>
          </w:rPr>
          <w:t>Table 9 Selected instantaneous sampling of behavior related to medium term satiety intrusion meal.</w:t>
        </w:r>
        <w:r>
          <w:rPr>
            <w:noProof/>
            <w:webHidden/>
          </w:rPr>
          <w:tab/>
        </w:r>
        <w:r>
          <w:rPr>
            <w:noProof/>
            <w:webHidden/>
          </w:rPr>
          <w:fldChar w:fldCharType="begin"/>
        </w:r>
        <w:r>
          <w:rPr>
            <w:noProof/>
            <w:webHidden/>
          </w:rPr>
          <w:instrText xml:space="preserve"> PAGEREF _Toc376465831 \h </w:instrText>
        </w:r>
        <w:r>
          <w:rPr>
            <w:noProof/>
            <w:webHidden/>
          </w:rPr>
        </w:r>
        <w:r>
          <w:rPr>
            <w:noProof/>
            <w:webHidden/>
          </w:rPr>
          <w:fldChar w:fldCharType="separate"/>
        </w:r>
        <w:r>
          <w:rPr>
            <w:noProof/>
            <w:webHidden/>
          </w:rPr>
          <w:t>71</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32" w:history="1">
        <w:r w:rsidRPr="002D7916">
          <w:rPr>
            <w:rStyle w:val="Hyperlink"/>
            <w:noProof/>
          </w:rPr>
          <w:t>Table 10 Gut hormone plasma levels 420 minutes following a 3 hour intrusion meal.</w:t>
        </w:r>
        <w:r>
          <w:rPr>
            <w:noProof/>
            <w:webHidden/>
          </w:rPr>
          <w:tab/>
        </w:r>
        <w:r>
          <w:rPr>
            <w:noProof/>
            <w:webHidden/>
          </w:rPr>
          <w:fldChar w:fldCharType="begin"/>
        </w:r>
        <w:r>
          <w:rPr>
            <w:noProof/>
            <w:webHidden/>
          </w:rPr>
          <w:instrText xml:space="preserve"> PAGEREF _Toc376465832 \h </w:instrText>
        </w:r>
        <w:r>
          <w:rPr>
            <w:noProof/>
            <w:webHidden/>
          </w:rPr>
        </w:r>
        <w:r>
          <w:rPr>
            <w:noProof/>
            <w:webHidden/>
          </w:rPr>
          <w:fldChar w:fldCharType="separate"/>
        </w:r>
        <w:r>
          <w:rPr>
            <w:noProof/>
            <w:webHidden/>
          </w:rPr>
          <w:t>81</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33" w:history="1">
        <w:r w:rsidRPr="002D7916">
          <w:rPr>
            <w:rStyle w:val="Hyperlink"/>
            <w:noProof/>
          </w:rPr>
          <w:t>Table 11 Insulin and glucose plasma levels 420 minutes following a 3 hour intrusion meal.</w:t>
        </w:r>
        <w:r>
          <w:rPr>
            <w:noProof/>
            <w:webHidden/>
          </w:rPr>
          <w:tab/>
        </w:r>
        <w:r>
          <w:rPr>
            <w:noProof/>
            <w:webHidden/>
          </w:rPr>
          <w:fldChar w:fldCharType="begin"/>
        </w:r>
        <w:r>
          <w:rPr>
            <w:noProof/>
            <w:webHidden/>
          </w:rPr>
          <w:instrText xml:space="preserve"> PAGEREF _Toc376465833 \h </w:instrText>
        </w:r>
        <w:r>
          <w:rPr>
            <w:noProof/>
            <w:webHidden/>
          </w:rPr>
        </w:r>
        <w:r>
          <w:rPr>
            <w:noProof/>
            <w:webHidden/>
          </w:rPr>
          <w:fldChar w:fldCharType="separate"/>
        </w:r>
        <w:r>
          <w:rPr>
            <w:noProof/>
            <w:webHidden/>
          </w:rPr>
          <w:t>82</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34" w:history="1">
        <w:r w:rsidRPr="002D7916">
          <w:rPr>
            <w:rStyle w:val="Hyperlink"/>
            <w:noProof/>
          </w:rPr>
          <w:t>Table 12 Leptin and adiponectin plasma levels 420 minutes following a 3 hour intrusion meal.</w:t>
        </w:r>
        <w:r>
          <w:rPr>
            <w:noProof/>
            <w:webHidden/>
          </w:rPr>
          <w:tab/>
        </w:r>
        <w:r>
          <w:rPr>
            <w:noProof/>
            <w:webHidden/>
          </w:rPr>
          <w:fldChar w:fldCharType="begin"/>
        </w:r>
        <w:r>
          <w:rPr>
            <w:noProof/>
            <w:webHidden/>
          </w:rPr>
          <w:instrText xml:space="preserve"> PAGEREF _Toc376465834 \h </w:instrText>
        </w:r>
        <w:r>
          <w:rPr>
            <w:noProof/>
            <w:webHidden/>
          </w:rPr>
        </w:r>
        <w:r>
          <w:rPr>
            <w:noProof/>
            <w:webHidden/>
          </w:rPr>
          <w:fldChar w:fldCharType="separate"/>
        </w:r>
        <w:r>
          <w:rPr>
            <w:noProof/>
            <w:webHidden/>
          </w:rPr>
          <w:t>83</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35" w:history="1">
        <w:r w:rsidRPr="002D7916">
          <w:rPr>
            <w:rStyle w:val="Hyperlink"/>
            <w:noProof/>
          </w:rPr>
          <w:t>Table 13 Muscle PCR (∆∆CT) by group and point</w:t>
        </w:r>
        <w:r>
          <w:rPr>
            <w:noProof/>
            <w:webHidden/>
          </w:rPr>
          <w:tab/>
        </w:r>
        <w:r>
          <w:rPr>
            <w:noProof/>
            <w:webHidden/>
          </w:rPr>
          <w:fldChar w:fldCharType="begin"/>
        </w:r>
        <w:r>
          <w:rPr>
            <w:noProof/>
            <w:webHidden/>
          </w:rPr>
          <w:instrText xml:space="preserve"> PAGEREF _Toc376465835 \h </w:instrText>
        </w:r>
        <w:r>
          <w:rPr>
            <w:noProof/>
            <w:webHidden/>
          </w:rPr>
        </w:r>
        <w:r>
          <w:rPr>
            <w:noProof/>
            <w:webHidden/>
          </w:rPr>
          <w:fldChar w:fldCharType="separate"/>
        </w:r>
        <w:r>
          <w:rPr>
            <w:noProof/>
            <w:webHidden/>
          </w:rPr>
          <w:t>85</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36" w:history="1">
        <w:r w:rsidRPr="002D7916">
          <w:rPr>
            <w:rStyle w:val="Hyperlink"/>
            <w:noProof/>
          </w:rPr>
          <w:t>Table 14 Fat PCR (∆∆CT) by group and point</w:t>
        </w:r>
        <w:r>
          <w:rPr>
            <w:noProof/>
            <w:webHidden/>
          </w:rPr>
          <w:tab/>
        </w:r>
        <w:r>
          <w:rPr>
            <w:noProof/>
            <w:webHidden/>
          </w:rPr>
          <w:fldChar w:fldCharType="begin"/>
        </w:r>
        <w:r>
          <w:rPr>
            <w:noProof/>
            <w:webHidden/>
          </w:rPr>
          <w:instrText xml:space="preserve"> PAGEREF _Toc376465836 \h </w:instrText>
        </w:r>
        <w:r>
          <w:rPr>
            <w:noProof/>
            <w:webHidden/>
          </w:rPr>
        </w:r>
        <w:r>
          <w:rPr>
            <w:noProof/>
            <w:webHidden/>
          </w:rPr>
          <w:fldChar w:fldCharType="separate"/>
        </w:r>
        <w:r>
          <w:rPr>
            <w:noProof/>
            <w:webHidden/>
          </w:rPr>
          <w:t>86</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37" w:history="1">
        <w:r w:rsidRPr="002D7916">
          <w:rPr>
            <w:rStyle w:val="Hyperlink"/>
            <w:noProof/>
          </w:rPr>
          <w:t>Table 15 Cytokines by group and point</w:t>
        </w:r>
        <w:r>
          <w:rPr>
            <w:noProof/>
            <w:webHidden/>
          </w:rPr>
          <w:tab/>
        </w:r>
        <w:r>
          <w:rPr>
            <w:noProof/>
            <w:webHidden/>
          </w:rPr>
          <w:fldChar w:fldCharType="begin"/>
        </w:r>
        <w:r>
          <w:rPr>
            <w:noProof/>
            <w:webHidden/>
          </w:rPr>
          <w:instrText xml:space="preserve"> PAGEREF _Toc376465837 \h </w:instrText>
        </w:r>
        <w:r>
          <w:rPr>
            <w:noProof/>
            <w:webHidden/>
          </w:rPr>
        </w:r>
        <w:r>
          <w:rPr>
            <w:noProof/>
            <w:webHidden/>
          </w:rPr>
          <w:fldChar w:fldCharType="separate"/>
        </w:r>
        <w:r>
          <w:rPr>
            <w:noProof/>
            <w:webHidden/>
          </w:rPr>
          <w:t>87</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38" w:history="1">
        <w:r w:rsidRPr="002D7916">
          <w:rPr>
            <w:rStyle w:val="Hyperlink"/>
            <w:noProof/>
          </w:rPr>
          <w:t>Table 16 Diet nutrient profile</w:t>
        </w:r>
        <w:r>
          <w:rPr>
            <w:noProof/>
            <w:webHidden/>
          </w:rPr>
          <w:tab/>
        </w:r>
        <w:r>
          <w:rPr>
            <w:noProof/>
            <w:webHidden/>
          </w:rPr>
          <w:fldChar w:fldCharType="begin"/>
        </w:r>
        <w:r>
          <w:rPr>
            <w:noProof/>
            <w:webHidden/>
          </w:rPr>
          <w:instrText xml:space="preserve"> PAGEREF _Toc376465838 \h </w:instrText>
        </w:r>
        <w:r>
          <w:rPr>
            <w:noProof/>
            <w:webHidden/>
          </w:rPr>
        </w:r>
        <w:r>
          <w:rPr>
            <w:noProof/>
            <w:webHidden/>
          </w:rPr>
          <w:fldChar w:fldCharType="separate"/>
        </w:r>
        <w:r>
          <w:rPr>
            <w:noProof/>
            <w:webHidden/>
          </w:rPr>
          <w:t>105</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39" w:history="1">
        <w:r w:rsidRPr="002D7916">
          <w:rPr>
            <w:rStyle w:val="Hyperlink"/>
            <w:noProof/>
          </w:rPr>
          <w:t>Table 17 Sequences for primers and probes</w:t>
        </w:r>
        <w:r>
          <w:rPr>
            <w:noProof/>
            <w:webHidden/>
          </w:rPr>
          <w:tab/>
        </w:r>
        <w:r>
          <w:rPr>
            <w:noProof/>
            <w:webHidden/>
          </w:rPr>
          <w:fldChar w:fldCharType="begin"/>
        </w:r>
        <w:r>
          <w:rPr>
            <w:noProof/>
            <w:webHidden/>
          </w:rPr>
          <w:instrText xml:space="preserve"> PAGEREF _Toc376465839 \h </w:instrText>
        </w:r>
        <w:r>
          <w:rPr>
            <w:noProof/>
            <w:webHidden/>
          </w:rPr>
        </w:r>
        <w:r>
          <w:rPr>
            <w:noProof/>
            <w:webHidden/>
          </w:rPr>
          <w:fldChar w:fldCharType="separate"/>
        </w:r>
        <w:r>
          <w:rPr>
            <w:noProof/>
            <w:webHidden/>
          </w:rPr>
          <w:t>110</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40" w:history="1">
        <w:r w:rsidRPr="002D7916">
          <w:rPr>
            <w:rStyle w:val="Hyperlink"/>
            <w:noProof/>
          </w:rPr>
          <w:t>Table 18 Body weight, BCS, and food consumption by excess calorie group and time point.</w:t>
        </w:r>
        <w:r>
          <w:rPr>
            <w:noProof/>
            <w:webHidden/>
          </w:rPr>
          <w:tab/>
        </w:r>
        <w:r>
          <w:rPr>
            <w:noProof/>
            <w:webHidden/>
          </w:rPr>
          <w:fldChar w:fldCharType="begin"/>
        </w:r>
        <w:r>
          <w:rPr>
            <w:noProof/>
            <w:webHidden/>
          </w:rPr>
          <w:instrText xml:space="preserve"> PAGEREF _Toc376465840 \h </w:instrText>
        </w:r>
        <w:r>
          <w:rPr>
            <w:noProof/>
            <w:webHidden/>
          </w:rPr>
        </w:r>
        <w:r>
          <w:rPr>
            <w:noProof/>
            <w:webHidden/>
          </w:rPr>
          <w:fldChar w:fldCharType="separate"/>
        </w:r>
        <w:r>
          <w:rPr>
            <w:noProof/>
            <w:webHidden/>
          </w:rPr>
          <w:t>114</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41" w:history="1">
        <w:r w:rsidRPr="002D7916">
          <w:rPr>
            <w:rStyle w:val="Hyperlink"/>
            <w:noProof/>
          </w:rPr>
          <w:t>Table 19 Body composition by excess calorie group and time point.</w:t>
        </w:r>
        <w:r>
          <w:rPr>
            <w:noProof/>
            <w:webHidden/>
          </w:rPr>
          <w:tab/>
        </w:r>
        <w:r>
          <w:rPr>
            <w:noProof/>
            <w:webHidden/>
          </w:rPr>
          <w:fldChar w:fldCharType="begin"/>
        </w:r>
        <w:r>
          <w:rPr>
            <w:noProof/>
            <w:webHidden/>
          </w:rPr>
          <w:instrText xml:space="preserve"> PAGEREF _Toc376465841 \h </w:instrText>
        </w:r>
        <w:r>
          <w:rPr>
            <w:noProof/>
            <w:webHidden/>
          </w:rPr>
        </w:r>
        <w:r>
          <w:rPr>
            <w:noProof/>
            <w:webHidden/>
          </w:rPr>
          <w:fldChar w:fldCharType="separate"/>
        </w:r>
        <w:r>
          <w:rPr>
            <w:noProof/>
            <w:webHidden/>
          </w:rPr>
          <w:t>117</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42" w:history="1">
        <w:r w:rsidRPr="002D7916">
          <w:rPr>
            <w:rStyle w:val="Hyperlink"/>
            <w:noProof/>
          </w:rPr>
          <w:t>Table 20 Food consumption and body composition by ideal body weight group time point.</w:t>
        </w:r>
        <w:r>
          <w:rPr>
            <w:noProof/>
            <w:webHidden/>
          </w:rPr>
          <w:tab/>
        </w:r>
        <w:r>
          <w:rPr>
            <w:noProof/>
            <w:webHidden/>
          </w:rPr>
          <w:fldChar w:fldCharType="begin"/>
        </w:r>
        <w:r>
          <w:rPr>
            <w:noProof/>
            <w:webHidden/>
          </w:rPr>
          <w:instrText xml:space="preserve"> PAGEREF _Toc376465842 \h </w:instrText>
        </w:r>
        <w:r>
          <w:rPr>
            <w:noProof/>
            <w:webHidden/>
          </w:rPr>
        </w:r>
        <w:r>
          <w:rPr>
            <w:noProof/>
            <w:webHidden/>
          </w:rPr>
          <w:fldChar w:fldCharType="separate"/>
        </w:r>
        <w:r>
          <w:rPr>
            <w:noProof/>
            <w:webHidden/>
          </w:rPr>
          <w:t>118</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43" w:history="1">
        <w:r w:rsidRPr="002D7916">
          <w:rPr>
            <w:rStyle w:val="Hyperlink"/>
            <w:noProof/>
          </w:rPr>
          <w:t>Table 21 Body weight, BCS, and intrusion meal intake by group and point.</w:t>
        </w:r>
        <w:r>
          <w:rPr>
            <w:noProof/>
            <w:webHidden/>
          </w:rPr>
          <w:tab/>
        </w:r>
        <w:r>
          <w:rPr>
            <w:noProof/>
            <w:webHidden/>
          </w:rPr>
          <w:fldChar w:fldCharType="begin"/>
        </w:r>
        <w:r>
          <w:rPr>
            <w:noProof/>
            <w:webHidden/>
          </w:rPr>
          <w:instrText xml:space="preserve"> PAGEREF _Toc376465843 \h </w:instrText>
        </w:r>
        <w:r>
          <w:rPr>
            <w:noProof/>
            <w:webHidden/>
          </w:rPr>
        </w:r>
        <w:r>
          <w:rPr>
            <w:noProof/>
            <w:webHidden/>
          </w:rPr>
          <w:fldChar w:fldCharType="separate"/>
        </w:r>
        <w:r>
          <w:rPr>
            <w:noProof/>
            <w:webHidden/>
          </w:rPr>
          <w:t>119</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44" w:history="1">
        <w:r w:rsidRPr="002D7916">
          <w:rPr>
            <w:rStyle w:val="Hyperlink"/>
            <w:noProof/>
          </w:rPr>
          <w:t>Table 22 Selected instantaneous sampling of behavior related to medium term satiety intrusion meal.</w:t>
        </w:r>
        <w:r>
          <w:rPr>
            <w:noProof/>
            <w:webHidden/>
          </w:rPr>
          <w:tab/>
        </w:r>
        <w:r>
          <w:rPr>
            <w:noProof/>
            <w:webHidden/>
          </w:rPr>
          <w:fldChar w:fldCharType="begin"/>
        </w:r>
        <w:r>
          <w:rPr>
            <w:noProof/>
            <w:webHidden/>
          </w:rPr>
          <w:instrText xml:space="preserve"> PAGEREF _Toc376465844 \h </w:instrText>
        </w:r>
        <w:r>
          <w:rPr>
            <w:noProof/>
            <w:webHidden/>
          </w:rPr>
        </w:r>
        <w:r>
          <w:rPr>
            <w:noProof/>
            <w:webHidden/>
          </w:rPr>
          <w:fldChar w:fldCharType="separate"/>
        </w:r>
        <w:r>
          <w:rPr>
            <w:noProof/>
            <w:webHidden/>
          </w:rPr>
          <w:t>122</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45" w:history="1">
        <w:r w:rsidRPr="002D7916">
          <w:rPr>
            <w:rStyle w:val="Hyperlink"/>
            <w:noProof/>
          </w:rPr>
          <w:t>Table 23 Gut hormone plasma levels 420 minutes following a 3 hour intrusion meal.</w:t>
        </w:r>
        <w:r>
          <w:rPr>
            <w:noProof/>
            <w:webHidden/>
          </w:rPr>
          <w:tab/>
        </w:r>
        <w:r>
          <w:rPr>
            <w:noProof/>
            <w:webHidden/>
          </w:rPr>
          <w:fldChar w:fldCharType="begin"/>
        </w:r>
        <w:r>
          <w:rPr>
            <w:noProof/>
            <w:webHidden/>
          </w:rPr>
          <w:instrText xml:space="preserve"> PAGEREF _Toc376465845 \h </w:instrText>
        </w:r>
        <w:r>
          <w:rPr>
            <w:noProof/>
            <w:webHidden/>
          </w:rPr>
        </w:r>
        <w:r>
          <w:rPr>
            <w:noProof/>
            <w:webHidden/>
          </w:rPr>
          <w:fldChar w:fldCharType="separate"/>
        </w:r>
        <w:r>
          <w:rPr>
            <w:noProof/>
            <w:webHidden/>
          </w:rPr>
          <w:t>130</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46" w:history="1">
        <w:r w:rsidRPr="002D7916">
          <w:rPr>
            <w:rStyle w:val="Hyperlink"/>
            <w:noProof/>
          </w:rPr>
          <w:t>Table 24 Insulin and glucose plasma levels 420 minutes following a 3 hour intrusion meal.</w:t>
        </w:r>
        <w:r>
          <w:rPr>
            <w:noProof/>
            <w:webHidden/>
          </w:rPr>
          <w:tab/>
        </w:r>
        <w:r>
          <w:rPr>
            <w:noProof/>
            <w:webHidden/>
          </w:rPr>
          <w:fldChar w:fldCharType="begin"/>
        </w:r>
        <w:r>
          <w:rPr>
            <w:noProof/>
            <w:webHidden/>
          </w:rPr>
          <w:instrText xml:space="preserve"> PAGEREF _Toc376465846 \h </w:instrText>
        </w:r>
        <w:r>
          <w:rPr>
            <w:noProof/>
            <w:webHidden/>
          </w:rPr>
        </w:r>
        <w:r>
          <w:rPr>
            <w:noProof/>
            <w:webHidden/>
          </w:rPr>
          <w:fldChar w:fldCharType="separate"/>
        </w:r>
        <w:r>
          <w:rPr>
            <w:noProof/>
            <w:webHidden/>
          </w:rPr>
          <w:t>131</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47" w:history="1">
        <w:r w:rsidRPr="002D7916">
          <w:rPr>
            <w:rStyle w:val="Hyperlink"/>
            <w:noProof/>
          </w:rPr>
          <w:t>Table 25 Leptin and adiponectin plasma levels 420 minutes following a 3 hour intrusion meal.</w:t>
        </w:r>
        <w:r>
          <w:rPr>
            <w:noProof/>
            <w:webHidden/>
          </w:rPr>
          <w:tab/>
        </w:r>
        <w:r>
          <w:rPr>
            <w:noProof/>
            <w:webHidden/>
          </w:rPr>
          <w:fldChar w:fldCharType="begin"/>
        </w:r>
        <w:r>
          <w:rPr>
            <w:noProof/>
            <w:webHidden/>
          </w:rPr>
          <w:instrText xml:space="preserve"> PAGEREF _Toc376465847 \h </w:instrText>
        </w:r>
        <w:r>
          <w:rPr>
            <w:noProof/>
            <w:webHidden/>
          </w:rPr>
        </w:r>
        <w:r>
          <w:rPr>
            <w:noProof/>
            <w:webHidden/>
          </w:rPr>
          <w:fldChar w:fldCharType="separate"/>
        </w:r>
        <w:r>
          <w:rPr>
            <w:noProof/>
            <w:webHidden/>
          </w:rPr>
          <w:t>131</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48" w:history="1">
        <w:r w:rsidRPr="002D7916">
          <w:rPr>
            <w:rStyle w:val="Hyperlink"/>
            <w:noProof/>
          </w:rPr>
          <w:t>Table 26 Muscle PCR (∆∆CT) by group and point.</w:t>
        </w:r>
        <w:r>
          <w:rPr>
            <w:noProof/>
            <w:webHidden/>
          </w:rPr>
          <w:tab/>
        </w:r>
        <w:r>
          <w:rPr>
            <w:noProof/>
            <w:webHidden/>
          </w:rPr>
          <w:fldChar w:fldCharType="begin"/>
        </w:r>
        <w:r>
          <w:rPr>
            <w:noProof/>
            <w:webHidden/>
          </w:rPr>
          <w:instrText xml:space="preserve"> PAGEREF _Toc376465848 \h </w:instrText>
        </w:r>
        <w:r>
          <w:rPr>
            <w:noProof/>
            <w:webHidden/>
          </w:rPr>
        </w:r>
        <w:r>
          <w:rPr>
            <w:noProof/>
            <w:webHidden/>
          </w:rPr>
          <w:fldChar w:fldCharType="separate"/>
        </w:r>
        <w:r>
          <w:rPr>
            <w:noProof/>
            <w:webHidden/>
          </w:rPr>
          <w:t>134</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49" w:history="1">
        <w:r w:rsidRPr="002D7916">
          <w:rPr>
            <w:rStyle w:val="Hyperlink"/>
            <w:noProof/>
          </w:rPr>
          <w:t>Table 27 Cytokines by group and point.</w:t>
        </w:r>
        <w:r>
          <w:rPr>
            <w:noProof/>
            <w:webHidden/>
          </w:rPr>
          <w:tab/>
        </w:r>
        <w:r>
          <w:rPr>
            <w:noProof/>
            <w:webHidden/>
          </w:rPr>
          <w:fldChar w:fldCharType="begin"/>
        </w:r>
        <w:r>
          <w:rPr>
            <w:noProof/>
            <w:webHidden/>
          </w:rPr>
          <w:instrText xml:space="preserve"> PAGEREF _Toc376465849 \h </w:instrText>
        </w:r>
        <w:r>
          <w:rPr>
            <w:noProof/>
            <w:webHidden/>
          </w:rPr>
        </w:r>
        <w:r>
          <w:rPr>
            <w:noProof/>
            <w:webHidden/>
          </w:rPr>
          <w:fldChar w:fldCharType="separate"/>
        </w:r>
        <w:r>
          <w:rPr>
            <w:noProof/>
            <w:webHidden/>
          </w:rPr>
          <w:t>134</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50" w:history="1">
        <w:r w:rsidRPr="002D7916">
          <w:rPr>
            <w:rStyle w:val="Hyperlink"/>
            <w:noProof/>
          </w:rPr>
          <w:t>Table 28: Baseline complete blood count (CBC), part 1</w:t>
        </w:r>
        <w:r>
          <w:rPr>
            <w:noProof/>
            <w:webHidden/>
          </w:rPr>
          <w:tab/>
        </w:r>
        <w:r>
          <w:rPr>
            <w:noProof/>
            <w:webHidden/>
          </w:rPr>
          <w:fldChar w:fldCharType="begin"/>
        </w:r>
        <w:r>
          <w:rPr>
            <w:noProof/>
            <w:webHidden/>
          </w:rPr>
          <w:instrText xml:space="preserve"> PAGEREF _Toc376465850 \h </w:instrText>
        </w:r>
        <w:r>
          <w:rPr>
            <w:noProof/>
            <w:webHidden/>
          </w:rPr>
        </w:r>
        <w:r>
          <w:rPr>
            <w:noProof/>
            <w:webHidden/>
          </w:rPr>
          <w:fldChar w:fldCharType="separate"/>
        </w:r>
        <w:r>
          <w:rPr>
            <w:noProof/>
            <w:webHidden/>
          </w:rPr>
          <w:t>178</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51" w:history="1">
        <w:r w:rsidRPr="002D7916">
          <w:rPr>
            <w:rStyle w:val="Hyperlink"/>
            <w:noProof/>
          </w:rPr>
          <w:t>Table 29 Baseline complete blood count, part 2</w:t>
        </w:r>
        <w:r>
          <w:rPr>
            <w:noProof/>
            <w:webHidden/>
          </w:rPr>
          <w:tab/>
        </w:r>
        <w:r>
          <w:rPr>
            <w:noProof/>
            <w:webHidden/>
          </w:rPr>
          <w:fldChar w:fldCharType="begin"/>
        </w:r>
        <w:r>
          <w:rPr>
            <w:noProof/>
            <w:webHidden/>
          </w:rPr>
          <w:instrText xml:space="preserve"> PAGEREF _Toc376465851 \h </w:instrText>
        </w:r>
        <w:r>
          <w:rPr>
            <w:noProof/>
            <w:webHidden/>
          </w:rPr>
        </w:r>
        <w:r>
          <w:rPr>
            <w:noProof/>
            <w:webHidden/>
          </w:rPr>
          <w:fldChar w:fldCharType="separate"/>
        </w:r>
        <w:r>
          <w:rPr>
            <w:noProof/>
            <w:webHidden/>
          </w:rPr>
          <w:t>180</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52" w:history="1">
        <w:r w:rsidRPr="002D7916">
          <w:rPr>
            <w:rStyle w:val="Hyperlink"/>
            <w:noProof/>
          </w:rPr>
          <w:t>Table 30 Baseline complete blood count, part 3</w:t>
        </w:r>
        <w:r>
          <w:rPr>
            <w:noProof/>
            <w:webHidden/>
          </w:rPr>
          <w:tab/>
        </w:r>
        <w:r>
          <w:rPr>
            <w:noProof/>
            <w:webHidden/>
          </w:rPr>
          <w:fldChar w:fldCharType="begin"/>
        </w:r>
        <w:r>
          <w:rPr>
            <w:noProof/>
            <w:webHidden/>
          </w:rPr>
          <w:instrText xml:space="preserve"> PAGEREF _Toc376465852 \h </w:instrText>
        </w:r>
        <w:r>
          <w:rPr>
            <w:noProof/>
            <w:webHidden/>
          </w:rPr>
        </w:r>
        <w:r>
          <w:rPr>
            <w:noProof/>
            <w:webHidden/>
          </w:rPr>
          <w:fldChar w:fldCharType="separate"/>
        </w:r>
        <w:r>
          <w:rPr>
            <w:noProof/>
            <w:webHidden/>
          </w:rPr>
          <w:t>182</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53" w:history="1">
        <w:r w:rsidRPr="002D7916">
          <w:rPr>
            <w:rStyle w:val="Hyperlink"/>
            <w:noProof/>
          </w:rPr>
          <w:t>Table 31 Baseline complete blood count, part 4</w:t>
        </w:r>
        <w:r>
          <w:rPr>
            <w:noProof/>
            <w:webHidden/>
          </w:rPr>
          <w:tab/>
        </w:r>
        <w:r>
          <w:rPr>
            <w:noProof/>
            <w:webHidden/>
          </w:rPr>
          <w:fldChar w:fldCharType="begin"/>
        </w:r>
        <w:r>
          <w:rPr>
            <w:noProof/>
            <w:webHidden/>
          </w:rPr>
          <w:instrText xml:space="preserve"> PAGEREF _Toc376465853 \h </w:instrText>
        </w:r>
        <w:r>
          <w:rPr>
            <w:noProof/>
            <w:webHidden/>
          </w:rPr>
        </w:r>
        <w:r>
          <w:rPr>
            <w:noProof/>
            <w:webHidden/>
          </w:rPr>
          <w:fldChar w:fldCharType="separate"/>
        </w:r>
        <w:r>
          <w:rPr>
            <w:noProof/>
            <w:webHidden/>
          </w:rPr>
          <w:t>184</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54" w:history="1">
        <w:r w:rsidRPr="002D7916">
          <w:rPr>
            <w:rStyle w:val="Hyperlink"/>
            <w:noProof/>
          </w:rPr>
          <w:t>Table 32 Baseline chemistry, part 1</w:t>
        </w:r>
        <w:r>
          <w:rPr>
            <w:noProof/>
            <w:webHidden/>
          </w:rPr>
          <w:tab/>
        </w:r>
        <w:r>
          <w:rPr>
            <w:noProof/>
            <w:webHidden/>
          </w:rPr>
          <w:fldChar w:fldCharType="begin"/>
        </w:r>
        <w:r>
          <w:rPr>
            <w:noProof/>
            <w:webHidden/>
          </w:rPr>
          <w:instrText xml:space="preserve"> PAGEREF _Toc376465854 \h </w:instrText>
        </w:r>
        <w:r>
          <w:rPr>
            <w:noProof/>
            <w:webHidden/>
          </w:rPr>
        </w:r>
        <w:r>
          <w:rPr>
            <w:noProof/>
            <w:webHidden/>
          </w:rPr>
          <w:fldChar w:fldCharType="separate"/>
        </w:r>
        <w:r>
          <w:rPr>
            <w:noProof/>
            <w:webHidden/>
          </w:rPr>
          <w:t>185</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55" w:history="1">
        <w:r w:rsidRPr="002D7916">
          <w:rPr>
            <w:rStyle w:val="Hyperlink"/>
            <w:noProof/>
          </w:rPr>
          <w:t>Table 33 Baseline chemistry, part 2</w:t>
        </w:r>
        <w:r>
          <w:rPr>
            <w:noProof/>
            <w:webHidden/>
          </w:rPr>
          <w:tab/>
        </w:r>
        <w:r>
          <w:rPr>
            <w:noProof/>
            <w:webHidden/>
          </w:rPr>
          <w:fldChar w:fldCharType="begin"/>
        </w:r>
        <w:r>
          <w:rPr>
            <w:noProof/>
            <w:webHidden/>
          </w:rPr>
          <w:instrText xml:space="preserve"> PAGEREF _Toc376465855 \h </w:instrText>
        </w:r>
        <w:r>
          <w:rPr>
            <w:noProof/>
            <w:webHidden/>
          </w:rPr>
        </w:r>
        <w:r>
          <w:rPr>
            <w:noProof/>
            <w:webHidden/>
          </w:rPr>
          <w:fldChar w:fldCharType="separate"/>
        </w:r>
        <w:r>
          <w:rPr>
            <w:noProof/>
            <w:webHidden/>
          </w:rPr>
          <w:t>187</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56" w:history="1">
        <w:r w:rsidRPr="002D7916">
          <w:rPr>
            <w:rStyle w:val="Hyperlink"/>
            <w:noProof/>
          </w:rPr>
          <w:t>Table 34 Baseline chemistry, part 3</w:t>
        </w:r>
        <w:r>
          <w:rPr>
            <w:noProof/>
            <w:webHidden/>
          </w:rPr>
          <w:tab/>
        </w:r>
        <w:r>
          <w:rPr>
            <w:noProof/>
            <w:webHidden/>
          </w:rPr>
          <w:fldChar w:fldCharType="begin"/>
        </w:r>
        <w:r>
          <w:rPr>
            <w:noProof/>
            <w:webHidden/>
          </w:rPr>
          <w:instrText xml:space="preserve"> PAGEREF _Toc376465856 \h </w:instrText>
        </w:r>
        <w:r>
          <w:rPr>
            <w:noProof/>
            <w:webHidden/>
          </w:rPr>
        </w:r>
        <w:r>
          <w:rPr>
            <w:noProof/>
            <w:webHidden/>
          </w:rPr>
          <w:fldChar w:fldCharType="separate"/>
        </w:r>
        <w:r>
          <w:rPr>
            <w:noProof/>
            <w:webHidden/>
          </w:rPr>
          <w:t>189</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57" w:history="1">
        <w:r w:rsidRPr="002D7916">
          <w:rPr>
            <w:rStyle w:val="Hyperlink"/>
            <w:noProof/>
          </w:rPr>
          <w:t>Table 35 Baseline urinalysis</w:t>
        </w:r>
        <w:r>
          <w:rPr>
            <w:noProof/>
            <w:webHidden/>
          </w:rPr>
          <w:tab/>
        </w:r>
        <w:r>
          <w:rPr>
            <w:noProof/>
            <w:webHidden/>
          </w:rPr>
          <w:fldChar w:fldCharType="begin"/>
        </w:r>
        <w:r>
          <w:rPr>
            <w:noProof/>
            <w:webHidden/>
          </w:rPr>
          <w:instrText xml:space="preserve"> PAGEREF _Toc376465857 \h </w:instrText>
        </w:r>
        <w:r>
          <w:rPr>
            <w:noProof/>
            <w:webHidden/>
          </w:rPr>
        </w:r>
        <w:r>
          <w:rPr>
            <w:noProof/>
            <w:webHidden/>
          </w:rPr>
          <w:fldChar w:fldCharType="separate"/>
        </w:r>
        <w:r>
          <w:rPr>
            <w:noProof/>
            <w:webHidden/>
          </w:rPr>
          <w:t>190</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58" w:history="1">
        <w:r w:rsidRPr="002D7916">
          <w:rPr>
            <w:rStyle w:val="Hyperlink"/>
            <w:noProof/>
          </w:rPr>
          <w:t>Table 36 Average daily food consumption</w:t>
        </w:r>
        <w:r>
          <w:rPr>
            <w:noProof/>
            <w:webHidden/>
          </w:rPr>
          <w:tab/>
        </w:r>
        <w:r>
          <w:rPr>
            <w:noProof/>
            <w:webHidden/>
          </w:rPr>
          <w:fldChar w:fldCharType="begin"/>
        </w:r>
        <w:r>
          <w:rPr>
            <w:noProof/>
            <w:webHidden/>
          </w:rPr>
          <w:instrText xml:space="preserve"> PAGEREF _Toc376465858 \h </w:instrText>
        </w:r>
        <w:r>
          <w:rPr>
            <w:noProof/>
            <w:webHidden/>
          </w:rPr>
        </w:r>
        <w:r>
          <w:rPr>
            <w:noProof/>
            <w:webHidden/>
          </w:rPr>
          <w:fldChar w:fldCharType="separate"/>
        </w:r>
        <w:r>
          <w:rPr>
            <w:noProof/>
            <w:webHidden/>
          </w:rPr>
          <w:t>191</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59" w:history="1">
        <w:r w:rsidRPr="002D7916">
          <w:rPr>
            <w:rStyle w:val="Hyperlink"/>
            <w:noProof/>
          </w:rPr>
          <w:t>Table 37 Change in average daily food consumption, part 1</w:t>
        </w:r>
        <w:r>
          <w:rPr>
            <w:noProof/>
            <w:webHidden/>
          </w:rPr>
          <w:tab/>
        </w:r>
        <w:r>
          <w:rPr>
            <w:noProof/>
            <w:webHidden/>
          </w:rPr>
          <w:fldChar w:fldCharType="begin"/>
        </w:r>
        <w:r>
          <w:rPr>
            <w:noProof/>
            <w:webHidden/>
          </w:rPr>
          <w:instrText xml:space="preserve"> PAGEREF _Toc376465859 \h </w:instrText>
        </w:r>
        <w:r>
          <w:rPr>
            <w:noProof/>
            <w:webHidden/>
          </w:rPr>
        </w:r>
        <w:r>
          <w:rPr>
            <w:noProof/>
            <w:webHidden/>
          </w:rPr>
          <w:fldChar w:fldCharType="separate"/>
        </w:r>
        <w:r>
          <w:rPr>
            <w:noProof/>
            <w:webHidden/>
          </w:rPr>
          <w:t>199</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60" w:history="1">
        <w:r w:rsidRPr="002D7916">
          <w:rPr>
            <w:rStyle w:val="Hyperlink"/>
            <w:noProof/>
          </w:rPr>
          <w:t>Table 38 Change in average daily food consumption, part 2</w:t>
        </w:r>
        <w:r>
          <w:rPr>
            <w:noProof/>
            <w:webHidden/>
          </w:rPr>
          <w:tab/>
        </w:r>
        <w:r>
          <w:rPr>
            <w:noProof/>
            <w:webHidden/>
          </w:rPr>
          <w:fldChar w:fldCharType="begin"/>
        </w:r>
        <w:r>
          <w:rPr>
            <w:noProof/>
            <w:webHidden/>
          </w:rPr>
          <w:instrText xml:space="preserve"> PAGEREF _Toc376465860 \h </w:instrText>
        </w:r>
        <w:r>
          <w:rPr>
            <w:noProof/>
            <w:webHidden/>
          </w:rPr>
        </w:r>
        <w:r>
          <w:rPr>
            <w:noProof/>
            <w:webHidden/>
          </w:rPr>
          <w:fldChar w:fldCharType="separate"/>
        </w:r>
        <w:r>
          <w:rPr>
            <w:noProof/>
            <w:webHidden/>
          </w:rPr>
          <w:t>205</w:t>
        </w:r>
        <w:r>
          <w:rPr>
            <w:noProof/>
            <w:webHidden/>
          </w:rPr>
          <w:fldChar w:fldCharType="end"/>
        </w:r>
      </w:hyperlink>
    </w:p>
    <w:p w:rsidR="00236E6D" w:rsidRPr="00526151" w:rsidRDefault="00387656" w:rsidP="005E54E2">
      <w:r>
        <w:fldChar w:fldCharType="end"/>
      </w:r>
    </w:p>
    <w:p w:rsidR="00904969" w:rsidRDefault="00236E6D" w:rsidP="00904969">
      <w:r>
        <w:br w:type="page"/>
      </w:r>
      <w:r w:rsidR="00904969">
        <w:lastRenderedPageBreak/>
        <w:t xml:space="preserve">LIST OF </w:t>
      </w:r>
      <w:r w:rsidR="00904969" w:rsidRPr="00904969">
        <w:t>FIGURES</w:t>
      </w:r>
    </w:p>
    <w:p w:rsidR="007462A1" w:rsidRDefault="007462A1" w:rsidP="00904969"/>
    <w:p w:rsidR="007F0498"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376465861" w:history="1">
        <w:r w:rsidR="007F0498" w:rsidRPr="0037606A">
          <w:rPr>
            <w:rStyle w:val="Hyperlink"/>
            <w:noProof/>
          </w:rPr>
          <w:t>Figure 1 Role of arcuate nucleus in adiposity signaling.</w:t>
        </w:r>
        <w:r w:rsidR="007F0498">
          <w:rPr>
            <w:noProof/>
            <w:webHidden/>
          </w:rPr>
          <w:tab/>
        </w:r>
        <w:r w:rsidR="007F0498">
          <w:rPr>
            <w:noProof/>
            <w:webHidden/>
          </w:rPr>
          <w:fldChar w:fldCharType="begin"/>
        </w:r>
        <w:r w:rsidR="007F0498">
          <w:rPr>
            <w:noProof/>
            <w:webHidden/>
          </w:rPr>
          <w:instrText xml:space="preserve"> PAGEREF _Toc376465861 \h </w:instrText>
        </w:r>
        <w:r w:rsidR="007F0498">
          <w:rPr>
            <w:noProof/>
            <w:webHidden/>
          </w:rPr>
        </w:r>
        <w:r w:rsidR="007F0498">
          <w:rPr>
            <w:noProof/>
            <w:webHidden/>
          </w:rPr>
          <w:fldChar w:fldCharType="separate"/>
        </w:r>
        <w:r w:rsidR="007F0498">
          <w:rPr>
            <w:noProof/>
            <w:webHidden/>
          </w:rPr>
          <w:t>9</w:t>
        </w:r>
        <w:r w:rsidR="007F0498">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62" w:history="1">
        <w:r w:rsidRPr="0037606A">
          <w:rPr>
            <w:rStyle w:val="Hyperlink"/>
            <w:noProof/>
          </w:rPr>
          <w:t>Figure 2 Regulation of glucose uptake by insulin and AMPK.</w:t>
        </w:r>
        <w:r>
          <w:rPr>
            <w:noProof/>
            <w:webHidden/>
          </w:rPr>
          <w:tab/>
        </w:r>
        <w:r>
          <w:rPr>
            <w:noProof/>
            <w:webHidden/>
          </w:rPr>
          <w:fldChar w:fldCharType="begin"/>
        </w:r>
        <w:r>
          <w:rPr>
            <w:noProof/>
            <w:webHidden/>
          </w:rPr>
          <w:instrText xml:space="preserve"> PAGEREF _Toc376465862 \h </w:instrText>
        </w:r>
        <w:r>
          <w:rPr>
            <w:noProof/>
            <w:webHidden/>
          </w:rPr>
        </w:r>
        <w:r>
          <w:rPr>
            <w:noProof/>
            <w:webHidden/>
          </w:rPr>
          <w:fldChar w:fldCharType="separate"/>
        </w:r>
        <w:r>
          <w:rPr>
            <w:noProof/>
            <w:webHidden/>
          </w:rPr>
          <w:t>12</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63" w:history="1">
        <w:r w:rsidRPr="0037606A">
          <w:rPr>
            <w:rStyle w:val="Hyperlink"/>
            <w:noProof/>
          </w:rPr>
          <w:t>Figure 3 Thermodynamic perspective of energy expenditure.</w:t>
        </w:r>
        <w:r>
          <w:rPr>
            <w:noProof/>
            <w:webHidden/>
          </w:rPr>
          <w:tab/>
        </w:r>
        <w:r>
          <w:rPr>
            <w:noProof/>
            <w:webHidden/>
          </w:rPr>
          <w:fldChar w:fldCharType="begin"/>
        </w:r>
        <w:r>
          <w:rPr>
            <w:noProof/>
            <w:webHidden/>
          </w:rPr>
          <w:instrText xml:space="preserve"> PAGEREF _Toc376465863 \h </w:instrText>
        </w:r>
        <w:r>
          <w:rPr>
            <w:noProof/>
            <w:webHidden/>
          </w:rPr>
        </w:r>
        <w:r>
          <w:rPr>
            <w:noProof/>
            <w:webHidden/>
          </w:rPr>
          <w:fldChar w:fldCharType="separate"/>
        </w:r>
        <w:r>
          <w:rPr>
            <w:noProof/>
            <w:webHidden/>
          </w:rPr>
          <w:t>15</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64" w:history="1">
        <w:r w:rsidRPr="0037606A">
          <w:rPr>
            <w:rStyle w:val="Hyperlink"/>
            <w:noProof/>
          </w:rPr>
          <w:t>Figure 4 Mechanism of cold-induced adaptive thermogenesis.</w:t>
        </w:r>
        <w:r>
          <w:rPr>
            <w:noProof/>
            <w:webHidden/>
          </w:rPr>
          <w:tab/>
        </w:r>
        <w:r>
          <w:rPr>
            <w:noProof/>
            <w:webHidden/>
          </w:rPr>
          <w:fldChar w:fldCharType="begin"/>
        </w:r>
        <w:r>
          <w:rPr>
            <w:noProof/>
            <w:webHidden/>
          </w:rPr>
          <w:instrText xml:space="preserve"> PAGEREF _Toc376465864 \h </w:instrText>
        </w:r>
        <w:r>
          <w:rPr>
            <w:noProof/>
            <w:webHidden/>
          </w:rPr>
        </w:r>
        <w:r>
          <w:rPr>
            <w:noProof/>
            <w:webHidden/>
          </w:rPr>
          <w:fldChar w:fldCharType="separate"/>
        </w:r>
        <w:r>
          <w:rPr>
            <w:noProof/>
            <w:webHidden/>
          </w:rPr>
          <w:t>16</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65" w:history="1">
        <w:r w:rsidRPr="0037606A">
          <w:rPr>
            <w:rStyle w:val="Hyperlink"/>
            <w:noProof/>
          </w:rPr>
          <w:t>Figure 5 UCP1 location and function in the mitochondrial respiratory chain (MRC).</w:t>
        </w:r>
        <w:r>
          <w:rPr>
            <w:noProof/>
            <w:webHidden/>
          </w:rPr>
          <w:tab/>
        </w:r>
        <w:r>
          <w:rPr>
            <w:noProof/>
            <w:webHidden/>
          </w:rPr>
          <w:fldChar w:fldCharType="begin"/>
        </w:r>
        <w:r>
          <w:rPr>
            <w:noProof/>
            <w:webHidden/>
          </w:rPr>
          <w:instrText xml:space="preserve"> PAGEREF _Toc376465865 \h </w:instrText>
        </w:r>
        <w:r>
          <w:rPr>
            <w:noProof/>
            <w:webHidden/>
          </w:rPr>
        </w:r>
        <w:r>
          <w:rPr>
            <w:noProof/>
            <w:webHidden/>
          </w:rPr>
          <w:fldChar w:fldCharType="separate"/>
        </w:r>
        <w:r>
          <w:rPr>
            <w:noProof/>
            <w:webHidden/>
          </w:rPr>
          <w:t>17</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66" w:history="1">
        <w:r w:rsidRPr="0037606A">
          <w:rPr>
            <w:rStyle w:val="Hyperlink"/>
            <w:noProof/>
          </w:rPr>
          <w:t>Figure 6 Location of hBAT in Adults and Infants.</w:t>
        </w:r>
        <w:r>
          <w:rPr>
            <w:noProof/>
            <w:webHidden/>
          </w:rPr>
          <w:tab/>
        </w:r>
        <w:r>
          <w:rPr>
            <w:noProof/>
            <w:webHidden/>
          </w:rPr>
          <w:fldChar w:fldCharType="begin"/>
        </w:r>
        <w:r>
          <w:rPr>
            <w:noProof/>
            <w:webHidden/>
          </w:rPr>
          <w:instrText xml:space="preserve"> PAGEREF _Toc376465866 \h </w:instrText>
        </w:r>
        <w:r>
          <w:rPr>
            <w:noProof/>
            <w:webHidden/>
          </w:rPr>
        </w:r>
        <w:r>
          <w:rPr>
            <w:noProof/>
            <w:webHidden/>
          </w:rPr>
          <w:fldChar w:fldCharType="separate"/>
        </w:r>
        <w:r>
          <w:rPr>
            <w:noProof/>
            <w:webHidden/>
          </w:rPr>
          <w:t>19</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67" w:history="1">
        <w:r w:rsidRPr="0037606A">
          <w:rPr>
            <w:rStyle w:val="Hyperlink"/>
            <w:noProof/>
          </w:rPr>
          <w:t>Figure 7 Metabolic relationship of sirtuin 1 (SIRT1), AMP-activated protein kinase (AMPK), and peroxisome proliferator-activated receptor-γ (PPARγ) coactivator 1α (PGC1α).</w:t>
        </w:r>
        <w:r>
          <w:rPr>
            <w:noProof/>
            <w:webHidden/>
          </w:rPr>
          <w:tab/>
        </w:r>
        <w:r>
          <w:rPr>
            <w:noProof/>
            <w:webHidden/>
          </w:rPr>
          <w:fldChar w:fldCharType="begin"/>
        </w:r>
        <w:r>
          <w:rPr>
            <w:noProof/>
            <w:webHidden/>
          </w:rPr>
          <w:instrText xml:space="preserve"> PAGEREF _Toc376465867 \h </w:instrText>
        </w:r>
        <w:r>
          <w:rPr>
            <w:noProof/>
            <w:webHidden/>
          </w:rPr>
        </w:r>
        <w:r>
          <w:rPr>
            <w:noProof/>
            <w:webHidden/>
          </w:rPr>
          <w:fldChar w:fldCharType="separate"/>
        </w:r>
        <w:r>
          <w:rPr>
            <w:noProof/>
            <w:webHidden/>
          </w:rPr>
          <w:t>20</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68" w:history="1">
        <w:r w:rsidRPr="0037606A">
          <w:rPr>
            <w:rStyle w:val="Hyperlink"/>
            <w:noProof/>
          </w:rPr>
          <w:t>Figure 8 Electron transport chain.</w:t>
        </w:r>
        <w:r>
          <w:rPr>
            <w:noProof/>
            <w:webHidden/>
          </w:rPr>
          <w:tab/>
        </w:r>
        <w:r>
          <w:rPr>
            <w:noProof/>
            <w:webHidden/>
          </w:rPr>
          <w:fldChar w:fldCharType="begin"/>
        </w:r>
        <w:r>
          <w:rPr>
            <w:noProof/>
            <w:webHidden/>
          </w:rPr>
          <w:instrText xml:space="preserve"> PAGEREF _Toc376465868 \h </w:instrText>
        </w:r>
        <w:r>
          <w:rPr>
            <w:noProof/>
            <w:webHidden/>
          </w:rPr>
        </w:r>
        <w:r>
          <w:rPr>
            <w:noProof/>
            <w:webHidden/>
          </w:rPr>
          <w:fldChar w:fldCharType="separate"/>
        </w:r>
        <w:r>
          <w:rPr>
            <w:noProof/>
            <w:webHidden/>
          </w:rPr>
          <w:t>23</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69" w:history="1">
        <w:r w:rsidRPr="0037606A">
          <w:rPr>
            <w:rStyle w:val="Hyperlink"/>
            <w:noProof/>
          </w:rPr>
          <w:t>Figure 9 mTOR control of cap-dependent translation.</w:t>
        </w:r>
        <w:r>
          <w:rPr>
            <w:noProof/>
            <w:webHidden/>
          </w:rPr>
          <w:tab/>
        </w:r>
        <w:r>
          <w:rPr>
            <w:noProof/>
            <w:webHidden/>
          </w:rPr>
          <w:fldChar w:fldCharType="begin"/>
        </w:r>
        <w:r>
          <w:rPr>
            <w:noProof/>
            <w:webHidden/>
          </w:rPr>
          <w:instrText xml:space="preserve"> PAGEREF _Toc376465869 \h </w:instrText>
        </w:r>
        <w:r>
          <w:rPr>
            <w:noProof/>
            <w:webHidden/>
          </w:rPr>
        </w:r>
        <w:r>
          <w:rPr>
            <w:noProof/>
            <w:webHidden/>
          </w:rPr>
          <w:fldChar w:fldCharType="separate"/>
        </w:r>
        <w:r>
          <w:rPr>
            <w:noProof/>
            <w:webHidden/>
          </w:rPr>
          <w:t>38</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70" w:history="1">
        <w:r w:rsidRPr="0037606A">
          <w:rPr>
            <w:rStyle w:val="Hyperlink"/>
            <w:noProof/>
          </w:rPr>
          <w:t>Figure 10 The mTORC1 pathway.</w:t>
        </w:r>
        <w:r>
          <w:rPr>
            <w:noProof/>
            <w:webHidden/>
          </w:rPr>
          <w:tab/>
        </w:r>
        <w:r>
          <w:rPr>
            <w:noProof/>
            <w:webHidden/>
          </w:rPr>
          <w:fldChar w:fldCharType="begin"/>
        </w:r>
        <w:r>
          <w:rPr>
            <w:noProof/>
            <w:webHidden/>
          </w:rPr>
          <w:instrText xml:space="preserve"> PAGEREF _Toc376465870 \h </w:instrText>
        </w:r>
        <w:r>
          <w:rPr>
            <w:noProof/>
            <w:webHidden/>
          </w:rPr>
        </w:r>
        <w:r>
          <w:rPr>
            <w:noProof/>
            <w:webHidden/>
          </w:rPr>
          <w:fldChar w:fldCharType="separate"/>
        </w:r>
        <w:r>
          <w:rPr>
            <w:noProof/>
            <w:webHidden/>
          </w:rPr>
          <w:t>39</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71" w:history="1">
        <w:r w:rsidRPr="0037606A">
          <w:rPr>
            <w:rStyle w:val="Hyperlink"/>
            <w:noProof/>
          </w:rPr>
          <w:t>Figure 11 Ubiquitin proteasome pathway.</w:t>
        </w:r>
        <w:r>
          <w:rPr>
            <w:noProof/>
            <w:webHidden/>
          </w:rPr>
          <w:tab/>
        </w:r>
        <w:r>
          <w:rPr>
            <w:noProof/>
            <w:webHidden/>
          </w:rPr>
          <w:fldChar w:fldCharType="begin"/>
        </w:r>
        <w:r>
          <w:rPr>
            <w:noProof/>
            <w:webHidden/>
          </w:rPr>
          <w:instrText xml:space="preserve"> PAGEREF _Toc376465871 \h </w:instrText>
        </w:r>
        <w:r>
          <w:rPr>
            <w:noProof/>
            <w:webHidden/>
          </w:rPr>
        </w:r>
        <w:r>
          <w:rPr>
            <w:noProof/>
            <w:webHidden/>
          </w:rPr>
          <w:fldChar w:fldCharType="separate"/>
        </w:r>
        <w:r>
          <w:rPr>
            <w:noProof/>
            <w:webHidden/>
          </w:rPr>
          <w:t>42</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72" w:history="1">
        <w:r w:rsidRPr="0037606A">
          <w:rPr>
            <w:rStyle w:val="Hyperlink"/>
            <w:noProof/>
          </w:rPr>
          <w:t>Figure 12 Possible central and peripheral regulation of energy balance by leucine.</w:t>
        </w:r>
        <w:r>
          <w:rPr>
            <w:noProof/>
            <w:webHidden/>
          </w:rPr>
          <w:tab/>
        </w:r>
        <w:r>
          <w:rPr>
            <w:noProof/>
            <w:webHidden/>
          </w:rPr>
          <w:fldChar w:fldCharType="begin"/>
        </w:r>
        <w:r>
          <w:rPr>
            <w:noProof/>
            <w:webHidden/>
          </w:rPr>
          <w:instrText xml:space="preserve"> PAGEREF _Toc376465872 \h </w:instrText>
        </w:r>
        <w:r>
          <w:rPr>
            <w:noProof/>
            <w:webHidden/>
          </w:rPr>
        </w:r>
        <w:r>
          <w:rPr>
            <w:noProof/>
            <w:webHidden/>
          </w:rPr>
          <w:fldChar w:fldCharType="separate"/>
        </w:r>
        <w:r>
          <w:rPr>
            <w:noProof/>
            <w:webHidden/>
          </w:rPr>
          <w:t>43</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73" w:history="1">
        <w:r w:rsidRPr="0037606A">
          <w:rPr>
            <w:rStyle w:val="Hyperlink"/>
            <w:noProof/>
          </w:rPr>
          <w:t>Figure 13 Group assignments</w:t>
        </w:r>
        <w:r>
          <w:rPr>
            <w:noProof/>
            <w:webHidden/>
          </w:rPr>
          <w:tab/>
        </w:r>
        <w:r>
          <w:rPr>
            <w:noProof/>
            <w:webHidden/>
          </w:rPr>
          <w:fldChar w:fldCharType="begin"/>
        </w:r>
        <w:r>
          <w:rPr>
            <w:noProof/>
            <w:webHidden/>
          </w:rPr>
          <w:instrText xml:space="preserve"> PAGEREF _Toc376465873 \h </w:instrText>
        </w:r>
        <w:r>
          <w:rPr>
            <w:noProof/>
            <w:webHidden/>
          </w:rPr>
        </w:r>
        <w:r>
          <w:rPr>
            <w:noProof/>
            <w:webHidden/>
          </w:rPr>
          <w:fldChar w:fldCharType="separate"/>
        </w:r>
        <w:r>
          <w:rPr>
            <w:noProof/>
            <w:webHidden/>
          </w:rPr>
          <w:t>51</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74" w:history="1">
        <w:r w:rsidRPr="0037606A">
          <w:rPr>
            <w:rStyle w:val="Hyperlink"/>
            <w:noProof/>
          </w:rPr>
          <w:t>Figure 14 GAPDH primer/probe information.</w:t>
        </w:r>
        <w:r>
          <w:rPr>
            <w:noProof/>
            <w:webHidden/>
          </w:rPr>
          <w:tab/>
        </w:r>
        <w:r>
          <w:rPr>
            <w:noProof/>
            <w:webHidden/>
          </w:rPr>
          <w:fldChar w:fldCharType="begin"/>
        </w:r>
        <w:r>
          <w:rPr>
            <w:noProof/>
            <w:webHidden/>
          </w:rPr>
          <w:instrText xml:space="preserve"> PAGEREF _Toc376465874 \h </w:instrText>
        </w:r>
        <w:r>
          <w:rPr>
            <w:noProof/>
            <w:webHidden/>
          </w:rPr>
        </w:r>
        <w:r>
          <w:rPr>
            <w:noProof/>
            <w:webHidden/>
          </w:rPr>
          <w:fldChar w:fldCharType="separate"/>
        </w:r>
        <w:r>
          <w:rPr>
            <w:noProof/>
            <w:webHidden/>
          </w:rPr>
          <w:t>59</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75" w:history="1">
        <w:r w:rsidRPr="0037606A">
          <w:rPr>
            <w:rStyle w:val="Hyperlink"/>
            <w:noProof/>
          </w:rPr>
          <w:t>Figure 15 Cage position by group one week into treatment.</w:t>
        </w:r>
        <w:r>
          <w:rPr>
            <w:noProof/>
            <w:webHidden/>
          </w:rPr>
          <w:tab/>
        </w:r>
        <w:r>
          <w:rPr>
            <w:noProof/>
            <w:webHidden/>
          </w:rPr>
          <w:fldChar w:fldCharType="begin"/>
        </w:r>
        <w:r>
          <w:rPr>
            <w:noProof/>
            <w:webHidden/>
          </w:rPr>
          <w:instrText xml:space="preserve"> PAGEREF _Toc376465875 \h </w:instrText>
        </w:r>
        <w:r>
          <w:rPr>
            <w:noProof/>
            <w:webHidden/>
          </w:rPr>
        </w:r>
        <w:r>
          <w:rPr>
            <w:noProof/>
            <w:webHidden/>
          </w:rPr>
          <w:fldChar w:fldCharType="separate"/>
        </w:r>
        <w:r>
          <w:rPr>
            <w:noProof/>
            <w:webHidden/>
          </w:rPr>
          <w:t>70</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76" w:history="1">
        <w:r w:rsidRPr="0037606A">
          <w:rPr>
            <w:rStyle w:val="Hyperlink"/>
            <w:noProof/>
          </w:rPr>
          <w:t>Figure 16 Ghrelin by point and time.</w:t>
        </w:r>
        <w:r>
          <w:rPr>
            <w:noProof/>
            <w:webHidden/>
          </w:rPr>
          <w:tab/>
        </w:r>
        <w:r>
          <w:rPr>
            <w:noProof/>
            <w:webHidden/>
          </w:rPr>
          <w:fldChar w:fldCharType="begin"/>
        </w:r>
        <w:r>
          <w:rPr>
            <w:noProof/>
            <w:webHidden/>
          </w:rPr>
          <w:instrText xml:space="preserve"> PAGEREF _Toc376465876 \h </w:instrText>
        </w:r>
        <w:r>
          <w:rPr>
            <w:noProof/>
            <w:webHidden/>
          </w:rPr>
        </w:r>
        <w:r>
          <w:rPr>
            <w:noProof/>
            <w:webHidden/>
          </w:rPr>
          <w:fldChar w:fldCharType="separate"/>
        </w:r>
        <w:r>
          <w:rPr>
            <w:noProof/>
            <w:webHidden/>
          </w:rPr>
          <w:t>74</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77" w:history="1">
        <w:r w:rsidRPr="0037606A">
          <w:rPr>
            <w:rStyle w:val="Hyperlink"/>
            <w:noProof/>
          </w:rPr>
          <w:t>Figure 17 PYY by point and time</w:t>
        </w:r>
        <w:r>
          <w:rPr>
            <w:noProof/>
            <w:webHidden/>
          </w:rPr>
          <w:tab/>
        </w:r>
        <w:r>
          <w:rPr>
            <w:noProof/>
            <w:webHidden/>
          </w:rPr>
          <w:fldChar w:fldCharType="begin"/>
        </w:r>
        <w:r>
          <w:rPr>
            <w:noProof/>
            <w:webHidden/>
          </w:rPr>
          <w:instrText xml:space="preserve"> PAGEREF _Toc376465877 \h </w:instrText>
        </w:r>
        <w:r>
          <w:rPr>
            <w:noProof/>
            <w:webHidden/>
          </w:rPr>
        </w:r>
        <w:r>
          <w:rPr>
            <w:noProof/>
            <w:webHidden/>
          </w:rPr>
          <w:fldChar w:fldCharType="separate"/>
        </w:r>
        <w:r>
          <w:rPr>
            <w:noProof/>
            <w:webHidden/>
          </w:rPr>
          <w:t>75</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78" w:history="1">
        <w:r w:rsidRPr="0037606A">
          <w:rPr>
            <w:rStyle w:val="Hyperlink"/>
            <w:noProof/>
          </w:rPr>
          <w:t>Figure 18 GLP-1 by point and time.</w:t>
        </w:r>
        <w:r>
          <w:rPr>
            <w:noProof/>
            <w:webHidden/>
          </w:rPr>
          <w:tab/>
        </w:r>
        <w:r>
          <w:rPr>
            <w:noProof/>
            <w:webHidden/>
          </w:rPr>
          <w:fldChar w:fldCharType="begin"/>
        </w:r>
        <w:r>
          <w:rPr>
            <w:noProof/>
            <w:webHidden/>
          </w:rPr>
          <w:instrText xml:space="preserve"> PAGEREF _Toc376465878 \h </w:instrText>
        </w:r>
        <w:r>
          <w:rPr>
            <w:noProof/>
            <w:webHidden/>
          </w:rPr>
        </w:r>
        <w:r>
          <w:rPr>
            <w:noProof/>
            <w:webHidden/>
          </w:rPr>
          <w:fldChar w:fldCharType="separate"/>
        </w:r>
        <w:r>
          <w:rPr>
            <w:noProof/>
            <w:webHidden/>
          </w:rPr>
          <w:t>76</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79" w:history="1">
        <w:r w:rsidRPr="0037606A">
          <w:rPr>
            <w:rStyle w:val="Hyperlink"/>
            <w:noProof/>
          </w:rPr>
          <w:t>Figure 19 Glucose by point and time.</w:t>
        </w:r>
        <w:r>
          <w:rPr>
            <w:noProof/>
            <w:webHidden/>
          </w:rPr>
          <w:tab/>
        </w:r>
        <w:r>
          <w:rPr>
            <w:noProof/>
            <w:webHidden/>
          </w:rPr>
          <w:fldChar w:fldCharType="begin"/>
        </w:r>
        <w:r>
          <w:rPr>
            <w:noProof/>
            <w:webHidden/>
          </w:rPr>
          <w:instrText xml:space="preserve"> PAGEREF _Toc376465879 \h </w:instrText>
        </w:r>
        <w:r>
          <w:rPr>
            <w:noProof/>
            <w:webHidden/>
          </w:rPr>
        </w:r>
        <w:r>
          <w:rPr>
            <w:noProof/>
            <w:webHidden/>
          </w:rPr>
          <w:fldChar w:fldCharType="separate"/>
        </w:r>
        <w:r>
          <w:rPr>
            <w:noProof/>
            <w:webHidden/>
          </w:rPr>
          <w:t>77</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80" w:history="1">
        <w:r w:rsidRPr="0037606A">
          <w:rPr>
            <w:rStyle w:val="Hyperlink"/>
            <w:noProof/>
          </w:rPr>
          <w:t>Figure 20 Insulin by point and time; insulin:glucose ratio by time.</w:t>
        </w:r>
        <w:r>
          <w:rPr>
            <w:noProof/>
            <w:webHidden/>
          </w:rPr>
          <w:tab/>
        </w:r>
        <w:r>
          <w:rPr>
            <w:noProof/>
            <w:webHidden/>
          </w:rPr>
          <w:fldChar w:fldCharType="begin"/>
        </w:r>
        <w:r>
          <w:rPr>
            <w:noProof/>
            <w:webHidden/>
          </w:rPr>
          <w:instrText xml:space="preserve"> PAGEREF _Toc376465880 \h </w:instrText>
        </w:r>
        <w:r>
          <w:rPr>
            <w:noProof/>
            <w:webHidden/>
          </w:rPr>
        </w:r>
        <w:r>
          <w:rPr>
            <w:noProof/>
            <w:webHidden/>
          </w:rPr>
          <w:fldChar w:fldCharType="separate"/>
        </w:r>
        <w:r>
          <w:rPr>
            <w:noProof/>
            <w:webHidden/>
          </w:rPr>
          <w:t>78</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81" w:history="1">
        <w:r w:rsidRPr="0037606A">
          <w:rPr>
            <w:rStyle w:val="Hyperlink"/>
            <w:noProof/>
          </w:rPr>
          <w:t>Figure 21 Leptin by point and time.</w:t>
        </w:r>
        <w:r>
          <w:rPr>
            <w:noProof/>
            <w:webHidden/>
          </w:rPr>
          <w:tab/>
        </w:r>
        <w:r>
          <w:rPr>
            <w:noProof/>
            <w:webHidden/>
          </w:rPr>
          <w:fldChar w:fldCharType="begin"/>
        </w:r>
        <w:r>
          <w:rPr>
            <w:noProof/>
            <w:webHidden/>
          </w:rPr>
          <w:instrText xml:space="preserve"> PAGEREF _Toc376465881 \h </w:instrText>
        </w:r>
        <w:r>
          <w:rPr>
            <w:noProof/>
            <w:webHidden/>
          </w:rPr>
        </w:r>
        <w:r>
          <w:rPr>
            <w:noProof/>
            <w:webHidden/>
          </w:rPr>
          <w:fldChar w:fldCharType="separate"/>
        </w:r>
        <w:r>
          <w:rPr>
            <w:noProof/>
            <w:webHidden/>
          </w:rPr>
          <w:t>79</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82" w:history="1">
        <w:r w:rsidRPr="0037606A">
          <w:rPr>
            <w:rStyle w:val="Hyperlink"/>
            <w:noProof/>
          </w:rPr>
          <w:t>Figure 22 Adiponectin by point and time.</w:t>
        </w:r>
        <w:r>
          <w:rPr>
            <w:noProof/>
            <w:webHidden/>
          </w:rPr>
          <w:tab/>
        </w:r>
        <w:r>
          <w:rPr>
            <w:noProof/>
            <w:webHidden/>
          </w:rPr>
          <w:fldChar w:fldCharType="begin"/>
        </w:r>
        <w:r>
          <w:rPr>
            <w:noProof/>
            <w:webHidden/>
          </w:rPr>
          <w:instrText xml:space="preserve"> PAGEREF _Toc376465882 \h </w:instrText>
        </w:r>
        <w:r>
          <w:rPr>
            <w:noProof/>
            <w:webHidden/>
          </w:rPr>
        </w:r>
        <w:r>
          <w:rPr>
            <w:noProof/>
            <w:webHidden/>
          </w:rPr>
          <w:fldChar w:fldCharType="separate"/>
        </w:r>
        <w:r>
          <w:rPr>
            <w:noProof/>
            <w:webHidden/>
          </w:rPr>
          <w:t>80</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83" w:history="1">
        <w:r w:rsidRPr="0037606A">
          <w:rPr>
            <w:rStyle w:val="Hyperlink"/>
            <w:noProof/>
          </w:rPr>
          <w:t>Figure 23 Group assignments</w:t>
        </w:r>
        <w:r>
          <w:rPr>
            <w:noProof/>
            <w:webHidden/>
          </w:rPr>
          <w:tab/>
        </w:r>
        <w:r>
          <w:rPr>
            <w:noProof/>
            <w:webHidden/>
          </w:rPr>
          <w:fldChar w:fldCharType="begin"/>
        </w:r>
        <w:r>
          <w:rPr>
            <w:noProof/>
            <w:webHidden/>
          </w:rPr>
          <w:instrText xml:space="preserve"> PAGEREF _Toc376465883 \h </w:instrText>
        </w:r>
        <w:r>
          <w:rPr>
            <w:noProof/>
            <w:webHidden/>
          </w:rPr>
        </w:r>
        <w:r>
          <w:rPr>
            <w:noProof/>
            <w:webHidden/>
          </w:rPr>
          <w:fldChar w:fldCharType="separate"/>
        </w:r>
        <w:r>
          <w:rPr>
            <w:noProof/>
            <w:webHidden/>
          </w:rPr>
          <w:t>104</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84" w:history="1">
        <w:r w:rsidRPr="0037606A">
          <w:rPr>
            <w:rStyle w:val="Hyperlink"/>
            <w:noProof/>
          </w:rPr>
          <w:t>Figure 24 GAPDH primer/probe information.</w:t>
        </w:r>
        <w:r>
          <w:rPr>
            <w:noProof/>
            <w:webHidden/>
          </w:rPr>
          <w:tab/>
        </w:r>
        <w:r>
          <w:rPr>
            <w:noProof/>
            <w:webHidden/>
          </w:rPr>
          <w:fldChar w:fldCharType="begin"/>
        </w:r>
        <w:r>
          <w:rPr>
            <w:noProof/>
            <w:webHidden/>
          </w:rPr>
          <w:instrText xml:space="preserve"> PAGEREF _Toc376465884 \h </w:instrText>
        </w:r>
        <w:r>
          <w:rPr>
            <w:noProof/>
            <w:webHidden/>
          </w:rPr>
        </w:r>
        <w:r>
          <w:rPr>
            <w:noProof/>
            <w:webHidden/>
          </w:rPr>
          <w:fldChar w:fldCharType="separate"/>
        </w:r>
        <w:r>
          <w:rPr>
            <w:noProof/>
            <w:webHidden/>
          </w:rPr>
          <w:t>111</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85" w:history="1">
        <w:r w:rsidRPr="0037606A">
          <w:rPr>
            <w:rStyle w:val="Hyperlink"/>
            <w:noProof/>
          </w:rPr>
          <w:t>Figure 25 Cage position by group one week into treatment.</w:t>
        </w:r>
        <w:r>
          <w:rPr>
            <w:noProof/>
            <w:webHidden/>
          </w:rPr>
          <w:tab/>
        </w:r>
        <w:r>
          <w:rPr>
            <w:noProof/>
            <w:webHidden/>
          </w:rPr>
          <w:fldChar w:fldCharType="begin"/>
        </w:r>
        <w:r>
          <w:rPr>
            <w:noProof/>
            <w:webHidden/>
          </w:rPr>
          <w:instrText xml:space="preserve"> PAGEREF _Toc376465885 \h </w:instrText>
        </w:r>
        <w:r>
          <w:rPr>
            <w:noProof/>
            <w:webHidden/>
          </w:rPr>
        </w:r>
        <w:r>
          <w:rPr>
            <w:noProof/>
            <w:webHidden/>
          </w:rPr>
          <w:fldChar w:fldCharType="separate"/>
        </w:r>
        <w:r>
          <w:rPr>
            <w:noProof/>
            <w:webHidden/>
          </w:rPr>
          <w:t>121</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86" w:history="1">
        <w:r w:rsidRPr="0037606A">
          <w:rPr>
            <w:rStyle w:val="Hyperlink"/>
            <w:noProof/>
          </w:rPr>
          <w:t>Figure 26 Ghrelin by point and time.</w:t>
        </w:r>
        <w:r>
          <w:rPr>
            <w:noProof/>
            <w:webHidden/>
          </w:rPr>
          <w:tab/>
        </w:r>
        <w:r>
          <w:rPr>
            <w:noProof/>
            <w:webHidden/>
          </w:rPr>
          <w:fldChar w:fldCharType="begin"/>
        </w:r>
        <w:r>
          <w:rPr>
            <w:noProof/>
            <w:webHidden/>
          </w:rPr>
          <w:instrText xml:space="preserve"> PAGEREF _Toc376465886 \h </w:instrText>
        </w:r>
        <w:r>
          <w:rPr>
            <w:noProof/>
            <w:webHidden/>
          </w:rPr>
        </w:r>
        <w:r>
          <w:rPr>
            <w:noProof/>
            <w:webHidden/>
          </w:rPr>
          <w:fldChar w:fldCharType="separate"/>
        </w:r>
        <w:r>
          <w:rPr>
            <w:noProof/>
            <w:webHidden/>
          </w:rPr>
          <w:t>123</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87" w:history="1">
        <w:r w:rsidRPr="0037606A">
          <w:rPr>
            <w:rStyle w:val="Hyperlink"/>
            <w:noProof/>
          </w:rPr>
          <w:t>Figure 27 PYY by point and time.</w:t>
        </w:r>
        <w:r>
          <w:rPr>
            <w:noProof/>
            <w:webHidden/>
          </w:rPr>
          <w:tab/>
        </w:r>
        <w:r>
          <w:rPr>
            <w:noProof/>
            <w:webHidden/>
          </w:rPr>
          <w:fldChar w:fldCharType="begin"/>
        </w:r>
        <w:r>
          <w:rPr>
            <w:noProof/>
            <w:webHidden/>
          </w:rPr>
          <w:instrText xml:space="preserve"> PAGEREF _Toc376465887 \h </w:instrText>
        </w:r>
        <w:r>
          <w:rPr>
            <w:noProof/>
            <w:webHidden/>
          </w:rPr>
        </w:r>
        <w:r>
          <w:rPr>
            <w:noProof/>
            <w:webHidden/>
          </w:rPr>
          <w:fldChar w:fldCharType="separate"/>
        </w:r>
        <w:r>
          <w:rPr>
            <w:noProof/>
            <w:webHidden/>
          </w:rPr>
          <w:t>124</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88" w:history="1">
        <w:r w:rsidRPr="0037606A">
          <w:rPr>
            <w:rStyle w:val="Hyperlink"/>
            <w:noProof/>
          </w:rPr>
          <w:t>Figure 28 GLP-1 by point and time.</w:t>
        </w:r>
        <w:r>
          <w:rPr>
            <w:noProof/>
            <w:webHidden/>
          </w:rPr>
          <w:tab/>
        </w:r>
        <w:r>
          <w:rPr>
            <w:noProof/>
            <w:webHidden/>
          </w:rPr>
          <w:fldChar w:fldCharType="begin"/>
        </w:r>
        <w:r>
          <w:rPr>
            <w:noProof/>
            <w:webHidden/>
          </w:rPr>
          <w:instrText xml:space="preserve"> PAGEREF _Toc376465888 \h </w:instrText>
        </w:r>
        <w:r>
          <w:rPr>
            <w:noProof/>
            <w:webHidden/>
          </w:rPr>
        </w:r>
        <w:r>
          <w:rPr>
            <w:noProof/>
            <w:webHidden/>
          </w:rPr>
          <w:fldChar w:fldCharType="separate"/>
        </w:r>
        <w:r>
          <w:rPr>
            <w:noProof/>
            <w:webHidden/>
          </w:rPr>
          <w:t>125</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89" w:history="1">
        <w:r w:rsidRPr="0037606A">
          <w:rPr>
            <w:rStyle w:val="Hyperlink"/>
            <w:noProof/>
          </w:rPr>
          <w:t>Figure 29 Glucose by point and time.</w:t>
        </w:r>
        <w:r>
          <w:rPr>
            <w:noProof/>
            <w:webHidden/>
          </w:rPr>
          <w:tab/>
        </w:r>
        <w:r>
          <w:rPr>
            <w:noProof/>
            <w:webHidden/>
          </w:rPr>
          <w:fldChar w:fldCharType="begin"/>
        </w:r>
        <w:r>
          <w:rPr>
            <w:noProof/>
            <w:webHidden/>
          </w:rPr>
          <w:instrText xml:space="preserve"> PAGEREF _Toc376465889 \h </w:instrText>
        </w:r>
        <w:r>
          <w:rPr>
            <w:noProof/>
            <w:webHidden/>
          </w:rPr>
        </w:r>
        <w:r>
          <w:rPr>
            <w:noProof/>
            <w:webHidden/>
          </w:rPr>
          <w:fldChar w:fldCharType="separate"/>
        </w:r>
        <w:r>
          <w:rPr>
            <w:noProof/>
            <w:webHidden/>
          </w:rPr>
          <w:t>126</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90" w:history="1">
        <w:r w:rsidRPr="0037606A">
          <w:rPr>
            <w:rStyle w:val="Hyperlink"/>
            <w:noProof/>
          </w:rPr>
          <w:t>Figure 30 Insulin by point and time; insulin:glucose ratio by time.</w:t>
        </w:r>
        <w:r>
          <w:rPr>
            <w:noProof/>
            <w:webHidden/>
          </w:rPr>
          <w:tab/>
        </w:r>
        <w:r>
          <w:rPr>
            <w:noProof/>
            <w:webHidden/>
          </w:rPr>
          <w:fldChar w:fldCharType="begin"/>
        </w:r>
        <w:r>
          <w:rPr>
            <w:noProof/>
            <w:webHidden/>
          </w:rPr>
          <w:instrText xml:space="preserve"> PAGEREF _Toc376465890 \h </w:instrText>
        </w:r>
        <w:r>
          <w:rPr>
            <w:noProof/>
            <w:webHidden/>
          </w:rPr>
        </w:r>
        <w:r>
          <w:rPr>
            <w:noProof/>
            <w:webHidden/>
          </w:rPr>
          <w:fldChar w:fldCharType="separate"/>
        </w:r>
        <w:r>
          <w:rPr>
            <w:noProof/>
            <w:webHidden/>
          </w:rPr>
          <w:t>127</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91" w:history="1">
        <w:r w:rsidRPr="0037606A">
          <w:rPr>
            <w:rStyle w:val="Hyperlink"/>
            <w:noProof/>
          </w:rPr>
          <w:t>Figure 31 Leptin by point and time.</w:t>
        </w:r>
        <w:r>
          <w:rPr>
            <w:noProof/>
            <w:webHidden/>
          </w:rPr>
          <w:tab/>
        </w:r>
        <w:r>
          <w:rPr>
            <w:noProof/>
            <w:webHidden/>
          </w:rPr>
          <w:fldChar w:fldCharType="begin"/>
        </w:r>
        <w:r>
          <w:rPr>
            <w:noProof/>
            <w:webHidden/>
          </w:rPr>
          <w:instrText xml:space="preserve"> PAGEREF _Toc376465891 \h </w:instrText>
        </w:r>
        <w:r>
          <w:rPr>
            <w:noProof/>
            <w:webHidden/>
          </w:rPr>
        </w:r>
        <w:r>
          <w:rPr>
            <w:noProof/>
            <w:webHidden/>
          </w:rPr>
          <w:fldChar w:fldCharType="separate"/>
        </w:r>
        <w:r>
          <w:rPr>
            <w:noProof/>
            <w:webHidden/>
          </w:rPr>
          <w:t>128</w:t>
        </w:r>
        <w:r>
          <w:rPr>
            <w:noProof/>
            <w:webHidden/>
          </w:rPr>
          <w:fldChar w:fldCharType="end"/>
        </w:r>
      </w:hyperlink>
    </w:p>
    <w:p w:rsidR="007F0498" w:rsidRDefault="007F0498">
      <w:pPr>
        <w:pStyle w:val="TableofFigures"/>
        <w:tabs>
          <w:tab w:val="right" w:leader="dot" w:pos="8630"/>
        </w:tabs>
        <w:rPr>
          <w:rFonts w:asciiTheme="minorHAnsi" w:eastAsiaTheme="minorEastAsia" w:hAnsiTheme="minorHAnsi" w:cstheme="minorBidi"/>
          <w:noProof/>
          <w:sz w:val="22"/>
          <w:szCs w:val="22"/>
        </w:rPr>
      </w:pPr>
      <w:hyperlink w:anchor="_Toc376465892" w:history="1">
        <w:r w:rsidRPr="0037606A">
          <w:rPr>
            <w:rStyle w:val="Hyperlink"/>
            <w:noProof/>
          </w:rPr>
          <w:t>Figure 32 Adiponectin by point and time.</w:t>
        </w:r>
        <w:r>
          <w:rPr>
            <w:noProof/>
            <w:webHidden/>
          </w:rPr>
          <w:tab/>
        </w:r>
        <w:r>
          <w:rPr>
            <w:noProof/>
            <w:webHidden/>
          </w:rPr>
          <w:fldChar w:fldCharType="begin"/>
        </w:r>
        <w:r>
          <w:rPr>
            <w:noProof/>
            <w:webHidden/>
          </w:rPr>
          <w:instrText xml:space="preserve"> PAGEREF _Toc376465892 \h </w:instrText>
        </w:r>
        <w:r>
          <w:rPr>
            <w:noProof/>
            <w:webHidden/>
          </w:rPr>
        </w:r>
        <w:r>
          <w:rPr>
            <w:noProof/>
            <w:webHidden/>
          </w:rPr>
          <w:fldChar w:fldCharType="separate"/>
        </w:r>
        <w:r>
          <w:rPr>
            <w:noProof/>
            <w:webHidden/>
          </w:rPr>
          <w:t>129</w:t>
        </w:r>
        <w:r>
          <w:rPr>
            <w:noProof/>
            <w:webHidden/>
          </w:rPr>
          <w:fldChar w:fldCharType="end"/>
        </w:r>
      </w:hyperlink>
    </w:p>
    <w:p w:rsidR="00387656" w:rsidRPr="005E54E2" w:rsidRDefault="00387656" w:rsidP="00387656">
      <w:r>
        <w:fldChar w:fldCharType="end"/>
      </w:r>
      <w:r w:rsidRPr="005E54E2">
        <w:t xml:space="preserve"> </w:t>
      </w:r>
    </w:p>
    <w:p w:rsidR="003C1575" w:rsidRPr="005E54E2" w:rsidRDefault="003C1575" w:rsidP="005E54E2"/>
    <w:p w:rsidR="0085757D" w:rsidRPr="005E54E2" w:rsidRDefault="0085757D" w:rsidP="005E54E2"/>
    <w:p w:rsidR="0085757D" w:rsidRPr="005E54E2" w:rsidRDefault="0085757D" w:rsidP="005E54E2"/>
    <w:p w:rsidR="0085757D" w:rsidRPr="005E54E2" w:rsidRDefault="0085757D" w:rsidP="005E54E2"/>
    <w:p w:rsidR="0085757D" w:rsidRPr="00313B3D" w:rsidRDefault="0085757D" w:rsidP="005E54E2"/>
    <w:p w:rsidR="0085757D" w:rsidRPr="00313B3D" w:rsidRDefault="0085757D" w:rsidP="005E54E2">
      <w:pPr>
        <w:sectPr w:rsidR="0085757D" w:rsidRPr="00313B3D" w:rsidSect="00F92278">
          <w:footerReference w:type="default" r:id="rId10"/>
          <w:pgSz w:w="12240" w:h="15840" w:code="1"/>
          <w:pgMar w:top="1440" w:right="1800" w:bottom="1872" w:left="1800" w:header="720" w:footer="1440" w:gutter="0"/>
          <w:pgNumType w:fmt="lowerRoman" w:start="1"/>
          <w:cols w:space="720"/>
          <w:noEndnote/>
          <w:titlePg/>
        </w:sectPr>
      </w:pPr>
    </w:p>
    <w:p w:rsidR="00941B51" w:rsidRPr="00FD5855" w:rsidRDefault="00941B51" w:rsidP="00FD5855">
      <w:pPr>
        <w:pStyle w:val="Heading1"/>
      </w:pPr>
      <w:bookmarkStart w:id="2" w:name="_Toc289175819"/>
      <w:bookmarkStart w:id="3" w:name="_Toc361328065"/>
      <w:bookmarkStart w:id="4" w:name="_Toc376465751"/>
      <w:r w:rsidRPr="00FD5855">
        <w:lastRenderedPageBreak/>
        <w:t>INTRODUCTION</w:t>
      </w:r>
      <w:bookmarkEnd w:id="2"/>
      <w:bookmarkEnd w:id="3"/>
      <w:bookmarkEnd w:id="4"/>
    </w:p>
    <w:p w:rsidR="00941B51" w:rsidRPr="00FD5855" w:rsidRDefault="00941B51" w:rsidP="00FD5855">
      <w:pPr>
        <w:pStyle w:val="Heading2"/>
      </w:pPr>
      <w:bookmarkStart w:id="5" w:name="_Toc376465752"/>
      <w:r w:rsidRPr="00FD5855">
        <w:t>Statement of problem: obesity</w:t>
      </w:r>
      <w:bookmarkEnd w:id="5"/>
    </w:p>
    <w:p w:rsidR="00941B51" w:rsidRPr="003A0EF9" w:rsidRDefault="00941B51" w:rsidP="00941B51">
      <w:pPr>
        <w:ind w:firstLine="720"/>
        <w:contextualSpacing/>
      </w:pPr>
      <w:r w:rsidRPr="003A0EF9">
        <w:t>Overweight and obesity are serious public health conditions currently affectin</w:t>
      </w:r>
      <w:r w:rsidRPr="006061AD">
        <w:t>g</w:t>
      </w:r>
      <w:r w:rsidR="006061AD" w:rsidRPr="006061AD">
        <w:t xml:space="preserve"> a </w:t>
      </w:r>
      <w:r w:rsidR="006061AD">
        <w:t>considerable</w:t>
      </w:r>
      <w:r w:rsidR="006061AD" w:rsidRPr="006061AD">
        <w:t xml:space="preserve"> </w:t>
      </w:r>
      <w:r w:rsidR="00FC311C" w:rsidRPr="006061AD">
        <w:t>portion</w:t>
      </w:r>
      <w:r w:rsidRPr="006061AD">
        <w:t xml:space="preserve"> of the global population.  </w:t>
      </w:r>
      <w:r w:rsidR="0068304B" w:rsidRPr="006061AD">
        <w:t>T</w:t>
      </w:r>
      <w:r w:rsidRPr="006061AD">
        <w:t xml:space="preserve">he Centers for Disease Control </w:t>
      </w:r>
      <w:r w:rsidRPr="003A0EF9">
        <w:t>and Prevention (CDC) and the National Center fo</w:t>
      </w:r>
      <w:r w:rsidR="0068304B">
        <w:t>r Health Statistics (NCHS) estim</w:t>
      </w:r>
      <w:r w:rsidR="00CC106C">
        <w:t>ate that in 2007 - 2010</w:t>
      </w:r>
      <w:r w:rsidRPr="003A0EF9">
        <w:t>, 68.</w:t>
      </w:r>
      <w:r w:rsidR="00CC106C">
        <w:t>5</w:t>
      </w:r>
      <w:r w:rsidRPr="003A0EF9">
        <w:t>% of adults in the United Stat</w:t>
      </w:r>
      <w:r w:rsidR="00CC106C">
        <w:t>es (US) were overweight and 35.3</w:t>
      </w:r>
      <w:r w:rsidRPr="003A0EF9">
        <w:t>% of those people were considered obese.</w:t>
      </w:r>
      <w:r w:rsidRPr="003A0EF9">
        <w:fldChar w:fldCharType="begin"/>
      </w:r>
      <w:r>
        <w:instrText xml:space="preserve"> ADDIN ZOTERO_ITEM CSL_CITATION {"citationID":"hoisnhvb7","properties":{"formattedCitation":"{\\rtf \\super 1\\nosupersub{}}","plainCitation":"1"},"citationItems":[{"id":736,"uris":["http://zotero.org/users/171999/items/KK2NA5KG"],"uri":["http://zotero.org/users/171999/items/KK2NA5KG"],"itemData":{"id":736,"type":"article-journal","title":"Health, United States, 2011: With Special Feature on Socioeconomic Status and Health","URL":"http://www.cdc.gov/nchs/data/hus/hus11.pdf#069","author":[{"family":"National Center for Health Statistics","given":""}],"issued":{"date-parts":[["2012"]]},"accessed":{"date-parts":[["2012",10,4]]}}}],"schema":"https://github.com/citation-style-language/schema/raw/master/csl-citation.json"} </w:instrText>
      </w:r>
      <w:r w:rsidRPr="003A0EF9">
        <w:fldChar w:fldCharType="separate"/>
      </w:r>
      <w:r w:rsidRPr="003A0EF9">
        <w:rPr>
          <w:vertAlign w:val="superscript"/>
        </w:rPr>
        <w:t>1</w:t>
      </w:r>
      <w:r w:rsidRPr="003A0EF9">
        <w:fldChar w:fldCharType="end"/>
      </w:r>
      <w:r w:rsidRPr="003A0EF9">
        <w:t xml:space="preserve">  The World Health Organization (WHO) reports that in 2008, more than 1.4 billion adults were overweight, with 500 million of those considered obese.</w:t>
      </w:r>
      <w:r w:rsidRPr="003A0EF9">
        <w:fldChar w:fldCharType="begin"/>
      </w:r>
      <w:r>
        <w:instrText xml:space="preserve"> ADDIN ZOTERO_ITEM CSL_CITATION {"citationID":"y6poamAi","properties":{"formattedCitation":"{\\rtf \\super 2\\nosupersub{}}","plainCitation":"2"},"citationItems":[{"id":5,"uris":["http://zotero.org/users/171999/items/65W726DB"],"uri":["http://zotero.org/users/171999/items/65W726DB"],"itemData":{"id":5,"type":"webpage","title":"Obesity and overweight","URL":"http://www.who.int/mediacentre/factsheets/fs311/en/index.html","author":[{"family":"WHO","given":""}],"issued":{"date-parts":[["2013",3]]},"accessed":{"date-parts":[["2013",10,10]]}}}],"schema":"https://github.com/citation-style-language/schema/raw/master/csl-citation.json"} </w:instrText>
      </w:r>
      <w:r w:rsidRPr="003A0EF9">
        <w:fldChar w:fldCharType="separate"/>
      </w:r>
      <w:r w:rsidRPr="003A0EF9">
        <w:rPr>
          <w:vertAlign w:val="superscript"/>
        </w:rPr>
        <w:t>2</w:t>
      </w:r>
      <w:r w:rsidRPr="003A0EF9">
        <w:fldChar w:fldCharType="end"/>
      </w:r>
      <w:r w:rsidRPr="003A0EF9">
        <w:t xml:space="preserve">  Using an estimated world population of 6.7 billion in 2008 as reported by the Population Reference Bureau (PRB), the WHO estimates translate to a global overweight prevalence of 20.9%, with 35.7% of those classified as obese.</w:t>
      </w:r>
      <w:r w:rsidRPr="003A0EF9">
        <w:fldChar w:fldCharType="begin"/>
      </w:r>
      <w:r>
        <w:instrText xml:space="preserve"> ADDIN ZOTERO_ITEM CSL_CITATION {"citationID":"d0d4GXuM","properties":{"formattedCitation":"{\\rtf \\super 2,3\\nosupersub{}}","plainCitation":"2,3"},"citationItems":[{"id":5,"uris":["http://zotero.org/users/171999/items/65W726DB"],"uri":["http://zotero.org/users/171999/items/65W726DB"],"itemData":{"id":5,"type":"webpage","title":"Obesity and overweight","URL":"http://www.who.int/mediacentre/factsheets/fs311/en/index.html","author":[{"family":"WHO","given":""}],"issued":{"date-parts":[["2013",3]]},"accessed":{"date-parts":[["2013",10,10]]}}},{"id":7,"uris":["http://zotero.org/users/171999/items/KD8IBKQV"],"uri":["http://zotero.org/users/171999/items/KD8IBKQV"],"itemData":{"id":7,"type":"report","title":"2008 World Population Data Sheet","publisher":"Population Reference Bureau","publisher-place":"Washington, DC","page":"16","event-place":"Washington, DC","URL":"http://www.prb.org/Publications/Datasheets/2008/2008wpds.aspx","author":[{"family":"Population Reference Bureau","given":""}],"issued":{"date-parts":[["2008"]]},"accessed":{"date-parts":[["2013",10,10]]}}}],"schema":"https://github.com/citation-style-language/schema/raw/master/csl-citation.json"} </w:instrText>
      </w:r>
      <w:r w:rsidRPr="003A0EF9">
        <w:fldChar w:fldCharType="separate"/>
      </w:r>
      <w:r w:rsidRPr="003A0EF9">
        <w:rPr>
          <w:vertAlign w:val="superscript"/>
        </w:rPr>
        <w:t>2,3</w:t>
      </w:r>
      <w:r w:rsidRPr="003A0EF9">
        <w:fldChar w:fldCharType="end"/>
      </w:r>
      <w:r w:rsidRPr="003A0EF9">
        <w:t xml:space="preserve">   Overweight adults are typically defined as those having a body mass index (BMI; weight (kg)/height (m) squared) from 25.0-29.9 while obese adults are those with a BMI of 30.0 or above.</w:t>
      </w:r>
      <w:r w:rsidRPr="003A0EF9">
        <w:fldChar w:fldCharType="begin"/>
      </w:r>
      <w:r>
        <w:instrText xml:space="preserve"> ADDIN ZOTERO_ITEM CSL_CITATION {"citationID":"Gz2woUAh","properties":{"formattedCitation":"{\\rtf \\super 2,4,5\\nosupersub{}}","plainCitation":"2,4,5"},"citationItems":[{"id":5,"uris":["http://zotero.org/users/171999/items/65W726DB"],"uri":["http://zotero.org/users/171999/items/65W726DB"],"itemData":{"id":5,"type":"webpage","title":"Obesity and overweight","URL":"http://www.who.int/mediacentre/factsheets/fs311/en/index.html","author":[{"family":"WHO","given":""}],"issued":{"date-parts":[["2013",3]]},"accessed":{"date-parts":[["2013",10,10]]}}},{"id":9,"uris":["http://zotero.org/users/171999/items/7U3SP4MR"],"uri":["http://zotero.org/users/171999/items/7U3SP4MR"],"itemData":{"id":9,"type":"article-journal","title":"Overweight and obesity in the United States: prevalence and trends, 1960-1994","container-title":"International journal of obesity and related metabolic disorders: journal of the International Association for the Study of Obesity","page":"39-47","volume":"22","issue":"1","source":"NCBI PubMed","abstract":"OBJECTIVE: To describe the prevalence of, and trends in, overweight and obesity in the US population using standardized international definitions.\nDESIGN: Successive cross-sectional nationally representative surveys, including the National Health Examination Survey (NHES I; 1960-62) and the National Health and Nutrition Examination Surveys (NHANES I: 1971-1974; NHANES II: 1976-1980; NHANES III: 1988-94). Body mass index (BMI:kg/m2) was calculated from measured weight and height. Overweight and obesity were defined as follows: Overweight (BMI &gt; or = 25.0); pre-obese (BMI 25.0-29.9), class I obesity (BMI 30.0-34.9), class II obesity (BMI 35.0-39.9), and class III obesity (BMI &gt; or = 40.0).\nRESULTS: For men and women aged 20-74 y, the age-adjusted prevalence of BMI 25.0-29.9 showed little or no increase over time (NHES I: 30.5%, NHANES I: 32.0%, NHANES II: 31.5% and NHANES III: 32.0%) but the prevalence of obesity (BMI &gt; or = 30.0) showed a large increase between NHANES II and NHANES III (NHES I: 12.8%; NHANES I, 14.1%; NHANES II, 14.5% and NHANES III, 22.5%). Trends were generally similar for all age, gender and race-ethnic groups. The crude prevalence of overweight and obesity (BMI &gt; 25.0) for age &gt; or = 20 y was 59.4% for men, 50.7% for women and 54.9% overall. The prevalence of class III obesity (BMI &gt; or = 40.0) exceeded 10% for non-Hispanic black women aged 40-59 y.\nCONCLUSIONS: Between 1976-80 and 1988-94, the prevalence of obesity (BMI &gt; or= 30.0) increased markedly in the US. These findings are in agreement with trends seen elsewhere in the world. Use of standardized definitions facilitates international comparisons.","ISSN":"0307-0565","note":"PMID: 9481598","shortTitle":"Overweight and obesity in the United States","journalAbbreviation":"Int. J. Obes. Relat. Metab. Disord.","language":"eng","author":[{"family":"Flegal","given":"K M"},{"family":"Carroll","given":"M D"},{"family":"Kuczmarski","given":"R J"},{"family":"Johnson","given":"C L"}],"issued":{"date-parts":[["1998",1]]},"PMID":"9481598"}},{"id":12,"uris":["http://zotero.org/users/171999/items/UUR7UH8H"],"uri":["http://zotero.org/users/171999/items/UUR7UH8H"],"itemData":{"id":12,"type":"report","title":"Dietary Guidelines for Americans 2010","publisher":"US Government Printing Office","publisher-place":"Washington, DC","page":"112","event-place":"Washington, DC","URL":"http://health.gov/dietaryguidelines/dga2010/dietaryguidelines2010.pdf","number":"7th edition","author":[{"family":"US Department of Agriculture and US Department of Health and Human Services","given":""}],"issued":{"date-parts":[["2010",12]]},"accessed":{"date-parts":[["2013",10,10]]}}}],"schema":"https://github.com/citation-style-language/schema/raw/master/csl-citation.json"} </w:instrText>
      </w:r>
      <w:r w:rsidRPr="003A0EF9">
        <w:fldChar w:fldCharType="separate"/>
      </w:r>
      <w:r w:rsidRPr="003A0EF9">
        <w:rPr>
          <w:vertAlign w:val="superscript"/>
        </w:rPr>
        <w:t>2</w:t>
      </w:r>
      <w:proofErr w:type="gramStart"/>
      <w:r w:rsidRPr="003A0EF9">
        <w:rPr>
          <w:vertAlign w:val="superscript"/>
        </w:rPr>
        <w:t>,4,5</w:t>
      </w:r>
      <w:proofErr w:type="gramEnd"/>
      <w:r w:rsidRPr="003A0EF9">
        <w:fldChar w:fldCharType="end"/>
      </w:r>
      <w:r w:rsidRPr="003A0EF9">
        <w:t xml:space="preserve">  Overweight and obesity also affect canines, although there is not currently a central agency tracking yearly data trends.  Various prevalence data have been published with 22.9-59.3% of adult dogs i</w:t>
      </w:r>
      <w:r w:rsidR="00CC106C">
        <w:t>n the US, Australia, France, China, and</w:t>
      </w:r>
      <w:r w:rsidRPr="003A0EF9">
        <w:t xml:space="preserve"> United Kingdom being described as overweight or obese.</w:t>
      </w:r>
      <w:r w:rsidRPr="003A0EF9">
        <w:fldChar w:fldCharType="begin"/>
      </w:r>
      <w:r w:rsidR="00CC106C">
        <w:instrText xml:space="preserve"> ADDIN ZOTERO_ITEM CSL_CITATION {"citationID":"itqAyI3Y","properties":{"formattedCitation":"{\\rtf \\super 6\\uc0\\u8211{}14\\nosupersub{}}","plainCitation":"6–14"},"citationItems":[{"id":13,"uris":["http://zotero.org/users/171999/items/934HWIHU"],"uri":["http://zotero.org/users/171999/items/934HWIHU"],"itemData":{"id":13,"type":"article-journal","title":"Prevalence and risk factors for obesity in adult dogs from private US veterinary practices.","container-title":"International Journal of Applied Research in Veterinary Medicine","volume":"4","issue":"2","source":"ISI Web of Knowledge","abstract":"Using a cross-sectional study design, the prevalence of overweight and obesity in dogs over 1 year of age seen by US veterinarians during 1995 was determined. Risk factors for overweight and obesity were also determined from the following variables: age, breed, gender, body condition score, food type, reported concurrent disease, and geographic region. Thirty-four percent of adult dogs (n=21,754) were overweight or obese. From multivariate analyses, overweight dogs were more likely to be older, of certain breeds (Cocker Spaniel, Labrador Retriever, Dalmatian, Dachshund, Rottweiler, Golden Retriever, Shetland Sheepdog, Mixed-breed), neutered, and to consume a semi-moist food as their major diet source. In addition, overweight adult dogs were most likely to reside in the Pacific, South Central, East North Central, or Northeast regions of the United States and be diagnosed with hyperadrenocorticism, ruptured cruciate ligament, hypothyroidism, lower urinary tract disease, or oral disease. Obese dogs were more likely to be older, of certain breeds (Shetland Sheepdog, Dachshund, and Golden Retriever), neutered, and to consume \"other\" foods (meat or other food products, commercial treats, or table scraps), homemade, or canned foods as their major diet source. Also, obese adult dogs were more likely to live in the Pacific or Northeast region of the United States and be diagnosed with hypothyroidism, diabetes mellitus, pancreatitis, ruptured cruciate ligament, or neoplasia. Practitioners can use these data to counsel dog owners on obesity prevention, especially owners of dogs with ≥1 risk factors for overweight/obesity, and to strongly advocate for the maintenance of canine patients at an ideal body condition.","ISSN":"1542-2666","language":"English","author":[{"family":"Lund","given":"E. M."},{"family":"Armstrong","given":"P. J."},{"family":"Kirk","given":"C. A."},{"family":"Klausner","given":"J. S."}],"issued":{"date-parts":[["2006"]]}}},{"id":14,"uris":["http://zotero.org/users/171999/items/45JH5SVI"],"uri":["http://zotero.org/users/171999/items/45JH5SVI"],"itemData":{"id":14,"type":"article-journal","title":"Body condition and diet of relatively healthy older dogs","container-title":"The Journal of nutrition","page":"S58-59","volume":"121","issue":"11 Suppl","source":"NCBI PubMed","ISSN":"0022-3166","note":"PMID: 1941239","journalAbbreviation":"J. Nutr.","language":"eng","author":[{"family":"Donoghue","given":"S"},{"family":"Khoo","given":"L"},{"family":"Glickman","given":"L T"},{"family":"Kronfeld","given":"D S"}],"issued":{"date-parts":[["1991",11]]},"PMID":"1941239"}},{"id":16,"uris":["http://zotero.org/users/171999/items/XIANMWZC"],"uri":["http://zotero.org/users/171999/items/XIANMWZC"],"itemData":{"id":16,"type":"article-journal","title":"Prevalence of obesity in dogs examined by Australian veterinary practices and the risk factors involved","container-title":"The Veterinary record","page":"695-702","volume":"156","issue":"22","source":"NCBI PubMed","abstract":"A study was undertaken to determine the prevalence of obesity in dogs examined by veterinary practices across Australia, and to determine the risk factors involved; 1700 practices were asked to complete a veterinarian opinion survey, and of the 428 practices that responded, 178 were selected to complete an RSPCA Australia Pet Obesity Questionnaire, together with additional practices selected by Australian State and Territory RSPCA societies. This questionnaire was sent to a total of 209 practices which were asked to record details of eligible dogs, and the reason why they had been examined during the previous month. Fifty-two (24.9 per cent) of the practices responded and provided data on 2661 dogs, of which 892 (33.5 per cent) were overweight and 201 (7.6 per cent) were obese. A further 112 dogs (4.2 per cent) were classified as thin or very thin, but these were excluded from subsequent analyses. Of the remaining 2549 dogs, approximately half were female and 1905 (74.7 per cent) were neutered. The dogs' weight category was influenced by several factors. Breed influenced the importance of sex and neutering as risk factors. The prevalence of overweight and obese dogs combined was 41 per cent; the prevalence increased with age up to about 10 years old, and then declined. Rural and semirural dogs were more at risk of obesity than urban and suburban dogs.","ISSN":"0042-4900","note":"PMID: 15923551","journalAbbreviation":"Vet. Rec.","language":"eng","author":[{"family":"McGreevy","given":"P D"},{"family":"Thomson","given":"P C"},{"family":"Pride","given":"C"},{"family":"Fawcett","given":"A"},{"family":"Grassi","given":"T"},{"family":"Jones","given":"B"}],"issued":{"date-parts":[["2005",5,28]]},"PMID":"15923551"}},{"id":18,"uris":["http://zotero.org/users/171999/items/42W4HSE2"],"uri":["http://zotero.org/users/171999/items/42W4HSE2"],"itemData":{"id":18,"type":"article-journal","title":"Pattern of diet and obesity in female adult pet dogs.","container-title":"Veterinary Clinical Nutrition","volume":"2","issue":"1","source":"ISI Web of Knowledge","abstract":"A telephone questionnaire to the owners of 146 female adult dogs with breast cancer and 143 female dogs with other cancers that had participated in a larger epidemiological study was used to describe what dogs eat in terms of total energy intake; the percentage of calories derived from commercial food types and table scraps; and the percentage calories from fat, protein, and carbohydrates. The average energy intake for all dogs was almost 1000 calories of metabolizable energy per day, of which about 40% was derived from fat, 25% from protein, and 35% from carbohydrate. About one-third of the total calories was provided by table scraps. Consumption of dry dog food increased, while consumption of table scraps decreased, with increasing breed size. the prevalence of obesity (at least 15% above ideal bodyweight) was 40 and 6% for adult and juvenile (9-12 months old) females, respectively. Dogs reported by their owners to have been overweight at 9-12 months old were 1.5 times more likely to be overweight as adults compared with dogs that were thin as juveniles. These findings should be applicable to the general dog population since no association between diet and the risk of cancer was found previously in the same dogs. These findings should also be useful for developing preventative and therapeutic approaches for obesity and nutritionally related diseases.","ISSN":"1076-3872","language":"English","author":[{"family":"Glickman","given":"L. T."},{"family":"Sonnenschein","given":"E. G."},{"family":"Glickman","given":"N. W."},{"family":"Donoghue","given":"S."},{"family":"Goldschmidt","given":"M. H."}],"issued":{"date-parts":[["1995"]]}}},{"id":19,"uris":["http://zotero.org/users/171999/items/JC5E64D4"],"uri":["http://zotero.org/users/171999/items/JC5E64D4"],"itemData":{"id":19,"type":"article-journal","title":"Obesity in pet dogs","container-title":"The Veterinary record","page":"612-616","volume":"86","issue":"21","source":"NCBI PubMed","ISSN":"0042-4900","note":"PMID: 5465678","journalAbbreviation":"Vet. Rec.","language":"eng","author":[{"family":"Mason","given":"E"}],"issued":{"date-parts":[["1970",5,23]]},"PMID":"5465678"}},{"id":21,"uris":["http://zotero.org/users/171999/items/QVP9XV53"],"uri":["http://zotero.org/users/171999/items/QVP9XV53"],"itemData":{"id":21,"type":"article-journal","title":"Risk factors for obesity in dogs in France","container-title":"The Journal of nutrition","page":"1951S-1954S","volume":"136","issue":"7 Suppl","source":"NCBI PubMed","ISSN":"0022-3166","note":"PMID: 16772466","journalAbbreviation":"J. Nutr.","language":"eng","author":[{"family":"Colliard","given":"Laurence"},{"family":"Ancel","given":"Julie"},{"family":"Benet","given":"Jean-Jacques"},{"family":"Paragon","given":"Bernard-Marie"},{"family":"Blanchard","given":"Géraldine"}],"issued":{"date-parts":[["2006",7]]},"PMID":"16772466"}},{"id":23,"uris":["http://zotero.org/users/171999/items/TC6EBK2I"],"uri":["http://zotero.org/users/171999/items/TC6EBK2I"],"itemData":{"id":23,"type":"article-journal","title":"Risk factors associated with excess body weight in dogs in the UK (Abstract)","container-title":"Journal of Animal Physiology and Animal Nutrition","page":"166-167","volume":"91","issue":"3-4","DOI":"10.1111/j.1439-0396.2007.00680_9.x","journalAbbreviation":"J Anim Physiol Anim Nutr","author":[{"family":"Holmes","given":"K L"},{"family":"Morris","given":"P J"},{"family":"Abdulla","given":"Z"},{"family":"Hackett","given":"R"},{"family":"Rawlings","given":"J M"}],"issued":{"date-parts":[["2007",3,7]]},"accessed":{"date-parts":[["2013",10,10]]}}},{"id":25,"uris":["http://zotero.org/users/171999/items/JN69SBH5"],"uri":["http://zotero.org/users/171999/items/JN69SBH5"],"itemData":{"id":25,"type":"article-journal","title":"An epidemiological study of environmental factors associated with canine obesity","container-title":"The Journal of small animal practice","page":"362-367","volume":"51","issue":"7","source":"NCBI PubMed","abstract":"OBJECTIVES: To assess the relationships between socioeconomic and other environmental factors with canine obesity.\nMETHODS: This was a cross-sectional questionnaire study of dog owners attending five primary veterinary practices in the UK. Owners were asked about dog age, neuter status, feeding habits, dog exercise, household income and owner age. The body condition score of the dogs was also assessed. Factors hypothesised to be associated with obesity were investigated.\nRESULTS: In total, data from 696 questionnaires were evaluated. Out of those data evaluated, 35.3% of dogs (n=246) were classed as an ideal body shape, 38.9% (n=271) were overweight, 20.4% (n=142) were obese and 5.3% (n=37) were underweight. Identified risk factors associated with obesity included owner age, hours of weekly exercise, frequency of snacks/treats and personal income.\nCLINICAL SIGNIFICANCE: Environmental risk factors associated with canine obesity are multifactorial and include personal income, owner age, frequency of snacks/treats and amount of exercise the dog receives. Awareness about health risks associated with obesity in dogs is significantly less in people in lower income brackets. This phenomenon is recognised in human obesity.","DOI":"10.1111/j.1748-5827.2010.00933.x","ISSN":"1748-5827","note":"PMID: 20402841","journalAbbreviation":"J Small Anim Pract","language":"eng","author":[{"family":"Courcier","given":"E A"},{"family":"Thomson","given":"R M"},{"family":"Mellor","given":"D J"},{"family":"Yam","given":"P S"}],"issued":{"date-parts":[["2010",7]]},"PMID":"20402841"}},{"id":1620,"uris":["http://zotero.org/users/171999/items/SDV43U5I"],"uri":["http://zotero.org/users/171999/items/SDV43U5I"],"itemData":{"id":1620,"type":"article-journal","title":"Prevalence and risk factors for canine obesity surveyed in veterinary practices in Beijing, China","container-title":"Preventive veterinary medicine","page":"438-442","volume":"112","issue":"3-4","source":"NCBI PubMed","abstract":"An epidemiological survey of canine obesity was carried out in Beijing, China. Cases (n=2391, 7 districts) were collected at 14 animal hospitals between April 2008 and April 2011. The body condition score (scales of 1-5) was used to assess obesity of the dogs (Burkholder and Toll, 2000; Laflamme, 1997). Obesity rates were analyzed with respect to breed, age, sex, neutering, food control, feeding frequency, reproduction status, food type, nutritional supplements, living environment, feeding time, number of pets per household, feeding purpose, activity control, exercise duration, exercise status and exercise type. The overall canine obesity rate was 44.4% in this survey. The risk factors for dog obesity were food type (non-commercial food, OR=1.377, p&lt;0.05), age (1-2y, OR=0.044, p&lt;0.001), activity control (free activity, OR=0.685, p&lt;0.05), neutering (intact, OR=0.629, p&lt;0.01), sex (male, OR=0.628, p&lt;0.001), feeding frequency (Once per day, OR=0.521, p&lt;0.01). By dog breed, prevalence of obesity was high in pugs (70.7%), Cocker Spaniel (69.4%), Pekingese (51.9%), Pomeranian (54.6%) and Golden Retriever (51.9%). This is the first report of the epidemiology of canine obesity in China.","DOI":"10.1016/j.prevetmed.2013.08.012","ISSN":"1873-1716","note":"PMID: 24042026","journalAbbreviation":"Prev. Vet. Med.","language":"eng","author":[{"family":"Mao","given":"Junfu"},{"family":"Xia","given":"Zhaofei"},{"family":"Chen","given":"Jiangnan"},{"family":"Yu","given":"Jinhai"}],"issued":{"date-parts":[["2013",11,1]]},"PMID":"24042026"}}],"schema":"https://github.com/citation-style-language/schema/raw/master/csl-citation.json"} </w:instrText>
      </w:r>
      <w:r w:rsidRPr="003A0EF9">
        <w:fldChar w:fldCharType="separate"/>
      </w:r>
      <w:r w:rsidR="00CC106C" w:rsidRPr="00CC106C">
        <w:rPr>
          <w:vertAlign w:val="superscript"/>
        </w:rPr>
        <w:t>6–14</w:t>
      </w:r>
      <w:r w:rsidRPr="003A0EF9">
        <w:fldChar w:fldCharType="end"/>
      </w:r>
    </w:p>
    <w:p w:rsidR="00941B51" w:rsidRPr="003A0EF9" w:rsidRDefault="00941B51" w:rsidP="00941B51">
      <w:pPr>
        <w:ind w:firstLine="720"/>
        <w:contextualSpacing/>
      </w:pPr>
      <w:r w:rsidRPr="003A0EF9">
        <w:t xml:space="preserve">A multitude of risk factors exist with obesity.  In people, these risk factors are often based on age, gender, and race.  Obesity becomes more common with age until age 80, at which </w:t>
      </w:r>
      <w:r w:rsidR="0068460C">
        <w:t xml:space="preserve">point </w:t>
      </w:r>
      <w:r w:rsidRPr="003A0EF9">
        <w:t>comparison to 20- to 39-year-old adults is not significantly different.</w:t>
      </w:r>
      <w:r w:rsidRPr="003A0EF9">
        <w:fldChar w:fldCharType="begin"/>
      </w:r>
      <w:r w:rsidR="00CC106C">
        <w:instrText xml:space="preserve"> ADDIN ZOTERO_ITEM CSL_CITATION {"citationID":"dCA4PeX9","properties":{"formattedCitation":"{\\rtf \\super 15\\nosupersub{}}","plainCitation":"15"},"citationItems":[{"id":27,"uris":["http://zotero.org/users/171999/items/UJ8977Q7"],"uri":["http://zotero.org/users/171999/items/UJ8977Q7"],"itemData":{"id":27,"type":"article-journal","title":"The epidemiology of obesity","container-title":"Gastroenterology","page":"2087-2102","volume":"132","issue":"6","source":"NCBI PubMed","abstract":"In the United States, obesity among adults and overweight among children and adolescents have increased markedly since 1980. Among adults, obesity is defined as a body mass index of 30 or greater. Among children and adolescents, overweight is defined as a body mass index for age at or above the 95th percentile of a specified reference population. In 2003-2004, 32.9% of adults 20-74 years old were obese and more than 17% of teenagers (age, 12-19 y) were overweight. Obesity varies by age and sex, and by race-ethnic group among adult women. A higher body weight is associated with an increased incidence of a number of conditions, including diabetes mellitus, cardiovascular disease, and nonalcoholic fatty liver disease, and with an increased risk of disability. Obesity is associated with a modestly increased risk of all-cause mortality. However, the net effect of overweight and obesity on morbidity and mortality is difficult to quantify. It is likely that a gene-environment interaction, in which genetically susceptible individuals respond to an environment with increased availability of palatable energy-dense foods and reduced opportunities for energy expenditure, contributes to the current high prevalence of obesity. Evidence suggests that even without reaching an ideal weight, a moderate amount of weight loss can be beneficial in terms of reducing levels of some risk factors, such as blood pressure. Many studies of dietary and behavioral treatments, however, have shown that maintenance of weight loss is difficult. The social and economic costs of obesity and of attempts to prevent or to treat obesity are high.","DOI":"10.1053/j.gastro.2007.03.052","ISSN":"0016-5085","note":"PMID: 17498505","journalAbbreviation":"Gastroenterology","language":"eng","author":[{"family":"Ogden","given":"Cynthia L"},{"family":"Yanovski","given":"Susan Z"},{"family":"Carroll","given":"Margaret D"},{"family":"Flegal","given":"Katherine M"}],"issued":{"date-parts":[["2007",5]]},"PMID":"17498505"}}],"schema":"https://github.com/citation-style-language/schema/raw/master/csl-citation.json"} </w:instrText>
      </w:r>
      <w:r w:rsidRPr="003A0EF9">
        <w:fldChar w:fldCharType="separate"/>
      </w:r>
      <w:r w:rsidR="00CC106C" w:rsidRPr="00CC106C">
        <w:rPr>
          <w:vertAlign w:val="superscript"/>
        </w:rPr>
        <w:t>15</w:t>
      </w:r>
      <w:r w:rsidRPr="003A0EF9">
        <w:fldChar w:fldCharType="end"/>
      </w:r>
      <w:r w:rsidRPr="003A0EF9">
        <w:t xml:space="preserve">  Historically, women have had a higher obesity prevalence than men, although in recent years it has become more equal with US male obesity prevalence of 34.4% versus 36.1% in females.</w:t>
      </w:r>
      <w:r w:rsidRPr="003A0EF9">
        <w:fldChar w:fldCharType="begin"/>
      </w:r>
      <w:r w:rsidR="00CC106C">
        <w:instrText xml:space="preserve"> ADDIN ZOTERO_ITEM CSL_CITATION {"citationID":"QnXn6S85","properties":{"formattedCitation":"{\\rtf \\super 1,2,15\\nosupersub{}}","plainCitation":"1,2,15"},"citationItems":[{"id":736,"uris":["http://zotero.org/users/171999/items/KK2NA5KG"],"uri":["http://zotero.org/users/171999/items/KK2NA5KG"],"itemData":{"id":736,"type":"article-journal","title":"Health, United States, 2011: With Special Feature on Socioeconomic Status and Health","URL":"http://www.cdc.gov/nchs/data/hus/hus11.pdf#069","author":[{"family":"National Center for Health Statistics","given":""}],"issued":{"date-parts":[["2012"]]},"accessed":{"date-parts":[["2012",10,4]]}}},{"id":5,"uris":["http://zotero.org/users/171999/items/65W726DB"],"uri":["http://zotero.org/users/171999/items/65W726DB"],"itemData":{"id":5,"type":"webpage","title":"Obesity and overweight","URL":"http://www.who.int/mediacentre/factsheets/fs311/en/index.html","author":[{"family":"WHO","given":""}],"issued":{"date-parts":[["2013",3]]},"accessed":{"date-parts":[["2013",10,10]]}}},{"id":27,"uris":["http://zotero.org/users/171999/items/UJ8977Q7"],"uri":["http://zotero.org/users/171999/items/UJ8977Q7"],"itemData":{"id":27,"type":"article-journal","title":"The epidemiology of obesity","container-title":"Gastroenterology","page":"2087-2102","volume":"132","issue":"6","source":"NCBI PubMed","abstract":"In the United States, obesity among adults and overweight among children and adolescents have increased markedly since 1980. Among adults, obesity is defined as a body mass index of 30 or greater. Among children and adolescents, overweight is defined as a body mass index for age at or above the 95th percentile of a specified reference population. In 2003-2004, 32.9% of adults 20-74 years old were obese and more than 17% of teenagers (age, 12-19 y) were overweight. Obesity varies by age and sex, and by race-ethnic group among adult women. A higher body weight is associated with an increased incidence of a number of conditions, including diabetes mellitus, cardiovascular disease, and nonalcoholic fatty liver disease, and with an increased risk of disability. Obesity is associated with a modestly increased risk of all-cause mortality. However, the net effect of overweight and obesity on morbidity and mortality is difficult to quantify. It is likely that a gene-environment interaction, in which genetically susceptible individuals respond to an environment with increased availability of palatable energy-dense foods and reduced opportunities for energy expenditure, contributes to the current high prevalence of obesity. Evidence suggests that even without reaching an ideal weight, a moderate amount of weight loss can be beneficial in terms of reducing levels of some risk factors, such as blood pressure. Many studies of dietary and behavioral treatments, however, have shown that maintenance of weight loss is difficult. The social and economic costs of obesity and of attempts to prevent or to treat obesity are high.","DOI":"10.1053/j.gastro.2007.03.052","ISSN":"0016-5085","note":"PMID: 17498505","journalAbbreviation":"Gastroenterology","language":"eng","author":[{"family":"Ogden","given":"Cynthia L"},{"family":"Yanovski","given":"Susan Z"},{"family":"Carroll","given":"Margaret D"},{"family":"Flegal","given":"Katherine M"}],"issued":{"date-parts":[["2007",5]]},"PMID":"17498505"}}],"schema":"https://github.com/citation-style-language/schema/raw/master/csl-citation.json"} </w:instrText>
      </w:r>
      <w:r w:rsidRPr="003A0EF9">
        <w:fldChar w:fldCharType="separate"/>
      </w:r>
      <w:r w:rsidR="00CC106C" w:rsidRPr="00CC106C">
        <w:rPr>
          <w:vertAlign w:val="superscript"/>
        </w:rPr>
        <w:t>1,2,15</w:t>
      </w:r>
      <w:r w:rsidRPr="003A0EF9">
        <w:fldChar w:fldCharType="end"/>
      </w:r>
      <w:r w:rsidRPr="003A0EF9">
        <w:t xml:space="preserve">  Race data based on gender, however, shows a higher prevalence in non-Hispanic White males (34.7%) versus females (32.9%), but women </w:t>
      </w:r>
      <w:r w:rsidR="0068460C">
        <w:t>have</w:t>
      </w:r>
      <w:r w:rsidRPr="003A0EF9">
        <w:t xml:space="preserve"> higher prevalence compared to men in non-Hispanic Blacks (54.4% vs. 38.7%) and Mexicans (45.8% vs. 36.5%).</w:t>
      </w:r>
      <w:r w:rsidRPr="003A0EF9">
        <w:fldChar w:fldCharType="begin"/>
      </w:r>
      <w:r>
        <w:instrText xml:space="preserve"> ADDIN ZOTERO_ITEM CSL_CITATION {"citationID":"jA6MiiXT","properties":{"formattedCitation":"{\\rtf \\super 1\\nosupersub{}}","plainCitation":"1"},"citationItems":[{"id":736,"uris":["http://zotero.org/users/171999/items/KK2NA5KG"],"uri":["http://zotero.org/users/171999/items/KK2NA5KG"],"itemData":{"id":736,"type":"article-journal","title":"Health, United States, 2011: With Special Feature on Socioeconomic Status and Health","URL":"http://www.cdc.gov/nchs/data/hus/hus11.pdf#069","author":[{"family":"National Center for Health Statistics","given":""}],"issued":{"date-parts":[["2012"]]},"accessed":{"date-parts":[["2012",10,4]]}}}],"schema":"https://github.com/citation-style-language/schema/raw/master/csl-citation.json"} </w:instrText>
      </w:r>
      <w:r w:rsidRPr="003A0EF9">
        <w:fldChar w:fldCharType="separate"/>
      </w:r>
      <w:r w:rsidRPr="003A0EF9">
        <w:rPr>
          <w:vertAlign w:val="superscript"/>
        </w:rPr>
        <w:t>1</w:t>
      </w:r>
      <w:r w:rsidRPr="003A0EF9">
        <w:fldChar w:fldCharType="end"/>
      </w:r>
      <w:r w:rsidRPr="003A0EF9">
        <w:t xml:space="preserve">   </w:t>
      </w:r>
      <w:r w:rsidR="0068460C">
        <w:t>Evaluating data for race alone</w:t>
      </w:r>
      <w:r w:rsidRPr="003A0EF9">
        <w:t>, non-Hispanic Blacks have the highest obesity prevalence of 36.1-41.4%, followed by Hispanics (28.7-34.2%), non-Hispanic Whites (24.5-29.8%), and non-Hispanic Asians (7.1%).</w:t>
      </w:r>
      <w:r w:rsidRPr="003A0EF9">
        <w:fldChar w:fldCharType="begin"/>
      </w:r>
      <w:r w:rsidR="00CC106C">
        <w:instrText xml:space="preserve"> ADDIN ZOTERO_ITEM CSL_CITATION {"citationID":"WkJoceQl","properties":{"formattedCitation":"{\\rtf \\super 15,16\\nosupersub{}}","plainCitation":"15,16"},"citationItems":[{"id":27,"uris":["http://zotero.org/users/171999/items/UJ8977Q7"],"uri":["http://zotero.org/users/171999/items/UJ8977Q7"],"itemData":{"id":27,"type":"article-journal","title":"The epidemiology of obesity","container-title":"Gastroenterology","page":"2087-2102","volume":"132","issue":"6","source":"NCBI PubMed","abstract":"In the United States, obesity among adults and overweight among children and adolescents have increased markedly since 1980. Among adults, obesity is defined as a body mass index of 30 or greater. Among children and adolescents, overweight is defined as a body mass index for age at or above the 95th percentile of a specified reference population. In 2003-2004, 32.9% of adults 20-74 years old were obese and more than 17% of teenagers (age, 12-19 y) were overweight. Obesity varies by age and sex, and by race-ethnic group among adult women. A higher body weight is associated with an increased incidence of a number of conditions, including diabetes mellitus, cardiovascular disease, and nonalcoholic fatty liver disease, and with an increased risk of disability. Obesity is associated with a modestly increased risk of all-cause mortality. However, the net effect of overweight and obesity on morbidity and mortality is difficult to quantify. It is likely that a gene-environment interaction, in which genetically susceptible individuals respond to an environment with increased availability of palatable energy-dense foods and reduced opportunities for energy expenditure, contributes to the current high prevalence of obesity. Evidence suggests that even without reaching an ideal weight, a moderate amount of weight loss can be beneficial in terms of reducing levels of some risk factors, such as blood pressure. Many studies of dietary and behavioral treatments, however, have shown that maintenance of weight loss is difficult. The social and economic costs of obesity and of attempts to prevent or to treat obesity are high.","DOI":"10.1053/j.gastro.2007.03.052","ISSN":"0016-5085","note":"PMID: 17498505","journalAbbreviation":"Gastroenterology","language":"eng","author":[{"family":"Ogden","given":"Cynthia L"},{"family":"Yanovski","given":"Susan Z"},{"family":"Carroll","given":"Margaret D"},{"family":"Flegal","given":"Katherine M"}],"issued":{"date-parts":[["2007",5]]},"PMID":"17498505"}},{"id":29,"uris":["http://zotero.org/users/171999/items/JSRCU89N"],"uri":["http://zotero.org/users/171999/items/JSRCU89N"],"itemData":{"id":29,"type":"article-journal","title":"Race, place, and obesity: the complex relationships among community racial/ethnic composition, individual race/ethnicity, and obesity in the United States","container-title":"American journal of public health","page":"1572-1578","volume":"102","issue":"8","source":"NCBI PubMed","abstract":"OBJECTIVES: We explored the association between community racial/ethnic composition and obesity risk.\nMETHODS: In this cross-sectional study, we used nationally representative data from the Medical Expenditure Panel Survey linked to geographic data from the US Decennial Census and Census Business Pattern data.\nRESULTS: Living in communities with a high Hispanic concentration (≥ 25%) was associated with a 0.55 and 0.42 increase in body mass index (BMI; defined as weight in kilograms divided by the square of height in meters) and 21% and 23% higher odds for obesity for Hispanics and non-Hispanic Whites, respectively. Living in a community with a high non-Hispanic Asian concentration (≥ 25%) was associated with a 0.68 decrease in BMI and 28% lower odds for obesity for non-Hispanic Whites. We controlled for individual- and community-level social, economic, and demographic variables.\nCONCLUSIONS: Community racial/ethnic composition is an important correlate of obesity risk, but the relationship differs greatly by individual race/ethnicity. To better understand the obesity epidemic and related racial/ethnic disparities, more must be learned about community-level risk factors, especially how built environment and social norms operate within communities and across racial/ethnic groups.","DOI":"10.2105/AJPH.2011.300452","ISSN":"1541-0048","note":"PMID: 22698012","shortTitle":"Race, place, and obesity","journalAbbreviation":"Am J Public Health","language":"eng","author":[{"family":"Kirby","given":"James B"},{"family":"Liang","given":"Lan"},{"family":"Chen","given":"Hsin-Jen"},{"family":"Wang","given":"Youfa"}],"issued":{"date-parts":[["2012",8]]},"PMID":"22698012"}}],"schema":"https://github.com/citation-style-language/schema/raw/master/csl-citation.json"} </w:instrText>
      </w:r>
      <w:r w:rsidRPr="003A0EF9">
        <w:fldChar w:fldCharType="separate"/>
      </w:r>
      <w:r w:rsidR="00CC106C" w:rsidRPr="00CC106C">
        <w:rPr>
          <w:vertAlign w:val="superscript"/>
        </w:rPr>
        <w:t>15</w:t>
      </w:r>
      <w:proofErr w:type="gramStart"/>
      <w:r w:rsidR="00CC106C" w:rsidRPr="00CC106C">
        <w:rPr>
          <w:vertAlign w:val="superscript"/>
        </w:rPr>
        <w:t>,16</w:t>
      </w:r>
      <w:proofErr w:type="gramEnd"/>
      <w:r w:rsidRPr="003A0EF9">
        <w:fldChar w:fldCharType="end"/>
      </w:r>
      <w:r w:rsidRPr="003A0EF9">
        <w:t xml:space="preserve">  In canines, the greatest prevalence of obesity and overweight is 6-10 years old.  Neutered canines have the highest prevalence of overweight and obesity while Cocker Spaniels, Beagles, Labrador Retrievers, Golden Retrievers, Shetland Sheepdogs, Rottweilers, and Mixed-breed dogs have an overweight prevalence greater than or equal to 30%.  Based on odds ratio, obese dogs are more likely to be older, of specific breeds (Shetland Sheepdogs, Dachshunds, Golden Retrievers), neutered, and consuming foods other than a commercially prepared complete and balanced extruded diet.</w:t>
      </w:r>
      <w:r w:rsidRPr="003A0EF9">
        <w:fldChar w:fldCharType="begin"/>
      </w:r>
      <w:r>
        <w:instrText xml:space="preserve"> ADDIN ZOTERO_ITEM CSL_CITATION {"citationID":"zbYkcq9i","properties":{"formattedCitation":"{\\rtf \\super 6\\nosupersub{}}","plainCitation":"6"},"citationItems":[{"id":13,"uris":["http://zotero.org/users/171999/items/934HWIHU"],"uri":["http://zotero.org/users/171999/items/934HWIHU"],"itemData":{"id":13,"type":"article-journal","title":"Prevalence and risk factors for obesity in adult dogs from private US veterinary practices.","container-title":"International Journal of Applied Research in Veterinary Medicine","volume":"4","issue":"2","source":"ISI Web of Knowledge","abstract":"Using a cross-sectional study design, the prevalence of overweight and obesity in dogs over 1 year of age seen by US veterinarians during 1995 was determined. Risk factors for overweight and obesity were also determined from the following variables: age, breed, gender, body condition score, food type, reported concurrent disease, and geographic region. Thirty-four percent of adult dogs (n=21,754) were overweight or obese. From multivariate analyses, overweight dogs were more likely to be older, of certain breeds (Cocker Spaniel, Labrador Retriever, Dalmatian, Dachshund, Rottweiler, Golden Retriever, Shetland Sheepdog, Mixed-breed), neutered, and to consume a semi-moist food as their major diet source. In addition, overweight adult dogs were most likely to reside in the Pacific, South Central, East North Central, or Northeast regions of the United States and be diagnosed with hyperadrenocorticism, ruptured cruciate ligament, hypothyroidism, lower urinary tract disease, or oral disease. Obese dogs were more likely to be older, of certain breeds (Shetland Sheepdog, Dachshund, and Golden Retriever), neutered, and to consume \"other\" foods (meat or other food products, commercial treats, or table scraps), homemade, or canned foods as their major diet source. Also, obese adult dogs were more likely to live in the Pacific or Northeast region of the United States and be diagnosed with hypothyroidism, diabetes mellitus, pancreatitis, ruptured cruciate ligament, or neoplasia. Practitioners can use these data to counsel dog owners on obesity prevention, especially owners of dogs with ≥1 risk factors for overweight/obesity, and to strongly advocate for the maintenance of canine patients at an ideal body condition.","ISSN":"1542-2666","language":"English","author":[{"family":"Lund","given":"E. M."},{"family":"Armstrong","given":"P. J."},{"family":"Kirk","given":"C. A."},{"family":"Klausner","given":"J. S."}],"issued":{"date-parts":[["2006"]]}}}],"schema":"https://github.com/citation-style-language/schema/raw/master/csl-citation.json"} </w:instrText>
      </w:r>
      <w:r w:rsidRPr="003A0EF9">
        <w:fldChar w:fldCharType="separate"/>
      </w:r>
      <w:r w:rsidRPr="003A0EF9">
        <w:rPr>
          <w:vertAlign w:val="superscript"/>
        </w:rPr>
        <w:t>6</w:t>
      </w:r>
      <w:r w:rsidRPr="003A0EF9">
        <w:fldChar w:fldCharType="end"/>
      </w:r>
      <w:r w:rsidR="00001224">
        <w:t xml:space="preserve">  Breed may even be referred to as an obesity risk factor, although currently published research involves small numbers (dogs and breeds) or breed categories (rather than specific breeds), so the risk factor classification is suggested, not proven, as pointed out by Corbee.</w:t>
      </w:r>
      <w:r w:rsidR="00001224">
        <w:fldChar w:fldCharType="begin"/>
      </w:r>
      <w:r w:rsidR="00CC106C">
        <w:instrText xml:space="preserve"> ADDIN ZOTERO_ITEM CSL_CITATION {"citationID":"d5ldb7c2p","properties":{"formattedCitation":"{\\rtf \\super 8,17\\uc0\\u8211{}19\\nosupersub{}}","plainCitation":"8,17–19"},"citationItems":[{"id":"rsWRv8Oc/qSS5nhva","uris":["http://zotero.org/users/local/Ry4zHLbn/items/CKGM6JWG"],"uri":["http://zotero.org/users/local/Ry4zHLbn/items/CKGM6JWG"],"itemData":{"id":"rsWRv8Oc/qSS5nhva","type":"article-journal","title":"Plasma leptin concentration in dogs: effects of body condition score, age, gender and breeds","container-title":"Research in veterinary science","page":"11-15","volume":"82","issue":"1","source":"NCBI PubMed","abstract":"Leptin is a cytokine produced by adipocytes, and plays a key role in the regulation of energy balance. In the present study, we measured plasma leptin concentrations of 166 normal and obese dogs visiting veterinary practices, and clarified the influence of age, gender and breed on plasma leptin levels in dogs. Leptin levels were higher in the dogs with higher body condition scores. There was no noticeable influence of age, gender and breed, but those in optimal puppies and obese Miniature Dachshund tended to be lower than those in corresponding groups. We conclude that plasma leptin is a reliable marker of adiposity in dogs regardless of age, gender and breed variations, and thereby useful as a blood biochemistry test for health examinations and treatment of obesity.","DOI":"10.1016/j.rvsc.2006.06.002","ISSN":"0034-5288","note":"PMID: 16919691","shortTitle":"Plasma leptin concentration in dogs","journalAbbreviation":"Res. Vet. Sci.","language":"eng","author":[{"family":"Ishioka","given":"K"},{"family":"Hosoya","given":"K"},{"family":"Kitagawa","given":"H"},{"family":"Shibata","given":"H"},{"family":"Honjoh","given":"T"},{"family":"Kimura","given":"K"},{"family":"Saito","given":"M"}],"issued":{"year":2007,"month":2},"PMID":"16919691","page-first":"11","title-short":"Plasma leptin concentration in dogs","container-title-short":"Res. Vet. Sci."}},{"id":16,"uris":["http://zotero.org/users/171999/items/XIANMWZC"],"uri":["http://zotero.org/users/171999/items/XIANMWZC"],"itemData":{"id":16,"type":"article-journal","title":"Prevalence of obesity in dogs examined by Australian veterinary practices and the risk factors involved","container-title":"The Veterinary record","page":"695-702","volume":"156","issue":"22","source":"NCBI PubMed","abstract":"A study was undertaken to determine the prevalence of obesity in dogs examined by veterinary practices across Australia, and to determine the risk factors involved; 1700 practices were asked to complete a veterinarian opinion survey, and of the 428 practices that responded, 178 were selected to complete an RSPCA Australia Pet Obesity Questionnaire, together with additional practices selected by Australian State and Territory RSPCA societies. This questionnaire was sent to a total of 209 practices which were asked to record details of eligible dogs, and the reason why they had been examined during the previous month. Fifty-two (24.9 per cent) of the practices responded and provided data on 2661 dogs, of which 892 (33.5 per cent) were overweight and 201 (7.6 per cent) were obese. A further 112 dogs (4.2 per cent) were classified as thin or very thin, but these were excluded from subsequent analyses. Of the remaining 2549 dogs, approximately half were female and 1905 (74.7 per cent) were neutered. The dogs' weight category was influenced by several factors. Breed influenced the importance of sex and neutering as risk factors. The prevalence of overweight and obese dogs combined was 41 per cent; the prevalence increased with age up to about 10 years old, and then declined. Rural and semirural dogs were more at risk of obesity than urban and suburban dogs.","ISSN":"0042-4900","note":"PMID: 15923551","journalAbbreviation":"Vet. Rec.","language":"eng","author":[{"family":"McGreevy","given":"P D"},{"family":"Thomson","given":"P C"},{"family":"Pride","given":"C"},{"family":"Fawcett","given":"A"},{"family":"Grassi","given":"T"},{"family":"Jones","given":"B"}],"issued":{"date-parts":[["2005",5,28]]},"PMID":"15923551"}},{"id":1548,"uris":["http://zotero.org/users/171999/items/8GPMVS36"],"uri":["http://zotero.org/users/171999/items/8GPMVS36"],"itemData":{"id":1548,"type":"article-journal","title":"Obesity in show dogs","container-title":"Journal of animal physiology and animal nutrition","source":"NCBI PubMed","abstract":"Obesity is an important disease with a growing incidence. Because obesity is related to several other diseases, and decreases life span, it is important to identify the population at risk. Several risk factors for obesity have been described in the literature. A higher incidence of obesity in certain breeds is often suggested. The aim of this study was to determine whether obesity occurs more often in certain breeds. The second aim was to relate the increased prevalence of obesity in certain breeds to the official standards of that breed. To this end, we investigated 1379 dogs of 128 different breeds by determining their body condition score (BCS). Overall, 18.6% of the show dogs had a BCS &gt;5, and 1.1% of the show dogs had a BCS&gt;7. There were significant differences between breeds, which could be correlated to the breed standards. It warrants firm discussions with breeders and judges in order to come to different interpretations of the standards to prevent overweight conditions from being the standard of beauty.","DOI":"10.1111/j.1439-0396.2012.01336.x","ISSN":"1439-0396","note":"PMID: 22882163","journalAbbreviation":"J Anim Physiol Anim Nutr (Berl)","language":"ENG","author":[{"family":"Corbee","given":"R J"}],"issued":{"date-parts":[["2012",8,11]]},"PMID":"22882163"}},{"id":1546,"uris":["http://zotero.org/users/171999/items/E2D8GKV7"],"uri":["http://zotero.org/users/171999/items/E2D8GKV7"],"itemData":{"id":1546,"type":"article-journal","title":"Effect of breed on body composition and comparison between various methods to estimate body composition in dogs","container-title":"Research in veterinary science","page":"227-232","volume":"88","issue":"2","source":"NCBI PubMed","abstract":"The objectives of this clinical study were firstly, to assess the effects of breed/genetic group on body composition in dogs using Dual-X-ray absorptiometry (DEXA) as the reference method and secondly, to check, in clinical field conditions, if methods easy to apply in veterinary practice [bioelectrical impedance (BIA), morphometric equations, body condition score and body mass index] can give similar body composition results to DEXA results, using canine breeds with very different genetic and morphologic backgrounds. 19 dogs from 6 breeds with different genetic origin were used. Results showed that breed differences exist regarding body composition in dogs. Body condition score and morphometric equation should be developed by breed or by groups of breeds for an accurate estimation of body composition of the various breeds of dogs with a different genetic background or morphology. Any of the other tested methodologies (BIA or morphometric equations) gave results in agreement with DEXA value, when dogs with different genetic background and morphologic characteristics are used, but BIA, eventually in combination with morphometric measurements, could be a method to develop to estimate fat-free mass in dogs of different breeds.","DOI":"10.1016/j.rvsc.2009.07.009","ISSN":"1532-2661","note":"PMID: 19692101","journalAbbreviation":"Res. Vet. Sci.","language":"eng","author":[{"family":"Jeusette","given":"I"},{"family":"Greco","given":"D"},{"family":"Aquino","given":"F"},{"family":"Detilleux","given":"J"},{"family":"Peterson","given":"M"},{"family":"Romano","given":"V"},{"family":"Torre","given":"C"}],"issued":{"date-parts":[["2010",4]]},"PMID":"19692101"}}],"schema":"https://github.com/citation-style-language/schema/raw/master/csl-citation.json"} </w:instrText>
      </w:r>
      <w:r w:rsidR="00001224">
        <w:fldChar w:fldCharType="separate"/>
      </w:r>
      <w:r w:rsidR="00CC106C" w:rsidRPr="00CC106C">
        <w:rPr>
          <w:vertAlign w:val="superscript"/>
        </w:rPr>
        <w:t>8</w:t>
      </w:r>
      <w:proofErr w:type="gramStart"/>
      <w:r w:rsidR="00CC106C" w:rsidRPr="00CC106C">
        <w:rPr>
          <w:vertAlign w:val="superscript"/>
        </w:rPr>
        <w:t>,17</w:t>
      </w:r>
      <w:proofErr w:type="gramEnd"/>
      <w:r w:rsidR="00CC106C" w:rsidRPr="00CC106C">
        <w:rPr>
          <w:vertAlign w:val="superscript"/>
        </w:rPr>
        <w:t>–19</w:t>
      </w:r>
      <w:r w:rsidR="00001224">
        <w:fldChar w:fldCharType="end"/>
      </w:r>
    </w:p>
    <w:p w:rsidR="003507FB" w:rsidRDefault="00941B51" w:rsidP="00941B51">
      <w:pPr>
        <w:ind w:firstLine="720"/>
        <w:contextualSpacing/>
      </w:pPr>
      <w:r w:rsidRPr="003A0EF9">
        <w:lastRenderedPageBreak/>
        <w:t>The above pr</w:t>
      </w:r>
      <w:r w:rsidR="0068460C">
        <w:t>evalence and risk factor data are</w:t>
      </w:r>
      <w:r w:rsidRPr="003A0EF9">
        <w:t xml:space="preserve"> important to keep in mind when considering diseases either caused by or associated with obesity and their impact on public and animal health.  In people, recent focus has centered on metabolic syndrome, a cluster of metabolic disorders that is </w:t>
      </w:r>
      <w:r w:rsidR="0068460C">
        <w:t>associated with</w:t>
      </w:r>
      <w:r w:rsidRPr="003A0EF9">
        <w:t xml:space="preserve"> increasing prevalence of obesity.</w:t>
      </w:r>
      <w:r w:rsidRPr="003A0EF9">
        <w:fldChar w:fldCharType="begin"/>
      </w:r>
      <w:r w:rsidR="00CC106C">
        <w:instrText xml:space="preserve"> ADDIN ZOTERO_ITEM CSL_CITATION {"citationID":"OGRustSS","properties":{"formattedCitation":"{\\rtf \\super 20\\nosupersub{}}","plainCitation":"20"},"citationItems":[{"id":31,"uris":["http://zotero.org/users/171999/items/NB22S9JP"],"uri":["http://zotero.org/users/171999/items/NB22S9JP"],"itemData":{"id":31,"type":"article-journal","title":"The metabolic syndrome","container-title":"Lancet","page":"1415-1428","volume":"365","issue":"9468","source":"NCBI PubMed","abstract":"The metabolic syndrome is a common metabolic disorder that results from the increasing prevalence of obesity. The disorder is defined in various ways, but in the near future a new definition(s) will be applicable worldwide. The pathophysiology seems to be largely attributable to insulin resistance with excessive flux of fatty acids implicated. A proinflammatory state probably contributes to the syndrome. The increased risk for type 2 diabetes and cardiovascular disease demands therapeutic attention for those at high risk. The fundamental approach is weight reduction and increased physical activity; however, drug treatment could be appropriate for diabetes and cardiovascular disease risk reduction.","DOI":"10.1016/S0140-6736(05)66378-7","ISSN":"1474-547X","note":"PMID: 15836891","journalAbbreviation":"Lancet","language":"eng","author":[{"family":"Eckel","given":"Robert H"},{"family":"Grundy","given":"Scott M"},{"family":"Zimmet","given":"Paul Z"}],"issued":{"date-parts":[["2005",4,16]]},"PMID":"15836891"}}],"schema":"https://github.com/citation-style-language/schema/raw/master/csl-citation.json"} </w:instrText>
      </w:r>
      <w:r w:rsidRPr="003A0EF9">
        <w:fldChar w:fldCharType="separate"/>
      </w:r>
      <w:r w:rsidR="00CC106C" w:rsidRPr="00CC106C">
        <w:rPr>
          <w:vertAlign w:val="superscript"/>
        </w:rPr>
        <w:t>20</w:t>
      </w:r>
      <w:r w:rsidRPr="003A0EF9">
        <w:fldChar w:fldCharType="end"/>
      </w:r>
      <w:r w:rsidRPr="003A0EF9">
        <w:t xml:space="preserve">  Data from the US indicates a prevalence of 34% among adults in 2003-2006.</w:t>
      </w:r>
      <w:r w:rsidRPr="003A0EF9">
        <w:fldChar w:fldCharType="begin"/>
      </w:r>
      <w:r w:rsidR="00CC106C">
        <w:instrText xml:space="preserve"> ADDIN ZOTERO_ITEM CSL_CITATION {"citationID":"3iQMexPd","properties":{"formattedCitation":"{\\rtf \\super 21\\nosupersub{}}","plainCitation":"21"},"citationItems":[{"id":33,"uris":["http://zotero.org/users/171999/items/DVH36885"],"uri":["http://zotero.org/users/171999/items/DVH36885"],"itemData":{"id":33,"type":"article-journal","title":"Prevalence of metabolic syndrome among adults 20 years of age and over, by sex, age, race and ethnicity, and body mass index: United States, 2003-2006","container-title":"National health statistics reports","page":"1-7","issue":"13","source":"NCBI PubMed","abstract":"OBJECTIVE: The purpose of this study was to examine the prevalence of individual risk factors for metabolic syndrome as well as the prevalence of metabolic syndrome in the National Health and Nutrition Examination Survey (NHANES) 2003-2006.\nMETHODS: The analytic sample consisted of 3,423 adults, 20 years of age and over, from NHANES 2003-2006. The National Cholesterol Education Program's Adult Treatment Panel III (NCEP/ATP III) guidelines were used to identify adults who met their criteria for metabolic syndrome. Prevalence estimates were calculated for each risk factor for metabolic syndrome in addition to the prevalence of metabolic syndrome. Prevalence estimates and odds ratios were analyzed by sex and by age group, race and ethnicity, and body mass index (BMI) stratified by sex.\nRESULTS: Approximately 34% of adults met the criteria for metabolic syndrome. Males and females 40-59 years of age were about three times as likely as those 20-39 years of age to meet the criteria for metabolic syndrome. Males 60 years of age and over were more than four times as likely and females 60 years of age and over were more than six times as likely as the youngest age group to meet the criteria. Non-Hispanic black males were about one-half as likely as non-Hispanic white males to meet the criteria for metabolic syndrome, while non-Hispanic black and Mexican-American females were about 1.5 times as likely as non-Hispanic white females to meet the criteria. Overweight males were about six times as likely and obese males were about 32 times as likely as normal weight males to meet the criteria. Overweight females were more than five times as likely and obese females were more than 17 times as likely as normal weight females to meet the criteria.\nCONCLUSIONS: These results demonstrate that metabolic syndrome is prevalent and that it increases with age and with BMI. The prevalence varied by race and ethnicity but the pattern was different for males and females.","note":"PMID: 19634296","shortTitle":"Prevalence of metabolic syndrome among adults 20 years of age and over, by sex, age, race and ethnicity, and body mass index","journalAbbreviation":"Natl Health Stat Report","language":"eng","author":[{"family":"Ervin","given":"R Bethene"}],"issued":{"date-parts":[["2009",5,5]]},"PMID":"19634296"}}],"schema":"https://github.com/citation-style-language/schema/raw/master/csl-citation.json"} </w:instrText>
      </w:r>
      <w:r w:rsidRPr="003A0EF9">
        <w:fldChar w:fldCharType="separate"/>
      </w:r>
      <w:r w:rsidR="00CC106C" w:rsidRPr="00CC106C">
        <w:rPr>
          <w:vertAlign w:val="superscript"/>
        </w:rPr>
        <w:t>21</w:t>
      </w:r>
      <w:r w:rsidRPr="003A0EF9">
        <w:fldChar w:fldCharType="end"/>
      </w:r>
      <w:r w:rsidRPr="003A0EF9">
        <w:t xml:space="preserve">  The syndrome encompasses hypertension, dyslipidemia (hypertriglyceridemia and high-density lipoprotein hypocholesteremia), insulin resistance (with or without </w:t>
      </w:r>
      <w:r w:rsidR="0068460C">
        <w:t>hyperglycemia</w:t>
      </w:r>
      <w:r w:rsidRPr="003A0EF9">
        <w:t>), and central obesity.  These risk</w:t>
      </w:r>
      <w:r w:rsidR="0068460C">
        <w:t xml:space="preserve"> factors are considered</w:t>
      </w:r>
      <w:r w:rsidRPr="003A0EF9">
        <w:t xml:space="preserve"> interrelated and have been found to be associated with development of cardiovascular disease and type 2 diabetes mellitus.</w:t>
      </w:r>
      <w:r w:rsidRPr="003A0EF9">
        <w:fldChar w:fldCharType="begin"/>
      </w:r>
      <w:r w:rsidR="00CC106C">
        <w:instrText xml:space="preserve"> ADDIN ZOTERO_ITEM CSL_CITATION {"citationID":"Lev5hala","properties":{"formattedCitation":"{\\rtf \\super 20\\uc0\\u8211{}22\\nosupersub{}}","plainCitation":"20–22"},"citationItems":[{"id":31,"uris":["http://zotero.org/users/171999/items/NB22S9JP"],"uri":["http://zotero.org/users/171999/items/NB22S9JP"],"itemData":{"id":31,"type":"article-journal","title":"The metabolic syndrome","container-title":"Lancet","page":"1415-1428","volume":"365","issue":"9468","source":"NCBI PubMed","abstract":"The metabolic syndrome is a common metabolic disorder that results from the increasing prevalence of obesity. The disorder is defined in various ways, but in the near future a new definition(s) will be applicable worldwide. The pathophysiology seems to be largely attributable to insulin resistance with excessive flux of fatty acids implicated. A proinflammatory state probably contributes to the syndrome. The increased risk for type 2 diabetes and cardiovascular disease demands therapeutic attention for those at high risk. The fundamental approach is weight reduction and increased physical activity; however, drug treatment could be appropriate for diabetes and cardiovascular disease risk reduction.","DOI":"10.1016/S0140-6736(05)66378-7","ISSN":"1474-547X","note":"PMID: 15836891","journalAbbreviation":"Lancet","language":"eng","author":[{"family":"Eckel","given":"Robert H"},{"family":"Grundy","given":"Scott M"},{"family":"Zimmet","given":"Paul Z"}],"issued":{"date-parts":[["2005",4,16]]},"PMID":"15836891"}},{"id":33,"uris":["http://zotero.org/users/171999/items/DVH36885"],"uri":["http://zotero.org/users/171999/items/DVH36885"],"itemData":{"id":33,"type":"article-journal","title":"Prevalence of metabolic syndrome among adults 20 years of age and over, by sex, age, race and ethnicity, and body mass index: United States, 2003-2006","container-title":"National health statistics reports","page":"1-7","issue":"13","source":"NCBI PubMed","abstract":"OBJECTIVE: The purpose of this study was to examine the prevalence of individual risk factors for metabolic syndrome as well as the prevalence of metabolic syndrome in the National Health and Nutrition Examination Survey (NHANES) 2003-2006.\nMETHODS: The analytic sample consisted of 3,423 adults, 20 years of age and over, from NHANES 2003-2006. The National Cholesterol Education Program's Adult Treatment Panel III (NCEP/ATP III) guidelines were used to identify adults who met their criteria for metabolic syndrome. Prevalence estimates were calculated for each risk factor for metabolic syndrome in addition to the prevalence of metabolic syndrome. Prevalence estimates and odds ratios were analyzed by sex and by age group, race and ethnicity, and body mass index (BMI) stratified by sex.\nRESULTS: Approximately 34% of adults met the criteria for metabolic syndrome. Males and females 40-59 years of age were about three times as likely as those 20-39 years of age to meet the criteria for metabolic syndrome. Males 60 years of age and over were more than four times as likely and females 60 years of age and over were more than six times as likely as the youngest age group to meet the criteria. Non-Hispanic black males were about one-half as likely as non-Hispanic white males to meet the criteria for metabolic syndrome, while non-Hispanic black and Mexican-American females were about 1.5 times as likely as non-Hispanic white females to meet the criteria. Overweight males were about six times as likely and obese males were about 32 times as likely as normal weight males to meet the criteria. Overweight females were more than five times as likely and obese females were more than 17 times as likely as normal weight females to meet the criteria.\nCONCLUSIONS: These results demonstrate that metabolic syndrome is prevalent and that it increases with age and with BMI. The prevalence varied by race and ethnicity but the pattern was different for males and females.","note":"PMID: 19634296","shortTitle":"Prevalence of metabolic syndrome among adults 20 years of age and over, by sex, age, race and ethnicity, and body mass index","journalAbbreviation":"Natl Health Stat Report","language":"eng","author":[{"family":"Ervin","given":"R Bethene"}],"issued":{"date-parts":[["2009",5,5]]},"PMID":"19634296"}},{"id":35,"uris":["http://zotero.org/users/171999/items/JBDFEUAN"],"uri":["http://zotero.org/users/171999/items/JBDFEUAN"],"itemData":{"id":35,"type":"article-journal","title":"Harmonizing the metabolic syndrome: a joint interim statement of the International Diabetes Federation Task Force on Epidemiology and Prevention; National Heart, Lung, and Blood Institute; American Heart Association; World Heart Federation; International Atherosclerosis Society; and International Association for the Study of Obesity","container-title":"Circulation","page":"1640-1645","volume":"120","issue":"16","source":"NCBI PubMed","abstract":"A cluster of risk factors for cardiovascular disease and type 2 diabetes mellitus, which occur together more often than by chance alone, have become known as the metabolic syndrome. The risk factors include raised blood pressure, dyslipidemia (raised triglycerides and lowered high-density lipoprotein cholesterol), raised fasting glucose, and central obesity. Various diagnostic criteria have been proposed by different organizations over the past decade. Most recently, these have come from the International Diabetes Federation and the American Heart Association/National Heart, Lung, and Blood Institute. The main difference concerns the measure for central obesity, with this being an obligatory component in the International Diabetes Federation definition, lower than in the American Heart Association/National Heart, Lung, and Blood Institute criteria, and ethnic specific. The present article represents the outcome of a meeting between several major organizations in an attempt to unify criteria. It was agreed that there should not be an obligatory component, but that waist measurement would continue to be a useful preliminary screening tool. Three abnormal findings out of 5 would qualify a person for the metabolic syndrome. A single set of cut points would be used for all components except waist circumference, for which further work is required. In the interim, national or regional cut points for waist circumference can be used.","DOI":"10.1161/CIRCULATIONAHA.109.192644","ISSN":"1524-4539","note":"PMID: 19805654","shortTitle":"Harmonizing the metabolic syndrome","journalAbbreviation":"Circulation","language":"eng","author":[{"family":"Alberti","given":"K G M M"},{"family":"Eckel","given":"Robert H"},{"family":"Grundy","given":"Scott M"},{"family":"Zimmet","given":"Paul Z"},{"family":"Cleeman","given":"James I"},{"family":"Donato","given":"Karen A"},{"family":"Fruchart","given":"Jean-Charles"},{"family":"James","given":"W Philip T"},{"family":"Loria","given":"Catherine M"},{"family":"Smith","given":"Sidney C, Jr"},{"family":"International Diabetes Federation Task Force on Epidemiology and Prevention","given":""},{"family":"Hational Heart, Lung, and Blood Institute","given":""},{"family":"American Heart Association","given":""},{"family":"World Heart Federation","given":""},{"family":"International Atherosclerosis Society","given":""},{"family":"International Association for the Study of Obesity","given":""}],"issued":{"date-parts":[["2009",10,20]]},"PMID":"19805654"}}],"schema":"https://github.com/citation-style-language/schema/raw/master/csl-citation.json"} </w:instrText>
      </w:r>
      <w:r w:rsidRPr="003A0EF9">
        <w:fldChar w:fldCharType="separate"/>
      </w:r>
      <w:r w:rsidR="00CC106C" w:rsidRPr="00CC106C">
        <w:rPr>
          <w:vertAlign w:val="superscript"/>
        </w:rPr>
        <w:t>20–22</w:t>
      </w:r>
      <w:r w:rsidRPr="003A0EF9">
        <w:fldChar w:fldCharType="end"/>
      </w:r>
    </w:p>
    <w:p w:rsidR="00941B51" w:rsidRPr="003A0EF9" w:rsidRDefault="003507FB" w:rsidP="00941B51">
      <w:pPr>
        <w:ind w:firstLine="720"/>
        <w:contextualSpacing/>
      </w:pPr>
      <w:r>
        <w:t>In addition to the metabolic syndrome, e</w:t>
      </w:r>
      <w:r w:rsidR="00941B51" w:rsidRPr="003A0EF9">
        <w:t>xcess body mass is responsible for the sharp increase in prevalence of osteoarthritis in older Americans and is considered one of the strongest risk factors</w:t>
      </w:r>
      <w:r>
        <w:t xml:space="preserve"> for this joint condition</w:t>
      </w:r>
      <w:r w:rsidR="00941B51" w:rsidRPr="003A0EF9">
        <w:t>.</w:t>
      </w:r>
      <w:r w:rsidR="00941B51" w:rsidRPr="003A0EF9">
        <w:fldChar w:fldCharType="begin"/>
      </w:r>
      <w:r w:rsidR="00CC106C">
        <w:instrText xml:space="preserve"> ADDIN ZOTERO_ITEM CSL_CITATION {"citationID":"XIXrzzad","properties":{"formattedCitation":"{\\rtf \\super 23\\nosupersub{}}","plainCitation":"23"},"citationItems":[{"id":37,"uris":["http://zotero.org/users/171999/items/JTTKU4ZB"],"uri":["http://zotero.org/users/171999/items/JTTKU4ZB"],"itemData":{"id":37,"type":"article-journal","title":"Epidemiology of osteoarthritis and associated comorbidities","container-title":"PM &amp; R: the journal of injury, function, and rehabilitation","page":"S10-19","volume":"4","issue":"5 Suppl","source":"NCBI PubMed","abstract":"Osteoarthritis (OA) is the most common cause of walking-related disability among older adults in the United States, and the prevalence and incidence of OA are increasing rapidly. Systemic and local risk factors for knee OA have been identified, and obesity and joint injury appear to be the strongest risk factors that are both modifiable and have the potential for substantial impact on a population level. The risk factors for functional decline and disability in persons with symptomatic OA have been examined in relatively few studies. The course of functional decline in persons with symptomatic OA on a population level is generally one of stable to slowly deteriorating function, but on an individual level, many patients maintain function or improve during the first 3 years of follow-up. Obesity stands out as one of few modifiable risk factors of OA that also is a potentially modifiable predictor of functional decline. Physical activity also appears to have a substantial protective impact on future OA-related disability. Further epidemiologic studies and randomized controlled trials are needed to prioritize prevention through targeting these modifiable risk factors for OA and related disability.","DOI":"10.1016/j.pmrj.2012.01.007","ISSN":"1934-1563","note":"PMID: 22632687","journalAbbreviation":"PM R","language":"eng","author":[{"family":"Suri","given":"Pradeep"},{"family":"Morgenroth","given":"David C"},{"family":"Hunter","given":"David J"}],"issued":{"date-parts":[["2012",5]]},"PMID":"22632687"}}],"schema":"https://github.com/citation-style-language/schema/raw/master/csl-citation.json"} </w:instrText>
      </w:r>
      <w:r w:rsidR="00941B51" w:rsidRPr="003A0EF9">
        <w:fldChar w:fldCharType="separate"/>
      </w:r>
      <w:r w:rsidR="00CC106C" w:rsidRPr="00CC106C">
        <w:rPr>
          <w:vertAlign w:val="superscript"/>
        </w:rPr>
        <w:t>23</w:t>
      </w:r>
      <w:r w:rsidR="00941B51" w:rsidRPr="003A0EF9">
        <w:fldChar w:fldCharType="end"/>
      </w:r>
      <w:r w:rsidR="00941B51" w:rsidRPr="003A0EF9">
        <w:t xml:space="preserve">  Many types of neoplasia are considered comorbidities of overweight and obesity, including colon, prostate, endometrial, gallbladder, and postmenopausal breast.</w:t>
      </w:r>
      <w:r w:rsidR="00941B51" w:rsidRPr="003A0EF9">
        <w:fldChar w:fldCharType="begin"/>
      </w:r>
      <w:r w:rsidR="00CC106C">
        <w:instrText xml:space="preserve"> ADDIN ZOTERO_ITEM CSL_CITATION {"citationID":"KAZxY0K2","properties":{"formattedCitation":"{\\rtf \\super 24,25\\nosupersub{}}","plainCitation":"24,25"},"citationItems":[{"id":39,"uris":["http://zotero.org/users/171999/items/FBN2SERS"],"uri":["http://zotero.org/users/171999/items/FBN2SERS"],"itemData":{"id":39,"type":"article-journal","title":"The incidence of co-morbidities related to obesity and overweight: a systematic review and meta-analysis","container-title":"BMC public health","page":"88","volume":"9","source":"NCBI PubMed","abstract":"BACKGROUND: Overweight and obese persons are at risk of a number of medical conditions which can lead to further morbidity and mortality. The primary objective of this study is to provide an estimate of the incidence of each co-morbidity related to obesity and overweight using a meta-analysis.\nMETHODS: A literature search for the twenty co-morbidities identified in a preliminary search was conducted in Medline and Embase (Jan 2007). Studies meeting the inclusion criteria (prospective cohort studies of sufficient size reporting risk estimate based on the incidence of disease) were extracted. Study-specific unadjusted relative risks (RRs) on the log scale comparing overweight with normal and obese with normal were weighted by the inverse of their corresponding variances to obtain a pooled RR with 95% confidence intervals (CI).\nRESULTS: A total of 89 relevant studies were identified. The review found evidence for 18 co-morbidities which met the inclusion criteria. The meta-analysis determined statistically significant associations for overweight with the incidence of type II diabetes, all cancers except esophageal (female), pancreatic and prostate cancer, all cardiovascular diseases (except congestive heart failure), asthma, gallbladder disease, osteoarthritis and chronic back pain. We noted the strongest association between overweight defined by body mass index (BMI) and the incidence of type II diabetes in females (RR = 3.92 (95% CI: 3.10-4.97)). Statistically significant associations with obesity were found with the incidence of type II diabetes, all cancers except esophageal and prostate cancer, all cardiovascular diseases, asthma, gallbladder disease, osteoarthritis and chronic back pain. Obesity defined by BMI was also most strongly associated with the incidence of type II diabetes in females (12.41 (9.03-17.06)).\nCONCLUSION: Both overweight and obesity are associated with the incidence of multiple co-morbidities including type II diabetes, cancer and cardiovascular diseases. Maintenance of a healthy weight could be important in the prevention of the large disease burden in the future. Further studies are needed to explore the biological mechanisms that link overweight and obesity with these co-morbidities.","DOI":"10.1186/1471-2458-9-88","ISSN":"1471-2458","note":"PMID: 19320986","shortTitle":"The incidence of co-morbidities related to obesity and overweight","journalAbbreviation":"BMC Public Health","language":"eng","author":[{"family":"Guh","given":"Daphne P"},{"family":"Zhang","given":"Wei"},{"family":"Bansback","given":"Nick"},{"family":"Amarsi","given":"Zubin"},{"family":"Birmingham","given":"C Laird"},{"family":"Anis","given":"Aslam H"}],"issued":{"date-parts":[["2009"]]},"PMID":"19320986"}},{"id":41,"uris":["http://zotero.org/users/171999/items/A4BC5B8B"],"uri":["http://zotero.org/users/171999/items/A4BC5B8B"],"itemData":{"id":41,"type":"article-journal","title":"Clinical guidelines on the identification, evaluation, and treatment of overweight and obesity in adults: The evidence report","container-title":"NIH Publication","page":"262","volume":"98","issue":"4083","author":[{"family":"National Heart, Lung, and Blood Institute","given":""},{"family":"The National Institute of Diabetes and Digestive and Kidney Diseases","given":""}],"issued":{"date-parts":[["1998"]]}}}],"schema":"https://github.com/citation-style-language/schema/raw/master/csl-citation.json"} </w:instrText>
      </w:r>
      <w:r w:rsidR="00941B51" w:rsidRPr="003A0EF9">
        <w:fldChar w:fldCharType="separate"/>
      </w:r>
      <w:r w:rsidR="00CC106C" w:rsidRPr="00CC106C">
        <w:rPr>
          <w:vertAlign w:val="superscript"/>
        </w:rPr>
        <w:t>24,25</w:t>
      </w:r>
      <w:r w:rsidR="00941B51" w:rsidRPr="003A0EF9">
        <w:fldChar w:fldCharType="end"/>
      </w:r>
      <w:r w:rsidR="00941B51" w:rsidRPr="003A0EF9">
        <w:t xml:space="preserve">  Pelvic floor disorders (urinary incontinence, fecal incontinence, pe</w:t>
      </w:r>
      <w:r w:rsidR="0030112E">
        <w:t>lvic organ prolapse) occur at</w:t>
      </w:r>
      <w:r w:rsidR="00941B51" w:rsidRPr="003A0EF9">
        <w:t xml:space="preserve"> a higher rate in obese individuals, with the association between urinary incontinence and obesity reported most extensively.</w:t>
      </w:r>
      <w:r w:rsidR="00941B51" w:rsidRPr="003A0EF9">
        <w:fldChar w:fldCharType="begin"/>
      </w:r>
      <w:r w:rsidR="00CC106C">
        <w:instrText xml:space="preserve"> ADDIN ZOTERO_ITEM CSL_CITATION {"citationID":"ixk6PBOy","properties":{"formattedCitation":"{\\rtf \\super 26\\nosupersub{}}","plainCitation":"26"},"citationItems":[{"id":44,"uris":["http://zotero.org/users/171999/items/WBHZBIQG"],"uri":["http://zotero.org/users/171999/items/WBHZBIQG"],"itemData":{"id":44,"type":"article-journal","title":"Obesity and pelvic floor disorders: a systematic review","container-title":"Obstetrics and gynecology","page":"341-349","volume":"112","issue":"2 Pt 1","source":"NCBI PubMed","abstract":"OBJECTIVE: To review the current literature and summarize the effect of obesity on outcomes of surgical treatment of pelvic floor disorders as well as the effect of weight loss on pelvic floor disorder symptoms.\nDATA SOURCES: Relevant sources were identified by a MEDLINE search from 1966 to 2007 using the key words obesity, pelvic floor disorders, urinary incontinence (UI), fecal incontinence, and pelvic organ prolapse (POP). References of relevant studies were hand searched.\nMETHODS OF STUDY SELECTION: Relevant human observational studies, randomized trials, and review articles were included. A total of 246 articles were identified; 20 were used in reporting and analyzing the data. Meta-analyses were performed for topics meeting the appropriate criteria.\nTABULATION, INTEGRATION, AND RESULTS: There is good evidence that surgery for stress UI in obese women is as safe as in their nonobese counterparts, but cure rates may be lower in the obese patient. Meta-analysis revealed cure rates of 81% and 85% for the obese and nonobese groups, respectively (P&lt;.001; odds ratio [OR] 0.576, 95% confidence interval [CI] 0.426-0.779). Combined bladder perforation rates were 1.2% in the obese and 6.6% in the nonobese (P=.015; OR 0.277, 95% CI 0.098-0.782). There is little evidence on which to base clinical decisions regarding the treatment of fecal incontinence and POP in obese women, because few comparative studies were identified addressing the outcomes of prolapse surgery in obese patients compared with healthy-weight patients. Weight loss studies indicate that both bariatric and nonsurgical weight loss lead to significant improvements in pelvic floor disorder symptoms.\nCONCLUSION: Surgery for UI in obese women is safe, but more trials are needed to evaluate its long-term effectiveness as well as treatments for both fecal incontinence and POP. Weight loss, both surgical and nonsurgical, should be considered in the treatment of pelvic floor disorders in the obese woman.","DOI":"10.1097/AOG.0b013e31817cfdde","ISSN":"0029-7844","note":"PMID: 18669733","shortTitle":"Obesity and pelvic floor disorders","journalAbbreviation":"Obstet Gynecol","language":"eng","author":[{"family":"Greer","given":"W Jerod"},{"family":"Richter","given":"Holly E"},{"family":"Bartolucci","given":"Alfred A"},{"family":"Burgio","given":"Kathryn L"}],"issued":{"date-parts":[["2008",8]]},"PMID":"18669733"}}],"schema":"https://github.com/citation-style-language/schema/raw/master/csl-citation.json"} </w:instrText>
      </w:r>
      <w:r w:rsidR="00941B51" w:rsidRPr="003A0EF9">
        <w:fldChar w:fldCharType="separate"/>
      </w:r>
      <w:r w:rsidR="00CC106C" w:rsidRPr="00CC106C">
        <w:rPr>
          <w:vertAlign w:val="superscript"/>
        </w:rPr>
        <w:t>26</w:t>
      </w:r>
      <w:r w:rsidR="00941B51" w:rsidRPr="003A0EF9">
        <w:fldChar w:fldCharType="end"/>
      </w:r>
      <w:r w:rsidR="00941B51" w:rsidRPr="003A0EF9">
        <w:t xml:space="preserve">  Premenopausal obese women can experience menstrual irregularity, amenorrhea, infertility, and polycystic ovarian syndrome.  Pre-pregnancy obesity is associated with fetal anomalies, gestational hypertension and preeclampsia, gestational diabetes mellitus, intrauterine fetal death, cesarean birth, and macrosomia (birth weight </w:t>
      </w:r>
      <w:r w:rsidR="00941B51" w:rsidRPr="003A0EF9">
        <w:rPr>
          <w:u w:val="single"/>
        </w:rPr>
        <w:t>&gt;</w:t>
      </w:r>
      <w:r w:rsidR="00941B51" w:rsidRPr="003A0EF9">
        <w:t>4,000 g).</w:t>
      </w:r>
      <w:r w:rsidR="00941B51" w:rsidRPr="003A0EF9">
        <w:fldChar w:fldCharType="begin"/>
      </w:r>
      <w:r w:rsidR="00CC106C">
        <w:instrText xml:space="preserve"> ADDIN ZOTERO_ITEM CSL_CITATION {"citationID":"8EK7QA3P","properties":{"formattedCitation":"{\\rtf \\super 25,27\\nosupersub{}}","plainCitation":"25,27"},"citationItems":[{"id":41,"uris":["http://zotero.org/users/171999/items/A4BC5B8B"],"uri":["http://zotero.org/users/171999/items/A4BC5B8B"],"itemData":{"id":41,"type":"article-journal","title":"Clinical guidelines on the identification, evaluation, and treatment of overweight and obesity in adults: The evidence report","container-title":"NIH Publication","page":"262","volume":"98","issue":"4083","author":[{"family":"National Heart, Lung, and Blood Institute","given":""},{"family":"The National Institute of Diabetes and Digestive and Kidney Diseases","given":""}],"issued":{"date-parts":[["1998"]]}}},{"id":46,"uris":["http://zotero.org/users/171999/items/MIXP6EIM"],"uri":["http://zotero.org/users/171999/items/MIXP6EIM"],"itemData":{"id":46,"type":"article-journal","title":"Maternal obesity: improving pregnancy outcomes","container-title":"MCN. The American journal of maternal child nursing","page":"110-115","volume":"37","issue":"2","source":"NCBI PubMed","abstract":"Approximately 30% of pregnant women are obese (body mass index [BMI] ≥ 30) and are at risk for adverse pregnancy outcomes. In this article, we review the literature on select obstetrical risks associated with maternal obesity and assess the recommended prevention and management strategies. The selected risks include infertility, fetal anomalies, gestational hypertensive diseases, gestational diabetes, intrauterine fetal death, cesarean birth, macrosomia, and long-term risks of adult disease for the fetus. The causes of these adverse outcomes include maternal body habitus, the proinflammatory state of obesity, and metabolic dysfunction. We also discuss how nurses, nurse practitioners, and nurse-midwives can make a difference in the prenatal care and immediate pregnancy outcomes of pregnant women with obesity and influence future health for these women and their children.","DOI":"10.1097/NMC.0b013e3182430296","ISSN":"1539-0683","note":"PMID: 22357072","shortTitle":"Maternal obesity","journalAbbreviation":"MCN Am J Matern Child Nurs","language":"eng","author":[{"family":"Nodine","given":"Priscilla M"},{"family":"Hastings-Tolsma","given":"Marie"}],"issued":{"date-parts":[["2012",4]]},"PMID":"22357072"}}],"schema":"https://github.com/citation-style-language/schema/raw/master/csl-citation.json"} </w:instrText>
      </w:r>
      <w:r w:rsidR="00941B51" w:rsidRPr="003A0EF9">
        <w:fldChar w:fldCharType="separate"/>
      </w:r>
      <w:r w:rsidR="00CC106C" w:rsidRPr="00CC106C">
        <w:rPr>
          <w:vertAlign w:val="superscript"/>
        </w:rPr>
        <w:t>25,27</w:t>
      </w:r>
      <w:r w:rsidR="00941B51" w:rsidRPr="003A0EF9">
        <w:fldChar w:fldCharType="end"/>
      </w:r>
      <w:r w:rsidR="00941B51" w:rsidRPr="003A0EF9">
        <w:t xml:space="preserve">  The skin is not immune to the effects of obesity, which interferes with skin barrier function, sebaceous glands and sebum production, apocrine and eccrine sweat glands, lymphatics, collagen structure and function, wound healing, micro- and macrocirculation and subcutaneous fat function.</w:t>
      </w:r>
      <w:r w:rsidR="00941B51" w:rsidRPr="003A0EF9">
        <w:fldChar w:fldCharType="begin"/>
      </w:r>
      <w:r w:rsidR="00CC106C">
        <w:instrText xml:space="preserve"> ADDIN ZOTERO_ITEM CSL_CITATION {"citationID":"eS49hekh","properties":{"formattedCitation":"{\\rtf \\super 28\\nosupersub{}}","plainCitation":"28"},"citationItems":[{"id":48,"uris":["http://zotero.org/users/171999/items/4GTC8ETT"],"uri":["http://zotero.org/users/171999/items/4GTC8ETT"],"itemData":{"id":48,"type":"article-journal","title":"Obesity and the skin: skin physiology and skin manifestations of obesity","container-title":"Journal of the American Academy of Dermatology","page":"901-916; quiz 917-920","volume":"56","issue":"6","source":"NCBI PubMed","abstract":"Obesity is widely recognized as an epidemic in the Western world; however, the impact of obesity on the skin has received minimal attention. The purpose of this article is to highlight the association between obesity and dermatologic conditions. We review the impact of obesity on the skin, including skin physiology, skin manifestations of obesity, and dermatologic diseases aggravated by obesity. Obesity is responsible for changes in skin barrier function, sebaceous glands and sebum production, sweat glands, lymphatics, collagen structure and function, wound healing, microcirculation and macrocirculation, and subcutaneous fat. Moreover, obesity is implicated in a wide spectrum of dermatologic diseases, including acanthosis nigricans, acrochordons, keratosis pilaris, hyperandrogenism and hirsutism, striae distensae, adiposis dolorosa, and fat redistribution, lymphedema, chronic venous insufficiency, plantar hyperkeratosis, cellulitis, skin infections, hidradenitis suppurativa, psoriasis, insulin resistance syndrome, and tophaceous gout. We review the clinical features, evidence for association with obesity, and management of these various dermatoses and highlight the profound impact of obesity in clinical dermatology.\nLEARNING OBJECTIVE: After completing this learning activity, participants should be aware of obesity-associated changes in skin physiology, skin manifestations of obesity, and dermatologic diseases aggravated by obesity, and be able to formulate a pathophysiology-based treatment strategy for obesity-associated dermatoses.","DOI":"10.1016/j.jaad.2006.12.004","ISSN":"1097-6787","note":"PMID: 17504714","shortTitle":"Obesity and the skin","journalAbbreviation":"J. Am. Acad. Dermatol.","language":"eng","author":[{"family":"Yosipovitch","given":"Gil"},{"family":"DeVore","given":"Amy"},{"family":"Dawn","given":"Aerlyn"}],"issued":{"date-parts":[["2007",6]]},"PMID":"17504714"}}],"schema":"https://github.com/citation-style-language/schema/raw/master/csl-citation.json"} </w:instrText>
      </w:r>
      <w:r w:rsidR="00941B51" w:rsidRPr="003A0EF9">
        <w:fldChar w:fldCharType="separate"/>
      </w:r>
      <w:r w:rsidR="00CC106C" w:rsidRPr="00CC106C">
        <w:rPr>
          <w:vertAlign w:val="superscript"/>
        </w:rPr>
        <w:t>28</w:t>
      </w:r>
      <w:r w:rsidR="00941B51" w:rsidRPr="003A0EF9">
        <w:fldChar w:fldCharType="end"/>
      </w:r>
      <w:r w:rsidR="00941B51" w:rsidRPr="003A0EF9">
        <w:t xml:space="preserve">  Respiratory disorders are </w:t>
      </w:r>
      <w:r w:rsidR="0030112E">
        <w:t>associated</w:t>
      </w:r>
      <w:r w:rsidR="00941B51" w:rsidRPr="003A0EF9">
        <w:t xml:space="preserve"> with obesity.  For example, the increasing rate of asthma is suspected to be due to the rise in obesity and the majority of sleep apnea cases are seen in obese individuals.</w:t>
      </w:r>
      <w:r w:rsidR="00941B51" w:rsidRPr="003A0EF9">
        <w:fldChar w:fldCharType="begin"/>
      </w:r>
      <w:r w:rsidR="00CC106C">
        <w:instrText xml:space="preserve"> ADDIN ZOTERO_ITEM CSL_CITATION {"citationID":"zQbH3cm8","properties":{"formattedCitation":"{\\rtf \\super 25,29\\nosupersub{}}","plainCitation":"25,29"},"citationItems":[{"id":41,"uris":["http://zotero.org/users/171999/items/A4BC5B8B"],"uri":["http://zotero.org/users/171999/items/A4BC5B8B"],"itemData":{"id":41,"type":"article-journal","title":"Clinical guidelines on the identification, evaluation, and treatment of overweight and obesity in adults: The evidence report","container-title":"NIH Publication","page":"262","volume":"98","issue":"4083","author":[{"family":"National Heart, Lung, and Blood Institute","given":""},{"family":"The National Institute of Diabetes and Digestive and Kidney Diseases","given":""}],"issued":{"date-parts":[["1998"]]}}},{"id":50,"uris":["http://zotero.org/users/171999/items/FKK8PQCB"],"uri":["http://zotero.org/users/171999/items/FKK8PQCB"],"itemData":{"id":50,"type":"article-journal","title":"Prospective study of body mass index, weight change, and risk of adult-onset asthma in women","container-title":"Archives of internal medicine","page":"2582-2588","volume":"159","issue":"21","source":"NCBI PubMed","abstract":"BACKGROUND: Obesity and asthma are common disorders, and their prevalence rates continue to rise. Although individuals with asthma may gain weight as a result of activity limitations, the relationship between body mass index (BMI), which is calculated as weight in kilograms divided by the square of height in meters, and risk of developing asthma is not known.\nMETHODS: We performed a prospective cohort study of female US registered nurses in the Nurses' Health Study II. In 1991, after excluding women who died with probable asthma or with incomplete data, there were 85911 participants, aged 26 to 46 years. The main outcome measure was self-report of physician-diagnosed asthma with recent use of an asthma medication.\nRESULTS: From 1991 to 1995, we identified 1596 incident cases of asthma. In a multivariate model controlling for 9 potential confounding factors (including age, race, smoking, physical activity, and energy intake), the relative risks of asthma for 6 increasing categories of BMI in 1991 were 0.9, 1.0 (reference), 1.1, 1.6, 1.7, and 2.7 (P for trend &lt;.001). Stronger associations were found using stricter definitions for asthma, and the finding was present in a variety of subgroups. In analyses controlling for the same variables, as well as BMI at age 18, women who gained weight after age 18 were at significantly increased risk of developing asthma during the 4-year follow-up period (P for trend &lt;.001).\nCONCLUSIONS: The BMI has a strong, independent, and positive association with risk of adult-onset asthma. The increasing prevalence of obesity in developed nations may help explain concomitant increases in asthma prevalence.","ISSN":"0003-9926","note":"PMID: 10573048","journalAbbreviation":"Arch. Intern. Med.","language":"eng","author":[{"family":"Camargo","given":"C A, Jr"},{"family":"Weiss","given":"S T"},{"family":"Zhang","given":"S"},{"family":"Willett","given":"W C"},{"family":"Speizer","given":"F E"}],"issued":{"date-parts":[["1999",11,22]]},"PMID":"10573048"}}],"schema":"https://github.com/citation-style-language/schema/raw/master/csl-citation.json"} </w:instrText>
      </w:r>
      <w:r w:rsidR="00941B51" w:rsidRPr="003A0EF9">
        <w:fldChar w:fldCharType="separate"/>
      </w:r>
      <w:r w:rsidR="00CC106C" w:rsidRPr="00CC106C">
        <w:rPr>
          <w:vertAlign w:val="superscript"/>
        </w:rPr>
        <w:t>25</w:t>
      </w:r>
      <w:proofErr w:type="gramStart"/>
      <w:r w:rsidR="00CC106C" w:rsidRPr="00CC106C">
        <w:rPr>
          <w:vertAlign w:val="superscript"/>
        </w:rPr>
        <w:t>,29</w:t>
      </w:r>
      <w:proofErr w:type="gramEnd"/>
      <w:r w:rsidR="00941B51" w:rsidRPr="003A0EF9">
        <w:fldChar w:fldCharType="end"/>
      </w:r>
    </w:p>
    <w:p w:rsidR="00941B51" w:rsidRPr="003A0EF9" w:rsidRDefault="00941B51" w:rsidP="00941B51">
      <w:pPr>
        <w:ind w:firstLine="720"/>
        <w:contextualSpacing/>
      </w:pPr>
      <w:r w:rsidRPr="003A0EF9">
        <w:t xml:space="preserve">Obesity comorbidities are not only seen in people; many of the same associations are reported </w:t>
      </w:r>
      <w:r w:rsidR="0030112E">
        <w:t xml:space="preserve">to occur </w:t>
      </w:r>
      <w:r w:rsidRPr="003A0EF9">
        <w:t>in dogs.  Based on odds ratio, overweight ad</w:t>
      </w:r>
      <w:r w:rsidR="0030112E">
        <w:t>ult dogs are more likely to</w:t>
      </w:r>
      <w:r w:rsidRPr="003A0EF9">
        <w:t xml:space="preserve"> be diagnosed with hypothyroidism, diabetes mellitus, pancreatitis, ruptured cruciate ligament, or neoplasia.</w:t>
      </w:r>
      <w:r w:rsidRPr="003A0EF9">
        <w:fldChar w:fldCharType="begin"/>
      </w:r>
      <w:r w:rsidR="00CC106C">
        <w:instrText xml:space="preserve"> ADDIN ZOTERO_ITEM CSL_CITATION {"citationID":"DK09mYGh","properties":{"formattedCitation":"{\\rtf \\super 6,30\\nosupersub{}}","plainCitation":"6,30"},"citationItems":[{"id":13,"uris":["http://zotero.org/users/171999/items/934HWIHU"],"uri":["http://zotero.org/users/171999/items/934HWIHU"],"itemData":{"id":13,"type":"article-journal","title":"Prevalence and risk factors for obesity in adult dogs from private US veterinary practices.","container-title":"International Journal of Applied Research in Veterinary Medicine","volume":"4","issue":"2","source":"ISI Web of Knowledge","abstract":"Using a cross-sectional study design, the prevalence of overweight and obesity in dogs over 1 year of age seen by US veterinarians during 1995 was determined. Risk factors for overweight and obesity were also determined from the following variables: age, breed, gender, body condition score, food type, reported concurrent disease, and geographic region. Thirty-four percent of adult dogs (n=21,754) were overweight or obese. From multivariate analyses, overweight dogs were more likely to be older, of certain breeds (Cocker Spaniel, Labrador Retriever, Dalmatian, Dachshund, Rottweiler, Golden Retriever, Shetland Sheepdog, Mixed-breed), neutered, and to consume a semi-moist food as their major diet source. In addition, overweight adult dogs were most likely to reside in the Pacific, South Central, East North Central, or Northeast regions of the United States and be diagnosed with hyperadrenocorticism, ruptured cruciate ligament, hypothyroidism, lower urinary tract disease, or oral disease. Obese dogs were more likely to be older, of certain breeds (Shetland Sheepdog, Dachshund, and Golden Retriever), neutered, and to consume \"other\" foods (meat or other food products, commercial treats, or table scraps), homemade, or canned foods as their major diet source. Also, obese adult dogs were more likely to live in the Pacific or Northeast region of the United States and be diagnosed with hypothyroidism, diabetes mellitus, pancreatitis, ruptured cruciate ligament, or neoplasia. Practitioners can use these data to counsel dog owners on obesity prevention, especially owners of dogs with ≥1 risk factors for overweight/obesity, and to strongly advocate for the maintenance of canine patients at an ideal body condition.","ISSN":"1542-2666","language":"English","author":[{"family":"Lund","given":"E. M."},{"family":"Armstrong","given":"P. J."},{"family":"Kirk","given":"C. A."},{"family":"Klausner","given":"J. S."}],"issued":{"date-parts":[["2006"]]}}},{"id":52,"uris":["http://zotero.org/users/171999/items/RB4SAJUP"],"uri":["http://zotero.org/users/171999/items/RB4SAJUP"],"itemData":{"id":52,"type":"article-journal","title":"Cranial cruciate disease: current status of diagnosis, surgery, and risk for disease.","container-title":"Veterinary and Comparative Orthopaedics and Traumatology","volume":"16","issue":"3","source":"ISI Web of Knowledge","abstract":"The hypothesis of this study is concerned with the age of onset of cranial cruciate disease (CCD). We believe that dogs are presenting with CCD at a much younger age. We also believe there are other predictable factors that influence whether a dog suffers CCD. In this study, we used data from the National Companion Animal Study (NCAS, conducted at the University of Maryland, USA) to compare not only age but body condition score (BCS), sex, diet and breed. A survey form was given to referral hospitals that also provided information on diagnostic tests, surgical procedures and extent of damage [date not given]. By using this data we were better able to establish an age at time of diagnoses, BCS, type of injuries and repair methods as well as correlation to type of diet fed. This study found that the average age at diagnosis is slightly younger than previously thought. Most dogs that suffer CCD are of greater than ideal body condition. We were also able to show a relationship between diet and CCD. Spayed females are most affected by CCD followed by neutered males. Those dogs fed a premium or therapeutic diet have a higher incidence of CCD. We were also able to establish baseline information regarding extent of injuries and the current methods of diagnosis and repair. This paper now provides a baseline for the tracking of future data regarding CCD parameters such as age at onset, breed, sex, BCS, methods of diagnosis and repair as well as nutritional factors.","ISSN":"0932-0814","shortTitle":"Cranial cruciate disease","language":"English","author":[{"family":"Lampman","given":"T. J."},{"family":"Lund","given":"E. M."},{"family":"Lipowitz","given":"A. J."}],"issued":{"date-parts":[["2003"]]}}}],"schema":"https://github.com/citation-style-language/schema/raw/master/csl-citation.json"} </w:instrText>
      </w:r>
      <w:r w:rsidRPr="003A0EF9">
        <w:fldChar w:fldCharType="separate"/>
      </w:r>
      <w:r w:rsidR="00CC106C" w:rsidRPr="00CC106C">
        <w:rPr>
          <w:vertAlign w:val="superscript"/>
        </w:rPr>
        <w:t>6,30</w:t>
      </w:r>
      <w:r w:rsidRPr="003A0EF9">
        <w:fldChar w:fldCharType="end"/>
      </w:r>
      <w:r w:rsidRPr="003A0EF9">
        <w:t xml:space="preserve">  They are at a greater risk of orthopedic, oral, and lower urinary tract disease.</w:t>
      </w:r>
      <w:r w:rsidRPr="003A0EF9">
        <w:fldChar w:fldCharType="begin"/>
      </w:r>
      <w:r w:rsidR="00CC106C">
        <w:instrText xml:space="preserve"> ADDIN ZOTERO_ITEM CSL_CITATION {"citationID":"4uulSysv","properties":{"formattedCitation":"{\\rtf \\super 6,31,32\\nosupersub{}}","plainCitation":"6,31,32"},"citationItems":[{"id":13,"uris":["http://zotero.org/users/171999/items/934HWIHU"],"uri":["http://zotero.org/users/171999/items/934HWIHU"],"itemData":{"id":13,"type":"article-journal","title":"Prevalence and risk factors for obesity in adult dogs from private US veterinary practices.","container-title":"International Journal of Applied Research in Veterinary Medicine","volume":"4","issue":"2","source":"ISI Web of Knowledge","abstract":"Using a cross-sectional study design, the prevalence of overweight and obesity in dogs over 1 year of age seen by US veterinarians during 1995 was determined. Risk factors for overweight and obesity were also determined from the following variables: age, breed, gender, body condition score, food type, reported concurrent disease, and geographic region. Thirty-four percent of adult dogs (n=21,754) were overweight or obese. From multivariate analyses, overweight dogs were more likely to be older, of certain breeds (Cocker Spaniel, Labrador Retriever, Dalmatian, Dachshund, Rottweiler, Golden Retriever, Shetland Sheepdog, Mixed-breed), neutered, and to consume a semi-moist food as their major diet source. In addition, overweight adult dogs were most likely to reside in the Pacific, South Central, East North Central, or Northeast regions of the United States and be diagnosed with hyperadrenocorticism, ruptured cruciate ligament, hypothyroidism, lower urinary tract disease, or oral disease. Obese dogs were more likely to be older, of certain breeds (Shetland Sheepdog, Dachshund, and Golden Retriever), neutered, and to consume \"other\" foods (meat or other food products, commercial treats, or table scraps), homemade, or canned foods as their major diet source. Also, obese adult dogs were more likely to live in the Pacific or Northeast region of the United States and be diagnosed with hypothyroidism, diabetes mellitus, pancreatitis, ruptured cruciate ligament, or neoplasia. Practitioners can use these data to counsel dog owners on obesity prevention, especially owners of dogs with ≥1 risk factors for overweight/obesity, and to strongly advocate for the maintenance of canine patients at an ideal body condition.","ISSN":"1542-2666","language":"English","author":[{"family":"Lund","given":"E. M."},{"family":"Armstrong","given":"P. J."},{"family":"Kirk","given":"C. A."},{"family":"Klausner","given":"J. S."}],"issued":{"date-parts":[["2006"]]}}},{"id":53,"uris":["http://zotero.org/users/171999/items/NX2C6UWH"],"uri":["http://zotero.org/users/171999/items/NX2C6UWH"],"itemData":{"id":53,"type":"article-journal","title":"Prevalence of asymptomatic bacterial urinary tract infections in morbidly obese dogs (Abstract)","container-title":"Journal of Veterinary Internal Medicine","page":"717","volume":"25","issue":"3","source":"Wiley Online Library","DOI":"10.1111/j.1939-1676.2011.0726.x","ISSN":"1939-1676","journalAbbreviation":"J Vet Intern Med","language":"en","author":[{"family":"Lusby","given":"A L"},{"family":"Kirk","given":"C. A."},{"family":"Bartges","given":"J W"},{"family":"Moyers","given":"T D"},{"family":"Toll","given":"P"}],"issued":{"date-parts":[["2011"]]},"accessed":{"date-parts":[["2013",10,10]]}}},{"id":56,"uris":["http://zotero.org/users/171999/items/2VQUB6PN"],"uri":["http://zotero.org/users/171999/items/2VQUB6PN"],"itemData":{"id":56,"type":"article-journal","title":"The growing problem of obesity in dogs and cats","container-title":"The Journal of nutrition","page":"1940S-1946S","volume":"136","issue":"7 Suppl","source":"NCBI PubMed","abstract":"Obesity is defined as an accumulation of excessive amounts of adipose tissue in the body, and is the most common nutritional disorder in companion animals. Obesity is usually the result of either excessive dietary intake or inadequate energy utilization, which causes a state of positive energy balance. Numerous factors may predispose an individual to obesity including genetics, the amount of physical activity, and the energy content of the diet. The main medical concern of obesity relates to the many disease associations that accompany the adiposity. Numerous studies demonstrated that obesity can have detrimental effects on the health and longevity of dogs and cats. The problems to which obese companion animals may be predisposed include orthopedic disease, diabetes mellitus, abnormalities in circulating lipid profiles, cardiorespiratory disease, urinary disorders, reproductive disorders, neoplasia (mammary tumors, transitional cell carcinoma), dermatological diseases, and anesthetic complications. The main therapeutic options for obesity in companion animals include dietary management and increasing physical activity. Although no pharmaceutical compounds are yet licensed for weight loss in dogs and cats, it is envisaged that such agents will be available in the future. Dietary therapy forms the cornerstone of weight management in dogs and cats, but increasing exercise and behavioral management form useful adjuncts. There is a need to increase the awareness of companion animal obesity as a serious medical concern within the veterinary profession.","ISSN":"0022-3166","note":"PMID: 16772464","journalAbbreviation":"J. Nutr.","language":"eng","author":[{"family":"German","given":"Alexander J"}],"issued":{"date-parts":[["2006",7]]},"PMID":"16772464"}}],"schema":"https://github.com/citation-style-language/schema/raw/master/csl-citation.json"} </w:instrText>
      </w:r>
      <w:r w:rsidRPr="003A0EF9">
        <w:fldChar w:fldCharType="separate"/>
      </w:r>
      <w:r w:rsidR="00CC106C" w:rsidRPr="00CC106C">
        <w:rPr>
          <w:vertAlign w:val="superscript"/>
        </w:rPr>
        <w:t>6,31,32</w:t>
      </w:r>
      <w:r w:rsidRPr="003A0EF9">
        <w:fldChar w:fldCharType="end"/>
      </w:r>
      <w:r w:rsidRPr="003A0EF9">
        <w:t xml:space="preserve">  Hyperadrenocorticism, insulin resistance, tracheal collapse, transitional cell carcinoma, mammary carcinoma, calcium oxalate urolithiasis, dystocia, and altered immune function are other diseases associated with canine overweight and obesity.</w:t>
      </w:r>
      <w:r w:rsidRPr="003A0EF9">
        <w:fldChar w:fldCharType="begin"/>
      </w:r>
      <w:r w:rsidR="00CC106C">
        <w:instrText xml:space="preserve"> ADDIN ZOTERO_ITEM CSL_CITATION {"citationID":"FLOipBKY","properties":{"formattedCitation":"{\\rtf \\super 32\\nosupersub{}}","plainCitation":"32"},"citationItems":[{"id":56,"uris":["http://zotero.org/users/171999/items/2VQUB6PN"],"uri":["http://zotero.org/users/171999/items/2VQUB6PN"],"itemData":{"id":56,"type":"article-journal","title":"The growing problem of obesity in dogs and cats","container-title":"The Journal of nutrition","page":"1940S-1946S","volume":"136","issue":"7 Suppl","source":"NCBI PubMed","abstract":"Obesity is defined as an accumulation of excessive amounts of adipose tissue in the body, and is the most common nutritional disorder in companion animals. Obesity is usually the result of either excessive dietary intake or inadequate energy utilization, which causes a state of positive energy balance. Numerous factors may predispose an individual to obesity including genetics, the amount of physical activity, and the energy content of the diet. The main medical concern of obesity relates to the many disease associations that accompany the adiposity. Numerous studies demonstrated that obesity can have detrimental effects on the health and longevity of dogs and cats. The problems to which obese companion animals may be predisposed include orthopedic disease, diabetes mellitus, abnormalities in circulating lipid profiles, cardiorespiratory disease, urinary disorders, reproductive disorders, neoplasia (mammary tumors, transitional cell carcinoma), dermatological diseases, and anesthetic complications. The main therapeutic options for obesity in companion animals include dietary management and increasing physical activity. Although no pharmaceutical compounds are yet licensed for weight loss in dogs and cats, it is envisaged that such agents will be available in the future. Dietary therapy forms the cornerstone of weight management in dogs and cats, but increasing exercise and behavioral management form useful adjuncts. There is a need to increase the awareness of companion animal obesity as a serious medical concern within the veterinary profession.","ISSN":"0022-3166","note":"PMID: 16772464","journalAbbreviation":"J. Nutr.","language":"eng","author":[{"family":"German","given":"Alexander J"}],"issued":{"date-parts":[["2006",7]]},"PMID":"16772464"}}],"schema":"https://github.com/citation-style-language/schema/raw/master/csl-citation.json"} </w:instrText>
      </w:r>
      <w:r w:rsidRPr="003A0EF9">
        <w:fldChar w:fldCharType="separate"/>
      </w:r>
      <w:r w:rsidR="00CC106C" w:rsidRPr="00CC106C">
        <w:rPr>
          <w:vertAlign w:val="superscript"/>
        </w:rPr>
        <w:t>32</w:t>
      </w:r>
      <w:r w:rsidRPr="003A0EF9">
        <w:fldChar w:fldCharType="end"/>
      </w:r>
      <w:r w:rsidRPr="003A0EF9">
        <w:t xml:space="preserve">  Lean Labrador Retrievers have been found to live 1.8 years longer than their overweight sex- and weight-matched siblings.  In this same group of dogs, osteoarthritis was diagnosed in the majority of dogs regardless of body mass, but overweight animals required long-term treatment 3 years earlier.  The overweight dogs also required treatment for any chronic condition 2.1 years earlier than their lean counterparts.</w:t>
      </w:r>
      <w:r w:rsidRPr="003A0EF9">
        <w:fldChar w:fldCharType="begin"/>
      </w:r>
      <w:r w:rsidR="00CC106C">
        <w:instrText xml:space="preserve"> ADDIN ZOTERO_ITEM CSL_CITATION {"citationID":"NxDCoV2I","properties":{"formattedCitation":"{\\rtf \\super 33\\nosupersub{}}","plainCitation":"33"},"citationItems":[{"id":58,"uris":["http://zotero.org/users/171999/items/9546738F"],"uri":["http://zotero.org/users/171999/items/9546738F"],"itemData":{"id":58,"type":"article-journal","title":"Effects of diet restriction on life span and age-related changes in dogs","container-title":"Journal of the American Veterinary Medical Association","page":"1315-1320","volume":"220","issue":"9","source":"NCBI PubMed","abstract":"OBJECTIVE: To evaluate the effects of 25% diet restriction on life span of dogs and on markers of aging.\nDESIGN: Paired feeding study.\nANIMALS: 48 Labrador Retrievers.\nPROCEDURES: Dogs were paired, and 1 dog in each pair was fed 25% less food than its pair-mate from 8 weeks of age until death. Serum biochemical analyses were performed, body condition was scored, and body composition was measured annually until 12 years of age. Age at onset of chronic disease and median (age when 50% of the dogs were deceased) and maximum (age when 90% of the dogs were deceased) life spans were evaluated.\nRESULTS: Compared with control dogs, food-restricted dogs weighed less and had lower body fat content and lower serum triglycerides, triiodothyronine, insulin, and glucose concentrations. Median life span was significantly longer for dogs in which food was restricted. The onset of clinical signs of chronic disease generally was delayed for food-restricted dogs.\nCONCLUSIONS AND CLINICAL RELEVANCE: Results suggest that 25% restriction in food intake increased median life span and delayed the onset of signs of chronic disease in these dogs.","ISSN":"0003-1488","note":"PMID: 11991408","journalAbbreviation":"J. Am. Vet. Med. Assoc.","language":"eng","author":[{"family":"Kealy","given":"Richard D"},{"family":"Lawler","given":"Dennis F"},{"family":"Ballam","given":"Joan M"},{"family":"Mantz","given":"Sandra L"},{"family":"Biery","given":"Darryl N"},{"family":"Greeley","given":"Elizabeth H"},{"family":"Lust","given":"George"},{"family":"Segre","given":"Mariangela"},{"family":"Smith","given":"Gail K"},{"family":"Stowe","given":"Howard D"}],"issued":{"date-parts":[["2002",5,1]]},"PMID":"11991408"}}],"schema":"https://github.com/citation-style-language/schema/raw/master/csl-citation.json"} </w:instrText>
      </w:r>
      <w:r w:rsidRPr="003A0EF9">
        <w:fldChar w:fldCharType="separate"/>
      </w:r>
      <w:r w:rsidR="00CC106C" w:rsidRPr="00CC106C">
        <w:rPr>
          <w:vertAlign w:val="superscript"/>
        </w:rPr>
        <w:t>33</w:t>
      </w:r>
      <w:r w:rsidRPr="003A0EF9">
        <w:fldChar w:fldCharType="end"/>
      </w:r>
    </w:p>
    <w:p w:rsidR="00941B51" w:rsidRDefault="0030112E" w:rsidP="00941B51">
      <w:pPr>
        <w:ind w:firstLine="720"/>
        <w:contextualSpacing/>
      </w:pPr>
      <w:r>
        <w:lastRenderedPageBreak/>
        <w:t xml:space="preserve">Diagnosis is important in </w:t>
      </w:r>
      <w:r w:rsidR="00941B51" w:rsidRPr="003A0EF9">
        <w:t>order to combat overweight and obesity and prevent comorbidity development.  In the human clinical setting, semiquantitative diagnosis is most commonly mad</w:t>
      </w:r>
      <w:r>
        <w:t>e via</w:t>
      </w:r>
      <w:r w:rsidR="00941B51" w:rsidRPr="003A0EF9">
        <w:t xml:space="preserve"> body mass index (BMI).  BMI is calculated as [weight (kg)/height (m) squared].</w:t>
      </w:r>
      <w:r w:rsidR="00941B51" w:rsidRPr="003A0EF9">
        <w:fldChar w:fldCharType="begin"/>
      </w:r>
      <w:r w:rsidR="00941B51">
        <w:instrText xml:space="preserve"> ADDIN ZOTERO_ITEM CSL_CITATION {"citationID":"BzTtB9Qv","properties":{"formattedCitation":"{\\rtf \\super 4\\nosupersub{}}","plainCitation":"4"},"citationItems":[{"id":9,"uris":["http://zotero.org/users/171999/items/7U3SP4MR"],"uri":["http://zotero.org/users/171999/items/7U3SP4MR"],"itemData":{"id":9,"type":"article-journal","title":"Overweight and obesity in the United States: prevalence and trends, 1960-1994","container-title":"International journal of obesity and related metabolic disorders: journal of the International Association for the Study of Obesity","page":"39-47","volume":"22","issue":"1","source":"NCBI PubMed","abstract":"OBJECTIVE: To describe the prevalence of, and trends in, overweight and obesity in the US population using standardized international definitions.\nDESIGN: Successive cross-sectional nationally representative surveys, including the National Health Examination Survey (NHES I; 1960-62) and the National Health and Nutrition Examination Surveys (NHANES I: 1971-1974; NHANES II: 1976-1980; NHANES III: 1988-94). Body mass index (BMI:kg/m2) was calculated from measured weight and height. Overweight and obesity were defined as follows: Overweight (BMI &gt; or = 25.0); pre-obese (BMI 25.0-29.9), class I obesity (BMI 30.0-34.9), class II obesity (BMI 35.0-39.9), and class III obesity (BMI &gt; or = 40.0).\nRESULTS: For men and women aged 20-74 y, the age-adjusted prevalence of BMI 25.0-29.9 showed little or no increase over time (NHES I: 30.5%, NHANES I: 32.0%, NHANES II: 31.5% and NHANES III: 32.0%) but the prevalence of obesity (BMI &gt; or = 30.0) showed a large increase between NHANES II and NHANES III (NHES I: 12.8%; NHANES I, 14.1%; NHANES II, 14.5% and NHANES III, 22.5%). Trends were generally similar for all age, gender and race-ethnic groups. The crude prevalence of overweight and obesity (BMI &gt; 25.0) for age &gt; or = 20 y was 59.4% for men, 50.7% for women and 54.9% overall. The prevalence of class III obesity (BMI &gt; or = 40.0) exceeded 10% for non-Hispanic black women aged 40-59 y.\nCONCLUSIONS: Between 1976-80 and 1988-94, the prevalence of obesity (BMI &gt; or= 30.0) increased markedly in the US. These findings are in agreement with trends seen elsewhere in the world. Use of standardized definitions facilitates international comparisons.","ISSN":"0307-0565","note":"PMID: 9481598","shortTitle":"Overweight and obesity in the United States","journalAbbreviation":"Int. J. Obes. Relat. Metab. Disord.","language":"eng","author":[{"family":"Flegal","given":"K M"},{"family":"Carroll","given":"M D"},{"family":"Kuczmarski","given":"R J"},{"family":"Johnson","given":"C L"}],"issued":{"date-parts":[["1998",1]]},"PMID":"9481598"}}],"schema":"https://github.com/citation-style-language/schema/raw/master/csl-citation.json"} </w:instrText>
      </w:r>
      <w:r w:rsidR="00941B51" w:rsidRPr="003A0EF9">
        <w:fldChar w:fldCharType="separate"/>
      </w:r>
      <w:r w:rsidR="00941B51" w:rsidRPr="003A0EF9">
        <w:rPr>
          <w:vertAlign w:val="superscript"/>
        </w:rPr>
        <w:t>4</w:t>
      </w:r>
      <w:r w:rsidR="00941B51" w:rsidRPr="003A0EF9">
        <w:fldChar w:fldCharType="end"/>
      </w:r>
      <w:r w:rsidR="00941B51" w:rsidRPr="003A0EF9">
        <w:t xml:space="preserve">  Specific interpretations and classifications of BMI values have varied over the years, but most now recognize the WHO definition for adults (&lt;18.5 underweight; 18.5 – 24.9 normal; 25.0 – 29.9 overweight; </w:t>
      </w:r>
      <w:r w:rsidR="00941B51" w:rsidRPr="003A0EF9">
        <w:rPr>
          <w:u w:val="single"/>
        </w:rPr>
        <w:t>&gt;</w:t>
      </w:r>
      <w:r w:rsidR="00941B51" w:rsidRPr="003A0EF9">
        <w:t xml:space="preserve"> 30.0 obese).</w:t>
      </w:r>
      <w:r w:rsidR="00941B51" w:rsidRPr="003A0EF9">
        <w:fldChar w:fldCharType="begin"/>
      </w:r>
      <w:r w:rsidR="00CC106C">
        <w:instrText xml:space="preserve"> ADDIN ZOTERO_ITEM CSL_CITATION {"citationID":"JgeWULNi","properties":{"formattedCitation":"{\\rtf \\super 25,34\\nosupersub{}}","plainCitation":"25,34"},"citationItems":[{"id":41,"uris":["http://zotero.org/users/171999/items/A4BC5B8B"],"uri":["http://zotero.org/users/171999/items/A4BC5B8B"],"itemData":{"id":41,"type":"article-journal","title":"Clinical guidelines on the identification, evaluation, and treatment of overweight and obesity in adults: The evidence report","container-title":"NIH Publication","page":"262","volume":"98","issue":"4083","author":[{"family":"National Heart, Lung, and Blood Institute","given":""},{"family":"The National Institute of Diabetes and Digestive and Kidney Diseases","given":""}],"issued":{"date-parts":[["1998"]]}}},{"id":60,"uris":["http://zotero.org/users/171999/items/GNMFUDTU"],"uri":["http://zotero.org/users/171999/items/GNMFUDTU"],"itemData":{"id":60,"type":"webpage","title":"Global Database on Body Mass Index","URL":"http://apps.who.int/bmi/index.jsp","author":[{"family":"WHO","given":""}],"accessed":{"date-parts":[["2013",10,10]]}}}],"schema":"https://github.com/citation-style-language/schema/raw/master/csl-citation.json"} </w:instrText>
      </w:r>
      <w:r w:rsidR="00941B51" w:rsidRPr="003A0EF9">
        <w:fldChar w:fldCharType="separate"/>
      </w:r>
      <w:r w:rsidR="00CC106C" w:rsidRPr="00CC106C">
        <w:rPr>
          <w:vertAlign w:val="superscript"/>
        </w:rPr>
        <w:t>25,34</w:t>
      </w:r>
      <w:r w:rsidR="00941B51" w:rsidRPr="003A0EF9">
        <w:fldChar w:fldCharType="end"/>
      </w:r>
      <w:r w:rsidR="00941B51" w:rsidRPr="003A0EF9">
        <w:t xml:space="preserve">  Due to a wide range of values above BMI 30.0, additional categories have been described (30.00 – 34.99 obese class I; 35.00 – 39.99 obese class II; </w:t>
      </w:r>
      <w:r w:rsidR="00941B51" w:rsidRPr="003A0EF9">
        <w:rPr>
          <w:u w:val="single"/>
        </w:rPr>
        <w:t>&gt;</w:t>
      </w:r>
      <w:r w:rsidR="00941B51" w:rsidRPr="003A0EF9">
        <w:t xml:space="preserve"> 40.00 obese class III).</w:t>
      </w:r>
      <w:r w:rsidR="00941B51" w:rsidRPr="003A0EF9">
        <w:fldChar w:fldCharType="begin"/>
      </w:r>
      <w:r w:rsidR="00CC106C">
        <w:instrText xml:space="preserve"> ADDIN ZOTERO_ITEM CSL_CITATION {"citationID":"jlSVMeGc","properties":{"formattedCitation":"{\\rtf \\super 34\\nosupersub{}}","plainCitation":"34"},"citationItems":[{"id":60,"uris":["http://zotero.org/users/171999/items/GNMFUDTU"],"uri":["http://zotero.org/users/171999/items/GNMFUDTU"],"itemData":{"id":60,"type":"webpage","title":"Global Database on Body Mass Index","URL":"http://apps.who.int/bmi/index.jsp","author":[{"family":"WHO","given":""}],"accessed":{"date-parts":[["2013",10,10]]}}}],"schema":"https://github.com/citation-style-language/schema/raw/master/csl-citation.json"} </w:instrText>
      </w:r>
      <w:r w:rsidR="00941B51" w:rsidRPr="003A0EF9">
        <w:fldChar w:fldCharType="separate"/>
      </w:r>
      <w:r w:rsidR="00CC106C" w:rsidRPr="00CC106C">
        <w:rPr>
          <w:vertAlign w:val="superscript"/>
        </w:rPr>
        <w:t>34</w:t>
      </w:r>
      <w:r w:rsidR="00941B51" w:rsidRPr="003A0EF9">
        <w:fldChar w:fldCharType="end"/>
      </w:r>
      <w:r>
        <w:t xml:space="preserve">  While useful,</w:t>
      </w:r>
      <w:r w:rsidR="00941B51" w:rsidRPr="003A0EF9">
        <w:t xml:space="preserve"> BMI is not </w:t>
      </w:r>
      <w:r>
        <w:t xml:space="preserve">perfect </w:t>
      </w:r>
      <w:r w:rsidR="00941B51" w:rsidRPr="003A0EF9">
        <w:t xml:space="preserve">and </w:t>
      </w:r>
      <w:r>
        <w:t>has</w:t>
      </w:r>
      <w:r w:rsidR="00941B51" w:rsidRPr="003A0EF9">
        <w:t xml:space="preserve"> limitations based on measurements needed for its calculation.  Standing height is artificially affected by age-related changes, making BMI unreliable for</w:t>
      </w:r>
      <w:r>
        <w:t xml:space="preserve"> children, adolescents, and </w:t>
      </w:r>
      <w:r w:rsidR="00941B51" w:rsidRPr="003A0EF9">
        <w:t xml:space="preserve">elderly.  Additionally, BMI has been found to be </w:t>
      </w:r>
      <w:r>
        <w:t>great</w:t>
      </w:r>
      <w:r w:rsidR="00941B51" w:rsidRPr="003A0EF9">
        <w:t>er in those individ</w:t>
      </w:r>
      <w:r w:rsidR="001D4E8E">
        <w:t>uals with short leg length</w:t>
      </w:r>
      <w:r w:rsidR="00941B51" w:rsidRPr="003A0EF9">
        <w:t>.  Body weight can also vary based on lea</w:t>
      </w:r>
      <w:r w:rsidR="001D4E8E">
        <w:t>n and fat mass</w:t>
      </w:r>
      <w:r w:rsidR="00941B51" w:rsidRPr="003A0EF9">
        <w:t xml:space="preserve">, meaning individuals with an above average lean body mass (e.g., body builders) will </w:t>
      </w:r>
      <w:r w:rsidR="001D4E8E">
        <w:t xml:space="preserve">have a higher body weight and </w:t>
      </w:r>
      <w:r w:rsidR="00941B51" w:rsidRPr="003A0EF9">
        <w:t>BMI, leading to incorrect classification as overweight or obese.  The same can be said for those with a below average lean body mass, but a body frame equating to a normal weight BMI (e.g., sarcopenia).</w:t>
      </w:r>
      <w:r w:rsidR="00941B51" w:rsidRPr="003A0EF9">
        <w:fldChar w:fldCharType="begin"/>
      </w:r>
      <w:r w:rsidR="00CC106C">
        <w:instrText xml:space="preserve"> ADDIN ZOTERO_ITEM CSL_CITATION {"citationID":"at88CaVx","properties":{"formattedCitation":"{\\rtf \\super 35\\uc0\\u8211{}37\\nosupersub{}}","plainCitation":"35–37"},"citationItems":[{"id":62,"uris":["http://zotero.org/users/171999/items/68F58QHX"],"uri":["http://zotero.org/users/171999/items/68F58QHX"],"itemData":{"id":62,"type":"article-journal","title":"Three limitations of the body mass index","container-title":"The American journal of clinical nutrition","page":"996-997","volume":"44","issue":"6","source":"NCBI PubMed","ISSN":"0002-9165","note":"PMID: 3788846","journalAbbreviation":"Am. J. Clin. Nutr.","language":"eng","author":[{"family":"Garn","given":"S M"},{"family":"Leonard","given":"W R"},{"family":"Hawthorne","given":"V M"}],"issued":{"date-parts":[["1986",12]]},"PMID":"3788846"}},{"id":64,"uris":["http://zotero.org/users/171999/items/6J88N2N2"],"uri":["http://zotero.org/users/171999/items/6J88N2N2"],"itemData":{"id":64,"type":"article-journal","title":"Body mass index: a scientific evidence-based inquiry","container-title":"Arquivos brasileiros de cardiologia","page":"61-78","volume":"79","issue":"1","source":"NCBI PubMed","abstract":"OBJECTIVE: To objectively and critically assess body mass index and to propose alternatives for relating body weight and height that are evidence-based and that eliminate or reduce the limitations of the body mass index.\nMETHODS: To analyze the relations involving weight and height, we used 2 databases as follows: 1) children and adolescents from Brazil, the United States, and Switzerland; and 2) 538 university students. We performed mathematical simulations with height data ranging from 115 to 190 cm and weight data ranging from 25 to 105 kg. We selected 3 methods to analyze the relation of weight and height as follows: body mass index - weight (kg)/height (m2); reciprocal of the ponderal index - height (cm)/weight 1/3 (kg); and ectomorphy. Using the normal range from 20 to 25 kg/m2 for the body mass index in the reference height of 170 cm, we identified the corresponding ranges of 41 to 44 cm/kg 1/3 for the reciprocal of the ponderal index, and of 1.45 to 3.60 for ectomorphy.\nRESULTS: The mathematical simulations showed a strong association among the 3 methods with an absolute concordance to a height of 170 cm, but with a tendency towards discrepancy in the normal ranges, which had already been observed for the heights of 165 and 175 cm. This made the direct convertibility between the indices unfeasible. The reciprocal of the ponderal index and ectomorphy with their cut points comprised a larger age range in children and adolescents and a wider and more central range in the university students, both for the reported (current) and desired weights.\nCONCLUSION: The reciprocal of the ponderal index and ectomorphy are stronger and are more mathematically logical than body mass index; in addition, they may be applied with the same cut points for normal from the age of 5 years on.","ISSN":"0066-782X","note":"PMID: 12163946","shortTitle":"Body mass index","journalAbbreviation":"Arq. Bras. Cardiol.","language":"eng, por","author":[{"family":"Ricardo","given":"Djalma Rabelo"},{"family":"Araujo","given":"Claudio Gil Soares de"}],"issued":{"date-parts":[["2002",7]]},"PMID":"12163946"}},{"id":66,"uris":["http://zotero.org/users/local/Ry4zHLbn/items/W8JWCAV9"],"uri":["http://zotero.org/users/local/Ry4zHLbn/items/W8JWCAV9"],"itemData":{"id":66,"type":"article-journal","title":"Healthy percentage body fat ranges: an approach for developing guidelines based on body mass index","container-title":"The American journal of clinical nutrition","page":"694-701","volume":"72","issue":"3","source":"NCBI PubMed","abstract":"BACKGROUND: Although international interest in classifying subject health status according to adiposity is increasing, no accepted published ranges of percentage body fat currently exist. Empirically identified limits, population percentiles, and z scores have all been suggested as means of setting percentage body fat guidelines, although each has major limitations.\nOBJECTIVE: The aim of this study was to examine a potential new approach for developing percentage body fat ranges. The approach taken was to link healthy body mass index (BMI; in kg/m(2)) guidelines established by the National Institutes of Health and the World Health Organization with predicted percentage body fat.\nDESIGN: Body fat was measured in subjects from 3 ethnic groups (white, African American, and Asian) who were screened and evaluated at 3 universities [Cambridge (United Kingdom), Columbia (United States), and Jikei (Japan)] with use of reference body-composition methods [4-compartment model (4C) at 2 laboratories and dual-energy X-ray absorptiometry (DXA) at all 3 laboratories]. Percentage body fat prediction equations were developed based on BMI and other independent variables.\nRESULTS: A convenient sample of 1626 adults with BMIs &lt; or =35 was evaluated. Independent percentage body fat predictor variables in multiple regression models included 1/BMI, sex, age, and ethnic group (R: values from 0.74 to 0.92 and SEEs from 2.8 to 5.4% fat). The prediction formulas were then used to prepare provisional healthy percentage body fat ranges based on published BMI limits for underweight (&lt;18.5), overweight (&gt; or =25), and obesity (&gt; or =30).\nCONCLUSION: This proposed approach and initial findings provide the groundwork and stimulus for establishing international healthy body fat ranges.","ISSN":"0002-9165","note":"PMID: 10966886","shortTitle":"Healthy percentage body fat ranges","journalAbbreviation":"Am. J. Clin. Nutr.","language":"eng","author":[{"family":"Gallagher","given":"D"},{"family":"Heymsfield","given":"S B"},{"family":"Heo","given":"M"},{"family":"Jebb","given":"S A"},{"family":"Murgatroyd","given":"P R"},{"family":"Sakamoto","given":"Y"}],"issued":{"date-parts":[["2000",9]]},"PMID":"10966886"}}],"schema":"https://github.com/citation-style-language/schema/raw/master/csl-citation.json"} </w:instrText>
      </w:r>
      <w:r w:rsidR="00941B51" w:rsidRPr="003A0EF9">
        <w:fldChar w:fldCharType="separate"/>
      </w:r>
      <w:r w:rsidR="00CC106C" w:rsidRPr="00CC106C">
        <w:rPr>
          <w:vertAlign w:val="superscript"/>
        </w:rPr>
        <w:t>35–37</w:t>
      </w:r>
      <w:r w:rsidR="00941B51" w:rsidRPr="003A0EF9">
        <w:fldChar w:fldCharType="end"/>
      </w:r>
      <w:r w:rsidR="00941B51" w:rsidRPr="003A0EF9">
        <w:t xml:space="preserve">  The final limitation of the BMI system is a lack of consideration of waist circumference, which is an independent predictor of obesity-related risk factors.</w:t>
      </w:r>
      <w:r w:rsidR="00941B51" w:rsidRPr="003A0EF9">
        <w:fldChar w:fldCharType="begin"/>
      </w:r>
      <w:r w:rsidR="00CC106C">
        <w:instrText xml:space="preserve"> ADDIN ZOTERO_ITEM CSL_CITATION {"citationID":"6eB5km6H","properties":{"formattedCitation":"{\\rtf \\super 25\\nosupersub{}}","plainCitation":"25"},"citationItems":[{"id":41,"uris":["http://zotero.org/users/171999/items/A4BC5B8B"],"uri":["http://zotero.org/users/171999/items/A4BC5B8B"],"itemData":{"id":41,"type":"article-journal","title":"Clinical guidelines on the identification, evaluation, and treatment of overweight and obesity in adults: The evidence report","container-title":"NIH Publication","page":"262","volume":"98","issue":"4083","author":[{"family":"National Heart, Lung, and Blood Institute","given":""},{"family":"The National Institute of Diabetes and Digestive and Kidney Diseases","given":""}],"issued":{"date-parts":[["1998"]]}}}],"schema":"https://github.com/citation-style-language/schema/raw/master/csl-citation.json"} </w:instrText>
      </w:r>
      <w:r w:rsidR="00941B51" w:rsidRPr="003A0EF9">
        <w:fldChar w:fldCharType="separate"/>
      </w:r>
      <w:r w:rsidR="00CC106C" w:rsidRPr="00CC106C">
        <w:rPr>
          <w:vertAlign w:val="superscript"/>
        </w:rPr>
        <w:t>25</w:t>
      </w:r>
      <w:r w:rsidR="00941B51" w:rsidRPr="003A0EF9">
        <w:fldChar w:fldCharType="end"/>
      </w:r>
      <w:r w:rsidR="00941B51" w:rsidRPr="003A0EF9">
        <w:t xml:space="preserve">  While extra mass contained within an enlarged </w:t>
      </w:r>
      <w:r w:rsidR="001D4E8E">
        <w:t xml:space="preserve">waist circumference </w:t>
      </w:r>
      <w:r w:rsidR="00941B51" w:rsidRPr="003A0EF9">
        <w:t>increase</w:t>
      </w:r>
      <w:r w:rsidR="001D4E8E">
        <w:t>s</w:t>
      </w:r>
      <w:r w:rsidR="00941B51" w:rsidRPr="003A0EF9">
        <w:t xml:space="preserve"> body weight and therefor</w:t>
      </w:r>
      <w:r w:rsidR="001D4E8E">
        <w:t>e</w:t>
      </w:r>
      <w:r w:rsidR="00941B51" w:rsidRPr="003A0EF9">
        <w:t xml:space="preserve"> BMI, special c</w:t>
      </w:r>
      <w:r w:rsidR="001D4E8E">
        <w:t>onsideration must be given to</w:t>
      </w:r>
      <w:r w:rsidR="00941B51" w:rsidRPr="003A0EF9">
        <w:t xml:space="preserve"> waist measurement since fat in that location can be associated with greater health risks when compared to peripheral </w:t>
      </w:r>
      <w:r w:rsidR="001D4E8E">
        <w:t>fat stores</w:t>
      </w:r>
      <w:r w:rsidR="00941B51" w:rsidRPr="003A0EF9">
        <w:t>.</w:t>
      </w:r>
      <w:r w:rsidR="00941B51" w:rsidRPr="003A0EF9">
        <w:fldChar w:fldCharType="begin"/>
      </w:r>
      <w:r w:rsidR="00CC106C">
        <w:instrText xml:space="preserve"> ADDIN ZOTERO_ITEM CSL_CITATION {"citationID":"pJITHGEz","properties":{"formattedCitation":"{\\rtf \\super 38\\uc0\\u8211{}44\\nosupersub{}}","plainCitation":"38–44"},"citationItems":[{"id":68,"uris":["http://zotero.org/users/171999/items/6KXJXDDQ"],"uri":["http://zotero.org/users/171999/items/6KXJXDDQ"],"itemData":{"id":68,"type":"article-journal","title":"Central obesity and coronary heart disease in men","container-title":"Lancet","page":"1215","volume":"2","issue":"8569","source":"NCBI PubMed","ISSN":"0140-6736","note":"PMID: 2890843","journalAbbreviation":"Lancet","language":"eng","author":[{"family":"Donahue","given":"R P"},{"family":"Abbott","given":"R D"}],"issued":{"date-parts":[["1987",11,21]]},"PMID":"2890843"}},{"id":70,"uris":["http://zotero.org/users/171999/items/8XR2TDJV"],"uri":["http://zotero.org/users/171999/items/8XR2TDJV"],"itemData":{"id":70,"type":"article-journal","title":"Waist circumference and waist-to-hip ratio as predictors of cardiovascular events: meta-regression analysis of prospective studies","container-title":"European heart journal","page":"850-856","volume":"28","issue":"7","source":"NCBI PubMed","abstract":"AIMS: The objectives of this study were to determine the association of waist circumference (WC) and waist-to-hip ratio (WHR) with the risk of incident cardiovascular disease (CVD) events and to determine whether the strength of association of WC and WHR with CVD risk is different.\nMETHODS AND RESULTS: This meta-regression analysis used a search strategy of keywords and MeSH terms to identify prospective cohort studies and randomized clinical trials of CVD risk and abdominal obesity from the Medline, Embase, and Cochrane databases. Fifteen articles (n = 258 114 participants, 4355 CVD events) reporting CVD risk by categorical and continuous measures of WC and WHR were included. For a 1 cm increase in WC, the relative risk (RR) of a CVD event increased by 2% (95% CI: 1-3%) overall after adjusting for age, cohort year, or treatment. For a 0.01 U increase in WHR, the RR increased by 5% (95% CI: 4-7%). These results were consistent in men and women. Overall risk estimates comparing the extreme quantiles of each measure suggested that WHR was more strongly associated with CVD than that for WC (WHR: RR = 1.95, 95% CI: 1.55-2.44; WC: RR = 1.63, 95% CI: 1.31-2.04), although this difference was not significant. The strength of association for each measure was similar in men and women.\nCONCLUSION: WHR and WC are significantly associated with the risk of incident CVD events. These simple measures of abdominal obesity should be incorporated into CVD risk assessments.","DOI":"10.1093/eurheartj/ehm026","ISSN":"0195-668X","note":"PMID: 17403720","shortTitle":"Waist circumference and waist-to-hip ratio as predictors of cardiovascular events","journalAbbreviation":"Eur. Heart J.","language":"eng","author":[{"family":"de Koning","given":"Lawrence"},{"family":"Merchant","given":"Anwar T"},{"family":"Pogue","given":"Janice"},{"family":"Anand","given":"Sonia S"}],"issued":{"date-parts":[["2007",4]]},"PMID":"17403720"}},{"id":72,"uris":["http://zotero.org/users/171999/items/3XDZFN2U"],"uri":["http://zotero.org/users/171999/items/3XDZFN2U"],"itemData":{"id":72,"type":"article-journal","title":"Abdominal adipose tissue distribution, obesity, and risk of cardiovascular disease and death: 13 year follow up of participants in the study of men born in 1913","container-title":"British medical journal (Clinical research ed.)","page":"1401-1404","volume":"288","issue":"6428","source":"NCBI PubMed","abstract":"In a prospective study of risk factors for ischaemic heart disease 792 54 year old men selected by year of birth (1913) and residence in Gothenburg agreed to attend for questioning and a battery of anthropometric and other measurements in 1967. Thirteen years later these baseline findings were reviewed in relation to the numbers of men who had subsequently suffered a stroke, ischaemic heart disease, or death from all causes. Neither quintiles nor deciles of initial indices of obesity (body mass index, sum of three skinfold thickness measurements, waist or hip circumference) showed a significant correlation with any of the three end points studied. Statistically significant associations were, however, found between the waist to hip circumference ratio and the occurrence of stroke (p = 0.002) and ischaemic heart disease (p = 0.04). When the confounding effect of body mass index or the sum of three skinfold thicknesses was accounted for the waist to hip circumference ratio was significantly associated with all three end points. This ratio, however, was not an independent long term predictor of these end points when smoking, systolic blood pressure, and serum cholesterol concentration were taken into account. These results indicate that in middle aged men the distribution of fat deposits may be a better predictor of cardiovascular disease and death than the degree of adiposity.","ISSN":"0267-0623","note":"PMID: 6426576","shortTitle":"Abdominal adipose tissue distribution, obesity, and risk of cardiovascular disease and death","journalAbbreviation":"Br Med J (Clin Res Ed)","language":"eng","author":[{"family":"Larsson","given":"B"},{"family":"Svärdsudd","given":"K"},{"family":"Welin","given":"L"},{"family":"Wilhelmsen","given":"L"},{"family":"Björntorp","given":"P"},{"family":"Tibblin","given":"G"}],"issued":{"date-parts":[["1984",5,12]]},"PMID":"6426576"}},{"id":74,"uris":["http://zotero.org/users/171999/items/P7WD5NVP"],"uri":["http://zotero.org/users/171999/items/P7WD5NVP"],"itemData":{"id":74,"type":"article-journal","title":"Relation of body fat distribution to metabolic complications of obesity","container-title":"The Journal of clinical endocrinology and metabolism","page":"254-260","volume":"54","issue":"2","source":"NCBI PubMed","abstract":"The importance of body fat distribution as a predictor of metabolic aberrations was evaluated in 9 nonobese and 25 obese, apparently healthy women. Plasma glucose and insulin levels during oral glucose loading were significantly higher in women with predominantly upper body segment obesity than in women with lower body segment obesity. Of the former group, 10 of 16 subjects had diabetic glucose tolerance results, while none of the latter group was diabetic. Fasting plasma triglyceride levels were also significantly higher in the upper body segment obese women. The site of adiposity in the upper body segment obese women was comprised of large fat cells, while in the lower body segment obese subjects, it was formed of normal size cells. In both types of obesity, abdominal fat cell size correlated significantly with postprandial plasma glucose and insulin levels. Thigh fat cell size gave no indication as to the presence of metabolic complications. Thigh adipocytes were also resistant to epinephrine-stimulated lipolysis, presumably due to an increase in alpha-adrenergic receptors. Thus, in women, the sites of fat predominance offer an important prognostic marker for glucose intolerance, hyperinsulinemia, and hypertriglyceridemia. This association may be related to the disparate morphology and metabolic behavior of fat cells associated with different body fat distributions.","ISSN":"0021-972X","note":"PMID: 7033275","journalAbbreviation":"J. Clin. Endocrinol. Metab.","language":"eng","author":[{"family":"Kissebah","given":"A H"},{"family":"Vydelingum","given":"N"},{"family":"Murray","given":"R"},{"family":"Evans","given":"D J"},{"family":"Hartz","given":"A J"},{"family":"Kalkhoff","given":"R K"},{"family":"Adams","given":"P W"}],"issued":{"date-parts":[["1982",2]]},"PMID":"7033275"}},{"id":76,"uris":["http://zotero.org/users/171999/items/GWVPH2QE"],"uri":["http://zotero.org/users/171999/items/GWVPH2QE"],"itemData":{"id":76,"type":"article-journal","title":"Health implications of obesity: an NIH Consensus Development Conference","container-title":"International journal of obesity","page":"155-170","volume":"9","issue":"3","source":"NCBI PubMed","abstract":"A Consensus Development Conference on the Health Implications of Obesity was held in February 1985 at the National Institutes of Health in Bethesda, Maryland, USA. After presentations by 19 experts in relevant subject areas, a panel of 15 impartial senior level professionals presented their consensus of findings and recommendations. This paper summarizes the results of the conference and provides reference tables of body mass index (BMI) values and weight goals, along with nomograms of the BMI determined from height and weight scales, to show comparisons with weight goals. The goals are taken from two widely available tables of mortality data by weight. These reference aids are included to illustrate the potential clinical value of wider use of the BMI, as recommended in the conference.","ISSN":"0307-0565","note":"PMID: 3840463","shortTitle":"Health implications of obesity","journalAbbreviation":"Int J Obes","language":"eng","author":[{"family":"Burton","given":"B T"},{"family":"Foster","given":"W R"},{"family":"Hirsch","given":"J"},{"family":"Van Itallie","given":"T B"}],"issued":{"date-parts":[["1985"]]},"PMID":"3840463"}},{"id":78,"uris":["http://zotero.org/users/171999/items/6VJPF7T2"],"uri":["http://zotero.org/users/171999/items/6VJPF7T2"],"itemData":{"id":78,"type":"article-journal","title":"The influence of body fat distribution on the incidence of diabetes mellitus. 13.5 years of follow-up of the participants in the study of men born in 1913","container-title":"Diabetes","page":"1055-1058","volume":"34","issue":"10","source":"NCBI PubMed","abstract":"In a prospective study of risk factors for ischemic heart disease, 792 54-yr-old men selected by year of birth (1913) and residence in Göteborg, Sweden, agreed to attend for questioning and a number of anthropometric and other measurements in 1967. Thirteen and one-half years later, these baseline findings were reviewed in relation to the number of men who had subsequently developed diabetes mellitus. This analysis focused on the importance of abdominal adipose tissue distribution, measured as the waist-to-hip circumference ratio, as a predictor for development of diabetes. Even when the confounding effect of body mass index, as a measure of the total body fat mass, was accounted for, the waist-to-hip ratio was positively and significantly associated with the risk for diabetes. These results from a prospective study strongly support previous cross-sectional findings indicating that not only the degree of obesity but also the localization of fat is a risk factor for diabetes.","ISSN":"0012-1797","note":"PMID: 4043554","journalAbbreviation":"Diabetes","language":"eng","author":[{"family":"Ohlson","given":"L O"},{"family":"Larsson","given":"B"},{"family":"Svärdsudd","given":"K"},{"family":"Welin","given":"L"},{"family":"Eriksson","given":"H"},{"family":"Wilhelmsen","given":"L"},{"family":"Björntorp","given":"P"},{"family":"Tibblin","given":"G"}],"issued":{"date-parts":[["1985",10]]},"PMID":"4043554"}},{"id":80,"uris":["http://zotero.org/users/171999/items/67XP86XU"],"uri":["http://zotero.org/users/171999/items/67XP86XU"],"itemData":{"id":80,"type":"article-journal","title":"Body mass index, waist circumference and waist:hip ratio as predictors of cardiovascular risk--a review of the literature","container-title":"European journal of clinical nutrition","page":"16-22","volume":"64","issue":"1","source":"NCBI PubMed","abstract":"Overweight and obesity have become a major public health problem in both developing and developed countries as they are causally related to a wide spectrum of chronic diseases including type II diabetes, cardiovascular diseases and cancer. However, uncertainty regarding the most appropriate means by which to define excess body weight remains. Traditionally, body mass index (BMI) has been the most widely used method by which to determine the prevalence of overweight in, and across, populations as well as an individual's level of risk. However, in recent years, measures of central obesity, principally waist circumference and the waist:hip ratio and to a lesser extent the waist:height ratio, which more accurately describe the distribution of body fat compared with BMI, have been suggested to be more closely associated with subsequent morbidity and mortality. There is also uncertainty about how these measures perform across diverse ethnic groups; earlier, most of the evidence regarding the relationships between excess weight and risk has been derived chiefly from Caucasian populations, and hence, it remains unclear whether the relationships are consistent in non-Caucasian populations. The purpose of this review, therefore, is to provide an overview of the current evidence-base focusing predominantly on three main questions: (1) Which, if any, of the commonly used anthropometric measures to define excess weight is more strongly associated with cardiovascular risk? (2) Which of the anthropometric measures is a better discriminator of risk? and (3) Are there any notable differences in the strength and nature of these associations across diverse ethnic groups?","DOI":"10.1038/ejcn.2009.68","ISSN":"1476-5640","note":"PMID: 19654593","shortTitle":"Body mass index, waist circumference and waist","journalAbbreviation":"Eur J Clin Nutr","language":"eng","author":[{"family":"Huxley","given":"R"},{"family":"Mendis","given":"S"},{"family":"Zheleznyakov","given":"E"},{"family":"Reddy","given":"S"},{"family":"Chan","given":"J"}],"issued":{"date-parts":[["2010",1]]},"PMID":"19654593"}}],"schema":"https://github.com/citation-style-language/schema/raw/master/csl-citation.json"} </w:instrText>
      </w:r>
      <w:r w:rsidR="00941B51" w:rsidRPr="003A0EF9">
        <w:fldChar w:fldCharType="separate"/>
      </w:r>
      <w:r w:rsidR="00CC106C" w:rsidRPr="00CC106C">
        <w:rPr>
          <w:vertAlign w:val="superscript"/>
        </w:rPr>
        <w:t>38–44</w:t>
      </w:r>
      <w:r w:rsidR="00941B51" w:rsidRPr="003A0EF9">
        <w:fldChar w:fldCharType="end"/>
      </w:r>
      <w:r w:rsidR="00941B51" w:rsidRPr="003A0EF9">
        <w:t xml:space="preserve">  Beyond simple waist circumference measurements, recent data has shown waist-to-height ratio is an even better screening tool for adult cardiometabolic risk factors.</w:t>
      </w:r>
      <w:r w:rsidR="00941B51" w:rsidRPr="003A0EF9">
        <w:fldChar w:fldCharType="begin"/>
      </w:r>
      <w:r w:rsidR="00CC106C">
        <w:instrText xml:space="preserve"> ADDIN ZOTERO_ITEM CSL_CITATION {"citationID":"FCTLMwdg","properties":{"formattedCitation":"{\\rtf \\super 45\\nosupersub{}}","plainCitation":"45"},"citationItems":[{"id":82,"uris":["http://zotero.org/users/171999/items/R7Q9JUXE"],"uri":["http://zotero.org/users/171999/items/R7Q9JUXE"],"itemData":{"id":82,"type":"article-journal","title":"Waist-to-height ratio is a better screening tool than waist circumference and BMI for adult cardiometabolic risk factors: systematic review and meta-analysis","container-title":"Obesity reviews: an official journal of the International Association for the Study of Obesity","page":"275-286","volume":"13","issue":"3","source":"NCBI PubMed","abstract":"Our aim was to differentiate the screening potential of waist-to-height ratio (WHtR) and waist circumference (WC) for adult cardiometabolic risk in people of different nationalities and to compare both with body mass index (BMI). We undertook a systematic review and meta-analysis of studies that used receiver operating characteristics (ROC) curves for assessing the discriminatory power of anthropometric indices in distinguishing adults with hypertension, type-2 diabetes, dyslipidaemia, metabolic syndrome and general cardiovascular outcomes (CVD). Thirty one papers met the inclusion criteria. Using data on all outcomes, averaged within study group, WHtR had significantly greater discriminatory power compared with BMI. Compared with BMI, WC improved discrimination of adverse outcomes by 3% (P &lt; 0.05) and WHtR improved discrimination by 4-5% over BMI (P &lt; 0.01). Most importantly, statistical analysis of the within-study difference in AUC showed WHtR to be significantly better than WC for diabetes, hypertension, CVD and all outcomes (P &lt; 0.005) in men and women. For the first time, robust statistical evidence from studies involving more than 300 000 adults in several ethnic groups, shows the superiority of WHtR over WC and BMI for detecting cardiometabolic risk factors in both sexes. Waist-to-height ratio should therefore be considered as a screening tool.","DOI":"10.1111/j.1467-789X.2011.00952.x","ISSN":"1467-789X","note":"PMID: 22106927","shortTitle":"Waist-to-height ratio is a better screening tool than waist circumference and BMI for adult cardiometabolic risk factors","journalAbbreviation":"Obes Rev","language":"eng","author":[{"family":"Ashwell","given":"M"},{"family":"Gunn","given":"P"},{"family":"Gibson","given":"S"}],"issued":{"date-parts":[["2012",3]]},"PMID":"22106927"}}],"schema":"https://github.com/citation-style-language/schema/raw/master/csl-citation.json"} </w:instrText>
      </w:r>
      <w:r w:rsidR="00941B51" w:rsidRPr="003A0EF9">
        <w:fldChar w:fldCharType="separate"/>
      </w:r>
      <w:r w:rsidR="00CC106C" w:rsidRPr="00CC106C">
        <w:rPr>
          <w:vertAlign w:val="superscript"/>
        </w:rPr>
        <w:t>45</w:t>
      </w:r>
      <w:r w:rsidR="00941B51" w:rsidRPr="003A0EF9">
        <w:fldChar w:fldCharType="end"/>
      </w:r>
    </w:p>
    <w:p w:rsidR="00941B51" w:rsidRPr="003A0EF9" w:rsidRDefault="00941B51" w:rsidP="00941B51">
      <w:pPr>
        <w:ind w:firstLine="720"/>
        <w:contextualSpacing/>
      </w:pPr>
      <w:r w:rsidRPr="003A0EF9">
        <w:t>A tool similar to BMI that is utilized in dogs is the body condition score (BCS).  Multiple scales exist, but a 9-point BCS system for dogs was initially reported to have a 0.90 correlation coefficient between predicted percent body fat by BCS and actual percent body fat (%BF) determined by dual energy X-ray absorptiometry (</w:t>
      </w:r>
      <w:r w:rsidR="00EC524A">
        <w:t>DXA</w:t>
      </w:r>
      <w:r w:rsidRPr="003A0EF9">
        <w:t>).  Each unit increase on the scale was associated with a change of approximately 5 %BF where an ideal score of 5/9 was associated with 17.2 %BF in males and 19.9 %BF in females.  The highest possible score, 9/9, was associated with 35.1 %BF in males and 43.0 %BF in females .</w:t>
      </w:r>
      <w:r w:rsidRPr="003A0EF9">
        <w:fldChar w:fldCharType="begin"/>
      </w:r>
      <w:r w:rsidR="00CC106C">
        <w:instrText xml:space="preserve"> ADDIN ZOTERO_ITEM CSL_CITATION {"citationID":"dhEeE435","properties":{"formattedCitation":"{\\rtf \\super 46\\nosupersub{}}","plainCitation":"46"},"citationItems":[{"id":84,"uris":["http://zotero.org/users/171999/items/Z6U72FNJ"],"uri":["http://zotero.org/users/171999/items/Z6U72FNJ"],"itemData":{"id":84,"type":"article-journal","title":"Development and validation of a body condition score system for dogs","container-title":"Canine Practice","page":"10-15","volume":"1997","issue":"22","author":[{"family":"Laflamme","given":"D P"}],"issued":{"date-parts":[["1997"]]}}}],"schema":"https://github.com/citation-style-language/schema/raw/master/csl-citation.json"} </w:instrText>
      </w:r>
      <w:r w:rsidRPr="003A0EF9">
        <w:fldChar w:fldCharType="separate"/>
      </w:r>
      <w:r w:rsidR="00CC106C" w:rsidRPr="00CC106C">
        <w:rPr>
          <w:vertAlign w:val="superscript"/>
        </w:rPr>
        <w:t>46</w:t>
      </w:r>
      <w:r w:rsidRPr="003A0EF9">
        <w:fldChar w:fldCharType="end"/>
      </w:r>
      <w:r w:rsidRPr="003A0EF9">
        <w:t xml:space="preserve">  A second study confirmed the 9-point scale and %BF by </w:t>
      </w:r>
      <w:r w:rsidR="00EC524A">
        <w:t>DXA</w:t>
      </w:r>
      <w:r w:rsidRPr="003A0EF9">
        <w:t xml:space="preserve"> correlation with a value of 0.92, but found each unit increase in BCS was associated with a fat increase of approximately 8.7% and the ideal score of 5/9 was associated with 11 %BF.</w:t>
      </w:r>
      <w:r w:rsidRPr="003A0EF9">
        <w:fldChar w:fldCharType="begin"/>
      </w:r>
      <w:r w:rsidR="00CC106C">
        <w:instrText xml:space="preserve"> ADDIN ZOTERO_ITEM CSL_CITATION {"citationID":"ftVzSIOd","properties":{"formattedCitation":"{\\rtf \\super 47\\nosupersub{}}","plainCitation":"47"},"citationItems":[{"id":85,"uris":["http://zotero.org/users/171999/items/TTXG6U8K"],"uri":["http://zotero.org/users/171999/items/TTXG6U8K"],"itemData":{"id":85,"type":"article-journal","title":"Comparison of various methods for estimating body fat in dogs","container-title":"Journal of the American Animal Hospital Association","page":"109-114","volume":"40","issue":"2","source":"NCBI PubMed","abstract":"Obesity is considered one of the most common forms of malnutrition occurring in dogs. Laboratory methods of evaluation of body composition in live dogs have included dual-energy X-ray absorptiometry (DEXA) and deuterium oxide (D(2)O) dilution. Clinical methods of evaluation include assigning a body condition score (BCS) based on visual observation, palpation, and morphometric measurements. This study used these four methods to evaluate 23 healthy, adult, client-owned dogs. Good correlation (coefficient of determination [r(2)]=0.78) was found between measurements of percent body fat (%BF) determined by the D(2)O dilution method and the DEXA scan. Percent body fat can also be estimated using BCS (r(2)=0.92 comparison with DEXA) or by using morphometric measurements with simple calculations (r(2)=0.92 comparison with DEXA).","ISSN":"1547-3317","note":"PMID: 15007045","journalAbbreviation":"J Am Anim Hosp Assoc","language":"eng","author":[{"family":"Mawby","given":"Dianne I"},{"family":"Bartges","given":"Joseph W"},{"family":"d'Avignon","given":"Andre"},{"family":"Laflamme","given":"Dorothy P"},{"family":"Moyers","given":"Tamberlyn D"},{"family":"Cottrell","given":"Tamorah"}],"issued":{"date-parts":[["2004",4]]},"PMID":"15007045"}}],"schema":"https://github.com/citation-style-language/schema/raw/master/csl-citation.json"} </w:instrText>
      </w:r>
      <w:r w:rsidRPr="003A0EF9">
        <w:fldChar w:fldCharType="separate"/>
      </w:r>
      <w:r w:rsidR="00CC106C" w:rsidRPr="00CC106C">
        <w:rPr>
          <w:vertAlign w:val="superscript"/>
        </w:rPr>
        <w:t>47</w:t>
      </w:r>
      <w:r w:rsidRPr="003A0EF9">
        <w:fldChar w:fldCharType="end"/>
      </w:r>
      <w:r w:rsidRPr="003A0EF9">
        <w:t xml:space="preserve">  A more recent publication reported a lower, but still positive, correlation of 0.58 between </w:t>
      </w:r>
      <w:r w:rsidR="00EC524A">
        <w:t>DXA</w:t>
      </w:r>
      <w:r w:rsidRPr="003A0EF9">
        <w:t xml:space="preserve"> and BCS.</w:t>
      </w:r>
      <w:r w:rsidRPr="003A0EF9">
        <w:fldChar w:fldCharType="begin"/>
      </w:r>
      <w:r w:rsidR="00CC106C">
        <w:instrText xml:space="preserve"> ADDIN ZOTERO_ITEM CSL_CITATION {"citationID":"DZeXJnDS","properties":{"formattedCitation":"{\\rtf \\super 48\\nosupersub{}}","plainCitation":"48"},"citationItems":[{"id":87,"uris":["http://zotero.org/users/171999/items/HCHB4QHD"],"uri":["http://zotero.org/users/171999/items/HCHB4QHD"],"itemData":{"id":87,"type":"article-journal","title":"Comparison of a bioimpedance monitor with dual-energy x-ray absorptiometry for noninvasive estimation of percentage body fat in dogs","container-title":"American journal of veterinary research","page":"393-398","volume":"71","issue":"4","source":"NCBI PubMed","abstract":"OBJECTIVE: To assess performance of a portable bioimpedance monitor for measurement of body composition in dogs.\nANIMALS: 24 client-owned dogs.\nPROCEDURES: Percentage body fat was measured via dual-energy x-ray absorptiometry (DEXA) and with a portable bioimpedance monitor, and body condition score (BCS) was measured by use of a 9-integer scale.\nRESULTS: Although the precision of the bioimpedance monitor was good, this varied among dogs. Body position (standing vs sternal) had no effect on bioimpedance results. There was a significant association between results determined via DEXA and bioimpedance, but this association was weaker than between DEXA and BCS. When agreement was assessed via Bland-Altman plot, the bioimpedance monitor under- and overestimated values at high and low body fat percentages, respectively. In 9 dogs, body fat measurements were taken before and after weight loss to determine the proportional loss of tissue mass during weight management. There was a significant difference in the estimated percentage of weight lost as fat between the DEXA and bioimpedance methods.\nCONCLUSIONS AND CLINICAL RELEVANCE: Although percentage body fat measured by use of a portable bioimpedance monitor correlated well with values determined via DEXA, the imprecision and inaccuracy in dogs with high percentage body fat could make the monitor inappropriate for clinical practice.","DOI":"10.2460/ajvr.71.4.393","ISSN":"0002-9645","note":"PMID: 20367047","journalAbbreviation":"Am. J. Vet. Res.","language":"eng","author":[{"family":"German","given":"Alexander J"},{"family":"Holden","given":"Shelley L"},{"family":"Morris","given":"Penelope J"},{"family":"Biourge","given":"Vincent"}],"issued":{"date-parts":[["2010",4]]},"PMID":"20367047"}}],"schema":"https://github.com/citation-style-language/schema/raw/master/csl-citation.json"} </w:instrText>
      </w:r>
      <w:r w:rsidRPr="003A0EF9">
        <w:fldChar w:fldCharType="separate"/>
      </w:r>
      <w:r w:rsidR="00CC106C" w:rsidRPr="00CC106C">
        <w:rPr>
          <w:vertAlign w:val="superscript"/>
        </w:rPr>
        <w:t>48</w:t>
      </w:r>
      <w:r w:rsidRPr="003A0EF9">
        <w:fldChar w:fldCharType="end"/>
      </w:r>
      <w:r w:rsidRPr="003A0EF9">
        <w:t xml:space="preserve">  Another widely used scale is a 5 point system where 2.5/5 to 3/5 is considered ideal for most mature dogs, based on lifestage, lifestyle, and intended use.</w:t>
      </w:r>
      <w:r w:rsidRPr="003A0EF9">
        <w:fldChar w:fldCharType="begin"/>
      </w:r>
      <w:r w:rsidR="00CC106C">
        <w:instrText xml:space="preserve"> ADDIN ZOTERO_ITEM CSL_CITATION {"citationID":"DAkF7Fce","properties":{"formattedCitation":"{\\rtf \\super 49\\nosupersub{}}","plainCitation":"49"},"citationItems":[{"id":89,"uris":["http://zotero.org/users/171999/items/3C5TNVXD"],"uri":["http://zotero.org/users/171999/items/3C5TNVXD"],"itemData":{"id":89,"type":"chapter","title":"Small Animal Clinical Nutrition: An Iterative Process","container-title":"Small animal clinical nutrition","publisher":"Mark Morris Institute","publisher-place":"Topeka, Kan","page":"3-21","edition":"5th ed..","source":"Primo","event-place":"Topeka, Kan","ISBN":"0615297013","call-number":"SF427.4","language":"eng","author":[{"family":"Thatcher","given":"C D"},{"family":"Hand","given":"Michael S"},{"family":"Remillard","given":"R L"}],"issued":{"date-parts":[["2010"]]}}}],"schema":"https://github.com/citation-style-language/schema/raw/master/csl-citation.json"} </w:instrText>
      </w:r>
      <w:r w:rsidRPr="003A0EF9">
        <w:fldChar w:fldCharType="separate"/>
      </w:r>
      <w:r w:rsidR="00CC106C" w:rsidRPr="00CC106C">
        <w:rPr>
          <w:vertAlign w:val="superscript"/>
        </w:rPr>
        <w:t>49</w:t>
      </w:r>
      <w:r w:rsidRPr="003A0EF9">
        <w:fldChar w:fldCharType="end"/>
      </w:r>
    </w:p>
    <w:p w:rsidR="00941B51" w:rsidRPr="003A0EF9" w:rsidRDefault="00941B51" w:rsidP="00941B51">
      <w:pPr>
        <w:ind w:firstLine="720"/>
        <w:contextualSpacing/>
      </w:pPr>
      <w:r w:rsidRPr="003A0EF9">
        <w:t xml:space="preserve">A more precise way to diagnose obesity, whether in human beings or animals, is via quantitative analysis.  The gold standard for quantitative analysis of body composition is via desiccation and chemical analysis of tissues from </w:t>
      </w:r>
      <w:r w:rsidRPr="003A0EF9">
        <w:lastRenderedPageBreak/>
        <w:t>euthanized or deceased animals.</w:t>
      </w:r>
      <w:r w:rsidRPr="003A0EF9">
        <w:fldChar w:fldCharType="begin"/>
      </w:r>
      <w:r w:rsidR="00CC106C">
        <w:instrText xml:space="preserve"> ADDIN ZOTERO_ITEM CSL_CITATION {"citationID":"WersPvk5","properties":{"formattedCitation":"{\\rtf \\super 47,50,51\\nosupersub{}}","plainCitation":"47,50,51"},"citationItems":[{"id":85,"uris":["http://zotero.org/users/171999/items/TTXG6U8K"],"uri":["http://zotero.org/users/171999/items/TTXG6U8K"],"itemData":{"id":85,"type":"article-journal","title":"Comparison of various methods for estimating body fat in dogs","container-title":"Journal of the American Animal Hospital Association","page":"109-114","volume":"40","issue":"2","source":"NCBI PubMed","abstract":"Obesity is considered one of the most common forms of malnutrition occurring in dogs. Laboratory methods of evaluation of body composition in live dogs have included dual-energy X-ray absorptiometry (DEXA) and deuterium oxide (D(2)O) dilution. Clinical methods of evaluation include assigning a body condition score (BCS) based on visual observation, palpation, and morphometric measurements. This study used these four methods to evaluate 23 healthy, adult, client-owned dogs. Good correlation (coefficient of determination [r(2)]=0.78) was found between measurements of percent body fat (%BF) determined by the D(2)O dilution method and the DEXA scan. Percent body fat can also be estimated using BCS (r(2)=0.92 comparison with DEXA) or by using morphometric measurements with simple calculations (r(2)=0.92 comparison with DEXA).","ISSN":"1547-3317","note":"PMID: 15007045","journalAbbreviation":"J Am Anim Hosp Assoc","language":"eng","author":[{"family":"Mawby","given":"Dianne I"},{"family":"Bartges","given":"Joseph W"},{"family":"d'Avignon","given":"Andre"},{"family":"Laflamme","given":"Dorothy P"},{"family":"Moyers","given":"Tamberlyn D"},{"family":"Cottrell","given":"Tamorah"}],"issued":{"date-parts":[["2004",4]]},"PMID":"15007045"}},{"id":90,"uris":["http://zotero.org/users/171999/items/WNNNDWFW"],"uri":["http://zotero.org/users/171999/items/WNNNDWFW"],"itemData":{"id":90,"type":"article-journal","title":"Direct and indirect measurement of total body water in the growing beagle","container-title":"Proceedings of the Society for Experimental Biology and Medicine. Society for Experimental Biology and Medicine (New York, N.Y.)","page":"1093-1099","volume":"137","issue":"3","source":"NCBI PubMed","ISSN":"0037-9727","note":"PMID: 5560657","journalAbbreviation":"Proc. Soc. Exp. Biol. Med.","language":"eng","author":[{"family":"Sheng","given":"H P"},{"family":"Huggins","given":"R A"}],"issued":{"date-parts":[["1971",7]]},"PMID":"5560657"}},{"id":92,"uris":["http://zotero.org/users/171999/items/UCVXKEIP"],"uri":["http://zotero.org/users/171999/items/UCVXKEIP"],"itemData":{"id":92,"type":"article-journal","title":"Body composition of infants of diabetic mothers by direct analysis","container-title":"Annals of the New York Academy of Sciences","page":"869-897","volume":"110","source":"NCBI PubMed","ISSN":"0077-8923","note":"PMID: 14061691","journalAbbreviation":"Ann. N. Y. Acad. Sci.","language":"eng","author":[{"family":"Fee","given":"B A"},{"family":"Weil","given":"W B, Jr"}],"issued":{"date-parts":[["1963",9,26]]},"PMID":"14061691"}}],"schema":"https://github.com/citation-style-language/schema/raw/master/csl-citation.json"} </w:instrText>
      </w:r>
      <w:r w:rsidRPr="003A0EF9">
        <w:fldChar w:fldCharType="separate"/>
      </w:r>
      <w:r w:rsidR="00CC106C" w:rsidRPr="00CC106C">
        <w:rPr>
          <w:vertAlign w:val="superscript"/>
        </w:rPr>
        <w:t>47</w:t>
      </w:r>
      <w:proofErr w:type="gramStart"/>
      <w:r w:rsidR="00CC106C" w:rsidRPr="00CC106C">
        <w:rPr>
          <w:vertAlign w:val="superscript"/>
        </w:rPr>
        <w:t>,50,51</w:t>
      </w:r>
      <w:proofErr w:type="gramEnd"/>
      <w:r w:rsidRPr="003A0EF9">
        <w:fldChar w:fldCharType="end"/>
      </w:r>
      <w:r w:rsidRPr="003A0EF9">
        <w:t xml:space="preserve">  In short, cadavers are frozen, sliced, and homogenized via multiple grindings.  Multiple samples are collected from the ground cadaver </w:t>
      </w:r>
      <w:r w:rsidR="001D4E8E">
        <w:t>and</w:t>
      </w:r>
      <w:r w:rsidRPr="003A0EF9">
        <w:t xml:space="preserve"> analyzed for water, fat, nitrogen, and ash contents.</w:t>
      </w:r>
      <w:r w:rsidRPr="003A0EF9">
        <w:fldChar w:fldCharType="begin"/>
      </w:r>
      <w:r w:rsidR="00CC106C">
        <w:instrText xml:space="preserve"> ADDIN ZOTERO_ITEM CSL_CITATION {"citationID":"Sb8ic7Sz","properties":{"formattedCitation":"{\\rtf \\super 52\\nosupersub{}}","plainCitation":"52"},"citationItems":[{"id":94,"uris":["http://zotero.org/users/171999/items/WT6786PS"],"uri":["http://zotero.org/users/171999/items/WT6786PS"],"itemData":{"id":94,"type":"article-journal","title":"Validation of predictive equations for use of deuterium oxide dilution to determine body composition of dogs","container-title":"American journal of veterinary research","page":"927-937","volume":"59","issue":"8","source":"NCBI PubMed","abstract":"OBJECTIVE: To validate equations predicting body composition of dogs, using deuterium oxide dilution.\nANIMALS: 38 female and 37 male dogs selected by defined body weight and body condition criteria.\nPROCEDURE: Measured equilibrated deuterium concentration in serum after i.v. administration of isotope was used to determine isotope space and predict body water, fat, nitrogen, and ash contents determined from analysis of homogenized carcass. Equations predicting body composition were derived, using regression analysis, and were validated, using data-splitting techniques.\nRESULTS: Deuterium space (in kilograms) overestimated kilograms of body water content by mean 21.8% +/- SD of 4.18%. Regression equations were derived and validated to predict kilograms of body water and ash from kilograms of deuterium space, and proportion of body water, fat, nitrogen, and ash from proportion of deuterium space. Coefficients of determination (r2) and means of standard errors of estimating new values (SEE) were, respectively, 0.993 and 0.4 kg for body water content, and 0.942 and 0.08 kg for ash content. For proportions, SEE were 2.0, 2.7, 0.1, and 0.4% for body water, fat, nitrogen, and ash, respectively. Two factors, time for isotope equilibration and whether samples were processed by vacuum sublimation, improved SEE for proportion of body water from 2.0 to 1.3% and of fat from 2.7 to 1.8%. Equations predicting absolute quantities of fat and nitrogen could be derived but not validated.\nCONCLUSIONS: Deuterium dilution can be used to predict body composition of dogs with precision equal to that determined for other species.","ISSN":"0002-9645","note":"PMID: 9706194","journalAbbreviation":"Am. J. Vet. Res.","language":"eng","author":[{"family":"Burkholder","given":"W J"},{"family":"Thatcher","given":"C D"}],"issued":{"date-parts":[["1998",8]]},"PMID":"9706194"}}],"schema":"https://github.com/citation-style-language/schema/raw/master/csl-citation.json"} </w:instrText>
      </w:r>
      <w:r w:rsidRPr="003A0EF9">
        <w:fldChar w:fldCharType="separate"/>
      </w:r>
      <w:r w:rsidR="00CC106C" w:rsidRPr="00CC106C">
        <w:rPr>
          <w:vertAlign w:val="superscript"/>
        </w:rPr>
        <w:t>52</w:t>
      </w:r>
      <w:r w:rsidRPr="003A0EF9">
        <w:fldChar w:fldCharType="end"/>
      </w:r>
      <w:r w:rsidRPr="003A0EF9">
        <w:t xml:space="preserve">  Alternatively, cadavers can be autoclaved as separate samples of carcass, viscera, and brain before being extracted and ground for sample collection.</w:t>
      </w:r>
      <w:r w:rsidRPr="003A0EF9">
        <w:fldChar w:fldCharType="begin"/>
      </w:r>
      <w:r w:rsidR="00CC106C">
        <w:instrText xml:space="preserve"> ADDIN ZOTERO_ITEM CSL_CITATION {"citationID":"zu1vtZuB","properties":{"formattedCitation":"{\\rtf \\super 51\\nosupersub{}}","plainCitation":"51"},"citationItems":[{"id":92,"uris":["http://zotero.org/users/171999/items/UCVXKEIP"],"uri":["http://zotero.org/users/171999/items/UCVXKEIP"],"itemData":{"id":92,"type":"article-journal","title":"Body composition of infants of diabetic mothers by direct analysis","container-title":"Annals of the New York Academy of Sciences","page":"869-897","volume":"110","source":"NCBI PubMed","ISSN":"0077-8923","note":"PMID: 14061691","journalAbbreviation":"Ann. N. Y. Acad. Sci.","language":"eng","author":[{"family":"Fee","given":"B A"},{"family":"Weil","given":"W B, Jr"}],"issued":{"date-parts":[["1963",9,26]]},"PMID":"14061691"}}],"schema":"https://github.com/citation-style-language/schema/raw/master/csl-citation.json"} </w:instrText>
      </w:r>
      <w:r w:rsidRPr="003A0EF9">
        <w:fldChar w:fldCharType="separate"/>
      </w:r>
      <w:r w:rsidR="00CC106C" w:rsidRPr="00CC106C">
        <w:rPr>
          <w:vertAlign w:val="superscript"/>
        </w:rPr>
        <w:t>51</w:t>
      </w:r>
      <w:r w:rsidRPr="003A0EF9">
        <w:fldChar w:fldCharType="end"/>
      </w:r>
      <w:r w:rsidRPr="003A0EF9">
        <w:t xml:space="preserve">  Outside of a research setting, this is not a realistic method to employ, however it has been used to validate other non-invasive quantitative methods in humans and canines, including </w:t>
      </w:r>
      <w:r w:rsidR="00EC524A">
        <w:t>DXA</w:t>
      </w:r>
      <w:r w:rsidRPr="003A0EF9">
        <w:t xml:space="preserve"> and total body water (TBW) analysis.</w:t>
      </w:r>
      <w:r w:rsidRPr="003A0EF9">
        <w:fldChar w:fldCharType="begin"/>
      </w:r>
      <w:r w:rsidR="00CC106C">
        <w:instrText xml:space="preserve"> ADDIN ZOTERO_ITEM CSL_CITATION {"citationID":"5qftsgve","properties":{"formattedCitation":"{\\rtf \\super 50\\uc0\\u8211{}55\\nosupersub{}}","plainCitation":"50–55"},"citationItems":[{"id":90,"uris":["http://zotero.org/users/171999/items/WNNNDWFW"],"uri":["http://zotero.org/users/171999/items/WNNNDWFW"],"itemData":{"id":90,"type":"article-journal","title":"Direct and indirect measurement of total body water in the growing beagle","container-title":"Proceedings of the Society for Experimental Biology and Medicine. Society for Experimental Biology and Medicine (New York, N.Y.)","page":"1093-1099","volume":"137","issue":"3","source":"NCBI PubMed","ISSN":"0037-9727","note":"PMID: 5560657","journalAbbreviation":"Proc. Soc. Exp. Biol. Med.","language":"eng","author":[{"family":"Sheng","given":"H P"},{"family":"Huggins","given":"R A"}],"issued":{"date-parts":[["1971",7]]},"PMID":"5560657"}},{"id":92,"uris":["http://zotero.org/users/171999/items/UCVXKEIP"],"uri":["http://zotero.org/users/171999/items/UCVXKEIP"],"itemData":{"id":92,"type":"article-journal","title":"Body composition of infants of diabetic mothers by direct analysis","container-title":"Annals of the New York Academy of Sciences","page":"869-897","volume":"110","source":"NCBI PubMed","ISSN":"0077-8923","note":"PMID: 14061691","journalAbbreviation":"Ann. N. Y. Acad. Sci.","language":"eng","author":[{"family":"Fee","given":"B A"},{"family":"Weil","given":"W B, Jr"}],"issued":{"date-parts":[["1963",9,26]]},"PMID":"14061691"}},{"id":94,"uris":["http://zotero.org/users/171999/items/WT6786PS"],"uri":["http://zotero.org/users/171999/items/WT6786PS"],"itemData":{"id":94,"type":"article-journal","title":"Validation of predictive equations for use of deuterium oxide dilution to determine body composition of dogs","container-title":"American journal of veterinary research","page":"927-937","volume":"59","issue":"8","source":"NCBI PubMed","abstract":"OBJECTIVE: To validate equations predicting body composition of dogs, using deuterium oxide dilution.\nANIMALS: 38 female and 37 male dogs selected by defined body weight and body condition criteria.\nPROCEDURE: Measured equilibrated deuterium concentration in serum after i.v. administration of isotope was used to determine isotope space and predict body water, fat, nitrogen, and ash contents determined from analysis of homogenized carcass. Equations predicting body composition were derived, using regression analysis, and were validated, using data-splitting techniques.\nRESULTS: Deuterium space (in kilograms) overestimated kilograms of body water content by mean 21.8% +/- SD of 4.18%. Regression equations were derived and validated to predict kilograms of body water and ash from kilograms of deuterium space, and proportion of body water, fat, nitrogen, and ash from proportion of deuterium space. Coefficients of determination (r2) and means of standard errors of estimating new values (SEE) were, respectively, 0.993 and 0.4 kg for body water content, and 0.942 and 0.08 kg for ash content. For proportions, SEE were 2.0, 2.7, 0.1, and 0.4% for body water, fat, nitrogen, and ash, respectively. Two factors, time for isotope equilibration and whether samples were processed by vacuum sublimation, improved SEE for proportion of body water from 2.0 to 1.3% and of fat from 2.7 to 1.8%. Equations predicting absolute quantities of fat and nitrogen could be derived but not validated.\nCONCLUSIONS: Deuterium dilution can be used to predict body composition of dogs with precision equal to that determined for other species.","ISSN":"0002-9645","note":"PMID: 9706194","journalAbbreviation":"Am. J. Vet. Res.","language":"eng","author":[{"family":"Burkholder","given":"W J"},{"family":"Thatcher","given":"C D"}],"issued":{"date-parts":[["1998",8]]},"PMID":"9706194"}},{"id":96,"uris":["http://zotero.org/users/local/Ry4zHLbn/items/X6HEBHC5"],"uri":["http://zotero.org/users/local/Ry4zHLbn/items/X6HEBHC5"],"itemData":{"id":96,"type":"article-journal","title":"Validation of dual energy X-ray absorptiometry (DXA) by comparison with chemical analysis of dogs and cats","container-title":"International journal of obesity and related metabolic disorders: journal of the International Association for the Study of Obesity","page":"439-447","volume":"25","issue":"3","source":"NCBI PubMed","abstract":"BACKGROUND: Dual-energy X-ray absorptiometry (DXA) has been used extensively to measure body composition, but has been validated by comparison to chemical analysis on relatively few occasions. Moreover, these previous validation studies have ground up entire carcasses prior to chemical analysis, thus potentially obscuring sources of error in the DXA analysis.\nOBJECTIVE: The purpose of this study was to validate DXA by comparison to chemical analysis in dogs and cats, performing chemical analysis on dissected rather than ground carcasses to reveal sources of discrepancy between the two methods.\nDESIGN: Sixteen animals (10 cats and 6 dogs weighing between 1.8 and 22.1 kg) were scanned by DXA post-mortem using a Hologic QDR-1000 W pencil beam machine and then dissected into 22 separate components. Individual tissues were dried and then sub-sampled for analysis of fat content by Soxholet extraction, or ashing in a muffle furnace. Body composition by DXA was compared to body composition by chemical analysis and discrepancies between the two correlated with chemical composition of individual tissues. We also explored the capability of the machine to establish the fat contents of mixtures of ground beef, lard and water.\nRESULTS: DXA estimates were strongly correlated with estimates derived from chemical analysis: total body mass (r=1.00), lean tissue mass (r=0.999), body water content (r=0.992) and fat mass (r=0.982). Across individuals the absolute and percentage discrepancies were also small: total body mass (13.2 g, 1.02%), lean tissue mass (119.4 g, 2.64%), water content (101 g, 1.57%) and fat content (28.5 g, 2.04%), where the percentage error is expressed relative to the average mass of that component across all individuals. Although on average DXA compared very well to chemical analysis, individual errors were much greater. Individual errors in the lean tissue and fat tissue components were strongly correlated with the fat content of skeletal muscle and the lean content of mesenteric fat. The error in the DXA estimate of total fat content was related to skeletal muscle hydration. Experimental studies using mixtures of lean ground beef, water and lard indicated that tissue hydration may have important effects on the perception of tissue fat content by DXA. Bone mineral content by DXA was approximately 30% lower than whole body ash content but only 7.7% lower than ash content of the bones.\nCONCLUSIONS: On average pencil beam DXA analysis using the Hologic QDR-1000 W machine provides an accurate estimate of body composition in subjects weighing between 1.8 and 22.1 kg. Individual discrepancies, however, can be large and appear to be related to lean tissue hydration.","DOI":"10.1038/sj.ijo.0801544","ISSN":"0307-0565","note":"PMID: 11319644","journalAbbreviation":"Int. J. Obes. Relat. Metab. Disord.","language":"eng","author":[{"family":"Speakman","given":"J R"},{"family":"Booles","given":"D"},{"family":"Butterwick","given":"R"}],"issued":{"date-parts":[["2001",3]]},"PMID":"11319644"}},{"id":98,"uris":["http://zotero.org/users/171999/items/REKTJUA4"],"uri":["http://zotero.org/users/171999/items/REKTJUA4"],"itemData":{"id":98,"type":"article-journal","title":"Use of dual energy x-ray absorptiometry for noninvasive body composition measurements in clinically normal dogs","container-title":"American journal of veterinary research","page":"1295-1301","volume":"62","issue":"8","source":"NCBI PubMed","abstract":"OBJECTIVE: To determine quantitative values for components of body composition in clinically normal dogs of various breeds by use of dual energy x-ray absorptiometry (DEXA) and validate the precision and accuracy of DEXA technology in dogs.\nANIMALS: 103 clinically normal sexually intact adult dogs.\nPROCEDURE: In a cross-sectional study, Beagles, Pembroke Welsh Corgis, Golden Retrievers, Great Danes, Pointers, Rottweilers, and nonpurebred dogs received total body DEXA scans. For the validation portion of the study, the results of DEXA scans of 6 dogs were compared with values obtained by chemical analyses of tissues from euthanatized dogs to determine the accuracy of this modality in dogs.\nRESULTS: Results (coefficient of variation) of the precision tests ranged from 0.10% for lean tissue to 5.19% for fat tissue, whereas accuracy tests revealed a difference between percentage bone mineral content and ash values. Body composition differed by sex, such as higher lean tissue and bone mineral content in males within some breeds, and among breeds. Regardless of body size or weight, the percentage of body weight that was bone mineral ranged from 3 to 4.0% [corrected].\nCONCLUSIONS AND CLINICAL RELEVANCE: Results of this cross-sectional study provide valuable body composition data for clinically normal adult dogs, which may have research and clinical applications.","ISSN":"0002-9645","note":"PMID: 11497454","journalAbbreviation":"Am. J. Vet. Res.","language":"eng","author":[{"family":"Lauten","given":"S D"},{"family":"Cox","given":"N R"},{"family":"Brawner","given":"W R, Jr"},{"family":"Baker","given":"H J"}],"issued":{"date-parts":[["2001",8]]},"PMID":"11497454"}},{"id":100,"uris":["http://zotero.org/users/171999/items/3N5STMWV"],"uri":["http://zotero.org/users/171999/items/3N5STMWV"],"itemData":{"id":100,"type":"article-journal","title":"Comparison of dual-energy x-ray absorptiometry and measurement of total body water content by deuterium oxide dilution for estimating body composition in dogs","container-title":"American journal of veterinary research","page":"529-532","volume":"59","issue":"5","source":"NCBI PubMed","abstract":"OBJECTIVE: To compare percentage of body fat (%BF) estimates from dual-energy x-ray absorptiometry (DEXA) with those derived from total body water (TBW) determination by deuterium oxide (D2O) dilution.\nANIMALS: 31 healthy, adult, purebred dogs of various ages and breeds (body weight, 15 to 39 kg).\nPROCEDURE: The TBW was measured by D2O dilution and subsequent analysis via nuclear magnetic resonance (NMR). Blood was collected before and 2 hours after IV administration of 275 mg of D2O/kg of body weight. Plasma was separated and stored at -30 C until analysis by deuterium NMR. The DEXA scans were obtained immediately after blood collection from dogs under general anesthesia.\nRESULTS: Measurements of %BF by DEXA averaged 15.8% higher than calculated estimates of TBW content by D2O dilution. The linear regression of %BF by TBW content on %BF by DEXA had a slope of 1.04 and a correlation coefficient of 0.84, indicating excellent relative agreement between methods despite the significant difference in absolute agreement between the 2 methods. The average difference between methods did not differ by breed, sex, body condition score, body weight, or %BF, as measured by DEXA.\nCONCLUSION: Comparability of our data with those of previous studies suggest that DEXA is useful for in vivo estimation of body composition in healthy dogs. Body fat estimated by D2O dilution will be less than that determined by DEXA, despite excellent relative agreement between methods.","ISSN":"0002-9645","note":"PMID: 9582950","journalAbbreviation":"Am. J. Vet. Res.","language":"eng","author":[{"family":"Son","given":"H R"},{"family":"d'Avignon","given":"D A"},{"family":"Laflamme","given":"D P"}],"issued":{"date-parts":[["1998",5]]},"PMID":"9582950"}}],"schema":"https://github.com/citation-style-language/schema/raw/master/csl-citation.json"} </w:instrText>
      </w:r>
      <w:r w:rsidRPr="003A0EF9">
        <w:fldChar w:fldCharType="separate"/>
      </w:r>
      <w:r w:rsidR="00CC106C" w:rsidRPr="00CC106C">
        <w:rPr>
          <w:vertAlign w:val="superscript"/>
        </w:rPr>
        <w:t>50–55</w:t>
      </w:r>
      <w:r w:rsidRPr="003A0EF9">
        <w:fldChar w:fldCharType="end"/>
      </w:r>
      <w:r w:rsidRPr="003A0EF9">
        <w:t xml:space="preserve">  In vivo measurement of TBW can be done with deuterium and tritium, the heavier isotopes of hydrogen, in the form of deuterium oxide (D</w:t>
      </w:r>
      <w:r w:rsidRPr="003A0EF9">
        <w:rPr>
          <w:vertAlign w:val="subscript"/>
        </w:rPr>
        <w:t>2</w:t>
      </w:r>
      <w:r w:rsidRPr="003A0EF9">
        <w:t xml:space="preserve">O) and </w:t>
      </w:r>
      <w:r w:rsidR="001D4E8E">
        <w:t>tritiated</w:t>
      </w:r>
      <w:r w:rsidRPr="003A0EF9">
        <w:t xml:space="preserve"> water.  The isotope is injected intravenousl</w:t>
      </w:r>
      <w:r w:rsidR="001D4E8E">
        <w:t xml:space="preserve">y, diffuses into </w:t>
      </w:r>
      <w:r w:rsidRPr="003A0EF9">
        <w:t xml:space="preserve">extracellular and intracellular </w:t>
      </w:r>
      <w:r w:rsidR="001D4E8E">
        <w:t xml:space="preserve">fluid </w:t>
      </w:r>
      <w:r w:rsidRPr="003A0EF9">
        <w:t xml:space="preserve">compartments, and reaches a stable equilibrium within a short period of time.  </w:t>
      </w:r>
      <w:r w:rsidR="001D4E8E">
        <w:t>I</w:t>
      </w:r>
      <w:r w:rsidRPr="003A0EF9">
        <w:t>sotope level</w:t>
      </w:r>
      <w:r w:rsidR="001D4E8E">
        <w:t xml:space="preserve"> is</w:t>
      </w:r>
      <w:r w:rsidRPr="003A0EF9">
        <w:t xml:space="preserve"> measured after equilibration to determine TBW.</w:t>
      </w:r>
      <w:r w:rsidRPr="003A0EF9">
        <w:fldChar w:fldCharType="begin"/>
      </w:r>
      <w:r w:rsidR="00CC106C">
        <w:instrText xml:space="preserve"> ADDIN ZOTERO_ITEM CSL_CITATION {"citationID":"eVR2rfgn","properties":{"formattedCitation":"{\\rtf \\super 52,56\\nosupersub{}}","plainCitation":"52,56"},"citationItems":[{"id":94,"uris":["http://zotero.org/users/171999/items/WT6786PS"],"uri":["http://zotero.org/users/171999/items/WT6786PS"],"itemData":{"id":94,"type":"article-journal","title":"Validation of predictive equations for use of deuterium oxide dilution to determine body composition of dogs","container-title":"American journal of veterinary research","page":"927-937","volume":"59","issue":"8","source":"NCBI PubMed","abstract":"OBJECTIVE: To validate equations predicting body composition of dogs, using deuterium oxide dilution.\nANIMALS: 38 female and 37 male dogs selected by defined body weight and body condition criteria.\nPROCEDURE: Measured equilibrated deuterium concentration in serum after i.v. administration of isotope was used to determine isotope space and predict body water, fat, nitrogen, and ash contents determined from analysis of homogenized carcass. Equations predicting body composition were derived, using regression analysis, and were validated, using data-splitting techniques.\nRESULTS: Deuterium space (in kilograms) overestimated kilograms of body water content by mean 21.8% +/- SD of 4.18%. Regression equations were derived and validated to predict kilograms of body water and ash from kilograms of deuterium space, and proportion of body water, fat, nitrogen, and ash from proportion of deuterium space. Coefficients of determination (r2) and means of standard errors of estimating new values (SEE) were, respectively, 0.993 and 0.4 kg for body water content, and 0.942 and 0.08 kg for ash content. For proportions, SEE were 2.0, 2.7, 0.1, and 0.4% for body water, fat, nitrogen, and ash, respectively. Two factors, time for isotope equilibration and whether samples were processed by vacuum sublimation, improved SEE for proportion of body water from 2.0 to 1.3% and of fat from 2.7 to 1.8%. Equations predicting absolute quantities of fat and nitrogen could be derived but not validated.\nCONCLUSIONS: Deuterium dilution can be used to predict body composition of dogs with precision equal to that determined for other species.","ISSN":"0002-9645","note":"PMID: 9706194","journalAbbreviation":"Am. J. Vet. Res.","language":"eng","author":[{"family":"Burkholder","given":"W J"},{"family":"Thatcher","given":"C D"}],"issued":{"date-parts":[["1998",8]]},"PMID":"9706194"}},{"id":102,"uris":["http://zotero.org/users/171999/items/SSHA8BDU"],"uri":["http://zotero.org/users/171999/items/SSHA8BDU"],"itemData":{"id":102,"type":"article-journal","title":"The measurement of total body water in the human subject by deuterium oxide dilution; with a consideration of the dynamics of deuterium distribution","container-title":"The Journal of clinical investigation","page":"1296-1310","volume":"29","issue":"10","source":"NCBI PubMed","DOI":"10.1172/JCI102366","ISSN":"0021-9738","note":"PMID: 14778892","journalAbbreviation":"J. Clin. Invest.","language":"eng","author":[{"family":"Schloerb","given":"P R"},{"family":"Friis-Hansen","given":"B J"},{"family":"Edelman","given":"I S"},{"family":"Solomon","given":"A K"},{"family":"Moore","given":"F D"}],"issued":{"date-parts":[["1950",10]]},"PMID":"14778892"}}],"schema":"https://github.com/citation-style-language/schema/raw/master/csl-citation.json"} </w:instrText>
      </w:r>
      <w:r w:rsidRPr="003A0EF9">
        <w:fldChar w:fldCharType="separate"/>
      </w:r>
      <w:r w:rsidR="00CC106C" w:rsidRPr="00CC106C">
        <w:rPr>
          <w:vertAlign w:val="superscript"/>
        </w:rPr>
        <w:t>52,56</w:t>
      </w:r>
      <w:r w:rsidRPr="003A0EF9">
        <w:fldChar w:fldCharType="end"/>
      </w:r>
      <w:r w:rsidRPr="003A0EF9">
        <w:t xml:space="preserve">  Use of TBW as a method to determine body composition is based on the principle that the body’s fat-free mass contains water in a fixed proportion and fat mass contains little to no water.</w:t>
      </w:r>
      <w:r w:rsidRPr="003A0EF9">
        <w:fldChar w:fldCharType="begin"/>
      </w:r>
      <w:r w:rsidR="00CC106C">
        <w:instrText xml:space="preserve"> ADDIN ZOTERO_ITEM CSL_CITATION {"citationID":"qkFxZ1wf","properties":{"formattedCitation":"{\\rtf \\super 57\\nosupersub{}}","plainCitation":"57"},"citationItems":[{"id":104,"uris":["http://zotero.org/users/local/Ry4zHLbn/items/HRU6BNZQ"],"uri":["http://zotero.org/users/local/Ry4zHLbn/items/HRU6BNZQ"],"itemData":{"id":104,"type":"chapter","title":"Estimation of body composition by the dilution of hydrogen isotopes","container-title":"Body composition in animals and man","publisher":"Washington, National Academy of Sciences","page":"200-217","source":"Primo","call-number":"QP521","language":"eng","author":[{"family":"Panaretto","given":"B A"}],"issued":{"date-parts":[["1968"]]}}}],"schema":"https://github.com/citation-style-language/schema/raw/master/csl-citation.json"} </w:instrText>
      </w:r>
      <w:r w:rsidRPr="003A0EF9">
        <w:fldChar w:fldCharType="separate"/>
      </w:r>
      <w:r w:rsidR="00CC106C" w:rsidRPr="00CC106C">
        <w:rPr>
          <w:vertAlign w:val="superscript"/>
        </w:rPr>
        <w:t>57</w:t>
      </w:r>
      <w:r w:rsidRPr="003A0EF9">
        <w:fldChar w:fldCharType="end"/>
      </w:r>
      <w:r w:rsidRPr="003A0EF9">
        <w:t xml:space="preserve">    These principals are the basis behind the use of TBW to indirectly determine fat-free (lean) mass, with most equations using 73.2% as the fixed value.</w:t>
      </w:r>
      <w:r w:rsidRPr="003A0EF9">
        <w:fldChar w:fldCharType="begin"/>
      </w:r>
      <w:r w:rsidR="00CC106C">
        <w:instrText xml:space="preserve"> ADDIN ZOTERO_ITEM CSL_CITATION {"citationID":"2CxoJhiv","properties":{"formattedCitation":"{\\rtf \\super 58\\nosupersub{}}","plainCitation":"58"},"citationItems":[{"id":105,"uris":["http://zotero.org/users/local/Ry4zHLbn/items/DEZRIBXW"],"uri":["http://zotero.org/users/local/Ry4zHLbn/items/DEZRIBXW"],"itemData":{"id":105,"type":"thesis","title":"Body composition of dogs determined by carcass composition analysis, deuterium oxide dilution, subjective and objective morphometry, and bioelectrical impedance","publisher":"Virginia Polytechnic Institute and State University","publisher-place":"Blacksburg, VA","number-of-pages":"692","genre":"Dissertation","event-place":"Blacksburg, VA","URL":"http://scholar.lib.vt.edu/theses/available/etd-12142006-131851/","note":"see document","author":[{"family":"Burkholder","given":"William Joseph"}],"issued":{"date-parts":[["1994",5,16]]},"accessed":{"date-parts":[["2013",10,10]]}}}],"schema":"https://github.com/citation-style-language/schema/raw/master/csl-citation.json"} </w:instrText>
      </w:r>
      <w:r w:rsidRPr="003A0EF9">
        <w:fldChar w:fldCharType="separate"/>
      </w:r>
      <w:r w:rsidR="00CC106C" w:rsidRPr="00CC106C">
        <w:rPr>
          <w:vertAlign w:val="superscript"/>
        </w:rPr>
        <w:t>58</w:t>
      </w:r>
      <w:r w:rsidRPr="003A0EF9">
        <w:fldChar w:fldCharType="end"/>
      </w:r>
      <w:r w:rsidRPr="003A0EF9">
        <w:t xml:space="preserve">  While effective, D</w:t>
      </w:r>
      <w:r w:rsidRPr="003A0EF9">
        <w:rPr>
          <w:vertAlign w:val="subscript"/>
        </w:rPr>
        <w:t>2</w:t>
      </w:r>
      <w:r w:rsidRPr="003A0EF9">
        <w:t>O analysis is considered difficult and time-consuming and is not a practical clinical tool.</w:t>
      </w:r>
      <w:r w:rsidRPr="003A0EF9">
        <w:fldChar w:fldCharType="begin"/>
      </w:r>
      <w:r w:rsidR="00CC106C">
        <w:instrText xml:space="preserve"> ADDIN ZOTERO_ITEM CSL_CITATION {"citationID":"S22PWCKK","properties":{"formattedCitation":"{\\rtf \\super 47\\nosupersub{}}","plainCitation":"47"},"citationItems":[{"id":85,"uris":["http://zotero.org/users/171999/items/TTXG6U8K"],"uri":["http://zotero.org/users/171999/items/TTXG6U8K"],"itemData":{"id":85,"type":"article-journal","title":"Comparison of various methods for estimating body fat in dogs","container-title":"Journal of the American Animal Hospital Association","page":"109-114","volume":"40","issue":"2","source":"NCBI PubMed","abstract":"Obesity is considered one of the most common forms of malnutrition occurring in dogs. Laboratory methods of evaluation of body composition in live dogs have included dual-energy X-ray absorptiometry (DEXA) and deuterium oxide (D(2)O) dilution. Clinical methods of evaluation include assigning a body condition score (BCS) based on visual observation, palpation, and morphometric measurements. This study used these four methods to evaluate 23 healthy, adult, client-owned dogs. Good correlation (coefficient of determination [r(2)]=0.78) was found between measurements of percent body fat (%BF) determined by the D(2)O dilution method and the DEXA scan. Percent body fat can also be estimated using BCS (r(2)=0.92 comparison with DEXA) or by using morphometric measurements with simple calculations (r(2)=0.92 comparison with DEXA).","ISSN":"1547-3317","note":"PMID: 15007045","journalAbbreviation":"J Am Anim Hosp Assoc","language":"eng","author":[{"family":"Mawby","given":"Dianne I"},{"family":"Bartges","given":"Joseph W"},{"family":"d'Avignon","given":"Andre"},{"family":"Laflamme","given":"Dorothy P"},{"family":"Moyers","given":"Tamberlyn D"},{"family":"Cottrell","given":"Tamorah"}],"issued":{"date-parts":[["2004",4]]},"PMID":"15007045"}}],"schema":"https://github.com/citation-style-language/schema/raw/master/csl-citation.json"} </w:instrText>
      </w:r>
      <w:r w:rsidRPr="003A0EF9">
        <w:fldChar w:fldCharType="separate"/>
      </w:r>
      <w:r w:rsidR="00CC106C" w:rsidRPr="00CC106C">
        <w:rPr>
          <w:vertAlign w:val="superscript"/>
        </w:rPr>
        <w:t>47</w:t>
      </w:r>
      <w:r w:rsidRPr="003A0EF9">
        <w:fldChar w:fldCharType="end"/>
      </w:r>
    </w:p>
    <w:p w:rsidR="00941B51" w:rsidRPr="003A0EF9" w:rsidRDefault="00EC524A" w:rsidP="00941B51">
      <w:pPr>
        <w:ind w:firstLine="720"/>
        <w:contextualSpacing/>
      </w:pPr>
      <w:r>
        <w:t>DXA</w:t>
      </w:r>
      <w:r w:rsidR="00941B51" w:rsidRPr="003A0EF9">
        <w:t xml:space="preserve"> analysis is considered a more practical clinical tool, especially in human medicine where it is more widely used </w:t>
      </w:r>
      <w:r w:rsidR="001D4E8E">
        <w:t xml:space="preserve">when </w:t>
      </w:r>
      <w:r w:rsidR="00941B51" w:rsidRPr="003A0EF9">
        <w:t xml:space="preserve">compared </w:t>
      </w:r>
      <w:r w:rsidR="001D4E8E">
        <w:t>with</w:t>
      </w:r>
      <w:r w:rsidR="00941B51" w:rsidRPr="003A0EF9">
        <w:t xml:space="preserve"> veterinary medicine.  A low current X-ray tube is used to generate X-rays at two levels that are released as a beam and exhibit attenuation proportional to the density of the </w:t>
      </w:r>
      <w:r w:rsidR="001D4E8E">
        <w:t>tissue</w:t>
      </w:r>
      <w:r w:rsidR="00941B51" w:rsidRPr="003A0EF9">
        <w:t xml:space="preserve"> </w:t>
      </w:r>
      <w:r w:rsidR="001D4E8E">
        <w:t>through</w:t>
      </w:r>
      <w:r w:rsidR="00941B51" w:rsidRPr="003A0EF9">
        <w:t xml:space="preserve"> which the beam travels.  The beam is collected into a detector after passing through </w:t>
      </w:r>
      <w:r w:rsidR="001D4E8E">
        <w:t>tissue</w:t>
      </w:r>
      <w:r w:rsidR="00941B51" w:rsidRPr="003A0EF9">
        <w:t xml:space="preserve"> a computer system calculates bone mineral content (BMC) and bone mineral density (BMD).  Soft </w:t>
      </w:r>
      <w:r w:rsidR="001D4E8E">
        <w:t>tissue body composition is</w:t>
      </w:r>
      <w:r w:rsidR="00941B51" w:rsidRPr="003A0EF9">
        <w:t xml:space="preserve"> assessed after system calibration using external standards.</w:t>
      </w:r>
      <w:r w:rsidR="00941B51" w:rsidRPr="003A0EF9">
        <w:fldChar w:fldCharType="begin"/>
      </w:r>
      <w:r w:rsidR="00CC106C">
        <w:instrText xml:space="preserve"> ADDIN ZOTERO_ITEM CSL_CITATION {"citationID":"KXPGiKBy","properties":{"formattedCitation":"{\\rtf \\super 59,60\\nosupersub{}}","plainCitation":"59,60"},"citationItems":[{"id":107,"uris":["http://zotero.org/users/171999/items/XTGXXBF5"],"uri":["http://zotero.org/users/171999/items/XTGXXBF5"],"itemData":{"id":107,"type":"article-journal","title":"Soft tissue composition and bone mineral status: evaluation by dual-energy X-ray absorptiometry","container-title":"The Journal of nutrition","page":"438-443","volume":"123","issue":"2 Suppl","source":"NCBI PubMed","abstract":"Dual-energy X-ray absorptiometry (DXA) is a new method for assessing whole-body and regional bone, fat and fat-free mineral-free soft tissue masses. X-rays at two discrete energy levels are collimated and directed into the body. The attenuation of the X-rays by the various chemical components in the body permits determination of important compositional variables. The precision and accuracy of the DXA measurements of bone mineral content and density are 99% and &lt; 1% error, respectively. The reproducibility of the determinations of soft tissue composition is approximately 99%. Because the radiation dose associated with the X-ray exposure is low, DXA is a safe method for routine use in humans. Various applications are described, including an assessment of bone mineral status and body composition in adults and infants. This method is appealing for nutritional studies because it directly determines the composition of bone and of the body.","ISSN":"0022-3166","note":"PMID: 8429400","shortTitle":"Soft tissue composition and bone mineral status","journalAbbreviation":"J. Nutr.","language":"eng","author":[{"family":"Lukaski","given":"H C"}],"issued":{"date-parts":[["1993",2]]},"PMID":"8429400"}},{"id":109,"uris":["http://zotero.org/users/171999/items/X7T7D8A4"],"uri":["http://zotero.org/users/171999/items/X7T7D8A4"],"itemData":{"id":109,"type":"article-journal","title":"Dual-energy X-ray absorptiometry and body composition","container-title":"Nutrition (Burbank, Los Angeles County, Calif.)","page":"45-51","volume":"12","issue":"1","source":"NCBI PubMed","abstract":"This review describes the advantages and limitations of dual-energy absorptiometry (DXA), a technique that is widely used clinically to assess a patient's risk of osteoporosis and to monitor the effects of therapy. DXA is also increasingly used to measure body composition in terms of fat and fat-free mass. There are three commercial manufacturers of DXA instruments: Lunar, Hologic, and Norland. All systems generate X-rays at two different energies and make use of the differential attenuation of the X-ray beam at these two energies to calculate the bone mineral content and soft tissue composition in the scanned region. Most DXA instruments measure bone mineral in the clinically important sites of the spine, hip, and forearm. More specialized systems also perform whole-body scans and can be used to determine the bone and soft tissue composition of the whole body and subregions such as arms, legs, and trunk. The effective dose incurred during DXA scanning is very small, and, consequently, DXA is a simple and safe technique that can be used for children and the old and frail. Precision of all DXA measurements is excellent but varies with the region under investigation. Precision is best for young healthy subjects (coefficient of variation is about 1% for the spine and whole body bone measurements) but is less good for osteoporotic and obese subjects. The accuracy of DXA measurements, however, can be problematic. Marked systematic differences in bone and soft tissue values are found between the three commercial systems due to differences in calibration, bone edge detection, and other factors. In addition, differences in reference data provided by each manufacturer can lead to an individual appearing normal on one machine but at risk of osteoporosis on another. At present, DXA cannot be regarded as a \"gold standard\" for body composition. However, the continuing development of DXA and the introduction of new software is greatly improving the performance of this increasingly important technique.","ISSN":"0899-9007","note":"PMID: 8838836","journalAbbreviation":"Nutrition","language":"eng","author":[{"family":"Laskey","given":"M A"}],"issued":{"date-parts":[["1996",1]]},"PMID":"8838836"}}],"schema":"https://github.com/citation-style-language/schema/raw/master/csl-citation.json"} </w:instrText>
      </w:r>
      <w:r w:rsidR="00941B51" w:rsidRPr="003A0EF9">
        <w:fldChar w:fldCharType="separate"/>
      </w:r>
      <w:r w:rsidR="00CC106C" w:rsidRPr="00CC106C">
        <w:rPr>
          <w:vertAlign w:val="superscript"/>
        </w:rPr>
        <w:t>59</w:t>
      </w:r>
      <w:proofErr w:type="gramStart"/>
      <w:r w:rsidR="00CC106C" w:rsidRPr="00CC106C">
        <w:rPr>
          <w:vertAlign w:val="superscript"/>
        </w:rPr>
        <w:t>,60</w:t>
      </w:r>
      <w:proofErr w:type="gramEnd"/>
      <w:r w:rsidR="00941B51" w:rsidRPr="003A0EF9">
        <w:fldChar w:fldCharType="end"/>
      </w:r>
      <w:r w:rsidR="00941B51" w:rsidRPr="003A0EF9">
        <w:t xml:space="preserve">  As with D</w:t>
      </w:r>
      <w:r w:rsidR="00941B51" w:rsidRPr="003A0EF9">
        <w:rPr>
          <w:vertAlign w:val="subscript"/>
        </w:rPr>
        <w:t>2</w:t>
      </w:r>
      <w:r w:rsidR="00941B51" w:rsidRPr="003A0EF9">
        <w:t xml:space="preserve">O analysis, </w:t>
      </w:r>
      <w:r>
        <w:t>DXA</w:t>
      </w:r>
      <w:r w:rsidR="00941B51" w:rsidRPr="003A0EF9">
        <w:t xml:space="preserve"> assumes fat-free mass water content of 73%, which can lead to overestimation of the fat content in a subject with a higher hydration status.  Obese subjects have a higher fat mass, leading to increased tissue depth.  The increased depth means the X-ray beam attenuates through more material with the potential to cause inaccurate analysis as the beam attenuates through a disproportionally high tissue mass with low water content.</w:t>
      </w:r>
      <w:r w:rsidR="00941B51" w:rsidRPr="003A0EF9">
        <w:fldChar w:fldCharType="begin"/>
      </w:r>
      <w:r w:rsidR="00CC106C">
        <w:instrText xml:space="preserve"> ADDIN ZOTERO_ITEM CSL_CITATION {"citationID":"ARwoYCik","properties":{"formattedCitation":"{\\rtf \\super 60,61\\nosupersub{}}","plainCitation":"60,61"},"citationItems":[{"id":109,"uris":["http://zotero.org/users/171999/items/X7T7D8A4"],"uri":["http://zotero.org/users/171999/items/X7T7D8A4"],"itemData":{"id":109,"type":"article-journal","title":"Dual-energy X-ray absorptiometry and body composition","container-title":"Nutrition (Burbank, Los Angeles County, Calif.)","page":"45-51","volume":"12","issue":"1","source":"NCBI PubMed","abstract":"This review describes the advantages and limitations of dual-energy absorptiometry (DXA), a technique that is widely used clinically to assess a patient's risk of osteoporosis and to monitor the effects of therapy. DXA is also increasingly used to measure body composition in terms of fat and fat-free mass. There are three commercial manufacturers of DXA instruments: Lunar, Hologic, and Norland. All systems generate X-rays at two different energies and make use of the differential attenuation of the X-ray beam at these two energies to calculate the bone mineral content and soft tissue composition in the scanned region. Most DXA instruments measure bone mineral in the clinically important sites of the spine, hip, and forearm. More specialized systems also perform whole-body scans and can be used to determine the bone and soft tissue composition of the whole body and subregions such as arms, legs, and trunk. The effective dose incurred during DXA scanning is very small, and, consequently, DXA is a simple and safe technique that can be used for children and the old and frail. Precision of all DXA measurements is excellent but varies with the region under investigation. Precision is best for young healthy subjects (coefficient of variation is about 1% for the spine and whole body bone measurements) but is less good for osteoporotic and obese subjects. The accuracy of DXA measurements, however, can be problematic. Marked systematic differences in bone and soft tissue values are found between the three commercial systems due to differences in calibration, bone edge detection, and other factors. In addition, differences in reference data provided by each manufacturer can lead to an individual appearing normal on one machine but at risk of osteoporosis on another. At present, DXA cannot be regarded as a \"gold standard\" for body composition. However, the continuing development of DXA and the introduction of new software is greatly improving the performance of this increasingly important technique.","ISSN":"0899-9007","note":"PMID: 8838836","journalAbbreviation":"Nutrition","language":"eng","author":[{"family":"Laskey","given":"M A"}],"issued":{"date-parts":[["1996",1]]},"PMID":"8838836"}},{"id":111,"uris":["http://zotero.org/users/171999/items/UQ8ITD6Q"],"uri":["http://zotero.org/users/171999/items/UQ8ITD6Q"],"itemData":{"id":111,"type":"article-journal","title":"Validation of DXA body composition estimates in obese men and women","container-title":"Obesity (Silver Spring, Md.)","page":"821-826","volume":"17","issue":"4","source":"NCBI PubMed","abstract":"The aim of this study was to determine the accuracy of dual-energy X-ray absorptiometry (DXA)-derived percentage fat estimates in obese adults by using four-compartment (4C) values as criterion measures. Differences between methods were also investigated in relation to the influence of fat-free mass (FFM) hydration and various anthropometric measurements. Six women and eight men (age 22-54 years, BMI 28.7-39.9 kg/m(2), 4C percent body fat (%BF) 31.3-52.6%) had relative body fat (%BF) determined via DXA and a 4C method that incorporated measures of body density (BD), total body water (TBW), and bone mineral mass (BMM) via underwater weighing, deuterium dilution, and DXA, respectively. Anthropometric measurements were also undertaken: height, waist and gluteal girth, and anterior-posterior (A-P) chest depth. Values for both methods were significantly correlated (r(2) = 0.894) and no significant difference (P = 0.57) was detected between the means (DXA = 41.1%BF, 4C = 41.5%BF). The slope and intercept for the regression line were not significantly different (P &gt; 0.05) from 1 and 0, respectively. Although both methods were significantly correlated, intraindividual differences between the methods were sizable (4C-DXA, range = -3.04 to 4.01%BF) and significantly correlated with tissue thickness (chest depth) or most surrogates of tissue thickness (body mass, BMI, waist girth) but not FFM hydration and gluteal girth. DXA provided cross-sectional %BF data for obese adults without bias. However, individual data are associated with large prediction errors (+/-4.2%BF). This error appears to be associated with tissue thickness indicating that the DXA device used may not be able to accurately account for beam hardening in obese cohorts.","DOI":"10.1038/oby.2008.595","ISSN":"1930-7381","note":"PMID: 19131939","journalAbbreviation":"Obesity (Silver Spring)","language":"eng","author":[{"family":"LaForgia","given":"Joseph"},{"family":"Dollman","given":"James"},{"family":"Dale","given":"Michael J"},{"family":"Withers","given":"Robert T"},{"family":"Hill","given":"Alison M"}],"issued":{"date-parts":[["2009",4]]},"PMID":"19131939"}}],"schema":"https://github.com/citation-style-language/schema/raw/master/csl-citation.json"} </w:instrText>
      </w:r>
      <w:r w:rsidR="00941B51" w:rsidRPr="003A0EF9">
        <w:fldChar w:fldCharType="separate"/>
      </w:r>
      <w:r w:rsidR="00CC106C" w:rsidRPr="00CC106C">
        <w:rPr>
          <w:vertAlign w:val="superscript"/>
        </w:rPr>
        <w:t>60</w:t>
      </w:r>
      <w:proofErr w:type="gramStart"/>
      <w:r w:rsidR="00CC106C" w:rsidRPr="00CC106C">
        <w:rPr>
          <w:vertAlign w:val="superscript"/>
        </w:rPr>
        <w:t>,61</w:t>
      </w:r>
      <w:proofErr w:type="gramEnd"/>
      <w:r w:rsidR="00941B51" w:rsidRPr="003A0EF9">
        <w:fldChar w:fldCharType="end"/>
      </w:r>
    </w:p>
    <w:p w:rsidR="00941B51" w:rsidRPr="003A0EF9" w:rsidRDefault="00941B51" w:rsidP="00941B51">
      <w:pPr>
        <w:ind w:firstLine="720"/>
        <w:contextualSpacing/>
      </w:pPr>
      <w:r w:rsidRPr="003A0EF9">
        <w:t>Another quantitative body composition tool is bioelectrical impedance analysis (BIA), which is based on the concept that intra- and extracellular fluid compartments in the body contain conducting ions.  A high</w:t>
      </w:r>
      <w:r w:rsidR="001D4E8E">
        <w:t xml:space="preserve"> frequency (&gt;50 kHz) current</w:t>
      </w:r>
      <w:r w:rsidRPr="003A0EF9">
        <w:t xml:space="preserve"> pass</w:t>
      </w:r>
      <w:r w:rsidR="001D4E8E">
        <w:t>es</w:t>
      </w:r>
      <w:r w:rsidRPr="003A0EF9">
        <w:t xml:space="preserve"> through the fluid compartments </w:t>
      </w:r>
      <w:r w:rsidR="001D4E8E">
        <w:t xml:space="preserve">and is used </w:t>
      </w:r>
      <w:r w:rsidRPr="003A0EF9">
        <w:t xml:space="preserve">to measure intracellular volume via capacitance (ratio of the change in an electric charge in a system to the corresponding change in its electric potential) and extracellular volume via resistance (opposition to the passage of an electric current).  </w:t>
      </w:r>
      <w:r w:rsidR="001D4E8E">
        <w:t>D</w:t>
      </w:r>
      <w:r w:rsidRPr="003A0EF9">
        <w:t xml:space="preserve">ata </w:t>
      </w:r>
      <w:r w:rsidR="001D4E8E">
        <w:t>are</w:t>
      </w:r>
      <w:r w:rsidRPr="003A0EF9">
        <w:t xml:space="preserve"> used to calculate TBW volume as a line</w:t>
      </w:r>
      <w:r w:rsidR="001D4E8E">
        <w:t>ar function of resistance that</w:t>
      </w:r>
      <w:r w:rsidRPr="003A0EF9">
        <w:t xml:space="preserve"> has been found to be useful to estimate %BF in normal and overweight human</w:t>
      </w:r>
      <w:r w:rsidR="001D4E8E">
        <w:t>beings</w:t>
      </w:r>
      <w:r w:rsidRPr="003A0EF9">
        <w:t>.</w:t>
      </w:r>
      <w:r w:rsidRPr="003A0EF9">
        <w:fldChar w:fldCharType="begin"/>
      </w:r>
      <w:r w:rsidR="00CC106C">
        <w:instrText xml:space="preserve"> ADDIN ZOTERO_ITEM CSL_CITATION {"citationID":"KpGMRtCb","properties":{"formattedCitation":"{\\rtf \\super 62\\uc0\\u8211{}64\\nosupersub{}}","plainCitation":"62–64"},"citationItems":[{"id":113,"uris":["http://zotero.org/users/171999/items/28RIK3JE"],"uri":["http://zotero.org/users/171999/items/28RIK3JE"],"itemData":{"id":113,"type":"article-journal","title":"Monitoring acute fluid shifts with bioelectrical impedance analysis: a review.","container-title":"Journal of Veterinary Emergency and Critical Care","volume":"12","issue":"3","source":"ISI Web of Knowledge","DOI":"10.1046/j.1435-6935.2002.00023.x","ISSN":"1534-6935","shortTitle":"Monitoring acute fluid shifts with bioelectrical impedance analysis","language":"English","author":[{"family":"Bordelon","given":"D. J."},{"family":"Wingfield","given":"W. E."}],"issued":{"date-parts":[["2002"]]}}},{"id":114,"uris":["http://zotero.org/users/171999/items/CCE6ZDAF"],"uri":["http://zotero.org/users/171999/items/CCE6ZDAF"],"itemData":{"id":114,"type":"article-journal","title":"Body fluid volumes measurements by impedance: A review of bioimpedance spectroscopy (BIS) and bioimpedance analysis (BIA) methods","container-title":"Medical engineering &amp; physics","page":"1257-1269","volume":"30","issue":"10","source":"NCBI PubMed","abstract":"This paper reviews various bioimpedance methods permitting to measure non-invasively, extracellular, intracellular and total body water (TBW) and compares BIA methods based on empirical equations of the wrist-ankle resistance or impedance at 50 kHz, height and weight with BIS methods which rely on an electrical model of tissues and resistances measured at zero and infinite frequencies. In order to compare these methods, impedance measurements were made with a multifrequency Xitron 4200 impedance meter on 57 healthy subjects which had undergone simultaneously a Dual X-ray absorptiometry examination (DXA), in order to estimate their TBW from their fat-free-mass. Extracellular (ECW) and TBW volumes were calculated for these subjects using the original BIS method and modifications of Matthie[Matthie JR. Second generation mixture theory equation for estimating intracellular water using bioimpedance spectroscopy. J Appl Physiol 2005;99:780-1], Jaffrin et al. [Jaffrin MY, Fenech M, Moreno MV, Kieffer R. Total body water measurement by a modification of the bioimpédance spectroscopy method. Med Bio Eng Comput 2006;44:873-82], Moissl et al. [Moissl UM, Wabel P, Chamney PW, Bosaeus I, Levin NW, et al. Body fluid volume determination via body composition spectroscopy in health and disease. Physiol Meas 2006;27:921-33] and their TBW resistivities were compared and discussed. ECW volumes were calculated by BIA methods of Sergi et al. [Sergi G, Bussolotto M, Perini P, Calliari I, et al. Accuracy of bioelectrical bioimpedance analysis for the assessment of extracellular space in healthy subjects and in fluid retention states. Ann Nutr Metab 1994;38(3):158-65] and Hannan et al. [Hannan WJ, Cowen SJ, Fearon KC, Plester CE, Falconer JS, Richardson RA. Evaluation of multi-frequency bio-impedance analysis for the assessment of extracellular and total body water in surgical patients. Clin Sci 1994;86:479-85] and TBW volumes by BIA methods of Kushner and Schoeller [Kushner RF, Schoeller DA. Estimation of total body water by bioelectrical impedance analysis. Am J Clin Nutr 1986;44(3):417-24], Lukaski et al. [Lukaski HC, Bolonchuk WW. Estimation of body fluid volumes using tetrapolar bioelectrical impedance measurements. Aviat Space Environ Med 1988;59:1163-9], Hannan et al. [Hannan WJ, Cowen SJ, Fearon KC, Plester CE, Falconer JS, Richardson RA. Evaluation of multi-frequency bio-impedance analysis for the assessment of extracellular and total body water in surgical patients. Clinical Science 1994;86:479-85], Deurenberg et al. [Deurenberg P, van der Koy K, Leenen R, Westrate JA, Seidell JC. Sex and age specific prediction formulas for estimating body composition from bioelectric impedance: a cross validation study. Int J Obesity 1991;15:17-25] These volumes were compared against those given by BIS method and, in the case of TBW, with those by DXA. For ECW, a good agreement was found between various BIS methods and that of Sergi while Hannan's values were higher. Both Matthie's and Moissl's methods gave mean TBW resistivities and volumes lower than those of Jaffrin's and DXA methods. Kushner et al. method gave values of TBW not significantly different from those of Jaffrin et al. and DXA, as Hannan's method in men, but Lukaski and Deurenberg methods led to an underestimation.","DOI":"10.1016/j.medengphy.2008.06.009","ISSN":"1350-4533","note":"PMID: 18676172","shortTitle":"Body fluid volumes measurements by impedance","journalAbbreviation":"Med Eng Phys","language":"eng","author":[{"family":"Jaffrin","given":"Michel Y"},{"family":"Morel","given":"Hélène"}],"issued":{"date-parts":[["2008",12]]},"PMID":"18676172"}},{"id":116,"uris":["http://zotero.org/users/171999/items/6Z5UHSRE"],"uri":["http://zotero.org/users/171999/items/6Z5UHSRE"],"itemData":{"id":116,"type":"article-journal","title":"Validity of segmental multiple-frequency bioelectrical impedance analysis to estimate body composition of adults across a range of body mass indexes","container-title":"Nutrition (Burbank, Los Angeles County, Calif.)","page":"25-32","volume":"25","issue":"1","source":"NCBI PubMed","abstract":"OBJECTIVE: We compared body composition estimates using an eight-electrode, segmental, multiple-frequency bioelectrical impedance analysis (segmental MF-BIA) and dual x-ray absorptiometry (DXA) in a group of healthy adults with a range of body mass indexes (BMIs).\nMETHODS: Percentage of body fat (%BF), fat-free mass, and fat mass assessed by DXA and segmental MF-BIA in 132 healthy adults were classified by normal (N; 18.5-24.9 kg/m(2)), overweight (OW; 25-29.9 kg/m(2)), and obese (OB; 30-39.9 kg/m(2)) BMI.\nRESULTS: Compared with DXA, segmental MF-BIA overestimated %BF in the OB BMI group (3.4%; P &lt; 0.0001). MF-BIA overestimated %BF among men (0.75%; P &lt; 0.006) and women (0.87%; P &lt; 0.006) and underestimated it in the N BMI group (-1.56%; P &lt; 0.0001); %BF was not different between methods in the OW BMI group. Error in %BF determined by segmental MF-BIA and DXA increased as %BF increased (r = 0.42, P &lt; 0.0001). Waist circumference was the only significant predictor of systematic error in %BF between MF-BIA and DXA (r = 0.60, P &lt; 0.0001).\nCONCLUSION: Eight-electrode, segmental MF-BIA is a valid method to estimate %BF in adults with BMI classified as N and OW, but not as OB. Estimation of trunk resistance with current segmental MF-BIA devices may explain the underestimation of %BF in the adults with OB BMI. Further examination of the effect of waist circumference and body fat distribution on the accuracy of BIA measurements is warranted.","DOI":"10.1016/j.nut.2008.07.004","ISSN":"0899-9007","note":"PMID: 18723322","journalAbbreviation":"Nutrition","language":"eng","author":[{"family":"Shafer","given":"Kimberly J"},{"family":"Siders","given":"William A"},{"family":"Johnson","given":"LuAnn K"},{"family":"Lukaski","given":"Henry C"}],"issued":{"date-parts":[["2009",1]]},"PMID":"18723322"}}],"schema":"https://github.com/citation-style-language/schema/raw/master/csl-citation.json"} </w:instrText>
      </w:r>
      <w:r w:rsidRPr="003A0EF9">
        <w:fldChar w:fldCharType="separate"/>
      </w:r>
      <w:r w:rsidR="00CC106C" w:rsidRPr="00CC106C">
        <w:rPr>
          <w:vertAlign w:val="superscript"/>
        </w:rPr>
        <w:t>62–64</w:t>
      </w:r>
      <w:r w:rsidRPr="003A0EF9">
        <w:fldChar w:fldCharType="end"/>
      </w:r>
      <w:r w:rsidRPr="003A0EF9">
        <w:t xml:space="preserve">  </w:t>
      </w:r>
      <w:proofErr w:type="gramStart"/>
      <w:r w:rsidRPr="003A0EF9">
        <w:t>Increased</w:t>
      </w:r>
      <w:proofErr w:type="gramEnd"/>
      <w:r w:rsidRPr="003A0EF9">
        <w:t xml:space="preserve"> </w:t>
      </w:r>
      <w:r w:rsidR="001D4E8E">
        <w:t>adiposity</w:t>
      </w:r>
      <w:r w:rsidRPr="003A0EF9">
        <w:t xml:space="preserve"> require</w:t>
      </w:r>
      <w:r w:rsidR="001D4E8E">
        <w:t>s</w:t>
      </w:r>
      <w:r w:rsidRPr="003A0EF9">
        <w:t xml:space="preserve"> frequencies higher than 50 kHz</w:t>
      </w:r>
      <w:r w:rsidR="001D4E8E">
        <w:t>.  Thus,</w:t>
      </w:r>
      <w:r w:rsidRPr="003A0EF9">
        <w:t xml:space="preserve"> t</w:t>
      </w:r>
      <w:r w:rsidR="001D4E8E">
        <w:t>he frequency used in BIA is unable to</w:t>
      </w:r>
      <w:r w:rsidRPr="003A0EF9">
        <w:t xml:space="preserve"> penetrate the adipose tissue, leading to a </w:t>
      </w:r>
      <w:r w:rsidRPr="003A0EF9">
        <w:lastRenderedPageBreak/>
        <w:t>falsely lowered %BF.</w:t>
      </w:r>
      <w:r w:rsidRPr="003A0EF9">
        <w:fldChar w:fldCharType="begin"/>
      </w:r>
      <w:r w:rsidR="00CC106C">
        <w:instrText xml:space="preserve"> ADDIN ZOTERO_ITEM CSL_CITATION {"citationID":"FDeQhmWN","properties":{"formattedCitation":"{\\rtf \\super 64,65\\nosupersub{}}","plainCitation":"64,65"},"citationItems":[{"id":116,"uris":["http://zotero.org/users/171999/items/6Z5UHSRE"],"uri":["http://zotero.org/users/171999/items/6Z5UHSRE"],"itemData":{"id":116,"type":"article-journal","title":"Validity of segmental multiple-frequency bioelectrical impedance analysis to estimate body composition of adults across a range of body mass indexes","container-title":"Nutrition (Burbank, Los Angeles County, Calif.)","page":"25-32","volume":"25","issue":"1","source":"NCBI PubMed","abstract":"OBJECTIVE: We compared body composition estimates using an eight-electrode, segmental, multiple-frequency bioelectrical impedance analysis (segmental MF-BIA) and dual x-ray absorptiometry (DXA) in a group of healthy adults with a range of body mass indexes (BMIs).\nMETHODS: Percentage of body fat (%BF), fat-free mass, and fat mass assessed by DXA and segmental MF-BIA in 132 healthy adults were classified by normal (N; 18.5-24.9 kg/m(2)), overweight (OW; 25-29.9 kg/m(2)), and obese (OB; 30-39.9 kg/m(2)) BMI.\nRESULTS: Compared with DXA, segmental MF-BIA overestimated %BF in the OB BMI group (3.4%; P &lt; 0.0001). MF-BIA overestimated %BF among men (0.75%; P &lt; 0.006) and women (0.87%; P &lt; 0.006) and underestimated it in the N BMI group (-1.56%; P &lt; 0.0001); %BF was not different between methods in the OW BMI group. Error in %BF determined by segmental MF-BIA and DXA increased as %BF increased (r = 0.42, P &lt; 0.0001). Waist circumference was the only significant predictor of systematic error in %BF between MF-BIA and DXA (r = 0.60, P &lt; 0.0001).\nCONCLUSION: Eight-electrode, segmental MF-BIA is a valid method to estimate %BF in adults with BMI classified as N and OW, but not as OB. Estimation of trunk resistance with current segmental MF-BIA devices may explain the underestimation of %BF in the adults with OB BMI. Further examination of the effect of waist circumference and body fat distribution on the accuracy of BIA measurements is warranted.","DOI":"10.1016/j.nut.2008.07.004","ISSN":"0899-9007","note":"PMID: 18723322","journalAbbreviation":"Nutrition","language":"eng","author":[{"family":"Shafer","given":"Kimberly J"},{"family":"Siders","given":"William A"},{"family":"Johnson","given":"LuAnn K"},{"family":"Lukaski","given":"Henry C"}],"issued":{"date-parts":[["2009",1]]},"PMID":"18723322"}},{"id":118,"uris":["http://zotero.org/users/171999/items/P3IRT3FH"],"uri":["http://zotero.org/users/171999/items/P3IRT3FH"],"itemData":{"id":118,"type":"article-journal","title":"Comparison of three bioelectrical impedance methods with DXA in overweight and obese men","container-title":"Obesity (Silver Spring, Md.)","page":"2064-2070","volume":"14","issue":"11","source":"NCBI PubMed","abstract":"OBJECTIVE: To compare bioelectrical impedance analysis (BIA) of body composition using three different methods against DXA in overweight and obese men.\nRESEARCH METHODS AND PROCEDURES: Forty-three healthy overweight or obese men (ages 25 to 60 years; BMI, 28 to 43 kg/m(2)) underwent BIA assessment of body composition using the ImpediMed SFB7 (version 6; ImpediMed, Ltd., Eight Mile Plains, Queensland, Australia) in multifrequency mode (Imp-MF) and DF50 single-frequency mode (Imp-SF) and the Tanita UltimateScale (Tanita Corp., Tokyo, Japan). Validity was assessed by comparison against DXA using linear regression and limits of agreement analysis.\nRESULTS: All three BIA methods showed good relative agreement with DXA [Imp-MF: fat mass (FM), r(2) = 0.81; fat-free mass (FFM), r(2) = 0.81; percentage body fat (BF%), r(2) = 0.69; Imp-SF: FM, r(2) = 0.65; FFM, r(2) = 0.76; BF%, r(2) = 0.40; Tanita: BF%, r(2) = 0.44; all p &lt; 0.001]. Absolute agreement between DXA and Imp-MF was poor, as indicated by a large bias and wide limits of agreement (bias, +/-1.96 standard deviation; FM, -6.6 +/- 7.7 kg; FFM, 8.0 +/- 7.1 kg; BF%, -7.0 +/- 6.6%). Imp-SF and Tanita exhibited a smaller bias but wide limits of agreement (Imp-SF: FM, -1.1 +/- 8.5 kg; FFM, 2.5 +/- 7.9 kg; BF%, -1.7 +/- 7.3%; Tanita: BF%, 1.2 +/- 9.5%).\nDISCUSSION: Compared with DXA, Imp-MF produced large bias and wide limits of agreement, and its accuracy estimating body composition in overweight or obese men was poor. Imp-SF and Tanita demonstrated little bias and may be useful for group comparisons, but their utility for assessment of body composition in individuals is limited.","DOI":"10.1038/oby.2006.241","ISSN":"1930-7381","note":"PMID: 17135624","journalAbbreviation":"Obesity (Silver Spring)","language":"eng","author":[{"family":"Pateyjohns","given":"Ian R"},{"family":"Brinkworth","given":"Grant D"},{"family":"Buckley","given":"Jonathan D"},{"family":"Noakes","given":"Manny"},{"family":"Clifton","given":"Peter M"}],"issued":{"date-parts":[["2006",11]]},"PMID":"17135624"}}],"schema":"https://github.com/citation-style-language/schema/raw/master/csl-citation.json"} </w:instrText>
      </w:r>
      <w:r w:rsidRPr="003A0EF9">
        <w:fldChar w:fldCharType="separate"/>
      </w:r>
      <w:r w:rsidR="00CC106C" w:rsidRPr="00CC106C">
        <w:rPr>
          <w:vertAlign w:val="superscript"/>
        </w:rPr>
        <w:t>64,65</w:t>
      </w:r>
      <w:r w:rsidRPr="003A0EF9">
        <w:fldChar w:fldCharType="end"/>
      </w:r>
      <w:r w:rsidRPr="003A0EF9">
        <w:t xml:space="preserve">  In dogs with lean, optimal, or obese body condition, multiple electrode BIA was found to be useful in assessing body composition, but dog position, separation of electrodes, and core body temperature affected results.</w:t>
      </w:r>
      <w:r w:rsidRPr="003A0EF9">
        <w:fldChar w:fldCharType="begin"/>
      </w:r>
      <w:r w:rsidR="00CC106C">
        <w:instrText xml:space="preserve"> ADDIN ZOTERO_ITEM CSL_CITATION {"citationID":"hcEkhd9s","properties":{"formattedCitation":"{\\rtf \\super 58\\nosupersub{}}","plainCitation":"58"},"citationItems":[{"id":105,"uris":["http://zotero.org/users/local/Ry4zHLbn/items/DEZRIBXW"],"uri":["http://zotero.org/users/local/Ry4zHLbn/items/DEZRIBXW"],"itemData":{"id":105,"type":"thesis","title":"Body composition of dogs determined by carcass composition analysis, deuterium oxide dilution, subjective and objective morphometry, and bioelectrical impedance","publisher":"Virginia Polytechnic Institute and State University","publisher-place":"Blacksburg, VA","number-of-pages":"692","genre":"Dissertation","event-place":"Blacksburg, VA","URL":"http://scholar.lib.vt.edu/theses/available/etd-12142006-131851/","note":"see document","author":[{"family":"Burkholder","given":"William Joseph"}],"issued":{"date-parts":[["1994",5,16]]},"accessed":{"date-parts":[["2013",10,10]]}}}],"schema":"https://github.com/citation-style-language/schema/raw/master/csl-citation.json"} </w:instrText>
      </w:r>
      <w:r w:rsidRPr="003A0EF9">
        <w:fldChar w:fldCharType="separate"/>
      </w:r>
      <w:r w:rsidR="00CC106C" w:rsidRPr="00CC106C">
        <w:rPr>
          <w:vertAlign w:val="superscript"/>
        </w:rPr>
        <w:t>58</w:t>
      </w:r>
      <w:r w:rsidRPr="003A0EF9">
        <w:fldChar w:fldCharType="end"/>
      </w:r>
      <w:r w:rsidRPr="003A0EF9">
        <w:t xml:space="preserve">  A handheld BIA monitor showed positive correlation (0.44) with </w:t>
      </w:r>
      <w:r w:rsidR="00EC524A">
        <w:t>DXA</w:t>
      </w:r>
      <w:r w:rsidRPr="003A0EF9">
        <w:t xml:space="preserve">, but not as high as the correlation between </w:t>
      </w:r>
      <w:r w:rsidR="00EC524A">
        <w:t>DXA</w:t>
      </w:r>
      <w:r w:rsidRPr="003A0EF9">
        <w:t xml:space="preserve"> and BCS (0.58) in dogs ranging from normal to obese condition.</w:t>
      </w:r>
      <w:r w:rsidRPr="003A0EF9">
        <w:fldChar w:fldCharType="begin"/>
      </w:r>
      <w:r w:rsidR="00CC106C">
        <w:instrText xml:space="preserve"> ADDIN ZOTERO_ITEM CSL_CITATION {"citationID":"67rzxXnm","properties":{"formattedCitation":"{\\rtf \\super 48\\nosupersub{}}","plainCitation":"48"},"citationItems":[{"id":87,"uris":["http://zotero.org/users/171999/items/HCHB4QHD"],"uri":["http://zotero.org/users/171999/items/HCHB4QHD"],"itemData":{"id":87,"type":"article-journal","title":"Comparison of a bioimpedance monitor with dual-energy x-ray absorptiometry for noninvasive estimation of percentage body fat in dogs","container-title":"American journal of veterinary research","page":"393-398","volume":"71","issue":"4","source":"NCBI PubMed","abstract":"OBJECTIVE: To assess performance of a portable bioimpedance monitor for measurement of body composition in dogs.\nANIMALS: 24 client-owned dogs.\nPROCEDURES: Percentage body fat was measured via dual-energy x-ray absorptiometry (DEXA) and with a portable bioimpedance monitor, and body condition score (BCS) was measured by use of a 9-integer scale.\nRESULTS: Although the precision of the bioimpedance monitor was good, this varied among dogs. Body position (standing vs sternal) had no effect on bioimpedance results. There was a significant association between results determined via DEXA and bioimpedance, but this association was weaker than between DEXA and BCS. When agreement was assessed via Bland-Altman plot, the bioimpedance monitor under- and overestimated values at high and low body fat percentages, respectively. In 9 dogs, body fat measurements were taken before and after weight loss to determine the proportional loss of tissue mass during weight management. There was a significant difference in the estimated percentage of weight lost as fat between the DEXA and bioimpedance methods.\nCONCLUSIONS AND CLINICAL RELEVANCE: Although percentage body fat measured by use of a portable bioimpedance monitor correlated well with values determined via DEXA, the imprecision and inaccuracy in dogs with high percentage body fat could make the monitor inappropriate for clinical practice.","DOI":"10.2460/ajvr.71.4.393","ISSN":"0002-9645","note":"PMID: 20367047","journalAbbreviation":"Am. J. Vet. Res.","language":"eng","author":[{"family":"German","given":"Alexander J"},{"family":"Holden","given":"Shelley L"},{"family":"Morris","given":"Penelope J"},{"family":"Biourge","given":"Vincent"}],"issued":{"date-parts":[["2010",4]]},"PMID":"20367047"}}],"schema":"https://github.com/citation-style-language/schema/raw/master/csl-citation.json"} </w:instrText>
      </w:r>
      <w:r w:rsidRPr="003A0EF9">
        <w:fldChar w:fldCharType="separate"/>
      </w:r>
      <w:r w:rsidR="00CC106C" w:rsidRPr="00CC106C">
        <w:rPr>
          <w:vertAlign w:val="superscript"/>
        </w:rPr>
        <w:t>48</w:t>
      </w:r>
      <w:r w:rsidRPr="003A0EF9">
        <w:fldChar w:fldCharType="end"/>
      </w:r>
    </w:p>
    <w:p w:rsidR="00941B51" w:rsidRPr="00FD5855" w:rsidRDefault="00941B51" w:rsidP="00FD5855">
      <w:pPr>
        <w:pStyle w:val="Heading2"/>
      </w:pPr>
      <w:bookmarkStart w:id="6" w:name="_Toc376465753"/>
      <w:r w:rsidRPr="00FD5855">
        <w:t>Pathophysiology of obesity</w:t>
      </w:r>
      <w:bookmarkEnd w:id="6"/>
    </w:p>
    <w:p w:rsidR="00941B51" w:rsidRPr="003A0EF9" w:rsidRDefault="00941B51" w:rsidP="00941B51">
      <w:pPr>
        <w:contextualSpacing/>
      </w:pPr>
      <w:r w:rsidRPr="003A0EF9">
        <w:tab/>
      </w:r>
      <w:r w:rsidR="00FA39B2">
        <w:t>In simplest terms, obesity occurs because of an imbalance in energy metabolism; therefore, an understanding of energetics is important for understanding the pathophysiology of obesity.</w:t>
      </w:r>
      <w:r w:rsidRPr="003A0EF9">
        <w:t xml:space="preserve">  </w:t>
      </w:r>
      <w:r w:rsidR="00FA39B2">
        <w:t>Energetic</w:t>
      </w:r>
      <w:r w:rsidRPr="003A0EF9">
        <w:t xml:space="preserve"> macronutrients contained within dietary ingredients are protein, fat, and carbohydrates (CHO).  These macronutrients are metabolized into amino acids, fatty acids, and glucose for distribution and utilization via energy, storage, </w:t>
      </w:r>
      <w:r w:rsidR="00FA39B2">
        <w:t xml:space="preserve">function, </w:t>
      </w:r>
      <w:r w:rsidRPr="003A0EF9">
        <w:t>or structur</w:t>
      </w:r>
      <w:r w:rsidR="00FA39B2">
        <w:t>e</w:t>
      </w:r>
      <w:r w:rsidRPr="003A0EF9">
        <w:t xml:space="preserve"> within the body.  Amino acids (from the diet or from normal breakdown of tissue protein) are mainly used in a structural capacity for synthesis or maintenance of tissue protein.  A lesser amount is utilized for gluco- or ketogenesis and other biosynthetic pathways.  Fatty acids can be used for structural functions, but most are utilized as an energy source via the tricarboxylic acid (TCA) cycle or ketogenesis after conversion into acetyl-CoA</w:t>
      </w:r>
      <w:r w:rsidR="00FA39B2">
        <w:t xml:space="preserve"> via β-oxidation</w:t>
      </w:r>
      <w:r w:rsidRPr="003A0EF9">
        <w:t>.  Excess fatty acids, along with some excess amino acids and CHO, are converted into triglycerides and stored within adipocytes for use during times of decreased energy consumption.  Glucose is used immediately for energy, stored as glycog</w:t>
      </w:r>
      <w:r w:rsidR="00FA39B2">
        <w:t>en</w:t>
      </w:r>
      <w:r w:rsidRPr="003A0EF9">
        <w:t>, or stored within adipocytes as described above.  To provide energy, glucose is converted into pyruvate and lactate under anaerobic conditions or into acetyl-CoA for the TCA cycle under aerobic conditions.</w:t>
      </w:r>
      <w:r w:rsidRPr="003A0EF9">
        <w:rPr>
          <w:rStyle w:val="CommentReference"/>
        </w:rPr>
        <w:t xml:space="preserve"> </w:t>
      </w:r>
    </w:p>
    <w:p w:rsidR="00941B51" w:rsidRPr="003A0EF9" w:rsidRDefault="00941B51" w:rsidP="00941B51">
      <w:pPr>
        <w:ind w:firstLine="720"/>
        <w:contextualSpacing/>
      </w:pPr>
      <w:r w:rsidRPr="003A0EF9">
        <w:t>Normally, a lean animal will actively balance energy intake and energy expenditure to maintain energy homeostasis via a complex neuroendocrine network.</w:t>
      </w:r>
      <w:r w:rsidRPr="003A0EF9">
        <w:fldChar w:fldCharType="begin"/>
      </w:r>
      <w:r w:rsidR="00CC106C">
        <w:instrText xml:space="preserve"> ADDIN ZOTERO_ITEM CSL_CITATION {"citationID":"v2BrMlVz","properties":{"formattedCitation":"{\\rtf \\super 66\\nosupersub{}}","plainCitation":"66"},"citationItems":[{"id":120,"uris":["http://zotero.org/users/171999/items/H8GFMME9"],"uri":["http://zotero.org/users/171999/items/H8GFMME9"],"itemData":{"id":120,"type":"article-journal","title":"Homeostatic regulation of protein intake: in search of a mechanism","container-title":"American journal of physiology. Regulatory, integrative and comparative physiology","page":"R917-928","volume":"302","issue":"8","source":"NCBI PubMed","abstract":"Free-living organisms must procure adequate nutrition by negotiating an environment in which both the quality and quantity of food vary markedly. Recent decades have seen marked progress in our understanding of neural regulation of feeding behavior. However, this progress has occurred largely in the context of energy intake, despite the fact that food intake is influenced by more than just the energy content of the diet. A large number of behavioral studies indicate that both the quantity and quality of dietary protein can markedly influence food intake. High-protein diets tend to reduce intake, low-protein diets tend to increase intake, and rodent models seem to self-select between diets in order to meet protein requirements and avoid diets that are imbalanced in amino acids. Recent work suggests that the amino acid leucine regulates food intake by altering mTOR and AMPK signaling in the hypothalamus, while activation of GCN2 within the anterior piriform cortex contributes to the detection and avoidance of amino acid-imbalanced diets. This review focuses on the role that these and other signaling systems may play in mediating the homeostatic regulation of protein balance, and in doing so, highlights our lack of knowledge regarding the physiological and neurobiological mechanisms that might underpin such a regulatory phenomenon.","DOI":"10.1152/ajpregu.00609.2011","ISSN":"1522-1490","note":"PMID: 22319049","shortTitle":"Homeostatic regulation of protein intake","journalAbbreviation":"Am. J. Physiol. Regul. Integr. Comp. Physiol.","language":"eng","author":[{"family":"Morrison","given":"Christopher D"},{"family":"Reed","given":"Scott D"},{"family":"Henagan","given":"Tara M"}],"issued":{"date-parts":[["2012",4,15]]},"PMID":"22319049"}}],"schema":"https://github.com/citation-style-language/schema/raw/master/csl-citation.json"} </w:instrText>
      </w:r>
      <w:r w:rsidRPr="003A0EF9">
        <w:fldChar w:fldCharType="separate"/>
      </w:r>
      <w:r w:rsidR="00CC106C" w:rsidRPr="00CC106C">
        <w:rPr>
          <w:vertAlign w:val="superscript"/>
        </w:rPr>
        <w:t>66</w:t>
      </w:r>
      <w:r w:rsidRPr="003A0EF9">
        <w:fldChar w:fldCharType="end"/>
      </w:r>
      <w:r w:rsidRPr="003A0EF9">
        <w:t xml:space="preserve">  Despite this control mechanism, however, imbalances do occur.  Under conditions of increased energy consumption or decreased energy exertion, the resulting excess energy supply results in an overall increase in body fat stores leading to the condition of overweight with eventual obesity if the excess imbalance continues.</w:t>
      </w:r>
      <w:r w:rsidRPr="003A0EF9">
        <w:fldChar w:fldCharType="begin"/>
      </w:r>
      <w:r w:rsidR="00CC106C">
        <w:instrText xml:space="preserve"> ADDIN ZOTERO_ITEM CSL_CITATION {"citationID":"Ju0KAr9O","properties":{"formattedCitation":"{\\rtf \\super 67\\nosupersub{}}","plainCitation":"67"},"citationItems":[{"id":122,"uris":["http://zotero.org/users/local/Ry4zHLbn/items/BB5Q46C6"],"uri":["http://zotero.org/users/local/Ry4zHLbn/items/BB5Q46C6"],"itemData":{"id":122,"type":"chapter","title":"Energy","container-title":"Nutrient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Nutrition","given":""}],"issued":{"date-parts":[["2006"]]}}}],"schema":"https://github.com/citation-style-language/schema/raw/master/csl-citation.json"} </w:instrText>
      </w:r>
      <w:r w:rsidRPr="003A0EF9">
        <w:fldChar w:fldCharType="separate"/>
      </w:r>
      <w:r w:rsidR="00CC106C" w:rsidRPr="00CC106C">
        <w:rPr>
          <w:vertAlign w:val="superscript"/>
        </w:rPr>
        <w:t>67</w:t>
      </w:r>
      <w:r w:rsidRPr="003A0EF9">
        <w:fldChar w:fldCharType="end"/>
      </w:r>
      <w:r w:rsidRPr="003A0EF9">
        <w:t xml:space="preserve">  In 1962, Neel proposed what later became known as the “thrifty gene” hypothesis.  He developed this hypothesis while trying to explain how diabetes mellitus can be diagnosed in people at a high frequency despite considerable genetic selection against the condition.  Neel proposed that diabetogenic genes cause a rapid insulin production, allowing for efficient energy storage in the face of excess calories.  He believed the switch to a diet containing refined ingredients led to overstimulation of this response with eventual insulin antagonism and pancreatic exhaustion.</w:t>
      </w:r>
      <w:r w:rsidRPr="003A0EF9">
        <w:fldChar w:fldCharType="begin"/>
      </w:r>
      <w:r w:rsidR="00CC106C">
        <w:instrText xml:space="preserve"> ADDIN ZOTERO_ITEM CSL_CITATION {"citationID":"8UxHUVDm","properties":{"formattedCitation":"{\\rtf \\super 68,69\\nosupersub{}}","plainCitation":"68,69"},"citationItems":[{"id":123,"uris":["http://zotero.org/users/171999/items/988VMMX5"],"uri":["http://zotero.org/users/171999/items/988VMMX5"],"itemData":{"id":123,"type":"article-journal","title":"Diabetes mellitus: a \"thrifty\" genotype rendered detrimental by \"progress\"?","container-title":"American journal of human genetics","page":"353-362","volume":"14","source":"NCBI PubMed","ISSN":"0002-9297","note":"PMID: 13937884","shortTitle":"Diabetes mellitus","journalAbbreviation":"Am. J. Hum. Genet.","language":"eng","author":[{"family":"Neel","given":"J V"}],"issued":{"date-parts":[["1962",12]]},"PMID":"13937884"}},{"id":125,"uris":["http://zotero.org/users/171999/items/9ZIQGDME"],"uri":["http://zotero.org/users/171999/items/9ZIQGDME"],"itemData":{"id":125,"type":"article-journal","title":"Thrifty genotype rendered detrimental by progress?","container-title":"Lancet","page":"839-840","volume":"2","issue":"8667","source":"NCBI PubMed","ISSN":"0140-6736","note":"PMID: 2571762","journalAbbreviation":"Lancet","language":"eng","author":[{"family":"Anonymous","given":""}],"issued":{"date-parts":[["1989",10,7]]},"PMID":"2571762"}}],"schema":"https://github.com/citation-style-language/schema/raw/master/csl-citation.json"} </w:instrText>
      </w:r>
      <w:r w:rsidRPr="003A0EF9">
        <w:fldChar w:fldCharType="separate"/>
      </w:r>
      <w:r w:rsidR="00CC106C" w:rsidRPr="00CC106C">
        <w:rPr>
          <w:vertAlign w:val="superscript"/>
        </w:rPr>
        <w:t>68,69</w:t>
      </w:r>
      <w:r w:rsidRPr="003A0EF9">
        <w:fldChar w:fldCharType="end"/>
      </w:r>
      <w:r w:rsidRPr="003A0EF9">
        <w:t xml:space="preserve">  Neel later reaffirmed his hypothesis as potentially correct, although based </w:t>
      </w:r>
      <w:r w:rsidR="00FA39B2">
        <w:t>on</w:t>
      </w:r>
      <w:r w:rsidRPr="003A0EF9">
        <w:t xml:space="preserve"> wrong data, since the idea of insulin antagonism had fallen out of favor.</w:t>
      </w:r>
      <w:r w:rsidRPr="003A0EF9">
        <w:fldChar w:fldCharType="begin"/>
      </w:r>
      <w:r w:rsidR="00CC106C">
        <w:instrText xml:space="preserve"> ADDIN ZOTERO_ITEM CSL_CITATION {"citationID":"L6ABj9ad","properties":{"formattedCitation":"{\\rtf \\super 70\\nosupersub{}}","plainCitation":"70"},"citationItems":[{"id":127,"uris":["http://zotero.org/users/171999/items/N3EKQSC7"],"uri":["http://zotero.org/users/171999/items/N3EKQSC7"],"itemData":{"id":127,"type":"chapter","title":"Towards a better understanding of the genetic basis of diabetes mellitus","container-title":"The Genetics of Diabetes Mellitus","publisher":"Springer","publisher-place":"Berlin","page":"240-244","source":"www.springer.com","event-place":"Berlin","URL":"http://www.springer.com/medicine/internal/book/978-3-540-07651-3","author":[{"family":"Neel","given":"J V"}],"issued":{"date-parts":[["1976"]]},"accessed":{"date-parts":[["2013",10,10]]}}}],"schema":"https://github.com/citation-style-language/schema/raw/master/csl-citation.json"} </w:instrText>
      </w:r>
      <w:r w:rsidRPr="003A0EF9">
        <w:fldChar w:fldCharType="separate"/>
      </w:r>
      <w:r w:rsidR="00CC106C" w:rsidRPr="00CC106C">
        <w:rPr>
          <w:vertAlign w:val="superscript"/>
        </w:rPr>
        <w:t>70</w:t>
      </w:r>
      <w:r w:rsidRPr="003A0EF9">
        <w:fldChar w:fldCharType="end"/>
      </w:r>
      <w:r w:rsidRPr="003A0EF9">
        <w:t xml:space="preserve">  His thrifty gene hypothesis can be updated with our current knowledge that insulin resistance (rather than antagoni</w:t>
      </w:r>
      <w:r w:rsidR="00FA39B2">
        <w:t xml:space="preserve">sm) , induced by genetics, </w:t>
      </w:r>
      <w:r w:rsidRPr="003A0EF9">
        <w:t xml:space="preserve">diet, and decreased exercise, causes excess </w:t>
      </w:r>
      <w:r w:rsidRPr="003A0EF9">
        <w:lastRenderedPageBreak/>
        <w:t>fat deposition and pancreatic beta-cell exhaustion.</w:t>
      </w:r>
      <w:r w:rsidRPr="003A0EF9">
        <w:fldChar w:fldCharType="begin"/>
      </w:r>
      <w:r w:rsidR="00CC106C">
        <w:instrText xml:space="preserve"> ADDIN ZOTERO_ITEM CSL_CITATION {"citationID":"CPSnGwDs","properties":{"formattedCitation":"{\\rtf \\super 69,71\\nosupersub{}}","plainCitation":"69,71"},"citationItems":[{"id":125,"uris":["http://zotero.org/users/171999/items/9ZIQGDME"],"uri":["http://zotero.org/users/171999/items/9ZIQGDME"],"itemData":{"id":125,"type":"article-journal","title":"Thrifty genotype rendered detrimental by progress?","container-title":"Lancet","page":"839-840","volume":"2","issue":"8667","source":"NCBI PubMed","ISSN":"0140-6736","note":"PMID: 2571762","journalAbbreviation":"Lancet","language":"eng","author":[{"family":"Anonymous","given":""}],"issued":{"date-parts":[["1989",10,7]]},"PMID":"2571762"}},{"id":129,"uris":["http://zotero.org/users/171999/items/8T7DTUVX"],"uri":["http://zotero.org/users/171999/items/8T7DTUVX"],"itemData":{"id":129,"type":"article-journal","title":"Banting Lecture 1988. Role of insulin resistance in human disease. 1988","container-title":"Nutrition (Burbank, Los Angeles County, Calif.)","page":"65; discussion 64, 66","volume":"13","issue":"1","source":"NCBI PubMed","ISSN":"0899-9007","note":"PMID: 9058458","journalAbbreviation":"Nutrition","language":"eng","author":[{"family":"Reaven","given":"G M"}],"issued":{"date-parts":[["1997",1]]},"PMID":"9058458"}}],"schema":"https://github.com/citation-style-language/schema/raw/master/csl-citation.json"} </w:instrText>
      </w:r>
      <w:r w:rsidRPr="003A0EF9">
        <w:fldChar w:fldCharType="separate"/>
      </w:r>
      <w:r w:rsidR="00CC106C" w:rsidRPr="00CC106C">
        <w:rPr>
          <w:vertAlign w:val="superscript"/>
        </w:rPr>
        <w:t>69,71</w:t>
      </w:r>
      <w:r w:rsidRPr="003A0EF9">
        <w:fldChar w:fldCharType="end"/>
      </w:r>
      <w:r w:rsidRPr="003A0EF9">
        <w:t xml:space="preserve">  In early human evolution, this ability to efficiently store excess energy in the form of readily available fat stores was advantageous since those stores could be called upon for energy in times of low diet availability</w:t>
      </w:r>
      <w:r w:rsidR="00FA39B2">
        <w:t xml:space="preserve"> (low energy intake)</w:t>
      </w:r>
      <w:r w:rsidRPr="003A0EF9">
        <w:t>.  Therefore, humans who had this “thrifty” predisposition were better able to survive during times of famine while their thinner counterparts succumbed to starvation due to their lower energy reserves.</w:t>
      </w:r>
    </w:p>
    <w:p w:rsidR="00941B51" w:rsidRPr="003A0EF9" w:rsidRDefault="00941B51" w:rsidP="00941B51">
      <w:pPr>
        <w:ind w:firstLine="720"/>
        <w:contextualSpacing/>
      </w:pPr>
      <w:r w:rsidRPr="003A0EF9">
        <w:t>In 1994, Brand Miller and Colagiuri expanded on this idea further with a discussion of the predominantly high protein, low CHO diet consumed by humans during the Ice Ages.</w:t>
      </w:r>
      <w:r w:rsidRPr="003A0EF9">
        <w:fldChar w:fldCharType="begin"/>
      </w:r>
      <w:r w:rsidR="00CC106C">
        <w:instrText xml:space="preserve"> ADDIN ZOTERO_ITEM CSL_CITATION {"citationID":"kdCghl3i","properties":{"formattedCitation":"{\\rtf \\super 72\\nosupersub{}}","plainCitation":"72"},"citationItems":[{"id":131,"uris":["http://zotero.org/users/171999/items/QFV22W4G"],"uri":["http://zotero.org/users/171999/items/QFV22W4G"],"itemData":{"id":131,"type":"article-journal","title":"The carnivore connection: dietary carbohydrate in the evolution of NIDDM","container-title":"Diabetologia","page":"1280-1286","volume":"37","issue":"12","source":"NCBI PubMed","abstract":"We postulate a critical role for the quantity and quality of dietary carbohydrate in the pathogenesis of non-insulin-dependent diabetes mellitus (NIDDM). Our primate ancestors ate a high-carbohydrate diet and the brain and reproductive tissues evolved a specific requirement for glucose as a source of fuel. But the Ice Ages which dominated the last two million years of human evolution brought a low-carbohydrate, high-protein diet. Certain metabolic adaptations were therefore necessary to accommodate the low glucose intake. Studies in both humans and experimental animals indicate that the adaptive (phenotypic) response to low-carbohydrate intake is insulin resistance. This provides the clue that insulin resistance is the mechanism for coping with a shortage of dietary glucose. We propose that the low-carbohydrate carnivorous diet would have disadvantaged reproduction in insulin-sensitive individuals and positively selected for individuals with insulin resistance. Natural selection would therefore result in a high proportion of people with genetically-determined insulin resistance. Other factors, such as geographic isolation, have contributed to further increases in the prevalence of the genotype in some population groups. Europeans may have a low incidence of diabetes because they were among the first to adopt agriculture and their diet has been high in carbohydrate for 10,000 years. The selection pressure for insulin resistance (i.e., a low-carbohydrate diet) was therefore relaxed much sooner in Caucasians than in other populations. Hence the prevalence of genes producing insulin resistance should be lower in the European population and any other group exposed to high-carbohydrate intake for a sufficiently long period of time.","ISSN":"0012-186X","note":"PMID: 7895958","shortTitle":"The carnivore connection","journalAbbreviation":"Diabetologia","language":"eng","author":[{"family":"Miller","given":"J C"},{"family":"Colagiuri","given":"S"}],"issued":{"date-parts":[["1994",12]]},"PMID":"7895958"}}],"schema":"https://github.com/citation-style-language/schema/raw/master/csl-citation.json"} </w:instrText>
      </w:r>
      <w:r w:rsidRPr="003A0EF9">
        <w:fldChar w:fldCharType="separate"/>
      </w:r>
      <w:r w:rsidR="00CC106C" w:rsidRPr="00CC106C">
        <w:rPr>
          <w:vertAlign w:val="superscript"/>
        </w:rPr>
        <w:t>72</w:t>
      </w:r>
      <w:r w:rsidRPr="003A0EF9">
        <w:fldChar w:fldCharType="end"/>
      </w:r>
      <w:r w:rsidRPr="003A0EF9">
        <w:t xml:space="preserve">  They hypothesized that insulin resistance was advantageous for survival and reproduction during this time in human evolution.  Following conversion to the much colder climate associated with the Ice Ages, there was a natural progression away from gathering plant foods and toward hunting large game animals, resulting in a carnivorous high protein, extremely low CHO diet.  They argue</w:t>
      </w:r>
      <w:r w:rsidR="00FA39B2">
        <w:t>d that</w:t>
      </w:r>
      <w:r w:rsidRPr="003A0EF9">
        <w:t xml:space="preserve"> this type of diet is metabolized best in those with insulin resistance in order to maintain glucose homeostasis since high dietary protein causes increased carbon flux through gluconeogenesis.  Natural selection would have encouraged development of a human population with a higher proportion of insulin resistance to take advantage of this principal.  As society progressed into an agriculturally-based existence, those who transitioned earliest would be less likely to have maintained this selection pressure for </w:t>
      </w:r>
      <w:r w:rsidR="00FA39B2">
        <w:t>insulin resistance.  They</w:t>
      </w:r>
      <w:r w:rsidRPr="003A0EF9">
        <w:t xml:space="preserve"> point to European cultures, which have maintained a higher carbohydrate diet for 10,000 years and have a lower incidence of insulin resistance compared to other human populations.</w:t>
      </w:r>
    </w:p>
    <w:p w:rsidR="00941B51" w:rsidRPr="003A0EF9" w:rsidRDefault="00941B51" w:rsidP="00941B51">
      <w:pPr>
        <w:ind w:firstLine="720"/>
        <w:contextualSpacing/>
      </w:pPr>
      <w:r w:rsidRPr="003A0EF9">
        <w:t>More recently, Speakman proposed a “drifty” gene hypothesis.</w:t>
      </w:r>
      <w:r w:rsidRPr="003A0EF9">
        <w:fldChar w:fldCharType="begin"/>
      </w:r>
      <w:r w:rsidR="00CC106C">
        <w:instrText xml:space="preserve"> ADDIN ZOTERO_ITEM CSL_CITATION {"citationID":"YMgj5BGm","properties":{"formattedCitation":"{\\rtf \\super 73\\nosupersub{}}","plainCitation":"73"},"citationItems":[{"id":133,"uris":["http://zotero.org/users/171999/items/DDI3EDFH"],"uri":["http://zotero.org/users/171999/items/DDI3EDFH"],"itemData":{"id":133,"type":"article-journal","title":"Thrifty genes for obesity, an attractive but flawed idea, and an alternative perspective: the 'drifty gene' hypothesis","container-title":"International journal of obesity (2005)","page":"1611-1617","volume":"32","issue":"11","source":"NCBI PubMed","abstract":"Almost 50 years ago Neel proposed a hypothesis to explain the prevalence of obesity and diabetes in modern society--the 'thrifty gene' hypothesis. The fundamental basis of the hypothesis was that, in our early evolutionary history, genes, that promoted efficient fat deposition would have been advantageous because they allowed their holders to survive at periods of famine. In modern society, such genes are disadvantageous because they promote fat deposition in preparation for a famine that never comes, and the result is widespread obesity and diabetes. In recent years I, and others, have questioned some of the fundamental assumptions of this hypothesis--particularly focusing on whether differential survival of lean against obese in famines provides sufficient selective pressure for the spread of so-called 'thrifty genes'. These arguments have been criticized because famines not only affect survival but also fecundity, and obese people would be expected to sustain fecundity longer in the face of food shortages. In this paper, I show that the reduced fecundity argument is flawed because famines are almost universally followed by periods of enhanced fecundity, which offsets the decline observed during the famine itself. The net effect of famines on fecundity is consequently insufficient to rescue the thrifty gene idea. Elsewhere, I have suggested an alternative scenario that subsections of the population have a genetic predisposition to obesity due to an absence of selection, combined with genetic drift. The scenario presented earlier was based on evidence from prehistory concerning the release of our ancestors from heavy predation pressure around 2 million years ago. I suggest here that this is one of a number of potential scenarios based on random genetic drift that may explain the specific aetiology of the obesity epidemic. Together, these alternatives, based on central notion that genetic drift rather than positive selection was a dominant factor, may be called the 'drifty gene' hypothesis.","DOI":"10.1038/ijo.2008.161","ISSN":"1476-5497","note":"PMID: 18852699","shortTitle":"Thrifty genes for obesity, an attractive but flawed idea, and an alternative perspective","journalAbbreviation":"Int J Obes (Lond)","language":"eng","author":[{"family":"Speakman","given":"J R"}],"issued":{"date-parts":[["2008",11]]},"PMID":"18852699"}}],"schema":"https://github.com/citation-style-language/schema/raw/master/csl-citation.json"} </w:instrText>
      </w:r>
      <w:r w:rsidRPr="003A0EF9">
        <w:fldChar w:fldCharType="separate"/>
      </w:r>
      <w:r w:rsidR="00CC106C" w:rsidRPr="00CC106C">
        <w:rPr>
          <w:vertAlign w:val="superscript"/>
        </w:rPr>
        <w:t>73</w:t>
      </w:r>
      <w:r w:rsidRPr="003A0EF9">
        <w:fldChar w:fldCharType="end"/>
      </w:r>
      <w:r w:rsidRPr="003A0EF9">
        <w:t xml:space="preserve">  He argues that if the “thrifty” hypothesis was correct, all humans would have inherited the thrifty genes and would consequently be obese due to the theoretical positive selection for obesity-related traits.  Instead, because various body masses still exist within </w:t>
      </w:r>
      <w:r w:rsidR="00FA39B2">
        <w:t>human populations, Speakman proposed that</w:t>
      </w:r>
      <w:r w:rsidRPr="003A0EF9">
        <w:t xml:space="preserve"> obesity is under a counterbalancing selection process of genetic “drift”.  This would mean mutant obesity alleles are selectively neutral, rather than imparting positive selection pressure.  He offers an example in which starvation constitutes a l</w:t>
      </w:r>
      <w:r w:rsidR="00FA39B2">
        <w:t xml:space="preserve">ower intervention limit and </w:t>
      </w:r>
      <w:r w:rsidRPr="003A0EF9">
        <w:t>risk of predation is an upper intervention limit of the regulation of body fatness.  Two million years ago, people decreased their risk of predation by becoming more social, developing weapons, and discovering fire.  This change in the upper intervention limit allowed for genetic mutation and drift with a corresponding societal change encompassing freely available energy, leading to an overall susceptibility to obesity.  Another scenario described by Speakman involves differences in basal fat oxidation rates as a result of historically low exposure to dietary fat.  If the genes regulating fat oxidation underwent simultaneous random mutation and drift, people would have developed various oxidative capabilities.  Once dietary fat levels increased, those who were genetically less able to oxidize fat would be more likely to become obese.</w:t>
      </w:r>
    </w:p>
    <w:p w:rsidR="00790143" w:rsidRDefault="00941B51" w:rsidP="00FD5855">
      <w:pPr>
        <w:pStyle w:val="Heading3"/>
      </w:pPr>
      <w:bookmarkStart w:id="7" w:name="_Toc376465754"/>
      <w:r w:rsidRPr="00FD5855">
        <w:lastRenderedPageBreak/>
        <w:t>Mechanisms controlling weigh</w:t>
      </w:r>
      <w:r w:rsidR="003B1CDB">
        <w:t>t</w:t>
      </w:r>
      <w:bookmarkEnd w:id="7"/>
    </w:p>
    <w:p w:rsidR="00941B51" w:rsidRPr="00FD5855" w:rsidRDefault="00790143" w:rsidP="00790143">
      <w:pPr>
        <w:pStyle w:val="Heading4"/>
      </w:pPr>
      <w:r>
        <w:t>E</w:t>
      </w:r>
      <w:r w:rsidR="00941B51" w:rsidRPr="00FD5855">
        <w:t>nergy intake</w:t>
      </w:r>
      <w:r w:rsidR="00062F91">
        <w:t>: hedonic</w:t>
      </w:r>
    </w:p>
    <w:p w:rsidR="00941B51" w:rsidRDefault="00FA39B2" w:rsidP="00941B51">
      <w:pPr>
        <w:ind w:firstLine="720"/>
        <w:contextualSpacing/>
      </w:pPr>
      <w:r>
        <w:t>In addition to</w:t>
      </w:r>
      <w:r w:rsidR="00941B51" w:rsidRPr="003A0EF9">
        <w:t xml:space="preserve"> genetic predisposition, there are other factors involved in changes of body mass.  These changes can be controlled by energy intake, energy expenditure, and endocrine factors.  Energy intake is generally considered to be influenced by either homeostatic or hedonic tendencies.  Hedonic hunger </w:t>
      </w:r>
      <w:r>
        <w:t>refers</w:t>
      </w:r>
      <w:r w:rsidR="00941B51" w:rsidRPr="003A0EF9">
        <w:t xml:space="preserve"> to a subjective state in which satiety has little effect over the power of a highly palatable food item.  When a food is highly palatable, the individual views that food as desirable and is more likely to consume it, </w:t>
      </w:r>
      <w:r w:rsidR="002C1725">
        <w:t>regardless of how recently they have</w:t>
      </w:r>
      <w:r w:rsidR="00941B51" w:rsidRPr="003A0EF9">
        <w:t xml:space="preserve"> consumed other meals.  Homeostatic hunger, on the other hand, is a response driven by prolonged lack of energy intake rather than the palatability factor of specific food items.</w:t>
      </w:r>
      <w:r w:rsidR="00941B51" w:rsidRPr="003A0EF9">
        <w:fldChar w:fldCharType="begin"/>
      </w:r>
      <w:r w:rsidR="00CC106C">
        <w:instrText xml:space="preserve"> ADDIN ZOTERO_ITEM CSL_CITATION {"citationID":"mr8vRDkh","properties":{"formattedCitation":"{\\rtf \\super 74\\nosupersub{}}","plainCitation":"74"},"citationItems":[{"id":135,"uris":["http://zotero.org/users/171999/items/MN6HTCZ5"],"uri":["http://zotero.org/users/171999/items/MN6HTCZ5"],"itemData":{"id":135,"type":"article-journal","title":"Hedonic hunger: a new dimension of appetite?","container-title":"Physiology &amp; behavior","page":"432-439","volume":"91","issue":"4","source":"NCBI PubMed","abstract":"An increasing proportion of human food consumption appears to be driven by pleasure, not just by the need for calories. In addition to its effects on body mass and health, the food environment in affluent societies may be creating an appetitive counterpart to the psychological effects of other hedonically-driven activities such as drug use and compulsive gambling. This phenomenon is referred to here as \"hedonic hunger.\" Animal literature is reviewed indicating that brain-based homeostatic and hedonic eating motives overlap but are nonetheless dissociable. In humans there is evidence that obese individuals prefer and consume high palatability foods more than those of normal weight. Among normal weight individuals it has long been assumed that the appetitive anomalies associated with restrained eating are due to diet-induced challenges to the homeostatic system, but we review evidence suggesting that they more likely stem from hedonic hunger (i.e., eating less than wanted rather than less than needed). Finally, a recently-developed measure (the Power of Food Scale; PFS) of individual differences in appetitive responsiveness to rewarding properties of the food environment is described. Preliminary evidence indicates that the PFS is reliable and valid and is related to clinically-relevant variables such as food cravings and binge eating. This measure, combined with environmental manipulations of food availability and palatability, may constitute a useful approach to studying hedonic hunger.","DOI":"10.1016/j.physbeh.2007.04.006","ISSN":"0031-9384","note":"PMID: 17531274","shortTitle":"Hedonic hunger","journalAbbreviation":"Physiol. Behav.","language":"eng","author":[{"family":"Lowe","given":"Michael R"},{"family":"Butryn","given":"Meghan L"}],"issued":{"date-parts":[["2007",7,24]]},"PMID":"17531274"}}],"schema":"https://github.com/citation-style-language/schema/raw/master/csl-citation.json"} </w:instrText>
      </w:r>
      <w:r w:rsidR="00941B51" w:rsidRPr="003A0EF9">
        <w:fldChar w:fldCharType="separate"/>
      </w:r>
      <w:r w:rsidR="00CC106C" w:rsidRPr="00CC106C">
        <w:rPr>
          <w:vertAlign w:val="superscript"/>
        </w:rPr>
        <w:t>74</w:t>
      </w:r>
      <w:r w:rsidR="00941B51" w:rsidRPr="003A0EF9">
        <w:fldChar w:fldCharType="end"/>
      </w:r>
      <w:r w:rsidR="00941B51" w:rsidRPr="003A0EF9">
        <w:t xml:space="preserve">  In people, assessment of hedonic hunger involves use of the 15-item Power of Food Scale (PFS) as developed by Lowe and colleagues.</w:t>
      </w:r>
      <w:r w:rsidR="00941B51" w:rsidRPr="003A0EF9">
        <w:fldChar w:fldCharType="begin"/>
      </w:r>
      <w:r w:rsidR="00CC106C">
        <w:instrText xml:space="preserve"> ADDIN ZOTERO_ITEM CSL_CITATION {"citationID":"8bQXnWZZ","properties":{"formattedCitation":"{\\rtf \\super 75,76\\nosupersub{}}","plainCitation":"75,76"},"citationItems":[{"id":137,"uris":["http://zotero.org/users/171999/items/6VEPN78G"],"uri":["http://zotero.org/users/171999/items/6VEPN78G"],"itemData":{"id":137,"type":"article-journal","title":"The Power of Food Scale. A new measure of the psychological influence of the food environment","container-title":"Appetite","page":"114-118","volume":"53","issue":"1","source":"NCBI PubMed","abstract":"This paper describes the psychometric evaluation of a new measure called the Power of Food Scale (PFS). The PFS assesses the psychological impact of living in food-abundant environments. It measures appetite for, rather than consumption of, palatable foods, at three levels of food proximity (food available, food present, and food tasted). Participants were 466 healthy college students. A confirmatory factor analysis replicated the three-factor solution found previously by Capelleri et al. [Capelleri, J. C., Bushmakin, A. G., Gerber, R. A., Leidy, N. K., Sexton, C., Karlsson, J., et al. (in press). Discovering the structure of the Power of Food Scale (PFS) in obese patients. International Journal of Obesity, 11, A165]. The PFS was found to have adequate internal consistency and test-retest reliability. The PFS and the Restraint Scale were regressed on four self-report measures of overeating. The PFS was independently related to all four whereas the Restraint Scale was independently related to two. Expert ratings of items suggested that the items are an acceptable reflection of the construct that the PFS is designed to capture. The PFS may be useful as a measure of the hedonic impact of food environments replete with highly palatable foods.","DOI":"10.1016/j.appet.2009.05.016","ISSN":"1095-8304","note":"PMID: 19500623","journalAbbreviation":"Appetite","language":"eng","author":[{"family":"Lowe","given":"Michael R"},{"family":"Butryn","given":"Meghan L"},{"family":"Didie","given":"Elizabeth R"},{"family":"Annunziato","given":"Rachel A"},{"family":"Thomas","given":"J Graham"},{"family":"Crerand","given":"Canice E"},{"family":"Ochner","given":"Christopher N"},{"family":"Coletta","given":"Maria C"},{"family":"Bellace","given":"Dara"},{"family":"Wallaert","given":"Matthew"},{"family":"Halford","given":"Jason"}],"issued":{"date-parts":[["2009",8]]},"PMID":"19500623"}},{"id":139,"uris":["http://zotero.org/users/171999/items/26BXZ8ZQ"],"uri":["http://zotero.org/users/171999/items/26BXZ8ZQ"],"itemData":{"id":139,"type":"article-journal","title":"Evaluating the Power of Food Scale in obese subjects and a general sample of individuals: development and measurement properties","container-title":"International journal of obesity (2005)","page":"913-922","volume":"33","issue":"8","source":"NCBI PubMed","abstract":"BACKGROUND: The Power of Food Scale (PFS) was developed to assess the psychological impact of today's food-abundant environments.\nOBJECTIVE: To evaluate the structure of the PFS in diverse populations of obese and nonobese individuals.\nDESIGN: Data were obtained from obese adults in a clinical trial for a weight management drug (n=1741), and overweight, obese and normal weight adults in a Web-based survey (n=1275). Exploratory and confirmatory factor analyses were used to investigate the PFS structure using the clinical data. The model developed was then tested using the Web-based data. Relationships between PFS domains and body mass index (BMI) were examined. Logistic regression was used in the Web-based survey to evaluate the association between obesity status and PFS scores.\nRESULTS: Clinical data indicated that the scale was best represented by a 15-item version with three subscale domains and an aggregate domain (average of three domains); this was confirmed with data from the Web-based survey (Comparative Fit Index: 0.95 and 0.94 for the clinical and Web-based studies, respectively). Cronbach's alpha for both data sets was high, ranging from 0.81 to 0.91. The relationships between BMI and each domain were weak (and approximately linear). A full category increase in PFS domain score (range 1-5) increased the odds of being obese 1.6-2.3 times.\nCONCLUSIONS: The 15-item PFS is best represented by three domains and an aggregate domain. The PFS may provide a useful tool to evaluate the effects of obesity treatments on feelings of being controlled by food in an obesogenic food environment.","DOI":"10.1038/ijo.2009.107","ISSN":"1476-5497","note":"PMID: 19506564","shortTitle":"Evaluating the Power of Food Scale in obese subjects and a general sample of individuals","journalAbbreviation":"Int J Obes (Lond)","language":"eng","author":[{"family":"Cappelleri","given":"J C"},{"family":"Bushmakin","given":"A G"},{"family":"Gerber","given":"R A"},{"family":"Leidy","given":"N K"},{"family":"Sexton","given":"C C"},{"family":"Karlsson","given":"J"},{"family":"Lowe","given":"M R"}],"issued":{"date-parts":[["2009",8]]},"PMID":"19506564"}}],"schema":"https://github.com/citation-style-language/schema/raw/master/csl-citation.json"} </w:instrText>
      </w:r>
      <w:r w:rsidR="00941B51" w:rsidRPr="003A0EF9">
        <w:fldChar w:fldCharType="separate"/>
      </w:r>
      <w:r w:rsidR="00CC106C" w:rsidRPr="00CC106C">
        <w:rPr>
          <w:vertAlign w:val="superscript"/>
        </w:rPr>
        <w:t>75</w:t>
      </w:r>
      <w:proofErr w:type="gramStart"/>
      <w:r w:rsidR="00CC106C" w:rsidRPr="00CC106C">
        <w:rPr>
          <w:vertAlign w:val="superscript"/>
        </w:rPr>
        <w:t>,76</w:t>
      </w:r>
      <w:proofErr w:type="gramEnd"/>
      <w:r w:rsidR="00941B51" w:rsidRPr="003A0EF9">
        <w:fldChar w:fldCharType="end"/>
      </w:r>
      <w:r w:rsidR="00941B51" w:rsidRPr="003A0EF9">
        <w:t xml:space="preserve">  Reported food responsiveness to palatable food is subcategorized based on food that is generally available but is not physically present, food that is present, and food that has been tasted.  In general, obese individuals have higher PFS scores compared to nonobese adults.</w:t>
      </w:r>
      <w:r w:rsidR="00941B51" w:rsidRPr="003A0EF9">
        <w:fldChar w:fldCharType="begin"/>
      </w:r>
      <w:r w:rsidR="00CC106C">
        <w:instrText xml:space="preserve"> ADDIN ZOTERO_ITEM CSL_CITATION {"citationID":"PTKVSoac","properties":{"formattedCitation":"{\\rtf \\super 76,77\\nosupersub{}}","plainCitation":"76,77"},"citationItems":[{"id":139,"uris":["http://zotero.org/users/171999/items/26BXZ8ZQ"],"uri":["http://zotero.org/users/171999/items/26BXZ8ZQ"],"itemData":{"id":139,"type":"article-journal","title":"Evaluating the Power of Food Scale in obese subjects and a general sample of individuals: development and measurement properties","container-title":"International journal of obesity (2005)","page":"913-922","volume":"33","issue":"8","source":"NCBI PubMed","abstract":"BACKGROUND: The Power of Food Scale (PFS) was developed to assess the psychological impact of today's food-abundant environments.\nOBJECTIVE: To evaluate the structure of the PFS in diverse populations of obese and nonobese individuals.\nDESIGN: Data were obtained from obese adults in a clinical trial for a weight management drug (n=1741), and overweight, obese and normal weight adults in a Web-based survey (n=1275). Exploratory and confirmatory factor analyses were used to investigate the PFS structure using the clinical data. The model developed was then tested using the Web-based data. Relationships between PFS domains and body mass index (BMI) were examined. Logistic regression was used in the Web-based survey to evaluate the association between obesity status and PFS scores.\nRESULTS: Clinical data indicated that the scale was best represented by a 15-item version with three subscale domains and an aggregate domain (average of three domains); this was confirmed with data from the Web-based survey (Comparative Fit Index: 0.95 and 0.94 for the clinical and Web-based studies, respectively). Cronbach's alpha for both data sets was high, ranging from 0.81 to 0.91. The relationships between BMI and each domain were weak (and approximately linear). A full category increase in PFS domain score (range 1-5) increased the odds of being obese 1.6-2.3 times.\nCONCLUSIONS: The 15-item PFS is best represented by three domains and an aggregate domain. The PFS may provide a useful tool to evaluate the effects of obesity treatments on feelings of being controlled by food in an obesogenic food environment.","DOI":"10.1038/ijo.2009.107","ISSN":"1476-5497","note":"PMID: 19506564","shortTitle":"Evaluating the Power of Food Scale in obese subjects and a general sample of individuals","journalAbbreviation":"Int J Obes (Lond)","language":"eng","author":[{"family":"Cappelleri","given":"J C"},{"family":"Bushmakin","given":"A G"},{"family":"Gerber","given":"R A"},{"family":"Leidy","given":"N K"},{"family":"Sexton","given":"C C"},{"family":"Karlsson","given":"J"},{"family":"Lowe","given":"M R"}],"issued":{"date-parts":[["2009",8]]},"PMID":"19506564"}},{"id":141,"uris":["http://zotero.org/users/171999/items/3FPJSGDS"],"uri":["http://zotero.org/users/171999/items/3FPJSGDS"],"itemData":{"id":141,"type":"article-journal","title":"Hedonic hunger is increased in severely obese patients and is reduced after gastric bypass surgery","container-title":"The American journal of clinical nutrition","page":"277-283","volume":"92","issue":"2","source":"NCBI PubMed","abstract":"BACKGROUND: Overeating as a pathogenetic hallmark of obesity may be promoted by an increase in hedonic hunger, ie, the drive to eat palatable foods in the absence of energy need. Gastric bypass surgery, which effectively reduces severe obesity, might also affect hedonic hunger.\nOBJECTIVE: The objective was to assess hedonic hunger in severely obese patients with and without a history of gastric bypass surgery.\nDESIGN: Severely obese patients who had not undergone gastric bypass surgery (n = 123), gastric bypass patients (n = 136), and nonobese control subjects (n = 110) were examined with the Power of Food Scale (PFS)--a questionnaire that reliably measures an individual's motivation to consume highly palatable foods.\nRESULTS: Compared with nonobese control subjects, severely obese patients achieved markedly higher aggregated PFS scores and subdomain scores related to generally available as well as physically present foods (all P &lt; 0.001). On the aggregated score as well in those 2 subdomains, gastric bypass patients scored significantly lower than did non-gastric bypass obese patients (all P &lt; 0.001) and did not differ significantly from the nonobese control group (P &gt; 0.2). In contrast, in the PFS domain concerning food tasted, gastric bypass patients had significantly lower scores than did the nonobese control subjects (P = 0.04) and the severely obese patients (P = 0.008), both of whom did not differ significantly in this measure (P = 0.90).\nCONCLUSION: In comparison with nonobese control subjects, severely obese patients display a marked increase in hedonic hunger that is not observed in patients who have undergone gastric bypass surgery, suggesting that the operation normalizes excessive appetite for palatable foods, which may be an important pathophysiologic feature of severe obesity.","DOI":"10.3945/ajcn.2009.29007","ISSN":"1938-3207","note":"PMID: 20519559","journalAbbreviation":"Am. J. Clin. Nutr.","language":"eng","author":[{"family":"Schultes","given":"Bernd"},{"family":"Ernst","given":"Barbara"},{"family":"Wilms","given":"Britta"},{"family":"Thurnheer","given":"Martin"},{"family":"Hallschmid","given":"Manfred"}],"issued":{"date-parts":[["2010",8]]},"PMID":"20519559"}}],"schema":"https://github.com/citation-style-language/schema/raw/master/csl-citation.json"} </w:instrText>
      </w:r>
      <w:r w:rsidR="00941B51" w:rsidRPr="003A0EF9">
        <w:fldChar w:fldCharType="separate"/>
      </w:r>
      <w:r w:rsidR="00CC106C" w:rsidRPr="00CC106C">
        <w:rPr>
          <w:vertAlign w:val="superscript"/>
        </w:rPr>
        <w:t>76,77</w:t>
      </w:r>
      <w:r w:rsidR="00941B51" w:rsidRPr="003A0EF9">
        <w:fldChar w:fldCharType="end"/>
      </w:r>
      <w:r w:rsidR="00941B51" w:rsidRPr="003A0EF9">
        <w:t xml:space="preserve">  When obese patients were compared to previously obese patients who had undergone gastric bypass surgery at least 1 year prior to answering the PFS questionnaire, hedonic hunger was better controlled in bypass patients.</w:t>
      </w:r>
      <w:r w:rsidR="00941B51" w:rsidRPr="003A0EF9">
        <w:fldChar w:fldCharType="begin"/>
      </w:r>
      <w:r w:rsidR="00CC106C">
        <w:instrText xml:space="preserve"> ADDIN ZOTERO_ITEM CSL_CITATION {"citationID":"CuLD7CKZ","properties":{"formattedCitation":"{\\rtf \\super 77\\nosupersub{}}","plainCitation":"77"},"citationItems":[{"id":141,"uris":["http://zotero.org/users/171999/items/3FPJSGDS"],"uri":["http://zotero.org/users/171999/items/3FPJSGDS"],"itemData":{"id":141,"type":"article-journal","title":"Hedonic hunger is increased in severely obese patients and is reduced after gastric bypass surgery","container-title":"The American journal of clinical nutrition","page":"277-283","volume":"92","issue":"2","source":"NCBI PubMed","abstract":"BACKGROUND: Overeating as a pathogenetic hallmark of obesity may be promoted by an increase in hedonic hunger, ie, the drive to eat palatable foods in the absence of energy need. Gastric bypass surgery, which effectively reduces severe obesity, might also affect hedonic hunger.\nOBJECTIVE: The objective was to assess hedonic hunger in severely obese patients with and without a history of gastric bypass surgery.\nDESIGN: Severely obese patients who had not undergone gastric bypass surgery (n = 123), gastric bypass patients (n = 136), and nonobese control subjects (n = 110) were examined with the Power of Food Scale (PFS)--a questionnaire that reliably measures an individual's motivation to consume highly palatable foods.\nRESULTS: Compared with nonobese control subjects, severely obese patients achieved markedly higher aggregated PFS scores and subdomain scores related to generally available as well as physically present foods (all P &lt; 0.001). On the aggregated score as well in those 2 subdomains, gastric bypass patients scored significantly lower than did non-gastric bypass obese patients (all P &lt; 0.001) and did not differ significantly from the nonobese control group (P &gt; 0.2). In contrast, in the PFS domain concerning food tasted, gastric bypass patients had significantly lower scores than did the nonobese control subjects (P = 0.04) and the severely obese patients (P = 0.008), both of whom did not differ significantly in this measure (P = 0.90).\nCONCLUSION: In comparison with nonobese control subjects, severely obese patients display a marked increase in hedonic hunger that is not observed in patients who have undergone gastric bypass surgery, suggesting that the operation normalizes excessive appetite for palatable foods, which may be an important pathophysiologic feature of severe obesity.","DOI":"10.3945/ajcn.2009.29007","ISSN":"1938-3207","note":"PMID: 20519559","journalAbbreviation":"Am. J. Clin. Nutr.","language":"eng","author":[{"family":"Schultes","given":"Bernd"},{"family":"Ernst","given":"Barbara"},{"family":"Wilms","given":"Britta"},{"family":"Thurnheer","given":"Martin"},{"family":"Hallschmid","given":"Manfred"}],"issued":{"date-parts":[["2010",8]]},"PMID":"20519559"}}],"schema":"https://github.com/citation-style-language/schema/raw/master/csl-citation.json"} </w:instrText>
      </w:r>
      <w:r w:rsidR="00941B51" w:rsidRPr="003A0EF9">
        <w:fldChar w:fldCharType="separate"/>
      </w:r>
      <w:r w:rsidR="00CC106C" w:rsidRPr="00CC106C">
        <w:rPr>
          <w:vertAlign w:val="superscript"/>
        </w:rPr>
        <w:t>77</w:t>
      </w:r>
      <w:r w:rsidR="00941B51" w:rsidRPr="003A0EF9">
        <w:fldChar w:fldCharType="end"/>
      </w:r>
      <w:r w:rsidR="00941B51" w:rsidRPr="003A0EF9">
        <w:t xml:space="preserve">  A second study administered the questionnaire to obese patients before and between 11 and 39 months after bypass surgery.  PFS scores were significantly lower post-surgery and a food frequency questionnaire (FFQ) revealed increased consumption of poultry, fish, eggs, and cooked vegetables with decreased consumption of chocolate, cakes/biscuits/cookies, and fruit juice/soft drinks.</w:t>
      </w:r>
      <w:r w:rsidR="00941B51" w:rsidRPr="003A0EF9">
        <w:fldChar w:fldCharType="begin"/>
      </w:r>
      <w:r w:rsidR="00CC106C">
        <w:instrText xml:space="preserve"> ADDIN ZOTERO_ITEM CSL_CITATION {"citationID":"Q6yM4Loz","properties":{"formattedCitation":"{\\rtf \\super 78\\nosupersub{}}","plainCitation":"78"},"citationItems":[{"id":143,"uris":["http://zotero.org/users/171999/items/8VRNG7XM"],"uri":["http://zotero.org/users/171999/items/8VRNG7XM"],"itemData":{"id":143,"type":"article-journal","title":"Roux-en Y gastric bypass surgery reduces hedonic hunger and improves dietary habits in severely obese subjects","container-title":"Obesity surgery","page":"50-55","volume":"23","issue":"1","source":"NCBI PubMed","abstract":"BACKGROUND: Many obese subjects suffer from an increased hedonic drive to consume palatable foods, i.e., hedonic hunger, and often show unfavorable dietary habits. Here, we investigated changes in the hedonic hunger and dietary habits after Roux-en-Y gastric bypass (RYGB) surgery.\nMETHODS: Forty-four severely obese patients were examined before and on average 15.9 ± 0.9 months after RYGB surgery with the Power of Food Scale (PFS), a questionnaire that reliably measures an individual's motivation to consume highly palatable foods but not actual consumptive behavior. Dietary habits were assessed by a food frequency questionnaire.\nRESULTS: After the RYGB procedure, patients showed markedly lower aggregated PFS scores and sub-domain scores related to generally available, physically present, as well as tasted foods than before the surgery (all P &lt; 0.001). Changes in dietary habits after the surgery were characterized by a more frequent consumption of poultry, fish, eggs, and cooked vegetables (P &lt; 0.008) and a less frequent consumption of chocolate (P &lt; 0.048), cakes/biscuits/cookies (P = 0.09), and fruit juice/soft drinks (P = 0.08).\nCONCLUSIONS: Data show a marked reduction of the hedonic drive to consume palatable food and beneficial changes in dietary habits characterized by an increased intake of protein-rich foods and vegetables and a reduced consumption of sugar-containing snacks and beverages after RYGB surgery. Based on these findings, it can be speculated that the reduction of the hedonic drive to consume palatable foods induced by RYGB surgery helps severely obese patients to establish healthier dietary habits.","DOI":"10.1007/s11695-012-0754-5","ISSN":"1708-0428","note":"PMID: 22941334","journalAbbreviation":"Obes Surg","language":"eng","author":[{"family":"Ullrich","given":"Jennifer"},{"family":"Ernst","given":"Barbara"},{"family":"Wilms","given":"Britta"},{"family":"Thurnheer","given":"Martin"},{"family":"Schultes","given":"Bernd"}],"issued":{"date-parts":[["2013",1]]},"PMID":"22941334"}}],"schema":"https://github.com/citation-style-language/schema/raw/master/csl-citation.json"} </w:instrText>
      </w:r>
      <w:r w:rsidR="00941B51" w:rsidRPr="003A0EF9">
        <w:fldChar w:fldCharType="separate"/>
      </w:r>
      <w:r w:rsidR="00CC106C" w:rsidRPr="00CC106C">
        <w:rPr>
          <w:vertAlign w:val="superscript"/>
        </w:rPr>
        <w:t>78</w:t>
      </w:r>
      <w:r w:rsidR="00941B51" w:rsidRPr="003A0EF9">
        <w:fldChar w:fldCharType="end"/>
      </w:r>
      <w:r w:rsidR="00941B51" w:rsidRPr="003A0EF9">
        <w:t xml:space="preserve">  These differences are not only seen with bypass patients since a recent paper documented similar results in people participating in a 12-week commercial weight loss program using a limited dietary intake.</w:t>
      </w:r>
      <w:r w:rsidR="00941B51" w:rsidRPr="003A0EF9">
        <w:fldChar w:fldCharType="begin"/>
      </w:r>
      <w:r w:rsidR="00CC106C">
        <w:instrText xml:space="preserve"> ADDIN ZOTERO_ITEM CSL_CITATION {"citationID":"apYwnkwR","properties":{"formattedCitation":"{\\rtf \\super 79\\nosupersub{}}","plainCitation":"79"},"citationItems":[{"id":145,"uris":["http://zotero.org/users/171999/items/Z4NZ86X6"],"uri":["http://zotero.org/users/171999/items/Z4NZ86X6"],"itemData":{"id":145,"type":"article-journal","title":"Changes in weight control behaviors and hedonic hunger during a 12-week commercial weight loss program","container-title":"Eating behaviors","page":"354-360","volume":"13","issue":"4","source":"NCBI PubMed","abstract":"Greater use of key self-regulatory behaviors (e.g., self-monitoring of food intake and weight) is associated with greater weight loss within behavioral weight loss treatments, although this association is less established within widely-available commercial weight loss programs. Further, high hedonic hunger (i.e., susceptibility to environmental food cues) may present a barrier to successful behavior change and weight loss, although this has not yet been examined. Adult men and women (N=111, body mass index M±SD=31.5±2.7kg/m(2)) were assessed before and after participating in a 12-week commercial weight loss program. From pre- to post-treatment, reported usage of weight control behaviors improved and hedonic hunger decreased, and these changes were inversely associated. A decrease in hedonic hunger was associated with better weight loss. An improvement in reported weight control behaviors (e.g., self-regulatory behaviors) was associated with better weight loss, and this association was even stronger among individuals with high baseline hedonic hunger. Findings highlight the importance of specific self-regulatory behaviors within weight loss treatment, including a commercial weight loss program developed for widespread community implementation. Assessment of weight control behavioral skills usage and hedonic hunger may be useful to further identify mediators of weight loss within commercial weight loss programs. Future interventions might specifically target high hedonic hunger and prospectively examine changes in hedonic hunger during other types of weight loss treatment to inform its potential impact on sustained behavior change and weight control.","DOI":"10.1016/j.eatbeh.2012.06.002","ISSN":"1873-7358","note":"PMID: 23121787","journalAbbreviation":"Eat Behav","language":"eng","author":[{"family":"O'Neil","given":"Patrick M"},{"family":"Theim","given":"Kelly R"},{"family":"Boeka","given":"Abbe"},{"family":"Johnson","given":"Gail"},{"family":"Miller-Kovach","given":"Karen"}],"issued":{"date-parts":[["2012",12]]},"PMID":"23121787"}}],"schema":"https://github.com/citation-style-language/schema/raw/master/csl-citation.json"} </w:instrText>
      </w:r>
      <w:r w:rsidR="00941B51" w:rsidRPr="003A0EF9">
        <w:fldChar w:fldCharType="separate"/>
      </w:r>
      <w:r w:rsidR="00CC106C" w:rsidRPr="00CC106C">
        <w:rPr>
          <w:vertAlign w:val="superscript"/>
        </w:rPr>
        <w:t>79</w:t>
      </w:r>
      <w:r w:rsidR="00941B51" w:rsidRPr="003A0EF9">
        <w:fldChar w:fldCharType="end"/>
      </w:r>
      <w:r w:rsidR="00941B51" w:rsidRPr="003A0EF9">
        <w:t xml:space="preserve">  Patients with a lower total PFS score (specifically the “food not present” category) after 12 weeks had a greater percentage of weight loss compared to those patients whose score did not change from baseline.  These results suggest achieving lower hedonic hunger tendencies may aid weight loss efforts compared to those who are still experiencing pre-weight loss hedonic cues.</w:t>
      </w:r>
    </w:p>
    <w:p w:rsidR="00062F91" w:rsidRDefault="00062F91" w:rsidP="00062F91">
      <w:pPr>
        <w:pStyle w:val="Heading4"/>
      </w:pPr>
      <w:r>
        <w:t>Energy intake: homeostatic</w:t>
      </w:r>
    </w:p>
    <w:p w:rsidR="00062F91" w:rsidRPr="00062F91" w:rsidRDefault="00062F91" w:rsidP="00062F91">
      <w:pPr>
        <w:pStyle w:val="Heading5"/>
      </w:pPr>
      <w:r>
        <w:t>Central control mechanisms</w:t>
      </w:r>
    </w:p>
    <w:p w:rsidR="00941B51" w:rsidRPr="00F516A3" w:rsidRDefault="00941B51" w:rsidP="00941B51">
      <w:pPr>
        <w:ind w:firstLine="720"/>
        <w:contextualSpacing/>
      </w:pPr>
      <w:r w:rsidRPr="003A0EF9">
        <w:t xml:space="preserve">As previously stated, energy intake may also be influenced by homeostatic factors, which are controlled by central and peripheral mechanisms.  In combination, these mechanisms are capable of inducing the feeling of satiety, a lack of desire to eat.  Assuming no influence of hedonic tendencies, satiation will cause decreased food intake.  The central aspect of this control system utilizes the hypothalamus as a hub to receive and direct peripheral humoral and neural signals.  The arcuate nucleus (ARC), located at the base of the </w:t>
      </w:r>
      <w:r w:rsidRPr="003A0EF9">
        <w:lastRenderedPageBreak/>
        <w:t>hypothalamus, expresses orexigenic and anorexigenic neurons.  The orexigenic neurons coexpress neuropeptide Y (NPY) and agouti-related peptide (AgRP) while the anorexigenic neurons coexpress pro-opiomelanocortin (POMC) and cocaine- and amphetamine-regulated transcript (CART).</w:t>
      </w:r>
      <w:r w:rsidRPr="003A0EF9">
        <w:fldChar w:fldCharType="begin"/>
      </w:r>
      <w:r w:rsidR="00CC106C">
        <w:instrText xml:space="preserve"> ADDIN ZOTERO_ITEM CSL_CITATION {"citationID":"7vn3bblF","properties":{"formattedCitation":"{\\rtf \\super 80\\nosupersub{}}","plainCitation":"80"},"citationItems":[{"id":147,"uris":["http://zotero.org/users/local/Ry4zHLbn/items/JXEE6JUE"],"uri":["http://zotero.org/users/local/Ry4zHLbn/items/JXEE6JUE"],"itemData":{"id":147,"type":"article-journal","title":"The role of gut hormones and the hypothalamus in appetite regulation","container-title":"Endocrine journal","page":"359-372","volume":"57","issue":"5","source":"NCBI PubMed","abstract":"The World Health Organisation has estimated that by 2015 approximately 2.3 billion adults will be overweight and more than 700 million obese. Obesity is associated with an increased risk of diabetes, cardiovascular events, stroke and cancer. The hypothalamus is a crucial region for integrating signals from central and peripheral pathways and plays a major role in appetite regulation. In addition, there are reciprocal connections with the brainstem and higher cortical centres. In the arcuate nucleus of the hypothalamus, there are two major neuronal populations which stimulate or inhibit food intake and influence energy homeostasis. Within the brainstem, the dorsal vagal complex plays a role in the interpretation and relaying of peripheral signals. Gut hormones act peripherally to modulate digestion and absorption of nutrients. However, they also act as neurotransmitters within the central nervous system to control food intake. Peptide YY, pancreatic polypeptide, glucagon-like peptide-1 and oxyntomodulin suppress appetite, whilst ghrelin increases appetite through afferent vagal fibres to the caudal brainstem or directly to the hypothalamus. A better understanding of the role of these gut hormones may offer the opportunity to develop successful treatments for obesity. Here we review the current understanding of the role of gut hormones and the hypothalamus on food intake and body weight control.","ISSN":"1348-4540","note":"PMID: 20424341","journalAbbreviation":"Endocr. J.","language":"eng","author":[{"family":"Suzuki","given":"Keisuke"},{"family":"Simpson","given":"Katherine A"},{"family":"Minnion","given":"James S"},{"family":"Shillito","given":"Joyceline C"},{"family":"Bloom","given":"Stephen R"}],"issued":{"date-parts":[["2010"]]},"PMID":"20424341"}}],"schema":"https://github.com/citation-style-language/schema/raw/master/csl-citation.json"} </w:instrText>
      </w:r>
      <w:r w:rsidRPr="003A0EF9">
        <w:fldChar w:fldCharType="separate"/>
      </w:r>
      <w:r w:rsidR="00CC106C" w:rsidRPr="00CC106C">
        <w:rPr>
          <w:vertAlign w:val="superscript"/>
        </w:rPr>
        <w:t>80</w:t>
      </w:r>
      <w:r w:rsidRPr="003A0EF9">
        <w:fldChar w:fldCharType="end"/>
      </w:r>
      <w:r w:rsidRPr="003A0EF9">
        <w:t xml:space="preserve">  The orexigenic neuropeptides are able to counter the actions of the anorexigenic neuropeptides while initiating their own effects via inhibitory cross-talk, and vice versa.</w:t>
      </w:r>
      <w:r w:rsidRPr="003A0EF9">
        <w:fldChar w:fldCharType="begin"/>
      </w:r>
      <w:r w:rsidR="00CC106C">
        <w:instrText xml:space="preserve"> ADDIN ZOTERO_ITEM CSL_CITATION {"citationID":"Zs4PK4Dp","properties":{"formattedCitation":"{\\rtf \\super 81\\nosupersub{}}","plainCitation":"81"},"citationItems":[{"id":149,"uris":["http://zotero.org/users/local/Ry4zHLbn/items/DSXUKRHC"],"uri":["http://zotero.org/users/local/Ry4zHLbn/items/DSXUKRHC"],"itemData":{"id":149,"type":"article-journal","title":"Coexpression of Agrp and NPY in fasting-activated hypothalamic neurons","container-title":"Nature neuroscience","page":"271-272","volume":"1","issue":"4","source":"NCBI PubMed","DOI":"10.1038/1082","ISSN":"1097-6256","note":"PMID: 10195157","journalAbbreviation":"Nat. Neurosci.","language":"eng","author":[{"family":"Hahn","given":"T M"},{"family":"Breininger","given":"J F"},{"family":"Baskin","given":"D G"},{"family":"Schwartz","given":"M W"}],"issued":{"date-parts":[["1998",8]]},"PMID":"10195157"}}],"schema":"https://github.com/citation-style-language/schema/raw/master/csl-citation.json"} </w:instrText>
      </w:r>
      <w:r w:rsidRPr="003A0EF9">
        <w:fldChar w:fldCharType="separate"/>
      </w:r>
      <w:r w:rsidR="00CC106C" w:rsidRPr="00CC106C">
        <w:rPr>
          <w:vertAlign w:val="superscript"/>
        </w:rPr>
        <w:t>81</w:t>
      </w:r>
      <w:r w:rsidRPr="003A0EF9">
        <w:fldChar w:fldCharType="end"/>
      </w:r>
      <w:r w:rsidRPr="003A0EF9">
        <w:t xml:space="preserve">  When expressed, NPY acts to increase food intake by stimulating hypothalamic Y1 and Y5 receptors.</w:t>
      </w:r>
      <w:r w:rsidRPr="003A0EF9">
        <w:fldChar w:fldCharType="begin"/>
      </w:r>
      <w:r w:rsidR="00CC106C">
        <w:instrText xml:space="preserve"> ADDIN ZOTERO_ITEM CSL_CITATION {"citationID":"odfPDfKG","properties":{"formattedCitation":"{\\rtf \\super 82\\uc0\\u8211{}84\\nosupersub{}}","plainCitation":"82–84"},"citationItems":[{"id":151,"uris":["http://zotero.org/users/local/Ry4zHLbn/items/46QQX6SA"],"uri":["http://zotero.org/users/local/Ry4zHLbn/items/46QQX6SA"],"itemData":{"id":151,"type":"article-journal","title":"Identification of potent and selective neuropeptide Y Y(1) receptor agonists with orexigenic activity in vivo","container-title":"Molecular pharmacology","page":"534-540","volume":"60","issue":"3","source":"NCBI PubMed","abstract":"Neuropeptide Y (NPY) binds to a family of G-protein coupled receptors termed Y(1), Y(2), Y(3), Y(4), Y(5), and y(6). The use of various receptor subtype-selective agonists and antagonists has facilitated identification of the receptor subtypes responsible for mediating many of the biological effects of NPY. For example, the potent orexigenic activity of NPY is believed to be mediated by both the Y(1) and Y(5) receptor subtypes. Several selective Y(5) receptor agonists that stimulate food intake in rodents are available, but no selective Y(1) receptor agonist has been reported. We have identified several NPY analogs that bind the NPY Y(1) receptor with high affinity and exhibit full agonist activity, measured as inhibition of forskolin-stimulated cAMP production in cells expressing the cloned NPY Y(1) receptor. [D-Arg(25)]-NPY, [D-His(26)]-NPY, Des-AA(10--17)[Cys(7,21),Pro(34)]-NPY, Des-AA(11--18)[Cys(7,21),D-Lys(9)(Ac)]-NPY, Des-AA(11--18)[Cys(7,21),D-Lys(9)(Ac),Pro(34)]-NPY, Des-AA(11--18)[Cys(7,21),D-Lys(9)(Ac),D-His(26)]-NPY and Des-AA(11--18)[Cys(7,21),D-Lys(9)(Ac),D-His(26), Pro(34)]-NPY bind the NPY Y(1) receptor with K(i) values of 0.9 +/- 0.2, 2.0 +/- 0.3, 0.2 +/- 0.05, 0.7 +/- 0.1, 0.2 +/- 0.01, 2.2 +/- 0.3, and 1.2 +/- 0.3 nM, respectively, and inhibit forskolin-stimulated cAMP production with EC(50) values of 0.2 +/- 0.02, 0.5 +/- 0.04, 0.3 +/- 0.03, 0.5 +/- 0.05, 0.4 +/- 0.16, 5.3 +/- 0.32, and 5.1 +/- 0.97 nM, respectively. These peptides are highly selective for the NPY Y(1) receptor relative to the NPY Y(2), Y(4), and Y(5) receptors. [D-Arg(25)]-NPY, [D-His(26)]-NPY and Des-AA(11--18)[Cys(7,21), D-Lys(9)(Ac),D-His(26),Pro(34)]-NPY stimulate food intake dose-responsively in Long-Evans rats for at least 4 h after intracerebroventricular administration. Although the involvement of Y(1) receptors in several physiological activities, such as vasoconstriction and anxiolysis, remains to be investigated, adequate tools are now available.","ISSN":"0026-895X","note":"PMID: 11502885","journalAbbreviation":"Mol. Pharmacol.","language":"eng","author":[{"family":"Mullins","given":"D"},{"family":"Kirby","given":"D"},{"family":"Hwa","given":"J"},{"family":"Guzzi","given":"M"},{"family":"Rivier","given":"J"},{"family":"Parker","given":"E"}],"issued":{"date-parts":[["2001",9]]},"PMID":"11502885"}},{"id":153,"uris":["http://zotero.org/users/local/Ry4zHLbn/items/78WWGFUT"],"uri":["http://zotero.org/users/local/Ry4zHLbn/items/78WWGFUT"],"itemData":{"id":153,"type":"article-journal","title":"[D-Trp(34)] neuropeptide Y is a potent and selective neuropeptide Y Y(5) receptor agonist with dramatic effects on food intake","container-title":"Peptides","page":"393-399","volume":"21","issue":"3","source":"NCBI PubMed","abstract":"The neuropeptide Y (NPY) Y(5) receptor has been proposed to mediate several physiological effects of NPY, including the potent orexigenic activity of the peptide. However, the lack of selective NPY Y(5) receptor ligands limits the characterization of the physiological roles of this receptor. Screening of several analogs of NPY revealed that [D-Trp(34)]NPY is a potent and selective NPY Y(5) receptor agonist. Unlike the prototype selective NPY Y(5) receptor agonist [D-Trp(32)]NPY, [D-Trp(34)]NPY markedly increases food intake in rats, an effect that is blocked by the selective NPY Y(5) receptor antagonist CGP 71683A. These data demonstrate that [D-Trp(34)]NPY is a useful tool for studies aimed at determining the physiological roles of the NPY Y(5) receptor.","ISSN":"0196-9781","note":"PMID: 10793222","journalAbbreviation":"Peptides","language":"eng","author":[{"family":"Parker","given":"E M"},{"family":"Balasubramaniam","given":"A"},{"family":"Guzzi","given":"M"},{"family":"Mullins","given":"D E"},{"family":"Salisbury","given":"B G"},{"family":"Sheriff","given":"S"},{"family":"Witten","given":"M B"},{"family":"Hwa","given":"J J"}],"issued":{"date-parts":[["2000",3]]},"PMID":"10793222"}},{"id":155,"uris":["http://zotero.org/users/local/Ry4zHLbn/items/WQ2MR32W"],"uri":["http://zotero.org/users/local/Ry4zHLbn/items/WQ2MR32W"],"itemData":{"id":155,"type":"article-journal","title":"The first selective agonist for the neuropeptide YY5 receptor increases food intake in rats","container-title":"The Journal of biological chemistry","page":"36043-36048","volume":"275","issue":"46","source":"NCBI PubMed","abstract":"The first Y(5) receptor-selective analog of neuropeptide Y (NPY), [Ala(31),Aib(32)]NPY, has been developed and biologically characterized. Using competition binding assays on cell lines that express different Y receptors, we determined the affinity of this analog to be 6 nm at the human Y(5) receptor, &gt;500 nm at the Y(1) and Y(2) receptors, and &gt;1000 nm at the Y(4) receptor. Activity studies performed in vitro using a cAMP enzyme immunoassay, and in vivo using food intake studies in rats, showed that the peptide acted as an agonist. Further peptides obtained by the combination of the Ala(31)-Aib(32) motif with chimeric peptides containing segments of NPY and pancreatic polypeptide displayed the same selectivity and even higher affinity (up to 0.2 nm) for the Y(5) receptor. In vivo administration of the new Y(5) receptor-selective agonists significantly stimulated feeding in rats. The NMR solution structures of NPY and [Ala(31),Aib(32)]NPY showed a different conformation in the C-terminal region, where the alpha-helix of NPY was substituted by a more flexible, 3(10)-helical turn structure.","DOI":"10.1074/jbc.M000626200","ISSN":"0021-9258","note":"PMID: 10944518","journalAbbreviation":"J. Biol. Chem.","language":"eng","author":[{"family":"Cabrele","given":"C"},{"family":"Langer","given":"M"},{"family":"Bader","given":"R"},{"family":"Wieland","given":"H A"},{"family":"Doods","given":"H N"},{"family":"Zerbe","given":"O"},{"family":"Beck-Sickinger","given":"A G"}],"issued":{"date-parts":[["2000",11,17]]},"PMID":"10944518"}}],"schema":"https://github.com/citation-style-language/schema/raw/master/csl-citation.json"} </w:instrText>
      </w:r>
      <w:r w:rsidRPr="003A0EF9">
        <w:fldChar w:fldCharType="separate"/>
      </w:r>
      <w:r w:rsidR="00CC106C" w:rsidRPr="00CC106C">
        <w:rPr>
          <w:vertAlign w:val="superscript"/>
        </w:rPr>
        <w:t>82–84</w:t>
      </w:r>
      <w:r w:rsidRPr="003A0EF9">
        <w:fldChar w:fldCharType="end"/>
      </w:r>
      <w:r w:rsidRPr="003A0EF9">
        <w:t xml:space="preserve">  Increased food intake can also be stimulated by AgRP via stimulation of hypothalamic receptors in other nuclei and by directly antagonizing melanocortin receptors.</w:t>
      </w:r>
      <w:r w:rsidRPr="003A0EF9">
        <w:fldChar w:fldCharType="begin"/>
      </w:r>
      <w:r w:rsidR="00CC106C">
        <w:instrText xml:space="preserve"> ADDIN ZOTERO_ITEM CSL_CITATION {"citationID":"hOg7lr5f","properties":{"formattedCitation":"{\\rtf \\super 85\\nosupersub{}}","plainCitation":"85"},"citationItems":[{"id":157,"uris":["http://zotero.org/users/local/Ry4zHLbn/items/IANZI9TP"],"uri":["http://zotero.org/users/local/Ry4zHLbn/items/IANZI9TP"],"itemData":{"id":157,"type":"article-journal","title":"Antagonism of central melanocortin receptors in vitro and in vivo by agouti-related protein","container-title":"Science (New York, N.Y.)","page":"135-138","volume":"278","issue":"5335","source":"NCBI PubMed","abstract":"Expression of Agouti protein is normally limited to the skin where it affects pigmentation, but ubiquitous expression causes obesity. An expressed sequence tag was identified that encodes Agouti-related protein, whose RNA is normally expressed in the hypothalamus and whose levels were increased eightfold in ob/ob mice. Recombinant Agouti-related protein was a potent, selective antagonist of Mc3r and Mc4r, melanocortin receptor subtypes implicated in weight regulation. Ubiquitous expression of human AGRP complementary DNA in transgenic mice caused obesity without altering pigmentation. Thus, Agouti-related protein is a neuropeptide implicated in the normal control of body weight downstream of leptin signaling.","ISSN":"0036-8075","note":"PMID: 9311920","journalAbbreviation":"Science","language":"eng","author":[{"family":"Ollmann","given":"M M"},{"family":"Wilson","given":"B D"},{"family":"Yang","given":"Y K"},{"family":"Kerns","given":"J A"},{"family":"Chen","given":"Y"},{"family":"Gantz","given":"I"},{"family":"Barsh","given":"G S"}],"issued":{"date-parts":[["1997",10,3]]},"PMID":"9311920"}}],"schema":"https://github.com/citation-style-language/schema/raw/master/csl-citation.json"} </w:instrText>
      </w:r>
      <w:r w:rsidRPr="003A0EF9">
        <w:fldChar w:fldCharType="separate"/>
      </w:r>
      <w:r w:rsidR="00CC106C" w:rsidRPr="00CC106C">
        <w:rPr>
          <w:vertAlign w:val="superscript"/>
        </w:rPr>
        <w:t>85</w:t>
      </w:r>
      <w:r w:rsidRPr="003A0EF9">
        <w:fldChar w:fldCharType="end"/>
      </w:r>
      <w:r w:rsidRPr="003A0EF9">
        <w:t xml:space="preserve">  When energy supply is high (postprandial), the melanocortin receptors are instead stimulated by α-melanocyte stimulating hormone (α-MSH), the product of POMC cleavage, to decrease energy intake.</w:t>
      </w:r>
      <w:r w:rsidRPr="003A0EF9">
        <w:fldChar w:fldCharType="begin"/>
      </w:r>
      <w:r w:rsidR="00CC106C">
        <w:instrText xml:space="preserve"> ADDIN ZOTERO_ITEM CSL_CITATION {"citationID":"1bT090gK","properties":{"formattedCitation":"{\\rtf \\super 85\\nosupersub{}}","plainCitation":"85"},"citationItems":[{"id":157,"uris":["http://zotero.org/users/local/Ry4zHLbn/items/IANZI9TP"],"uri":["http://zotero.org/users/local/Ry4zHLbn/items/IANZI9TP"],"itemData":{"id":157,"type":"article-journal","title":"Antagonism of central melanocortin receptors in vitro and in vivo by agouti-related protein","container-title":"Science (New York, N.Y.)","page":"135-138","volume":"278","issue":"5335","source":"NCBI PubMed","abstract":"Expression of Agouti protein is normally limited to the skin where it affects pigmentation, but ubiquitous expression causes obesity. An expressed sequence tag was identified that encodes Agouti-related protein, whose RNA is normally expressed in the hypothalamus and whose levels were increased eightfold in ob/ob mice. Recombinant Agouti-related protein was a potent, selective antagonist of Mc3r and Mc4r, melanocortin receptor subtypes implicated in weight regulation. Ubiquitous expression of human AGRP complementary DNA in transgenic mice caused obesity without altering pigmentation. Thus, Agouti-related protein is a neuropeptide implicated in the normal control of body weight downstream of leptin signaling.","ISSN":"0036-8075","note":"PMID: 9311920","journalAbbreviation":"Science","language":"eng","author":[{"family":"Ollmann","given":"M M"},{"family":"Wilson","given":"B D"},{"family":"Yang","given":"Y K"},{"family":"Kerns","given":"J A"},{"family":"Chen","given":"Y"},{"family":"Gantz","given":"I"},{"family":"Barsh","given":"G S"}],"issued":{"date-parts":[["1997",10,3]]},"PMID":"9311920"}}],"schema":"https://github.com/citation-style-language/schema/raw/master/csl-citation.json"} </w:instrText>
      </w:r>
      <w:r w:rsidRPr="003A0EF9">
        <w:fldChar w:fldCharType="separate"/>
      </w:r>
      <w:r w:rsidR="00CC106C" w:rsidRPr="00CC106C">
        <w:rPr>
          <w:vertAlign w:val="superscript"/>
        </w:rPr>
        <w:t>85</w:t>
      </w:r>
      <w:r w:rsidRPr="003A0EF9">
        <w:fldChar w:fldCharType="end"/>
      </w:r>
      <w:r w:rsidRPr="003A0EF9">
        <w:t xml:space="preserve">  Specific receptors utilized by CART have not been identified, but CART is known to be anorexigenic since an anorectic response follows intracerebroventricular injection of CART in rats.</w:t>
      </w:r>
      <w:r w:rsidRPr="003A0EF9">
        <w:fldChar w:fldCharType="begin"/>
      </w:r>
      <w:r w:rsidR="00CC106C">
        <w:instrText xml:space="preserve"> ADDIN ZOTERO_ITEM CSL_CITATION {"citationID":"pyWWuYln","properties":{"formattedCitation":"{\\rtf \\super 86\\nosupersub{}}","plainCitation":"86"},"citationItems":[{"id":159,"uris":["http://zotero.org/users/local/Ry4zHLbn/items/RJ6V27A7"],"uri":["http://zotero.org/users/local/Ry4zHLbn/items/RJ6V27A7"],"itemData":{"id":159,"type":"article-journal","title":"CART peptides in the central control of feeding and interactions with neuropeptide Y","container-title":"Synapse (New York, N.Y.)","page":"293-298","volume":"29","issue":"4","source":"NCBI PubMed","abstract":"While CART peptides have been implicated as novel, putative peptide neurotransmitters/cotransmitters, behavioral effects of these peptides have not yet been demonstrated. In this study, we show the first behavioral effect of CART peptides. I.c.v. administration of CART peptide fragments inhibits feeding in rats. Moreover, injection of an antibody to CART peptide 82-103 stimulates feeding, suggesting that endogenous CART peptides exert an inhibitory tone on feeding. Injection of CART peptide 82-103 five min before NPY reduces the increase in feeding caused by injection of NPY alone. Also, in light microscopic immunohistochemical studies, NPY-positive varicosities were observed around CART peptide-positive cell bodies in the paraventricular nucleus of the hypothalamus. These data suggest functional interactions between CART peptides and NPY. These results indicate that CART peptides play a role in the control of food intake by the brain.","DOI":"10.1002/(SICI)1098-2396(199808)29:4&lt;293::AID-SYN1&gt;3.0.CO;2-0","ISSN":"0887-4476","note":"PMID: 9661247","journalAbbreviation":"Synapse","language":"eng","author":[{"family":"Lambert","given":"P D"},{"family":"Couceyro","given":"P R"},{"family":"McGirr","given":"K M"},{"family":"Dall Vechia","given":"S E"},{"family":"Smith","given":"Y"},{"family":"Kuhar","given":"M J"}],"issued":{"date-parts":[["1998",8]]},"PMID":"9661247"}}],"schema":"https://github.com/citation-style-language/schema/raw/master/csl-citation.json"} </w:instrText>
      </w:r>
      <w:r w:rsidRPr="003A0EF9">
        <w:fldChar w:fldCharType="separate"/>
      </w:r>
      <w:r w:rsidR="00CC106C" w:rsidRPr="00CC106C">
        <w:rPr>
          <w:vertAlign w:val="superscript"/>
        </w:rPr>
        <w:t>86</w:t>
      </w:r>
      <w:r w:rsidRPr="003A0EF9">
        <w:fldChar w:fldCharType="end"/>
      </w:r>
      <w:r w:rsidRPr="003A0EF9">
        <w:t xml:space="preserve">  Projections of the NPY/AgRP and POMC/CART systems extend into the paraventricular nucleus (PVN), located adjacent to the third ventricle of the brain.  The PVN contains neurons capable of expressing thyrotropin-releasing hormone and corticotropin-releasing hormone, which have been shown to be anorectic.</w:t>
      </w:r>
      <w:r w:rsidRPr="003A0EF9">
        <w:fldChar w:fldCharType="begin"/>
      </w:r>
      <w:r w:rsidR="00CC106C">
        <w:instrText xml:space="preserve"> ADDIN ZOTERO_ITEM CSL_CITATION {"citationID":"ShVkl4dA","properties":{"formattedCitation":"{\\rtf \\super 87,88\\nosupersub{}}","plainCitation":"87,88"},"citationItems":[{"id":161,"uris":["http://zotero.org/users/local/Ry4zHLbn/items/XJIG5US3"],"uri":["http://zotero.org/users/local/Ry4zHLbn/items/XJIG5US3"],"itemData":{"id":161,"type":"article-journal","title":"CRF antagonist partially reverses CRF- and stress-induced effects on feeding","container-title":"Brain research bulletin","page":"285-289","volume":"17","issue":"3","source":"NCBI PubMed","abstract":"Exogenous corticotropin releasing factor (CRF) causes centrally mediated behavioral changes including decreased feeding and increased grooming. These behavioral changes are also seen in response to some stressors. However, the role of endogenous CRF in the behavioral response to stressors has not been investigated fully. We report below our findings on the behavioral effects of alpha-helical CRF (9-41), a recently discovered competitive antagonist of CRF-induced ACTH release. Alpha-helical CRF (9-41) partially reversed the decrement in feeding induced by CRF. Furthermore, the reduction in food intake due to restraint stress was partially reversed by alpha-helical CRF (9-41). These results indicate that changes in endogenous CRF release induced by the restraint stressor may play a role in stress-induced anorexia.","ISSN":"0361-9230","note":"PMID: 3490298","journalAbbreviation":"Brain Res. Bull.","language":"eng","author":[{"family":"Krahn","given":"D D"},{"family":"Gosnell","given":"B A"},{"family":"Grace","given":"M"},{"family":"Levine","given":"A S"}],"issued":{"date-parts":[["1986",9]]},"PMID":"3490298"}},{"id":163,"uris":["http://zotero.org/users/local/Ry4zHLbn/items/R65XCAT5"],"uri":["http://zotero.org/users/local/Ry4zHLbn/items/R65XCAT5"],"itemData":{"id":163,"type":"article-journal","title":"Suppression of feeding and drinking activity in rats following intraventricular injection of thyrotropin releasing hormone (TRH)","container-title":"Endocrinology","page":"1727-1730","volume":"100","issue":"6","source":"NCBI PubMed","abstract":"Since both TRH and somatostatin (SRIF) are localized to the ventromedial hypothalamic nucleus, a region known to be involved in control of food intake, the possibility that these peptides might alter food intake was evaluated. The peptides were dissolved in 0.9% NaCl and injected into the 3d ventricle in a volume of 2 micron1 in animals bearing 3d ventricular cannulae. Food and water had been removed from the cages the night before and the intake was measured at 1 and 6 h after injection. Control injections of 0.15M NaCl or glutathione (3 nmoles) had no effect on food or water intake. At a dose of 3 nmoles, LHRH, SRIF, and TRH suppressed water intake alh. Lowering the dose of LHRH and SRIF to 0.6 nmoles led to loss of this inhibition but the suppressive effect of TRH, which was more pronounced at the higher dose than that of the other two peptides, persisted. Lowering the dose of TRH to 0.3 nmoles led to loss of the inhibitory effect. The dose of 3 nmoles of LHRH did not suppress food intake but this dose of both SRIF and TRH had a significant suppressive effect on food intake at 1 h. There was no suppressive action of a lower dose of 0.6 nmoles of SRIF, but TRH was still effective to suppress food intake at this dose. A dose of 0.3 nmoles of TRH had no effect on food intake. It is suggested that TRH, and possibly SRIF may play a physiological role in control of food intake, perhaps by altering the neural activity within the ventromedial nucleus.","ISSN":"0013-7227","note":"PMID: 404133","journalAbbreviation":"Endocrinology","language":"eng","author":[{"family":"Vijayan","given":"E"},{"family":"McCann","given":"S M"}],"issued":{"date-parts":[["1977",6]]},"PMID":"404133"}}],"schema":"https://github.com/citation-style-language/schema/raw/master/csl-citation.json"} </w:instrText>
      </w:r>
      <w:r w:rsidRPr="003A0EF9">
        <w:fldChar w:fldCharType="separate"/>
      </w:r>
      <w:r w:rsidR="00CC106C" w:rsidRPr="00CC106C">
        <w:rPr>
          <w:vertAlign w:val="superscript"/>
        </w:rPr>
        <w:t>87</w:t>
      </w:r>
      <w:proofErr w:type="gramStart"/>
      <w:r w:rsidR="00CC106C" w:rsidRPr="00CC106C">
        <w:rPr>
          <w:vertAlign w:val="superscript"/>
        </w:rPr>
        <w:t>,88</w:t>
      </w:r>
      <w:proofErr w:type="gramEnd"/>
      <w:r w:rsidRPr="003A0EF9">
        <w:fldChar w:fldCharType="end"/>
      </w:r>
      <w:r w:rsidRPr="003A0EF9">
        <w:t xml:space="preserve">  The hypothalamus also contains other regions and receptors involved in appetite control.  The lateral hypothalamic area (LHA) contains orexin and melanin-concentrating hormone (MCH), which are orexigenic hormones.</w:t>
      </w:r>
      <w:r w:rsidRPr="003A0EF9">
        <w:fldChar w:fldCharType="begin"/>
      </w:r>
      <w:r w:rsidR="00CC106C">
        <w:instrText xml:space="preserve"> ADDIN ZOTERO_ITEM CSL_CITATION {"citationID":"lQmeyOpa","properties":{"formattedCitation":"{\\rtf \\super 80,89\\nosupersub{}}","plainCitation":"80,89"},"citationItems":[{"id":147,"uris":["http://zotero.org/users/local/Ry4zHLbn/items/JXEE6JUE"],"uri":["http://zotero.org/users/local/Ry4zHLbn/items/JXEE6JUE"],"itemData":{"id":147,"type":"article-journal","title":"The role of gut hormones and the hypothalamus in appetite regulation","container-title":"Endocrine journal","page":"359-372","volume":"57","issue":"5","source":"NCBI PubMed","abstract":"The World Health Organisation has estimated that by 2015 approximately 2.3 billion adults will be overweight and more than 700 million obese. Obesity is associated with an increased risk of diabetes, cardiovascular events, stroke and cancer. The hypothalamus is a crucial region for integrating signals from central and peripheral pathways and plays a major role in appetite regulation. In addition, there are reciprocal connections with the brainstem and higher cortical centres. In the arcuate nucleus of the hypothalamus, there are two major neuronal populations which stimulate or inhibit food intake and influence energy homeostasis. Within the brainstem, the dorsal vagal complex plays a role in the interpretation and relaying of peripheral signals. Gut hormones act peripherally to modulate digestion and absorption of nutrients. However, they also act as neurotransmitters within the central nervous system to control food intake. Peptide YY, pancreatic polypeptide, glucagon-like peptide-1 and oxyntomodulin suppress appetite, whilst ghrelin increases appetite through afferent vagal fibres to the caudal brainstem or directly to the hypothalamus. A better understanding of the role of these gut hormones may offer the opportunity to develop successful treatments for obesity. Here we review the current understanding of the role of gut hormones and the hypothalamus on food intake and body weight control.","ISSN":"1348-4540","note":"PMID: 20424341","journalAbbreviation":"Endocr. J.","language":"eng","author":[{"family":"Suzuki","given":"Keisuke"},{"family":"Simpson","given":"Katherine A"},{"family":"Minnion","given":"James S"},{"family":"Shillito","given":"Joyceline C"},{"family":"Bloom","given":"Stephen R"}],"issued":{"date-parts":[["2010"]]},"PMID":"20424341"}},{"id":165,"uris":["http://zotero.org/users/local/Ry4zHLbn/items/5UVQCUN3"],"uri":["http://zotero.org/users/local/Ry4zHLbn/items/5UVQCUN3"],"itemData":{"id":165,"type":"article-journal","title":"Appetite signaling: from gut peptides and enteric nerves to brain","container-title":"Physiology &amp; behavior","page":"256-262","volume":"92","issue":"1-2","source":"NCBI PubMed","abstract":"The signaling systems underlying eating behavior control are complex. The current review focuses on gastrointestinal (GI) signaling systems as physiological key functions for metabolic control. Many of the peptides that are involved in the regulation of food intake in the brain are also found in the enteric nervous system and enteroendocrine cells of the mucosa of the GI tract. The only identified hunger-driving signal from the GI tract is ghrelin, which is mainly found in the mucosa of the stomach. Neuropeptides in the brain that influence food intake, of which neuropeptide Y, agouti gene-related peptide and orexins are stimulatory, while melanocortins and alpha-melanocortin stimulating hormone are inhibitory, are influenced by peptide signaling from the gut. These effects may take place directly through action of gut peptide in the brain or through nervous signaling from the periphery to the brain. The criteria for considering a gut hormone or neurotransmitter in a satiety signal seem to be fulfilled for cholecystokinin, glucagon-like peptide-1 and peptide YY(3-36). Other endogenous gut signals do not fulfill these criteria as they do not increase food intake in knock-out animals or in response to receptor antagonism, or display an inconsistent temporal profile with satiety and termination of the meal. Satiety signals from the GI tract act through the arcuate nucleus of the hypothalamus and the solitary tract nucleus of the brain stem, where neuronal networks directly linked to hypothalamic centers for food intake and eating behavior are activated. We have primarily focused on GI effects of various gut peptides involved in the regulation of food intake, using motor activity as a biomarker for the understanding of gut peptide effects promoting satiety.","DOI":"10.1016/j.physbeh.2007.05.017","ISSN":"0031-9384","note":"PMID: 17582445","shortTitle":"Appetite signaling","journalAbbreviation":"Physiol. Behav.","language":"eng","author":[{"family":"Näslund","given":"Erik"},{"family":"Hellström","given":"Per M"}],"issued":{"date-parts":[["2007",9,10]]},"PMID":"17582445"}}],"schema":"https://github.com/citation-style-language/schema/raw/master/csl-citation.json"} </w:instrText>
      </w:r>
      <w:r w:rsidRPr="003A0EF9">
        <w:fldChar w:fldCharType="separate"/>
      </w:r>
      <w:r w:rsidR="00CC106C" w:rsidRPr="00CC106C">
        <w:rPr>
          <w:vertAlign w:val="superscript"/>
        </w:rPr>
        <w:t>80</w:t>
      </w:r>
      <w:proofErr w:type="gramStart"/>
      <w:r w:rsidR="00CC106C" w:rsidRPr="00CC106C">
        <w:rPr>
          <w:vertAlign w:val="superscript"/>
        </w:rPr>
        <w:t>,89</w:t>
      </w:r>
      <w:proofErr w:type="gramEnd"/>
      <w:r w:rsidRPr="003A0EF9">
        <w:fldChar w:fldCharType="end"/>
      </w:r>
      <w:r w:rsidRPr="003A0EF9">
        <w:t xml:space="preserve"> Another mode of central appetite regulation is via the endocannabinoid system.  This system utilizes lipid mediators that are synthesized when needed and activate receptors spread throughout the body.  For appetite regulation, cannabinoid receptor 1 (CB1) activation by mediators such as delta-9-tetrahydrocannabinol (Δ</w:t>
      </w:r>
      <w:r w:rsidRPr="003A0EF9">
        <w:rPr>
          <w:vertAlign w:val="superscript"/>
        </w:rPr>
        <w:t>9</w:t>
      </w:r>
      <w:r w:rsidRPr="003A0EF9">
        <w:t>–THC) and anandamide leads to increased food intake.</w:t>
      </w:r>
      <w:r w:rsidRPr="003A0EF9">
        <w:fldChar w:fldCharType="begin"/>
      </w:r>
      <w:r w:rsidR="00CC106C">
        <w:instrText xml:space="preserve"> ADDIN ZOTERO_ITEM CSL_CITATION {"citationID":"VablF9OK","properties":{"formattedCitation":"{\\rtf \\super 90,91\\nosupersub{}}","plainCitation":"90,91"},"citationItems":[{"id":167,"uris":["http://zotero.org/users/local/Ry4zHLbn/items/AB45KW7Q"],"uri":["http://zotero.org/users/local/Ry4zHLbn/items/AB45KW7Q"],"itemData":{"id":167,"type":"article-journal","title":"Central and peripheral cannabinoid receptors as therapeutic targets in the control of food intake and body weight","container-title":"Handbook of experimental pharmacology","page":"357-381","issue":"209","source":"NCBI PubMed","abstract":"The endocannabinoid system consists of lipid-derived agonists that activate cannabinoid (CB) receptors. CB receptor agonists, namely, the phytocannabinoid Δ(9)-THC and the endocannabinoid anandamide, increase hunger sensation and food intake. These discoveries led to the clinical use of Δ(9)-THC derivatives for the treatment of cancer and HIV-related nausea and cachexia. Animal studies clarified the important role of CB1 receptors in the hypothalamus and in the limbic system in mediating orexigenic effects. In parallel, data on CB1-specific blockade either by drugs or by genetic ablation further demonstrated that CB1 inhibition protects against weight gain induced by high-fat feeding and reduces body weight in obese animals and humans. The mechanisms of weight reduction by CB1 blockade are complex: they comprise interactions with several orexigenic and anorexigenic neuropeptides and hormones, regulation of sympathetic activity, influences on mitochondrial function, and on lipogenesis. Although these mechanisms appear to be mainly mediated by the CNS, weight loss also occurs when drugs that do not reach CNS concentrations sufficient to inhibit CB1 signaling are used. The development of peripherally restricted CB1 inverse agonists and antagonists opened new routes in CB1 pharmacology because centrally acting CB1 inverse agonists, e.g., rimonabant and taranabant, exerted unacceptable side effects that precluded their further development and application as weight loss drugs. Tissue and circulating endocannabinoid concentrations are often increased in animal models of obesity and in obese humans, especially those with visceral fat accumulation. Thus, further research on CB1 inhibition is still promising to treat human obesity.","DOI":"10.1007/978-3-642-24716-3_17","ISSN":"0171-2004","note":"PMID: 22249824","journalAbbreviation":"Handb Exp Pharmacol","language":"eng","author":[{"family":"Engeli","given":"Stefan"}],"issued":{"date-parts":[["2012"]]},"PMID":"22249824"}},{"id":169,"uris":["http://zotero.org/users/local/Ry4zHLbn/items/9D5UC6RA"],"uri":["http://zotero.org/users/local/Ry4zHLbn/items/9D5UC6RA"],"itemData":{"id":169,"type":"article-journal","title":"Endogenous cannabinoids and appetite","container-title":"Nutrition research reviews","page":"65-86","volume":"14","issue":"1","source":"NCBI PubMed","abstract":"Since pre-history, Cannabis sativa has been exploited for its potent and manifold pharmacological actions. Amongst the most renowned of these actions is a tendency to provoke ravenous eating. The characterization of the psychoactive principals in cannabis (exogenous cannabinoids) and, more recently, the discovery of specific brain cannabinoid receptors and their endogenous ligands (endocannabinoids) has stimulated research into the physiological roles of endocannabinoid systems. In this review, we critically discuss evidence from the literature that describe studies on animals and human subjects to support endocannabinoid involvement in the control of appetite. We describe the hyperphagic actions of the exogenous cannabinoid, Delta9-tetrahydrocannabinol, and the endogenous CB1 ligands, anandamide and 2-arachidonylglycerol, and present evidence to support a specific role of endocannabinoid systems in appetitive processes related to the incentive and reward properties of food. A case is made for more comprehensive and systematic analyses of cannabinoid actions on eating, in the anticipation of improved therapies for disorders of appetite and body weight, and a better understanding of the biopsychological processes underlying hunger.","DOI":"10.1079/NRR200118","ISSN":"1475-2700","note":"PMID: 19087417","journalAbbreviation":"Nutr Res Rev","language":"eng","author":[{"family":"Kirkham","given":"T C"},{"family":"Williams","given":"C M"}],"issued":{"date-parts":[["2001",6]]},"PMID":"19087417"}}],"schema":"https://github.com/citation-style-language/schema/raw/master/csl-citation.json"} </w:instrText>
      </w:r>
      <w:r w:rsidRPr="003A0EF9">
        <w:fldChar w:fldCharType="separate"/>
      </w:r>
      <w:r w:rsidR="00CC106C" w:rsidRPr="00CC106C">
        <w:rPr>
          <w:vertAlign w:val="superscript"/>
        </w:rPr>
        <w:t>90</w:t>
      </w:r>
      <w:proofErr w:type="gramStart"/>
      <w:r w:rsidR="00CC106C" w:rsidRPr="00CC106C">
        <w:rPr>
          <w:vertAlign w:val="superscript"/>
        </w:rPr>
        <w:t>,91</w:t>
      </w:r>
      <w:proofErr w:type="gramEnd"/>
      <w:r w:rsidRPr="003A0EF9">
        <w:fldChar w:fldCharType="end"/>
      </w:r>
      <w:r w:rsidRPr="003A0EF9">
        <w:t xml:space="preserve">  </w:t>
      </w:r>
      <w:r w:rsidR="00F516A3">
        <w:rPr>
          <w:color w:val="FF0000"/>
        </w:rPr>
        <w:t xml:space="preserve">Figure 1 </w:t>
      </w:r>
      <w:r w:rsidR="00FC311C">
        <w:t>summarizes</w:t>
      </w:r>
      <w:r w:rsidR="00F516A3">
        <w:t xml:space="preserve"> the relationship between these central control mechanisms and food intake.</w:t>
      </w:r>
    </w:p>
    <w:p w:rsidR="00062F91" w:rsidRPr="003A0EF9" w:rsidRDefault="00062F91" w:rsidP="00062F91">
      <w:pPr>
        <w:pStyle w:val="Heading5"/>
      </w:pPr>
      <w:r>
        <w:t>Peripheral control mechanisms</w:t>
      </w:r>
    </w:p>
    <w:p w:rsidR="00A9607A" w:rsidRDefault="00941B51" w:rsidP="007D5932">
      <w:pPr>
        <w:keepNext/>
        <w:ind w:firstLine="720"/>
        <w:contextualSpacing/>
        <w:sectPr w:rsidR="00A9607A" w:rsidSect="00CA3387">
          <w:pgSz w:w="12240" w:h="15840" w:code="1"/>
          <w:pgMar w:top="1440" w:right="1800" w:bottom="1872" w:left="1800" w:header="720" w:footer="1440" w:gutter="0"/>
          <w:pgNumType w:start="1"/>
          <w:cols w:space="720"/>
          <w:noEndnote/>
          <w:docGrid w:linePitch="360"/>
        </w:sectPr>
      </w:pPr>
      <w:r w:rsidRPr="003A0EF9">
        <w:t xml:space="preserve">The nucleus tractus </w:t>
      </w:r>
      <w:proofErr w:type="gramStart"/>
      <w:r w:rsidRPr="003A0EF9">
        <w:t>solitaries (NTS) in the brainstem is</w:t>
      </w:r>
      <w:proofErr w:type="gramEnd"/>
      <w:r w:rsidRPr="003A0EF9">
        <w:t xml:space="preserve"> the hub for gastrointestinal (GI) tract signals.  Vagal afferents transfer signals from the gut to the brainstem to activate receptors involved in appetite regulation.  These receptors respond to various peripheral factors, including those released from the GI tract.  Ghrelin, an endogenous ligand for the growth hormone (GH) secretagogue receptor, is the only gut hormone currently identified as orexigenic.</w:t>
      </w:r>
      <w:r w:rsidRPr="003A0EF9">
        <w:fldChar w:fldCharType="begin"/>
      </w:r>
      <w:r w:rsidR="00CC106C">
        <w:instrText xml:space="preserve"> ADDIN ZOTERO_ITEM CSL_CITATION {"citationID":"jDlJQGiF","properties":{"formattedCitation":"{\\rtf \\super 92\\nosupersub{}}","plainCitation":"92"},"citationItems":[{"id":171,"uris":["http://zotero.org/users/local/Ry4zHLbn/items/9FT6U2P8"],"uri":["http://zotero.org/users/local/Ry4zHLbn/items/9FT6U2P8"],"itemData":{"id":171,"type":"article-journal","title":"Ghrelin is a growth-hormone-releasing acylated peptide from stomach","container-title":"Nature","page":"656-660","volume":"402","issue":"6762","source":"NCBI PubMed","abstract":"Small synthetic molecules called growth-hormone secretagogues (GHSs) stimulate the release of growth hormone (GH) from the pituitary. They act through GHS-R, a G-protein-coupled receptor for which the ligand is unknown. Recent cloning of GHS-R strongly suggests that an endogenous ligand for the receptor does exist and that there is a mechanism for regulating GH release that is distinct from its regulation by hypothalamic growth-hormone-releasing hormone (GHRH). We now report the purification and identification in rat stomach of an endogenous ligand specific for GHS-R. The purified ligand is a peptide of 28 amino acids, in which the serine 3 residue is n-octanoylated. The acylated peptide specifically releases GH both in vivo and in vitro, and O-n-octanoylation at serine 3 is essential for the activity. We designate the GH-releasing peptide 'ghrelin' (ghre is the Proto-Indo-European root of the word 'grow'). Human ghrelin is homologous to rat ghrelin apart from two amino acids. The occurrence of ghrelin in both rat and human indicates that GH release from the pituitary may be regulated not only by hypothalamic GHRH, but also by ghrelin.","DOI":"10.1038/45230","ISSN":"0028-0836","note":"PMID: 10604470","journalAbbreviation":"Nature","language":"eng","author":[{"family":"Kojima","given":"M"},{"family":"Hosoda","given":"H"},{"family":"Date","given":"Y"},{"family":"Nakazato","given":"M"},{"family":"Matsuo","given":"H"},{"family":"Kangawa","given":"K"}],"issued":{"date-parts":[["1999",12,9]]},"PMID":"10604470"}}],"schema":"https://github.com/citation-style-language/schema/raw/master/csl-citation.json"} </w:instrText>
      </w:r>
      <w:r w:rsidRPr="003A0EF9">
        <w:fldChar w:fldCharType="separate"/>
      </w:r>
      <w:r w:rsidR="00CC106C" w:rsidRPr="00CC106C">
        <w:rPr>
          <w:vertAlign w:val="superscript"/>
        </w:rPr>
        <w:t>92</w:t>
      </w:r>
      <w:r w:rsidRPr="003A0EF9">
        <w:fldChar w:fldCharType="end"/>
      </w:r>
      <w:r w:rsidRPr="003A0EF9">
        <w:t xml:space="preserve">  It is produced primarily by X/A-like cells within the oxyntic mucosa of the gastric lumen, but can also be produced by cells within the duodenum, ileum, cecum, and colon.</w:t>
      </w:r>
      <w:r w:rsidRPr="003A0EF9">
        <w:fldChar w:fldCharType="begin"/>
      </w:r>
      <w:r w:rsidR="00CC106C">
        <w:instrText xml:space="preserve"> ADDIN ZOTERO_ITEM CSL_CITATION {"citationID":"mQJ3RExR","properties":{"formattedCitation":"{\\rtf \\super 93,94\\nosupersub{}}","plainCitation":"93,94"},"citationItems":[{"id":173,"uris":["http://zotero.org/users/local/Ry4zHLbn/items/JREPPSPA"],"uri":["http://zotero.org/users/local/Ry4zHLbn/items/JREPPSPA"],"itemData":{"id":173,"type":"article-journal","title":"Ghrelin, a novel growth hormone-releasing acylated peptide, is synthesized in a distinct endocrine cell type in the gastrointestinal tracts of rats and humans","container-title":"Endocrinology","page":"4255-4261","volume":"141","issue":"11","source":"NCBI PubMed","abstract":"Ghrelin, a novel GH-releasing acylated peptide, was recently isolated from rat stomach. It stimulated the release of GH from the anterior pituitary through the GH secretagogue receptor (GHS-R). Ghrelin messenger RNA and the peptide are present in rat stomach, but its cellular source has yet to be determined. Using two different antibodies against the N- and C-terminal regions of rat ghrelin, we identified ghrelin-producing cells in the gastrointestinal tracts of rats and humans by light and electron microscopic immunohistochemistry and in situ hybridization combined with immunohistochemistry. Ghrelin-immunoreactive cells, which are not enterochromaffin-like cells, D cells, or enterochromaffin cells, accounted for about 20% of the endocrine cell population in rat and human oxyntic glands. Rat ghrelin was present in round, compact, electron-dense granules compatible with those of X/A-like cells whose hormonal product and physiological functions have not previously been clarified. The localization, population, and ultrastructural features of ghrelin-producing cells (Gr cells) indicate that they are X/A-like cells. Ghrelin also was found in enteric endocrine cells of rats and humans. Using two RIAs for the N- and C-terminal regions of ghrelin, we determined its content in the rat gastrointestinal tract. Rat ghrelin was present from the stomach to the colon, with the highest content being in the gastric fundus. Messenger RNAs of ghrelin and GHS-R also were found in these organs. Ghrelin probably functions not only in the control of GH secretion, but also in the regulation of diverse processes of the digestive system. Our findings provide clues to additional, as yet undefined, physiological functions of this novel gastrointestinal hormone.","ISSN":"0013-7227","note":"PMID: 11089560","journalAbbreviation":"Endocrinology","language":"eng","author":[{"family":"Date","given":"Y"},{"family":"Kojima","given":"M"},{"family":"Hosoda","given":"H"},{"family":"Sawaguchi","given":"A"},{"family":"Mondal","given":"M S"},{"family":"Suganuma","given":"T"},{"family":"Matsukura","given":"S"},{"family":"Kangawa","given":"K"},{"family":"Nakazato","given":"M"}],"issued":{"date-parts":[["2000",11]]},"PMID":"11089560"}},{"id":175,"uris":["http://zotero.org/users/local/Ry4zHLbn/items/CUWMR4M5"],"uri":["http://zotero.org/users/local/Ry4zHLbn/items/CUWMR4M5"],"itemData":{"id":175,"type":"article-journal","title":"Ghrelin-producing cells exist as two types of cells, closed- and opened-type cells, in the rat gastrointestinal tract","container-title":"Peptides","page":"531-536","volume":"23","issue":"3","source":"NCBI PubMed","abstract":"Ghrelin was recently isolated from the rat stomach as an endogenous ligand for the growth-hormone secretagogue receptor (GHS-R) and is known to exist in the gastrointestinal tract and hypothalamus. In this study, we investigated in detail the distribution and morphologic characteristics of ghrelin-containing cells (ghrelin cells) in the gastrointestinal tract by immunohistochemistry and in situ hybridization. Ghrelin cells were found to be localized in the mucous membrane of the stomach, duodenum, ileum, cecum and colon but not in myenteric plexus, and they can be classified into open- and closed-type cells. The greatest number of ghrelin cells was found in the stomach, and it was found that the number of the opened-type cells gradually increased in the direction from stomach to the lower gastrointestinal tract. These results suggest that the two types of ghrelin cells may be distinctly regulated and play different physiological roles in various regions of the gastrointestinal tract.","ISSN":"0196-9781","note":"PMID: 11836003","journalAbbreviation":"Peptides","language":"eng","author":[{"family":"Sakata","given":"Ichiro"},{"family":"Nakamura","given":"Kazuaki"},{"family":"Yamazaki","given":"Mami"},{"family":"Matsubara","given":"Maki"},{"family":"Hayashi","given":"Yuijiro"},{"family":"Kangawa","given":"Kenji"},{"family":"Sakai","given":"Takafumi"}],"issued":{"date-parts":[["2002",3]]},"PMID":"11836003"}}],"schema":"https://github.com/citation-style-language/schema/raw/master/csl-citation.json"} </w:instrText>
      </w:r>
      <w:r w:rsidRPr="003A0EF9">
        <w:fldChar w:fldCharType="separate"/>
      </w:r>
      <w:r w:rsidR="00CC106C" w:rsidRPr="00CC106C">
        <w:rPr>
          <w:vertAlign w:val="superscript"/>
        </w:rPr>
        <w:t>93,94</w:t>
      </w:r>
      <w:r w:rsidRPr="003A0EF9">
        <w:fldChar w:fldCharType="end"/>
      </w:r>
      <w:r w:rsidRPr="003A0EF9">
        <w:t xml:space="preserve">  Ghrelin is released in response to fasting, with high preprandial and low postprandial serum levels in rats, humans, and dogs in relation to fixed meal times.</w:t>
      </w:r>
      <w:r w:rsidRPr="003A0EF9">
        <w:fldChar w:fldCharType="begin"/>
      </w:r>
      <w:r w:rsidR="00CC106C">
        <w:instrText xml:space="preserve"> ADDIN ZOTERO_ITEM CSL_CITATION {"citationID":"7qtL2U9C","properties":{"formattedCitation":"{\\rtf \\super 95\\uc0\\u8211{}98\\nosupersub{}}","plainCitation":"95–98"},"citationItems":[{"id":177,"uris":["http://zotero.org/users/local/Ry4zHLbn/items/NQWE85G2"],"uri":["http://zotero.org/users/local/Ry4zHLbn/items/NQWE85G2"],"itemData":{"id":177,"type":"article-journal","title":"Influencing the between-feeding and endocrine responses of plasma ghrelin in healthy dogs","container-title":"European journal of endocrinology / European Federation of Endocrine Societies","page":"155-160","volume":"152","issue":"1","source":"NCBI PubMed","abstract":"OBJECTIVES: Ghrelin has recently been isolated from rat and human stomach as an endogenous ligand for the growth hormone (GH) secretagog receptor. Using beagle dogs, we investigated the distribution of ghrelin in the stomach and its possible role.\nMETHODS: We examined: (i) GH release in response to ghrelin injection (0.5 or 5 microg/kg, i.v.), (ii) gastric localization of ghrelin-immunostained cells, (iii) changes in daily food consumption after ghrelin injection (3, 10, and 20 microg/kg, i.v.), (iv) plasma ghrelin levels under regular, but restricted feeding conditions, and (v) variations in plasma ghrelin levels in relatively lean, normal and obese dogs.\nRESULTS: Administration of ghrelin to dogs promptly increased circulating GH concentrations, although this effect was transitory and was maintained for only 20 min. Ghrelin was localized in the stomach fundus and body, but none was detected in either the pylorus or cardia. Administration of ghrelin at a dose of 20 microg/kg increased the daily food intake of beagle dogs. Plasma ghrelin levels peaked just before meal times, and then returned to basal levels. Obese dogs had higher plasma ghrelin levels than did normal and lean dogs.\nCONCLUSIONS: These results indicate that ghrelin is a potent GH secretagog in dogs. The distribution of ghrelin-immunoreactive cells in the canine stomach resembles that of both the murine and human stomach. Ghrelin participates in the control of feeding behavior and energy homeostasis in dogs and may, therefore, be involved in the development of obesity.","ISSN":"0804-4643","note":"PMID: 15762199","journalAbbreviation":"Eur. J. Endocrinol.","language":"eng","author":[{"family":"Yokoyama","given":"Masayuki"},{"family":"Nakahara","given":"Keiko"},{"family":"Kojima","given":"Masayasu"},{"family":"Hosoda","given":"Hiroshi"},{"family":"Kangawa","given":"Kenji"},{"family":"Murakami","given":"Noboru"}],"issued":{"date-parts":[["2005",1]]},"PMID":"15762199"}},{"id":179,"uris":["http://zotero.org/users/local/Ry4zHLbn/items/9PSQ4S2E"],"uri":["http://zotero.org/users/local/Ry4zHLbn/items/9PSQ4S2E"],"itemData":{"id":179,"type":"article-journal","title":"Effects of food intake and food withholding on plasma ghrelin concentrations in healthy dogs","container-title":"American journal of veterinary research","page":"1557-1563","volume":"67","issue":"9","source":"NCBI PubMed","abstract":"OBJECTIVE: To investigate the physiologic endocrine effects of food intake and food withholding via measurement of the circulating concentrations of acylated ghrelin, growth hormone (GH), insulin-like growth factor-I (IGF-I), glucose, and insulin when food was administered at the usual time, after 1 day's withholding, after 3 days' withholding and after refeeding the next day in healthy Beagles.\nANIMALS: 9 healthy Beagles.\nPROCEDURES: Blood samples were collected from 8:30 AM to 5 PM from Beagles when food was administered as usual at 10 AM, after 1 day's withholding, after 3 days' withholding, and after refeeding at 10 AM the next day.\nRESULTS: Overall mean plasma ghrelin concentrations were significantly lower when food was administered than after food withholding. Overall mean plasma GH and IGF-I concentrations did not differ significantly among the 4 periods. Circulating overall mean glucose and insulin concentrations were significantly higher after refeeding, compared with the 3 other periods.\nCONCLUSIONS AND CLINICAL RELEVANCE: In dogs, food withholding and food intake were associated with higher and lower circulating ghrelin concentrations, respectively, suggesting that, in dogs, ghrelin participates in the control of feeding behavior and energy homeostasis. Changes in plasma ghrelin concentrations were not associated with similar changes in plasma GH concentrations, whereas insulin and glucose concentrations appeared to change reciprocally with the ghrelin concentrations.","DOI":"10.2460/ajvr.67.9.1557","ISSN":"0002-9645","note":"PMID: 16948601","journalAbbreviation":"Am. J. Vet. Res.","language":"eng","author":[{"family":"Bhatti","given":"Sofie F"},{"family":"Hofland","given":"Leo J"},{"family":"van Koetsveld","given":"Peter M"},{"family":"Van Ham","given":"Luc M"},{"family":"Duchateau","given":"Luc"},{"family":"Mol","given":"Jan A"},{"family":"van der Lely","given":"Aart Jan"},{"family":"Kooistra","given":"Hans S"}],"issued":{"date-parts":[["2006",9]]},"PMID":"16948601"}},{"id":181,"uris":["http://zotero.org/users/local/Ry4zHLbn/items/UFKHEAJI"],"uri":["http://zotero.org/users/local/Ry4zHLbn/items/UFKHEAJI"],"itemData":{"id":181,"type":"article-journal","title":"A preprandial rise in plasma ghrelin levels suggests a role in meal initiation in humans","container-title":"Diabetes","page":"1714-1719","volume":"50","issue":"8","source":"NCBI PubMed","abstract":"The recently discovered orexigenic peptide ghrelin is produced primarily by the stomach and circulates in blood at levels that increase during prolonged fasting in rats. When administered to rodents at supraphysiological doses, ghrelin activates hypothalamic neuropeptide Y/agouti gene-related protein neurons and increases food intake and body weight. These findings suggest that ghrelin may participate in meal initiation. As a first step to investigate this hypothesis, we sought to determine whether circulating ghrelin levels are elevated before the consumption of individual meals in humans. Ghrelin, insulin, and leptin were measured by radioimmunoassay in plasma samples drawn 38 times throughout a 24-h period in 10 healthy subjects provided meals on a fixed schedule. Plasma ghrelin levels increased nearly twofold immediately before each meal and fell to trough levels within 1 h after eating, a pattern reciprocal to that of insulin. Intermeal ghrelin levels displayed a diurnal rhythm that was exactly in phase with that of leptin, with both hormones rising throughout the day to a zenith at 0100, then falling overnight to a nadir at 0900. Ghrelin levels sampled during the troughs before and after breakfast correlated strongly with 24-h integrated area under the curve values (r = 0.873 and 0.954, respectively), suggesting that these convenient, single measurements might serve as surrogates for 24-h profiles to estimate overall ghrelin levels. Circulating ghrelin also correlated positively with age (r = 0.701). The clear preprandial rise and postprandial fall in plasma ghrelin levels support the hypothesis that ghrelin plays a physiological role in meal initiation in humans.","ISSN":"0012-1797","note":"PMID: 11473029","journalAbbreviation":"Diabetes","language":"eng","author":[{"family":"Cummings","given":"D E"},{"family":"Purnell","given":"J Q"},{"family":"Frayo","given":"R S"},{"family":"Schmidova","given":"K"},{"family":"Wisse","given":"B E"},{"family":"Weigle","given":"D S"}],"issued":{"date-parts":[["2001",8]]},"PMID":"11473029"}},{"id":183,"uris":["http://zotero.org/users/local/Ry4zHLbn/items/4W6FEJUZ"],"uri":["http://zotero.org/users/local/Ry4zHLbn/items/4W6FEJUZ"],"itemData":{"id":183,"type":"article-journal","title":"Role for central ghrelin in food intake and secretion profile of stomach ghrelin in rats","container-title":"The Journal of endocrinology","page":"283-288","volume":"174","issue":"2","source":"NCBI PubMed","abstract":"Ghrelin, a 28-amino-acid peptide, has recently been isolated from the rat stomach as an endogenous ligand for the GH secretagogue receptor. We have reported previously that central or peripheral administration of ghrelin stimulates food intake, and the secretion of GH and gastric acid in rats. In the present study, we investigated how much endogenous centrally released ghrelin is involved in the control of food intake and body weight gain. We also examined the profile of ghrelin secretion from the stomach by RIA using two kinds of anti-ghrelin antiserum, one raised against the N-terminal ([Cys(12)]-ghrelin[1-11]) region and one raised against the C-terminal ([Cys(0)]-ghrelin [13-28]) region of the peptide. The former antibody recognizes specifically ghrelin with n- octanoylated Ser 3 (acyl ghrelin), and does not recognize des-acyl ghrelin. The latter also recognizes des-acyl ghrelin (i.e. total ghrelin). Intracerebroventricular treatment with the anti-ghrelin antiserum against the N-terminal region twice a day for 5 days decreased significantly both daily food intake and body weight. Des-acyl ghrelin levels were significantly higher in the gastric vein than in the trunk. Either fasting for 12 h, administration of gastrin or cholecystokinin resulted in increase of both acyl and des-acyl ghrelin levels. The ghrelin levels exhibited a diurnal pattern, with the bimodal peaks occurring before dark and light periods. These two peaks were consistent with maximum and minimum volumes of gastric content respectively. These results suggest that (1) endogenous centrally released ghrelin participates in the regulation of food intake and body weight, (2) acyl ghrelin is secreted from the stomach, (3) intestinal hormones stimulate ghrelin release from the stomach, and (4) regulation of the diurnal rhythm of ghrelin is complex, since ghrelin secretion is augmented under conditions of both gastric emptying and filling.","ISSN":"0022-0795","note":"PMID: 12176667","journalAbbreviation":"J. Endocrinol.","language":"eng","author":[{"family":"Murakami","given":"N"},{"family":"Hayashida","given":"T"},{"family":"Kuroiwa","given":"T"},{"family":"Nakahara","given":"K"},{"family":"Ida","given":"T"},{"family":"Mondal","given":"M S"},{"family":"Nakazato","given":"M"},{"family":"Kojima","given":"M"},{"family":"Kangawa","given":"K"}],"issued":{"date-parts":[["2002",8]]},"PMID":"12176667"}}],"schema":"https://github.com/citation-style-language/schema/raw/master/csl-citation.json"} </w:instrText>
      </w:r>
      <w:r w:rsidRPr="003A0EF9">
        <w:fldChar w:fldCharType="separate"/>
      </w:r>
      <w:r w:rsidR="00CC106C" w:rsidRPr="00CC106C">
        <w:rPr>
          <w:vertAlign w:val="superscript"/>
        </w:rPr>
        <w:t>95–98</w:t>
      </w:r>
      <w:r w:rsidRPr="003A0EF9">
        <w:fldChar w:fldCharType="end"/>
      </w:r>
      <w:r w:rsidRPr="003A0EF9">
        <w:t xml:space="preserve">  Simple gastric distension is not the deciding factor in when ghrelin is suppressed, however, because water ingestion does not decrease ghrelin levels.</w:t>
      </w:r>
      <w:r w:rsidRPr="003A0EF9">
        <w:fldChar w:fldCharType="begin"/>
      </w:r>
      <w:r w:rsidR="00CC106C">
        <w:instrText xml:space="preserve"> ADDIN ZOTERO_ITEM CSL_CITATION {"citationID":"A5iKRtkt","properties":{"formattedCitation":"{\\rtf \\super 99\\nosupersub{}}","plainCitation":"99"},"citationItems":[{"id":185,"uris":["http://zotero.org/users/local/Ry4zHLbn/items/GWGWXEIZ"],"uri":["http://zotero.org/users/local/Ry4zHLbn/items/GWGWXEIZ"],"itemData":{"id":185,"type":"article-journal","title":"Ghrelin induces adiposity in rodents","container-title":"Nature","page":"908-913","volume":"407","issue":"6806","source":"NCBI PubMed","abstract":"The discovery of the peptide hormone ghrelin, an endogenous ligand for the growth hormone secretagogue (GHS) receptor, yielded the surprising result that the principal site of ghrelin synthesis is the stomach and not the hypothalamus. Although ghrelin is likely to regulate pituitary growth hormone (GH) secretion along with GH-releasing hormone and somatostatin, GHS receptors have also been identified on hypothalamic neurons and in the brainstem. Apart from potential paracrine effects, ghrelin may thus offer an endocrine link between stomach, hypothalamus and pituitary, suggesting an involvement in regulation of energy balance. Here we show that peripheral daily administration of ghrelin caused weight gain by reducing fat utilization in mice and rats. Intracerebroventricular administration of ghrelin generated a dose-dependent increase in food intake and body weight. Rat serum ghrelin concentrations were increased by fasting and were reduced by re-feeding or oral glucose administration, but not by water ingestion. We propose that ghrelin, in addition to its role in regulating GH secretion, signals the hypothalamus when an increase in metabolic efficiency is necessary.","DOI":"10.1038/35038090","ISSN":"0028-0836","note":"PMID: 11057670","journalAbbreviation":"Nature","language":"eng","author":[{"family":"Tschöp","given":"M"},{"family":"Smiley","given":"D L"},{"family":"Heiman","given":"M L"}],"issued":{"date-parts":[["2000",10,19]]},"PMID":"11057670"}}],"schema":"https://github.com/citation-style-language/schema/raw/master/csl-citation.json"} </w:instrText>
      </w:r>
      <w:r w:rsidRPr="003A0EF9">
        <w:fldChar w:fldCharType="separate"/>
      </w:r>
      <w:r w:rsidR="00CC106C" w:rsidRPr="00CC106C">
        <w:rPr>
          <w:vertAlign w:val="superscript"/>
        </w:rPr>
        <w:t>99</w:t>
      </w:r>
      <w:r w:rsidRPr="003A0EF9">
        <w:fldChar w:fldCharType="end"/>
      </w:r>
      <w:r w:rsidRPr="003A0EF9">
        <w:t xml:space="preserve">  In people with diet induced weight loss, fasting ghrelin levels are high, while obese individuals have lower fasting leve</w:t>
      </w:r>
      <w:r w:rsidR="007D5932">
        <w:t xml:space="preserve">ls and a blunted </w:t>
      </w:r>
      <w:r w:rsidRPr="003A0EF9">
        <w:t>postprandial suppression.</w:t>
      </w:r>
      <w:r w:rsidRPr="003A0EF9">
        <w:fldChar w:fldCharType="begin"/>
      </w:r>
      <w:r w:rsidR="00CC106C">
        <w:instrText xml:space="preserve"> ADDIN ZOTERO_ITEM CSL_CITATION {"citationID":"uiFhDF2K","properties":{"formattedCitation":"{\\rtf \\super 100,101\\nosupersub{}}","plainCitation":"100,101"},"citationItems":[{"id":187,"uris":["http://zotero.org/users/local/Ry4zHLbn/items/S3S42IKF"],"uri":["http://zotero.org/users/local/Ry4zHLbn/items/S3S42IKF"],"itemData":{"id":187,"type":"article-journal","title":"Plasma ghrelin levels after diet-induced weight loss or gastric bypass surgery","container-title":"The New England journal of medicine","page":"1623-1630","volume":"346","issue":"21","source":"NCBI PubMed","abstract":"BACKGROUND: Weight loss causes changes in appetite and energy expenditure that promote weight regain. Ghrelin is a hormone that increases food intake in rodents and humans. If circulating ghrelin participates in the adaptive response to weight loss, its levels should rise with dieting. Because ghrelin is produced primarily by the stomach, weight loss after gastric bypass surgery may be accompanied by impaired ghrelin secretion.\nMETHODS: We determined the 24-hour plasma ghrelin profiles, body composition, insulin levels, leptin levels, and insulin sensitivity in 13 obese subjects before and after a six-month dietary program for weight loss. The 24-hour ghrelin profiles were also determined in 5 subjects who had lost weight after gastric bypass and 10 normal-weight controls; 5 of the 13 obese subjects who participated in the dietary program were matched to the subjects in the gastric-bypass group and served as obese controls.\nRESULTS: Plasma ghrelin levels rose sharply shortly before and fell shortly after every meal. A diet-induced weight loss of 17 percent of initial body weight was associated with a 24 percent increase in the area under the curve for the 24-hour ghrelin profile (P=0.006). In contrast, despite a 36 percent weight loss after gastric bypass, the area under the curve for the ghrelin profile in the gastric-bypass group was 77 percent lower than in normal-weight controls (P&lt;0.001) and 72 percent lower than in matched obese controls (P=0.01). The normal, meal-related fluctuations and diurnal rhythm of the ghrelin level were absent after gastric bypass.\nCONCLUSIONS: The increase in the plasma ghrelin level with diet-induced weight loss is consistent with the hypothesis that ghrelin has a role in the long-term regulation of body weight. Gastric bypass is associated with markedly suppressed ghrelin levels, possibly contributing to the weight-reducing effect of the procedure.","DOI":"10.1056/NEJMoa012908","ISSN":"1533-4406","note":"PMID: 12023994","journalAbbreviation":"N. Engl. J. Med.","language":"eng","author":[{"family":"Cummings","given":"David E"},{"family":"Weigle","given":"David S"},{"family":"Frayo","given":"R Scott"},{"family":"Breen","given":"Patricia A"},{"family":"Ma","given":"Marina K"},{"family":"Dellinger","given":"E Patchen"},{"family":"Purnell","given":"Jonathan Q"}],"issued":{"date-parts":[["2002",5,23]]},"PMID":"12023994"}},{"id":189,"uris":["http://zotero.org/users/local/Ry4zHLbn/items/PU5FICCA"],"uri":["http://zotero.org/users/local/Ry4zHLbn/items/PU5FICCA"],"itemData":{"id":189,"type":"article-journal","title":"Postprandial plasma ghrelin is suppressed proportional to meal calorie content in normal-weight but not obese subjects","container-title":"The Journal of clinical endocrinology and metabolism","page":"1068-1071","volume":"90","issue":"2","source":"NCBI PubMed","abstract":"Circulating levels of the gastric hormone ghrelin rise before and decrease after a meal. In normal-weight subjects, postprandial suppression of ghrelin is proportional to calories consumed. Obese individuals have lower fasting ghrelin levels; however, it is unclear whether the obese show normal postprandial suppression. This study aimed to compare postprandial ghrelin responses in normal-weight and obese subjects, using mixed macronutrient meals with varied fat and calorie content. Postprandial ghrelin response was measured in normal-weight insulin-sensitive subjects and obese insulin-resistant subjects, after six test meals with different fat and calorie content (250-3000 kcal). Increasing the calorie content of meals in normal-weight subjects progressively lowered nadir levels of ghrelin. The obese had lower fasting ghrelin levels, and the reduction after the consumption of all test meals was less than the normal-weight subjects. The lowest postprandial levels in the obese were no different to the nadir in normal-weight volunteers after 1000-, 2000-, and 3000-kcal meals. Thus, circulating ghrelin levels decreased in normal-weight subjects after mixed meals. Obese subjects demonstrated a much reduced ghrelin postprandial suppression. This reduced suppression may influence satiety, thus reinforcing obesity.","DOI":"10.1210/jc.2004-1216","ISSN":"0021-972X","note":"PMID: 15522935","journalAbbreviation":"J. Clin. Endocrinol. Metab.","language":"eng","author":[{"family":"le Roux","given":"C W"},{"family":"Patterson","given":"M"},{"family":"Vincent","given":"R P"},{"family":"Hunt","given":"C"},{"family":"Ghatei","given":"M A"},{"family":"Bloom","given":"S R"}],"issued":{"date-parts":[["2005",2]]},"PMID":"15522935"}}],"schema":"https://github.com/citation-style-language/schema/raw/master/csl-citation.json"} </w:instrText>
      </w:r>
      <w:r w:rsidRPr="003A0EF9">
        <w:fldChar w:fldCharType="separate"/>
      </w:r>
      <w:r w:rsidR="00CC106C" w:rsidRPr="00CC106C">
        <w:rPr>
          <w:vertAlign w:val="superscript"/>
        </w:rPr>
        <w:t>100,101</w:t>
      </w:r>
      <w:r w:rsidRPr="003A0EF9">
        <w:fldChar w:fldCharType="end"/>
      </w:r>
      <w:r w:rsidRPr="003A0EF9">
        <w:t xml:space="preserve">  In chronically obese dogs, fasting ghrelin is</w:t>
      </w:r>
      <w:r w:rsidR="007D5932">
        <w:t xml:space="preserve"> </w:t>
      </w:r>
    </w:p>
    <w:p w:rsidR="007D5932" w:rsidRDefault="007D5932" w:rsidP="00A9607A">
      <w:pPr>
        <w:keepNext/>
        <w:contextualSpacing/>
      </w:pPr>
      <w:r>
        <w:rPr>
          <w:noProof/>
        </w:rPr>
        <w:lastRenderedPageBreak/>
        <w:drawing>
          <wp:inline distT="0" distB="0" distL="0" distR="0" wp14:anchorId="61025B7E" wp14:editId="327CC85E">
            <wp:extent cx="6997700" cy="4147729"/>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val="0"/>
                        </a:ext>
                      </a:extLst>
                    </a:blip>
                    <a:srcRect l="11404" t="17438" r="10057" b="8127"/>
                    <a:stretch/>
                  </pic:blipFill>
                  <pic:spPr bwMode="auto">
                    <a:xfrm>
                      <a:off x="0" y="0"/>
                      <a:ext cx="7030188" cy="4166986"/>
                    </a:xfrm>
                    <a:prstGeom prst="rect">
                      <a:avLst/>
                    </a:prstGeom>
                    <a:ln>
                      <a:noFill/>
                    </a:ln>
                    <a:extLst>
                      <a:ext uri="{53640926-AAD7-44D8-BBD7-CCE9431645EC}">
                        <a14:shadowObscured xmlns:a14="http://schemas.microsoft.com/office/drawing/2010/main"/>
                      </a:ext>
                    </a:extLst>
                  </pic:spPr>
                </pic:pic>
              </a:graphicData>
            </a:graphic>
          </wp:inline>
        </w:drawing>
      </w:r>
    </w:p>
    <w:p w:rsidR="007D5932" w:rsidRDefault="007D5932" w:rsidP="007D5932">
      <w:pPr>
        <w:pStyle w:val="Caption"/>
      </w:pPr>
      <w:bookmarkStart w:id="8" w:name="_Toc376465861"/>
      <w:r>
        <w:t xml:space="preserve">Figure </w:t>
      </w:r>
      <w:fldSimple w:instr=" SEQ Figure \* ARABIC ">
        <w:r w:rsidR="00DE5561">
          <w:rPr>
            <w:noProof/>
          </w:rPr>
          <w:t>1</w:t>
        </w:r>
      </w:fldSimple>
      <w:r w:rsidR="00025B7A">
        <w:t xml:space="preserve"> Role of arcuate nucleus in adiposity signaling.</w:t>
      </w:r>
      <w:bookmarkEnd w:id="8"/>
    </w:p>
    <w:p w:rsidR="00A9607A" w:rsidRPr="00EB1E80" w:rsidRDefault="00A9607A" w:rsidP="00A9607A">
      <w:pPr>
        <w:rPr>
          <w:color w:val="FF0000"/>
        </w:rPr>
        <w:sectPr w:rsidR="00A9607A" w:rsidRPr="00EB1E80" w:rsidSect="00A9607A">
          <w:pgSz w:w="15840" w:h="12240" w:orient="landscape" w:code="1"/>
          <w:pgMar w:top="1800" w:right="1440" w:bottom="1800" w:left="1872" w:header="720" w:footer="1440" w:gutter="0"/>
          <w:cols w:space="720"/>
          <w:noEndnote/>
          <w:docGrid w:linePitch="360"/>
        </w:sectPr>
      </w:pPr>
      <w:proofErr w:type="gramStart"/>
      <w:r>
        <w:rPr>
          <w:rFonts w:ascii="HelveticaNeue-BoldCond" w:hAnsi="HelveticaNeue-BoldCond" w:cs="HelveticaNeue-BoldCond"/>
          <w:b/>
          <w:bCs/>
        </w:rPr>
        <w:t>a</w:t>
      </w:r>
      <w:proofErr w:type="gramEnd"/>
      <w:r>
        <w:t xml:space="preserve">, Activity of leptin/insulin-sensitive adiposity signaling pathways in hypothalamus under conditions of leptin/insulin deficiency. </w:t>
      </w:r>
      <w:proofErr w:type="gramStart"/>
      <w:r>
        <w:rPr>
          <w:rFonts w:ascii="HelveticaNeue-BoldCond" w:hAnsi="HelveticaNeue-BoldCond" w:cs="HelveticaNeue-BoldCond"/>
          <w:b/>
          <w:bCs/>
        </w:rPr>
        <w:t>b</w:t>
      </w:r>
      <w:proofErr w:type="gramEnd"/>
      <w:r>
        <w:t>, Increased action of leptin/insulin in arcuate nucleus inhibits the NPY/AGRP anabolic pathway and stimulates the POMC catabolic pathway, resulting in reduced food intake and anorexia</w:t>
      </w:r>
      <w:commentRangeStart w:id="9"/>
      <w:r>
        <w:t>.</w:t>
      </w:r>
      <w:r w:rsidR="00EB1E80">
        <w:t xml:space="preserve"> </w:t>
      </w:r>
      <w:r>
        <w:t xml:space="preserve"> </w:t>
      </w:r>
      <w:proofErr w:type="gramStart"/>
      <w:r w:rsidR="00EB1E80">
        <w:t>Reprinted by permission from Macmillan Publishers Ltd: [NATURE</w:t>
      </w:r>
      <w:r w:rsidR="00EB1E80" w:rsidRPr="000A2582">
        <w:t xml:space="preserve">] </w:t>
      </w:r>
      <w:r w:rsidR="000A2582" w:rsidRPr="000A2582">
        <w:t xml:space="preserve">(Schwartz </w:t>
      </w:r>
      <w:r w:rsidR="000A2582">
        <w:t>MW, Woods SC, Porte D, et al. Central nervous system control of food intake.</w:t>
      </w:r>
      <w:proofErr w:type="gramEnd"/>
      <w:r w:rsidR="000A2582">
        <w:t xml:space="preserve"> Nature 2000;404:661–671)</w:t>
      </w:r>
      <w:r w:rsidR="00EB1E80">
        <w:t xml:space="preserve">, </w:t>
      </w:r>
      <w:r w:rsidR="000A2582">
        <w:t xml:space="preserve">Copyright © </w:t>
      </w:r>
      <w:r w:rsidR="00EB1E80">
        <w:t>2000.</w:t>
      </w:r>
      <w:r w:rsidR="00EB1E80">
        <w:rPr>
          <w:color w:val="FF0000"/>
        </w:rPr>
        <w:fldChar w:fldCharType="begin"/>
      </w:r>
      <w:r w:rsidR="00EB1E80">
        <w:rPr>
          <w:color w:val="FF0000"/>
        </w:rPr>
        <w:instrText xml:space="preserve"> ADDIN ZOTERO_ITEM CSL_CITATION {"citationID":"g62mdrola","properties":{"formattedCitation":"{\\rtf \\super 102\\nosupersub{}}","plainCitation":"102"},"citationItems":[{"id":241,"uris":["http://zotero.org/users/171999/items/37ZM2HD7"],"uri":["http://zotero.org/users/171999/items/37ZM2HD7"],"itemData":{"id":241,"type":"article-journal","title":"Central nervous system control of food intake","container-title":"Nature","page":"661-671","volume":"404","issue":"6778","source":"www.nature.com.proxy.lib.utk.edu:90","abstract":"New information regarding neuronal circuits that control food intake and their hormonal regulation has extended our understanding of energy homeostasis, the process whereby energy intake is matched to energy expenditure over time. The profound obesity that results in rodents (and in the rare human case as well) from mutation of key signalling molecules involved in this regulatory system highlights its importance to human health. Although each new signalling pathway discovered in the hypothalamus is a potential target for drug development in the treatment of obesity, the growing number of such signalling molecules indicates that food intake is controlled by a highly complex process. To better understand how energy homeostasis can be achieved, we describe a model that delineates the roles of individual hormonal and neuropeptide signalling pathways in the control of food intake and the means by which obesity can arise from inherited or acquired defects in their function.","DOI":"10.1038/35007534","ISSN":"0028-0836","journalAbbreviation":"Nature","language":"en","author":[{"family":"Schwartz","given":"Michael W."},{"family":"Woods","given":"Stephen C."},{"family":"Porte","given":"Daniel"},{"family":"Seeley","given":"Randy J."},{"family":"Baskin","given":"Denis G."}],"issued":{"date-parts":[["2000",4,6]]},"accessed":{"date-parts":[["2013",11,17]]}}}],"schema":"https://github.com/citation-style-language/schema/raw/master/csl-citation.json"} </w:instrText>
      </w:r>
      <w:r w:rsidR="00EB1E80">
        <w:rPr>
          <w:color w:val="FF0000"/>
        </w:rPr>
        <w:fldChar w:fldCharType="separate"/>
      </w:r>
      <w:r w:rsidR="00EB1E80" w:rsidRPr="000A492A">
        <w:rPr>
          <w:vertAlign w:val="superscript"/>
        </w:rPr>
        <w:t>102</w:t>
      </w:r>
      <w:r w:rsidR="00EB1E80">
        <w:rPr>
          <w:color w:val="FF0000"/>
        </w:rPr>
        <w:fldChar w:fldCharType="end"/>
      </w:r>
      <w:commentRangeEnd w:id="9"/>
      <w:r w:rsidR="000A2582">
        <w:rPr>
          <w:rStyle w:val="CommentReference"/>
        </w:rPr>
        <w:commentReference w:id="9"/>
      </w:r>
    </w:p>
    <w:p w:rsidR="007D5932" w:rsidRDefault="00941B51" w:rsidP="00A9607A">
      <w:pPr>
        <w:contextualSpacing/>
      </w:pPr>
      <w:proofErr w:type="gramStart"/>
      <w:r w:rsidRPr="003A0EF9">
        <w:lastRenderedPageBreak/>
        <w:t>lower</w:t>
      </w:r>
      <w:proofErr w:type="gramEnd"/>
      <w:r w:rsidRPr="003A0EF9">
        <w:t xml:space="preserve"> versus lean dogs, but is significantly higher during weight loss.  After maintaining weight loss for six months, plasma ghrelin levels return to levels comparable to those of the lean animals.</w:t>
      </w:r>
      <w:r w:rsidRPr="003A0EF9">
        <w:fldChar w:fldCharType="begin"/>
      </w:r>
      <w:r w:rsidR="000A492A">
        <w:instrText xml:space="preserve"> ADDIN ZOTERO_ITEM CSL_CITATION {"citationID":"fp4kDrjz","properties":{"formattedCitation":"{\\rtf \\super 103\\nosupersub{}}","plainCitation":"103"},"citationItems":[{"id":191,"uris":["http://zotero.org/users/local/Ry4zHLbn/items/B3FJ9CVI"],"uri":["http://zotero.org/users/local/Ry4zHLbn/items/B3FJ9CVI"],"itemData":{"id":191,"type":"article-journal","title":"Effects of chronic obesity and weight loss on plasma ghrelin and leptin concentrations in dogs","container-title":"Research in veterinary science","page":"169-175","volume":"79","issue":"2","source":"NCBI PubMed","abstract":"The objective of this study was to evaluate, in dogs, the effects of obesity and weight loss on plasma total ghrelin and leptin concentrations. Twenty-four Beagle dogs, 12 control lean and 12 obese dogs of both genders and aged between 1 and 9 years, were used for the experiments. Mean body weight was 12.7+/-0.7 kg for the lean group and 21.9+/-0.8 kg for the obese group. The trial was divided into three phases. During phase 1, all 24 Beagle dogs were fed a maintenance diet. During phase 2, the obese dogs were submitted to a weight loss protocol with a high protein-low energy diet. The weight loss protocol ended once dogs reached optimal body weight. During phase 3, the dogs that were submitted to the weight loss protocol were maintained at their optimal body weight for 6 months. Plasma total ghrelin, leptin, insulin and glucose concentrations were measured to evaluate the effects of obesity and weight loss on these parameters in dogs. Body weight, body condition score, thoracic and pelvic perimeters, and ingested food amounts were also recorded during the study. Obese dogs demonstrated a significant decrease in plasma ghrelin and a significant increase in plasma leptin and insulin concentrations when compared with control dogs. During weight loss, significant increases in plasma total ghrelin and glucose and significant decreases in plasma leptin and insulin were observed. The increase in plasma ghrelin concentrations seemed to be transient. Body weight and the morphometric parameters correlated positively with leptin concentrations and negatively with total ghrelin concentrations. These results suggest that ghrelin and leptin could play a role in dogs in the adaptation to a positive or negative energy balance, as observed in humans.","DOI":"10.1016/j.rvsc.2004.11.012","ISSN":"0034-5288","note":"PMID: 15924935","journalAbbreviation":"Res. Vet. Sci.","language":"eng","author":[{"family":"Jeusette","given":"Isabelle C"},{"family":"Detilleux","given":"Johanne"},{"family":"Shibata","given":"Haruki"},{"family":"Saito","given":"Masayuki"},{"family":"Honjoh","given":"Tsutomu"},{"family":"Delobel","given":"Agathe"},{"family":"Istasse","given":"Louis"},{"family":"Diez","given":"Marianne"}],"issued":{"date-parts":[["2005",10]]},"PMID":"15924935"}}],"schema":"https://github.com/citation-style-language/schema/raw/master/csl-citation.json"} </w:instrText>
      </w:r>
      <w:r w:rsidRPr="003A0EF9">
        <w:fldChar w:fldCharType="separate"/>
      </w:r>
      <w:r w:rsidR="000A492A" w:rsidRPr="000A492A">
        <w:rPr>
          <w:vertAlign w:val="superscript"/>
        </w:rPr>
        <w:t>103</w:t>
      </w:r>
      <w:r w:rsidRPr="003A0EF9">
        <w:fldChar w:fldCharType="end"/>
      </w:r>
    </w:p>
    <w:p w:rsidR="00941B51" w:rsidRPr="003A0EF9" w:rsidRDefault="00941B51" w:rsidP="007D5932">
      <w:pPr>
        <w:ind w:firstLine="720"/>
        <w:contextualSpacing/>
      </w:pPr>
      <w:r w:rsidRPr="003A0EF9">
        <w:t>Peptide tyrosine tyrosine (PYY) is another GI hormone involved with peripheral control of satiety.  It is a pancreatic-polypeptide-fold peptide produced by L cells throughout the GI tract, with highest levels in the ileum, colon, and rectum.</w:t>
      </w:r>
      <w:r w:rsidRPr="003A0EF9">
        <w:fldChar w:fldCharType="begin"/>
      </w:r>
      <w:r w:rsidR="000A492A">
        <w:instrText xml:space="preserve"> ADDIN ZOTERO_ITEM CSL_CITATION {"citationID":"ElIVx6RY","properties":{"formattedCitation":"{\\rtf \\super 104\\uc0\\u8211{}106\\nosupersub{}}","plainCitation":"104–106"},"citationItems":[{"id":193,"uris":["http://zotero.org/users/local/Ry4zHLbn/items/KG7EIHSD"],"uri":["http://zotero.org/users/local/Ry4zHLbn/items/KG7EIHSD"],"itemData":{"id":193,"type":"article-journal","title":"Human distribution and release of a putative new gut hormone, peptide YY","container-title":"Gastroenterology","page":"1070-1077","volume":"89","issue":"5","source":"NCBI PubMed","abstract":"A radioimmunoassay has been developed for the new intestinal hormonal peptide tyrosine tyrosine [peptide YY (PYY)]. Peptide YY concentrations were measured in separated layers of the human gastrointestinal tract, where PYY was found exclusively in the mucosal epithelium which contained the endocrine cells. Peptide YY was found throughout the small intestine, in very low concentrations (5 pmol/g) in duodenum (6 pmol/g) and jejunum (5 pmol/g), but in higher concentrations in the terminal ileum (84 pmol/g). High concentrations were found throughout the colon (ascending 82 pmol/g, sigmoid 196 pmol/g), being maximum in the rectum (480 pmol/g). The major molecular form of PYY-like immunoreactivity in human intestine appeared to be identical to pure porcine hormone, both as judged by gel permeation chromatography and by reverse-phase high-pressure liquid chromatography. Basal plasma concentrations of PYY were low but rose in response to food, remaining elevated for several hours postprandially. The known potent biologic actions of PYY, its high concentrations in gut endocrine cells, and its release into the circulation after a normal meal suggest that this peptide may function physiologically as a circulating gut hormone.","ISSN":"0016-5085","note":"PMID: 3840109","journalAbbreviation":"Gastroenterology","language":"eng","author":[{"family":"Adrian","given":"T E"},{"family":"Ferri","given":"G L"},{"family":"Bacarese-Hamilton","given":"A J"},{"family":"Fuessl","given":"H S"},{"family":"Polak","given":"J M"},{"family":"Bloom","given":"S R"}],"issued":{"date-parts":[["1985",11]]},"PMID":"3840109"}},{"id":195,"uris":["http://zotero.org/users/local/Ry4zHLbn/items/CJB6QTT8"],"uri":["http://zotero.org/users/local/Ry4zHLbn/items/CJB6QTT8"],"itemData":{"id":195,"type":"article-journal","title":"Distribution and release of peptide YY in dog measured by specific radioimmunoassay","container-title":"Gastroenterology","page":"731-737","volume":"88","issue":"3","source":"NCBI PubMed","abstract":"Peptide YY (PYY), neuropeptide Y, and pancreatic polypeptide (PP) are the third family of structurally related peptides to be extracted from the brain-gut axis. In the present study we have validated a sensitive and specific assay for PYY and used it to measure the distribution of PYY in the canine gastrointestinal tract. In addition we have compared the PYY and PP responses to both an intragastric meal and to insulin hypoglycemia. The highest concentration of PYY was present in the canine ileum (1610 +/- 123 ng/g) and colon (1607 +/- 194 ng/g). Significant (p less than 0.05) increases in both circulating PP and PYY concentrations were observed in response to the meal (mean delta PP = 180 +/- 43 pg/ml; mean delta PYY = 205 +/- 61 pg/ml). In contrast, only serum PP concentrations (mean delta PP = 294 +/- 36 pg/ml) increased significantly (p less than 0.01) in response to insulin hypoglycemia, demonstrating differences in the sensitivity of the PP and PYY cells to vagal stimulation. The present demonstration of PYY release in response to a physiological stimulus fulfills one of the prerequisites for hormonal status.","ISSN":"0016-5085","note":"PMID: 3838162","journalAbbreviation":"Gastroenterology","language":"eng","author":[{"family":"Taylor","given":"I L"}],"issued":{"date-parts":[["1985",3]]},"PMID":"3838162"}},{"id":197,"uris":["http://zotero.org/users/local/Ry4zHLbn/items/QVQV3FNG"],"uri":["http://zotero.org/users/local/Ry4zHLbn/items/QVQV3FNG"],"itemData":{"id":197,"type":"article-journal","title":"Localization of peptide YY (PYY) in gastrointestinal endocrine cells and effects on intestinal blood flow and motility","container-title":"Proceedings of the National Academy of Sciences of the United States of America","page":"4471-4475","volume":"79","issue":"14","source":"NCBI PubMed","abstract":"In immunohistochemical studies using antisera to peptide YY (PYY), a 36 amino acid polypeptide isolated from porcine duodenum, it was found that PYY-like immunoreactivity occurred mainly in endocrine cells of the gastrointestinal mucosa. PYY-immunoreactive cells were particularly abundant in the distal intestine and have been observed in five species, including man. By radioimmunoassay it was found that, in the rat, the amount of PYY immunoreactivity was about 100-fold higher in the colon than in the duodenum. The chromatographic profiles of PYY immunoreactivity from the rat colon and porcine PYY on a SP-Sephadex ion exchanger were similar. Furthermore, serial dilutions of extracts from the rat colon and porcine PYY had parallel displacement curves in radioimmunoassay. Close intraarterial administration of PYY in cats caused an intestinal vasoconstriction and an inhibition of jejunal and colonic motility. Simultaneously there was a rise in systemic arterial blood pressure. These effects of PYY were also observed after pretreatment with adrenergic blocking agents. It is concluded that PYY is a gastrointestinal peptide that is present mainly in endocrine cells of distal intestine and that has effect on both intestinal motility and the cardiovascular system.","ISSN":"0027-8424","note":"PMID: 6956876","journalAbbreviation":"Proc. Natl. Acad. Sci. U.S.A.","language":"eng","author":[{"family":"Lundberg","given":"J M"},{"family":"Tatemoto","given":"K"},{"family":"Terenius","given":"L"},{"family":"Hellström","given":"P M"},{"family":"Mutt","given":"V"},{"family":"Hökfelt","given":"T"},{"family":"Hamberger","given":"B"}],"issued":{"date-parts":[["1982",7]]},"PMID":"6956876"}}],"schema":"https://github.com/citation-style-language/schema/raw/master/csl-citation.json"} </w:instrText>
      </w:r>
      <w:r w:rsidRPr="003A0EF9">
        <w:fldChar w:fldCharType="separate"/>
      </w:r>
      <w:r w:rsidR="000A492A" w:rsidRPr="000A492A">
        <w:rPr>
          <w:vertAlign w:val="superscript"/>
        </w:rPr>
        <w:t>104–106</w:t>
      </w:r>
      <w:r w:rsidRPr="003A0EF9">
        <w:fldChar w:fldCharType="end"/>
      </w:r>
      <w:r w:rsidRPr="003A0EF9">
        <w:t xml:space="preserve">  There are two different circulating forms (PYY</w:t>
      </w:r>
      <w:r w:rsidRPr="003A0EF9">
        <w:rPr>
          <w:vertAlign w:val="subscript"/>
        </w:rPr>
        <w:t>1-36</w:t>
      </w:r>
      <w:r w:rsidRPr="003A0EF9">
        <w:t xml:space="preserve"> and PYY</w:t>
      </w:r>
      <w:r w:rsidRPr="003A0EF9">
        <w:rPr>
          <w:vertAlign w:val="subscript"/>
        </w:rPr>
        <w:t>3-36</w:t>
      </w:r>
      <w:r w:rsidRPr="003A0EF9">
        <w:t>), which both bind hypothalamic Y receptors.</w:t>
      </w:r>
      <w:r w:rsidRPr="003A0EF9">
        <w:fldChar w:fldCharType="begin"/>
      </w:r>
      <w:r w:rsidR="000A492A">
        <w:instrText xml:space="preserve"> ADDIN ZOTERO_ITEM CSL_CITATION {"citationID":"r2VQwAi5","properties":{"formattedCitation":"{\\rtf \\super 107,108\\nosupersub{}}","plainCitation":"107,108"},"citationItems":[{"id":199,"uris":["http://zotero.org/users/local/Ry4zHLbn/items/DEX7TAMG"],"uri":["http://zotero.org/users/local/Ry4zHLbn/items/DEX7TAMG"],"itemData":{"id":199,"type":"article-journal","title":"Structural characterization of canine PYY","container-title":"Peptides","page":"111-116","volume":"11","issue":"1","source":"NCBI PubMed","abstract":"PYY was purified from canine colonic mucosa by sequential steps of reverse phase HPLC and ion-exchange FPLC. Microsequence, amino acid and mass spectral analyses of the purified peptide and its tryptic fragments were consistent with the structure: YPAKPEAPGEDASPEELSRYYASLRHYLNLVTRQRY-amide. Canine PYY(1-36) has the identical sequence as porcine and rat PYY but differs from human PYY at position 3, with Ala instead of Ile, and position 18, with Ser instead of Asn. A smaller form, PYY(3-36), was also purified and characterized. It may differ in its biological activity from the intact peptide and could act as a partial antagonist or agonist of PYY(1-36).","ISSN":"0196-9781","note":"PMID: 2342986","journalAbbreviation":"Peptides","language":"eng","author":[{"family":"Eysselein","given":"V E"},{"family":"Eberlein","given":"G A"},{"family":"Grandt","given":"D"},{"family":"Schaeffer","given":"M"},{"family":"Zehres","given":"B"},{"family":"Behn","given":"U"},{"family":"Schaefer","given":"D"},{"family":"Goebell","given":"H"},{"family":"Davis","given":"M"},{"family":"Lee","given":"T D"}],"issued":{"date-parts":[["1990",2]]},"PMID":"2342986"}},{"id":201,"uris":["http://zotero.org/users/local/Ry4zHLbn/items/2TPKUAI6"],"uri":["http://zotero.org/users/local/Ry4zHLbn/items/2TPKUAI6"],"itemData":{"id":201,"type":"article-journal","title":"A new molecular form of PYY: structural characterization of human PYY(3-36) and PYY(1-36)","container-title":"Peptides","page":"797-803","volume":"10","issue":"4","source":"NCBI PubMed","abstract":"A radioimmunoassay was developed using an antibody raised in rabbits against synthetic porcine PYY. This radioimmunoassay was used to detect PYY immunoreactivity in human intestinal extracts. Human colonic mucosa was extracted with acid, centrifuged and the supernatant concentrated by low pressure preparative reverse phase chromatography. A subsequent C-18 reverse phase HPLC step separated two peaks of PYY immunoreactivity. Each peak was purified by sequential steps of ion-exchange FPLC and reverse phase HPLC. In the final purification step single absorbance peaks were associated with PYY immunoreactivity. Microsequence, amino acid, and mass spectral analysis of the intact and tryptic fragments of the two peptides were consistent with the structures: YPIKPEAPGEDASPEELNRYYASLRHYLNLVTRQRY-amide [human PYY(1-36)] and--IKPEAPGEDASPEELNRYYASLRHYLNLVTRQRY-amide [human PYY(3-36)]. Human PYY(1-36) differs from porcine PYY only at position 3, with Ile instead of Ala, and position 18, with Asn instead of Ser. PYY(3-36) may differ in its biological activity from the intact peptide. Its high proportions in the colon suggest that it is released into the circulation where it could act as a partial antagonist of PYY(1-36).","ISSN":"0196-9781","note":"PMID: 2587421","shortTitle":"A new molecular form of PYY","journalAbbreviation":"Peptides","language":"eng","author":[{"family":"Eberlein","given":"G A"},{"family":"Eysselein","given":"V E"},{"family":"Schaeffer","given":"M"},{"family":"Layer","given":"P"},{"family":"Grandt","given":"D"},{"family":"Goebell","given":"H"},{"family":"Niebel","given":"W"},{"family":"Davis","given":"M"},{"family":"Lee","given":"T D"},{"family":"Shively","given":"J E"}],"issued":{"date-parts":[["1989",8]]},"PMID":"2587421"}}],"schema":"https://github.com/citation-style-language/schema/raw/master/csl-citation.json"} </w:instrText>
      </w:r>
      <w:r w:rsidRPr="003A0EF9">
        <w:fldChar w:fldCharType="separate"/>
      </w:r>
      <w:r w:rsidR="000A492A" w:rsidRPr="000A492A">
        <w:rPr>
          <w:vertAlign w:val="superscript"/>
        </w:rPr>
        <w:t>107,108</w:t>
      </w:r>
      <w:r w:rsidRPr="003A0EF9">
        <w:fldChar w:fldCharType="end"/>
      </w:r>
      <w:r w:rsidRPr="003A0EF9">
        <w:t xml:space="preserve">  PYY is anorexigenic in nature, with low fasting levels and peak levels within 1-2 hours after a meal.</w:t>
      </w:r>
      <w:r w:rsidRPr="003A0EF9">
        <w:fldChar w:fldCharType="begin"/>
      </w:r>
      <w:r w:rsidR="000A492A">
        <w:instrText xml:space="preserve"> ADDIN ZOTERO_ITEM CSL_CITATION {"citationID":"4bb1evHN","properties":{"formattedCitation":"{\\rtf \\super 104\\nosupersub{}}","plainCitation":"104"},"citationItems":[{"id":193,"uris":["http://zotero.org/users/local/Ry4zHLbn/items/KG7EIHSD"],"uri":["http://zotero.org/users/local/Ry4zHLbn/items/KG7EIHSD"],"itemData":{"id":193,"type":"article-journal","title":"Human distribution and release of a putative new gut hormone, peptide YY","container-title":"Gastroenterology","page":"1070-1077","volume":"89","issue":"5","source":"NCBI PubMed","abstract":"A radioimmunoassay has been developed for the new intestinal hormonal peptide tyrosine tyrosine [peptide YY (PYY)]. Peptide YY concentrations were measured in separated layers of the human gastrointestinal tract, where PYY was found exclusively in the mucosal epithelium which contained the endocrine cells. Peptide YY was found throughout the small intestine, in very low concentrations (5 pmol/g) in duodenum (6 pmol/g) and jejunum (5 pmol/g), but in higher concentrations in the terminal ileum (84 pmol/g). High concentrations were found throughout the colon (ascending 82 pmol/g, sigmoid 196 pmol/g), being maximum in the rectum (480 pmol/g). The major molecular form of PYY-like immunoreactivity in human intestine appeared to be identical to pure porcine hormone, both as judged by gel permeation chromatography and by reverse-phase high-pressure liquid chromatography. Basal plasma concentrations of PYY were low but rose in response to food, remaining elevated for several hours postprandially. The known potent biologic actions of PYY, its high concentrations in gut endocrine cells, and its release into the circulation after a normal meal suggest that this peptide may function physiologically as a circulating gut hormone.","ISSN":"0016-5085","note":"PMID: 3840109","journalAbbreviation":"Gastroenterology","language":"eng","author":[{"family":"Adrian","given":"T E"},{"family":"Ferri","given":"G L"},{"family":"Bacarese-Hamilton","given":"A J"},{"family":"Fuessl","given":"H S"},{"family":"Polak","given":"J M"},{"family":"Bloom","given":"S R"}],"issued":{"date-parts":[["1985",11]]},"PMID":"3840109"}}],"schema":"https://github.com/citation-style-language/schema/raw/master/csl-citation.json"} </w:instrText>
      </w:r>
      <w:r w:rsidRPr="003A0EF9">
        <w:fldChar w:fldCharType="separate"/>
      </w:r>
      <w:r w:rsidR="000A492A" w:rsidRPr="000A492A">
        <w:rPr>
          <w:vertAlign w:val="superscript"/>
        </w:rPr>
        <w:t>104</w:t>
      </w:r>
      <w:r w:rsidRPr="003A0EF9">
        <w:fldChar w:fldCharType="end"/>
      </w:r>
      <w:r w:rsidRPr="003A0EF9">
        <w:t xml:space="preserve">  Peripheral administration of PYY</w:t>
      </w:r>
      <w:r w:rsidRPr="003A0EF9">
        <w:rPr>
          <w:vertAlign w:val="subscript"/>
        </w:rPr>
        <w:t>3-36</w:t>
      </w:r>
      <w:r w:rsidRPr="003A0EF9">
        <w:t xml:space="preserve"> causes reduced food intake in rodents and people.</w:t>
      </w:r>
      <w:r w:rsidRPr="003A0EF9">
        <w:fldChar w:fldCharType="begin"/>
      </w:r>
      <w:r w:rsidR="000A492A">
        <w:instrText xml:space="preserve"> ADDIN ZOTERO_ITEM CSL_CITATION {"citationID":"yAfSHEeh","properties":{"formattedCitation":"{\\rtf \\super 109,110\\nosupersub{}}","plainCitation":"109,110"},"citationItems":[{"id":203,"uris":["http://zotero.org/users/local/Ry4zHLbn/items/UGVIGBZC"],"uri":["http://zotero.org/users/local/Ry4zHLbn/items/UGVIGBZC"],"itemData":{"id":203,"type":"article-journal","title":"Gut hormone PYY(3-36) physiologically inhibits food intake","container-title":"Nature","page":"650-654","volume":"418","issue":"6898","source":"NCBI PubMed","abstract":"Food intake is regulated by the hypothalamus, including the melanocortin and neuropeptide Y (NPY) systems in the arcuate nucleus. The NPY Y2 receptor (Y2R), a putative inhibitory presynaptic receptor, is highly expressed on NPY neurons in the arcuate nucleus, which is accessible to peripheral hormones. Peptide YY(3-36) (PYY(3-36)), a Y2R agonist, is released from the gastrointestinal tract postprandially in proportion to the calorie content of a meal. Here we show that peripheral injection of PYY(3-36) in rats inhibits food intake and reduces weight gain. PYY(3-36) also inhibits food intake in mice but not in Y2r-null mice, which suggests that the anorectic effect requires the Y2R. Peripheral administration of PYY(3-36) increases c-Fos immunoreactivity in the arcuate nucleus and decreases hypothalamic Npy messenger RNA. Intra-arcuate injection of PYY(3-36) inhibits food intake. PYY(3-36) also inhibits electrical activity of NPY nerve terminals, thus activating adjacent pro-opiomelanocortin (POMC) neurons. In humans, infusion of normal postprandial concentrations of PYY(3-36) significantly decreases appetite and reduces food intake by 33% over 24 h. Thus, postprandial elevation of PYY(3-36) may act through the arcuate nucleus Y2R to inhibit feeding in a gut-hypothalamic pathway.","DOI":"10.1038/nature02666","ISSN":"0028-0836","note":"PMID: 12167864","journalAbbreviation":"Nature","language":"eng","author":[{"family":"Batterham","given":"Rachel L"},{"family":"Cowley","given":"Michael A"},{"family":"Small","given":"Caroline J"},{"family":"Herzog","given":"Herbert"},{"family":"Cohen","given":"Mark A"},{"family":"Dakin","given":"Catherine L"},{"family":"Wren","given":"Alison M"},{"family":"Brynes","given":"Audrey E"},{"family":"Low","given":"Malcolm J"},{"family":"Ghatei","given":"Mohammad A"},{"family":"Cone","given":"Roger D"},{"family":"Bloom","given":"Stephen R"}],"issued":{"date-parts":[["2002",8,8]]},"PMID":"12167864"}},{"id":205,"uris":["http://zotero.org/users/local/Ry4zHLbn/items/EFQ328B9"],"uri":["http://zotero.org/users/local/Ry4zHLbn/items/EFQ328B9"],"itemData":{"id":205,"type":"article-journal","title":"Inhibition of food intake in obese subjects by peptide YY3-36","container-title":"The New England journal of medicine","page":"941-948","volume":"349","issue":"10","source":"NCBI PubMed","abstract":"BACKGROUND: The gut hormone fragment peptide YY3-36 (PYY) reduces appetite and food intake when infused into subjects of normal weight. In common with the adipocyte hormone leptin, PYY reduces food intake by modulating appetite circuits in the hypothalamus. However, in obesity there is a marked resistance to the action of leptin, which greatly limits its therapeutic effectiveness. We investigated whether obese subjects were also resistant to the anorectic effects of PYY.\nMETHODS: We compared the effects of PYY infusion on appetite and food intake in 12 obese and 12 lean subjects in a double-blind, placebo-controlled, crossover study. The plasma levels of PYY, ghrelin, leptin, and insulin were also determined.\nRESULTS: Caloric intake during a buffet lunch offered two hours after the infusion of PYY was decreased by 30 percent in the obese subjects (P&lt;0.001) and 31 percent in the lean subjects (P&lt;0.001). PYY infusion also caused a significant decrease in the cumulative 24-hour caloric intake in both obese and lean subjects. PYY infusion reduced plasma levels of the appetite-stimulatory hormone ghrelin. Endogenous fasting and postprandial levels of PYY were significantly lower in obese subjects (the mean [+/-SE] fasting PYY levels were 10.2+/-0.7 pmol per liter in the obese group and 16.9+/-0.8 pmol per liter in the lean group, P&lt;0.001). Furthermore, the fasting PYY levels correlated negatively with the body-mass index (r = -0.84, P&lt;0.001).\nCONCLUSIONS: We found that obese subjects were not resistant to the anorectic effects of PYY. Endogenous PYY levels were low in the obese subjects, suggesting that PYY deficiency may contribute to the pathogenesis of obesity.","DOI":"10.1056/NEJMoa030204","ISSN":"1533-4406","note":"PMID: 12954742","journalAbbreviation":"N. Engl. J. Med.","language":"eng","author":[{"family":"Batterham","given":"Rachel L"},{"family":"Cohen","given":"Mark A"},{"family":"Ellis","given":"Sandra M"},{"family":"Le Roux","given":"Carel W"},{"family":"Withers","given":"Dominic J"},{"family":"Frost","given":"Gary S"},{"family":"Ghatei","given":"Mohammad A"},{"family":"Bloom","given":"Stephen R"}],"issued":{"date-parts":[["2003",9,4]]},"PMID":"12954742"}}],"schema":"https://github.com/citation-style-language/schema/raw/master/csl-citation.json"} </w:instrText>
      </w:r>
      <w:r w:rsidRPr="003A0EF9">
        <w:fldChar w:fldCharType="separate"/>
      </w:r>
      <w:r w:rsidR="000A492A" w:rsidRPr="000A492A">
        <w:rPr>
          <w:vertAlign w:val="superscript"/>
        </w:rPr>
        <w:t>109,110</w:t>
      </w:r>
      <w:r w:rsidRPr="003A0EF9">
        <w:fldChar w:fldCharType="end"/>
      </w:r>
      <w:r w:rsidRPr="003A0EF9">
        <w:t xml:space="preserve">  GI release of this peptide is influenced by diet macronutrients, with primary stimulation coming from dietary fat and some stimulation from direct contact of unabsorbed nutrients with the distal GI tract.</w:t>
      </w:r>
      <w:r w:rsidRPr="003A0EF9">
        <w:fldChar w:fldCharType="begin"/>
      </w:r>
      <w:r w:rsidR="000A492A">
        <w:instrText xml:space="preserve"> ADDIN ZOTERO_ITEM CSL_CITATION {"citationID":"CFiH6B7g","properties":{"formattedCitation":"{\\rtf \\super 111\\uc0\\u8211{}113\\nosupersub{}}","plainCitation":"111–113"},"citationItems":[{"id":207,"uris":["http://zotero.org/users/local/Ry4zHLbn/items/BQTG6MXX"],"uri":["http://zotero.org/users/local/Ry4zHLbn/items/BQTG6MXX"],"itemData":{"id":207,"type":"article-journal","title":"Peptide YY inhibits pancreatic secretion by inhibiting cholecystokinin release in the dog","container-title":"Gastroenterology","page":"137-144","volume":"94","issue":"1","source":"NCBI PubMed","abstract":"Peptide YY inhibits the pancreatic exocrine secretion (bicarbonate, water, and protein) that is stimulated by cholecystokinin, secretin, or neurotensin in the dog, but whether peptide YY inhibits the release of gut peptides that stimulate pancreatic exocrine secretion is not known. Six dogs were prepared with gastric, pancreatic, and cecal cannulas. On separate days, a single dose of sodium oleate (3, 6, 7.5, 9, 12, 15, or 18 mmol/h) was given intraduodenally for 90 min, either alone (control) or in combination with peptide YY (25, 50, 100, 200, or 400 pmol/kg.h, i.v.). We measured plasma levels of cholecystokinin-33/39, secretin, neurotensin, and peptide YY by radioimmunoassay. During infusion of peptide YY, the integrated release of cholecystokinin (3.3 +/- 0.5 ng-[0-90] min/ml) was decreased significantly (p less than 0.05) when compared with control values (5.6 +/- 0.6). Release of secretin and neurotensin was not affected. A positive correlation (p less than 0.05) was found between the release of cholecystokinin and pancreatic protein output in both control (r = 0.68) and peptide YY-treated (r = 0.67) groups. Release of peptide YY was significant after intraduodenal or intracolonic administration of sodium oleate. These studies demonstrate that inhibition of pancreatic protein secretion by peptide YY in dogs is mediated, at least in part, by an inhibition of the release of cholecystokinin.","ISSN":"0016-5085","note":"PMID: 3335285","journalAbbreviation":"Gastroenterology","language":"eng","author":[{"family":"Lluis","given":"F"},{"family":"Gomez","given":"G"},{"family":"Fujimura","given":"M"},{"family":"Greeley","given":"G H, Jr"},{"family":"Thompson","given":"J C"}],"issued":{"date-parts":[["1988",1]]},"PMID":"3335285"}},{"id":209,"uris":["http://zotero.org/users/local/Ry4zHLbn/items/HXX9ZKNT"],"uri":["http://zotero.org/users/local/Ry4zHLbn/items/HXX9ZKNT"],"itemData":{"id":209,"type":"article-journal","title":"A comparison of intraduodenally and intracolonically administered nutrients on the release of peptide-YY in the dog","container-title":"Endocrinology","page":"1761-1765","volume":"125","issue":"4","source":"NCBI PubMed","abstract":"The objective of this study was to compare the effects of various nutrients (fats, proteins, amino acids, and carbohydrates), given directly into the duodenum or the colon, on the release of peptide-YY (PYY) in conscious dogs. As reported previously, this study showed that plasma levels of PYY increased significantly (P less than 0.05) within 15 min in response to an oral mixed meal. Intraduodenal (ID) administration of a fatty acid (oleic acid; 100 mmol/L; 100 ml/h) stimulated a robust release of PYY, whereas ID administration of an amino acid mixture (phenylalanine plus tryptophan; 100 mmol/L each; 100 ml/h), glucose (1 g/kg), or a liver extract (10%; 100 ml/h) failed to elevate plasma levels of PYY. ID administration of glucose at 2 g/kg caused a mild but significant elevation in plasma PYY levels. Intracolonic administration of saline, a fatty acid, an amino acid mixture, glucose, or a liver extract significantly stimulated PYY release. This study suggests that as chyme moves from the stomach to the proximal bowel, fat is the primary constituent of food that stimulates the prompt release of PYY. However, unabsorbed nutrients can release PYY by a direct contact with the PYY-containing cells lining the intestinal lumen of the terminal ileum, colon, and rectum. Both mechanisms probably participate in the release of PYY.","ISSN":"0013-7227","note":"PMID: 2791964","journalAbbreviation":"Endocrinology","language":"eng","author":[{"family":"Greeley","given":"G H, Jr"},{"family":"Hashimoto","given":"T"},{"family":"Izukura","given":"M"},{"family":"Gomez","given":"G"},{"family":"Jeng","given":"J"},{"family":"Hill","given":"F L"},{"family":"Lluis","given":"F"},{"family":"Thompson","given":"J C"}],"issued":{"date-parts":[["1989",10]]},"PMID":"2791964"}},{"id":211,"uris":["http://zotero.org/users/local/Ry4zHLbn/items/KNABDK7D"],"uri":["http://zotero.org/users/local/Ry4zHLbn/items/KNABDK7D"],"itemData":{"id":211,"type":"article-journal","title":"Regional distribution and release of peptide YY with fatty acids of different chain length","container-title":"The American journal of physiology","page":"G745-750","volume":"249","issue":"6 Pt 1","source":"NCBI PubMed","abstract":"The present study examines peptide YY responses to regional intestinal perfusion of fatty acids of different chain length--dodecanoate and oleate. Six dogs with chronic gastric, duodenal, and jejunal fistulas were studied. Proximal perfusates were administered into the duodenum and diverted through an intestinal fistula placed 45 cm beyond the duodenal cannula. Distal perfusates were administered into the caudal stoma of this intestinal stoma. Peptide YY responses to proximal, distal, and whole-gut perfusion were compared. Proximal perfusion with oleate or dodecanoate failed to release peptide YY. In contrast, distal and whole-gut perfusion with either fatty acid produced significant increases that were of similar magnitude. Immunocytochemical studies demonstrated that peptide YY cells predominated in the canine ileocolonic mucosa and decreased progressively in an orad direction. We conclude that peptide YY release is not dependent on fatty acid chain length and that the duodenum does not play a dominant role in peptide YY release. As such, peptide YY release differs from that of its cousin pancreatic polypeptide and may result at least in part from direct stimulation of the peptide YY cell in the ileocolonic mucosa.","ISSN":"0002-9513","note":"PMID: 3841263","journalAbbreviation":"Am. J. Physiol.","language":"eng","author":[{"family":"Aponte","given":"G W"},{"family":"Fink","given":"A S"},{"family":"Meyer","given":"J H"},{"family":"Tatemoto","given":"K"},{"family":"Taylor","given":"I L"}],"issued":{"date-parts":[["1985",12]]},"PMID":"3841263"}}],"schema":"https://github.com/citation-style-language/schema/raw/master/csl-citation.json"} </w:instrText>
      </w:r>
      <w:r w:rsidRPr="003A0EF9">
        <w:fldChar w:fldCharType="separate"/>
      </w:r>
      <w:r w:rsidR="000A492A" w:rsidRPr="000A492A">
        <w:rPr>
          <w:vertAlign w:val="superscript"/>
        </w:rPr>
        <w:t>111–113</w:t>
      </w:r>
      <w:r w:rsidRPr="003A0EF9">
        <w:fldChar w:fldCharType="end"/>
      </w:r>
      <w:r w:rsidRPr="003A0EF9">
        <w:t xml:space="preserve">  PYY release can also be stimulated by multiple factors including cholecystokinin (CCK) and insulin-like growth factor 1 and can be inhibited by glucagon-like peptide 1 (GLP-1).</w:t>
      </w:r>
      <w:r w:rsidRPr="003A0EF9">
        <w:fldChar w:fldCharType="begin"/>
      </w:r>
      <w:r w:rsidR="000A492A">
        <w:instrText xml:space="preserve"> ADDIN ZOTERO_ITEM CSL_CITATION {"citationID":"1esa0Drl","properties":{"formattedCitation":"{\\rtf \\super 114\\uc0\\u8211{}116\\nosupersub{}}","plainCitation":"114–116"},"citationItems":[{"id":213,"uris":["http://zotero.org/users/local/Ry4zHLbn/items/VU4XFMES"],"uri":["http://zotero.org/users/local/Ry4zHLbn/items/VU4XFMES"],"itemData":{"id":213,"type":"article-journal","title":"Stimulatory actions of insulin-like growth factor-I and transforming growth factor-alpha on intestinal neurotensin and peptide YY","container-title":"Endocrinology","page":"4065-4069","volume":"140","issue":"9","source":"NCBI PubMed","abstract":"Proliferation of the gastrointestinal mucosa is stimulated by the growth factors, insulin-like growth factor-I (IGF-I) and transforming growth factor-alpha (TGF-alpha), or the closely related epidermal growth factor (EGF), as well as the gastrointestinal hormones, gastrin, neurotensin (NT), and peptide YY (PYY). The stimulatory actions of these growth factors or gastrointestinal hormones on the gastrointestinal mucosa may be direct or mediated in part by gastrointestinal peptides or the growth factors, respectively. The purpose of these studies therefore was to examine the effects of IGF-I and TGF-alpha on stomach gastrin and intestinal NT and PYY gene expression [i.e. messenger RNA (mRNA), peptide levels] and secretion. Mice were given recombinant human IGF-I (3, 6 mg/kg BW/day x 14 days). Transgenic mice with the rat TGF-alpha gene linked to a metallothionein promoter were used as a model of chronic TGF-alpha excess. IGF-I and TGF-alpha did not affect gastrin gene expression. Steady-state intestinal NT and PYY mRNA and peptide levels were elevated in a dose-related manner by IGF. TGF-alpha also increased intestinal expression of NT and PYY peptide, but not mRNA levels. Basal serum levels of PYY were elevated by IGF-I and TGF-alpha. IGF-I and TGF-alpha did not increase intestinal chromogranin A (CGA) gene expression, a marker of endocrine cells, or the density of PYY-containing cells in the colon, indicating that the elevations in intestinal gut peptide gene expression by IGF-I and TGF-alpha are not due simply to an increased number of enteroendocrine cells. IV infusion of EGF also stimulated release of PYY in the dog. Together, these findings indicate that IGF-I and TGF-alpha may cause secretion of gut hormones and exert a major upregulatory influence on the regulation of intestinal peptide hormone homeostasis.","ISSN":"0013-7227","note":"PMID: 10465277","journalAbbreviation":"Endocrinology","language":"eng","author":[{"family":"Lee","given":"H M"},{"family":"Udupi","given":"V"},{"family":"Englander","given":"E W"},{"family":"Rajaraman","given":"S"},{"family":"Coffey","given":"R J, Jr"},{"family":"Greeley","given":"G H, Jr"}],"issued":{"date-parts":[["1999",9]]},"PMID":"10465277"}},{"id":215,"uris":["http://zotero.org/users/local/Ry4zHLbn/items/8JN6R7VC"],"uri":["http://zotero.org/users/local/Ry4zHLbn/items/8JN6R7VC"],"itemData":{"id":215,"type":"article-journal","title":"GLP-1 slows solid gastric emptying and inhibits insulin, glucagon, and PYY release in humans","container-title":"The American journal of physiology","page":"R910-916","volume":"277","issue":"3 Pt 2","source":"NCBI PubMed","abstract":"The aim of the present study was to assess the effect of glucagon-like peptide-1 (GLP-1) on solid gastric emptying and the subsequent release of pancreatic and intestinal hormones. In eight men [age 33.6 +/- 2.5 yr, body mass index 24.1 +/- 0.9 (means +/- SE)], scintigraphic solid gastric emptying during infusion of GLP-1 (0.75 pmol. kg(-1). min(-1)) or saline was studied for 180 min. Concomitantly, plasma concentrations of C- and N-terminal GLP-1, glucose, insulin, C-peptide, glucagon, and peptide YY (PYY) were assessed. Infusion of GLP-1 resulted in a profound inhibition of both the lag phase (GLP-1: 91.5, range 73.3-103.6 min vs. saline: 19. 5, range 10.2-43.4 min) and emptying rate (GLP-1: 0.34, range 0.06-0. 56 %/min vs. saline: 0.84, range 0.54-1.33 %/min; P &lt; 0.01 for both) of solid gastric emptying. Concentrations of both intact and total GLP-1 were elevated to supraphysiological levels. Plasma glucose and glucagon concentrations were below baseline during infusion of GLP-1 in contrast to saline infusion, where concentrations were elevated above baseline (both P &lt; 0.001). The insulin and C-peptide responses were lower during infusion with GLP-1 than with saline (P &lt; 0.004 and P &lt; 0.001, respectively). Plasma PYY concentrations decreased below baseline during GLP-1 infusion in contrast to saline, where concentrations were elevated above baseline (P = 0.04). Infusion of GLP-1 inhibits solid gastric emptying with secondary effects on the release of insulin, C-peptide, and glucagon, resulting in lower plasma glucose concentrations. In addition, the release of PYY into the circulation is inhibited by GLP-1 infusion, suggesting a negative feedback of GLP-1 on the function of the L-cell.","ISSN":"0002-9513","note":"PMID: 10484511","journalAbbreviation":"Am. J. Physiol.","language":"eng","author":[{"family":"Näslund","given":"E"},{"family":"Bogefors","given":"J"},{"family":"Skogar","given":"S"},{"family":"Grybäck","given":"P"},{"family":"Jacobsson","given":"H"},{"family":"Holst","given":"J J"},{"family":"Hellström","given":"P M"}],"issued":{"date-parts":[["1999",9]]},"PMID":"10484511"}},{"id":217,"uris":["http://zotero.org/users/171999/items/CC4RETBS"],"uri":["http://zotero.org/users/171999/items/CC4RETBS"],"itemData":{"id":217,"type":"article-journal","title":"Release of distal gut peptide YY (PYY) by fat in proximal gut depends on CCK","container-title":"Peptides","page":"1561-1563","volume":"21","issue":"10","source":"NCBI PubMed","abstract":"We tested the hypothesis that the release of PYY by fat confined to the proximal small intestine is dependent on CCK. Using a multi-fistulated model, plasma PYY levels were compared in 6 dogs after 60 mM oleate was perfused into the proximal one-half of the small intestine following i.v. administration of saline or devazepide, a CCK-A antagonist. Plasma PYY increased with fat (P &lt; 0. 05), but plasma PYY level was lower following devazepide at 60 min and 90 min (P &lt; 0.05). We conclude that CCK serves as a foregut signal linking fat in the proximal gut with the release of distal gut PYY.","ISSN":"0196-9781","note":"PMID: 11068105","journalAbbreviation":"Peptides","language":"eng","author":[{"family":"Lin","given":"H C"},{"family":"Chey","given":"W Y"},{"family":"Zhao","given":"X"}],"issued":{"date-parts":[["2000",10]]},"PMID":"11068105"}}],"schema":"https://github.com/citation-style-language/schema/raw/master/csl-citation.json"} </w:instrText>
      </w:r>
      <w:r w:rsidRPr="003A0EF9">
        <w:fldChar w:fldCharType="separate"/>
      </w:r>
      <w:r w:rsidR="000A492A" w:rsidRPr="000A492A">
        <w:rPr>
          <w:vertAlign w:val="superscript"/>
        </w:rPr>
        <w:t>114–116</w:t>
      </w:r>
      <w:r w:rsidRPr="003A0EF9">
        <w:fldChar w:fldCharType="end"/>
      </w:r>
      <w:r w:rsidRPr="003A0EF9">
        <w:t xml:space="preserve">  Obese people have low fasting PYY levels compared to lean individuals, but are not resistant to the effects of PYY</w:t>
      </w:r>
      <w:r w:rsidRPr="003A0EF9">
        <w:rPr>
          <w:vertAlign w:val="subscript"/>
        </w:rPr>
        <w:t>3-36</w:t>
      </w:r>
      <w:r w:rsidRPr="003A0EF9">
        <w:t xml:space="preserve"> infusion.</w:t>
      </w:r>
      <w:r w:rsidRPr="003A0EF9">
        <w:fldChar w:fldCharType="begin"/>
      </w:r>
      <w:r w:rsidR="000A492A">
        <w:instrText xml:space="preserve"> ADDIN ZOTERO_ITEM CSL_CITATION {"citationID":"UwtoRT0W","properties":{"formattedCitation":"{\\rtf \\super 110\\nosupersub{}}","plainCitation":"110"},"citationItems":[{"id":205,"uris":["http://zotero.org/users/local/Ry4zHLbn/items/EFQ328B9"],"uri":["http://zotero.org/users/local/Ry4zHLbn/items/EFQ328B9"],"itemData":{"id":205,"type":"article-journal","title":"Inhibition of food intake in obese subjects by peptide YY3-36","container-title":"The New England journal of medicine","page":"941-948","volume":"349","issue":"10","source":"NCBI PubMed","abstract":"BACKGROUND: The gut hormone fragment peptide YY3-36 (PYY) reduces appetite and food intake when infused into subjects of normal weight. In common with the adipocyte hormone leptin, PYY reduces food intake by modulating appetite circuits in the hypothalamus. However, in obesity there is a marked resistance to the action of leptin, which greatly limits its therapeutic effectiveness. We investigated whether obese subjects were also resistant to the anorectic effects of PYY.\nMETHODS: We compared the effects of PYY infusion on appetite and food intake in 12 obese and 12 lean subjects in a double-blind, placebo-controlled, crossover study. The plasma levels of PYY, ghrelin, leptin, and insulin were also determined.\nRESULTS: Caloric intake during a buffet lunch offered two hours after the infusion of PYY was decreased by 30 percent in the obese subjects (P&lt;0.001) and 31 percent in the lean subjects (P&lt;0.001). PYY infusion also caused a significant decrease in the cumulative 24-hour caloric intake in both obese and lean subjects. PYY infusion reduced plasma levels of the appetite-stimulatory hormone ghrelin. Endogenous fasting and postprandial levels of PYY were significantly lower in obese subjects (the mean [+/-SE] fasting PYY levels were 10.2+/-0.7 pmol per liter in the obese group and 16.9+/-0.8 pmol per liter in the lean group, P&lt;0.001). Furthermore, the fasting PYY levels correlated negatively with the body-mass index (r = -0.84, P&lt;0.001).\nCONCLUSIONS: We found that obese subjects were not resistant to the anorectic effects of PYY. Endogenous PYY levels were low in the obese subjects, suggesting that PYY deficiency may contribute to the pathogenesis of obesity.","DOI":"10.1056/NEJMoa030204","ISSN":"1533-4406","note":"PMID: 12954742","journalAbbreviation":"N. Engl. J. Med.","language":"eng","author":[{"family":"Batterham","given":"Rachel L"},{"family":"Cohen","given":"Mark A"},{"family":"Ellis","given":"Sandra M"},{"family":"Le Roux","given":"Carel W"},{"family":"Withers","given":"Dominic J"},{"family":"Frost","given":"Gary S"},{"family":"Ghatei","given":"Mohammad A"},{"family":"Bloom","given":"Stephen R"}],"issued":{"date-parts":[["2003",9,4]]},"PMID":"12954742"}}],"schema":"https://github.com/citation-style-language/schema/raw/master/csl-citation.json"} </w:instrText>
      </w:r>
      <w:r w:rsidRPr="003A0EF9">
        <w:fldChar w:fldCharType="separate"/>
      </w:r>
      <w:r w:rsidR="000A492A" w:rsidRPr="000A492A">
        <w:rPr>
          <w:vertAlign w:val="superscript"/>
        </w:rPr>
        <w:t>110</w:t>
      </w:r>
      <w:r w:rsidRPr="003A0EF9">
        <w:fldChar w:fldCharType="end"/>
      </w:r>
      <w:r w:rsidRPr="003A0EF9">
        <w:t xml:space="preserve">  In obese children, fasting PYY is negatively correlated to degree of overweight and levels increase in correlation to the level of weight loss.</w:t>
      </w:r>
      <w:r w:rsidRPr="003A0EF9">
        <w:fldChar w:fldCharType="begin"/>
      </w:r>
      <w:r w:rsidR="000A492A">
        <w:instrText xml:space="preserve"> ADDIN ZOTERO_ITEM CSL_CITATION {"citationID":"Z1wkd3CW","properties":{"formattedCitation":"{\\rtf \\super 117\\nosupersub{}}","plainCitation":"117"},"citationItems":[{"id":219,"uris":["http://zotero.org/users/local/Ry4zHLbn/items/UFDBU585"],"uri":["http://zotero.org/users/local/Ry4zHLbn/items/UFDBU585"],"itemData":{"id":219,"type":"article-journal","title":"Peptide YY is a regulator of energy homeostasis in obese children before and after weight loss","container-title":"The Journal of clinical endocrinology and metabolism","page":"6386-6391","volume":"90","issue":"12","source":"NCBI PubMed","abstract":"CONTEXT: The gut hormone peptide YY(3-36) (PYY) reduces food intake via hypothalamic Y2 receptors in the brain. There is not much known about PYY in obese children.\nOBJECTIVE: The objective of this study was to investigate the role of PYY in the metabolic changes in obese children and its change during weight loss.\nSETTING: The study was performed at a university medical center.\nPARTICIPANTS: We studied 73 obese children and 45 age-matched normal-weight children.\nINTERVENTIONS: We determined fasting serum total PYY and leptin by RIA in obese and normal-weight children. Fasting PYY was also measured in 28 obese children before and after completion of a 1-yr outpatient weight reduction program.\nMAIN OUTCOME MEASURES: PYY, insulin, and body mass index were the main outcome measures.\nRESULTS: Obese children demonstrated significantly lower PYY levels than lean children (median, 67 vs. 124 pg/ml; P &lt; 0.001). Fasting PYY correlated negatively to the degree of overweight. PYY levels did not differ significantly between boys and girls, nor between prepubertal and pubertal children. The group of patients participating in the outpatient weight reduction program was divided into four quartiles according to their changes in body mass index SD score over a 1-yr period. PYY increased significantly in patients with the most effective weight loss, but decreased in the subgroup of children with weight gain.\nCONCLUSIONS: PYY is negatively correlated to the degree of overweight, with reduced values in obese compared with normal-weight children. Decreased PYY levels could predispose subjects to develop obesity. Our results indicate that low pretreatment PYY levels that increase during weight loss may be a predictor of maintained weight loss.","DOI":"10.1210/jc.2005-1357","ISSN":"0021-972X","note":"PMID: 16204364","journalAbbreviation":"J. Clin. Endocrinol. Metab.","language":"eng","author":[{"family":"Roth","given":"Christian L"},{"family":"Enriori","given":"Pablo J"},{"family":"Harz","given":"Katia"},{"family":"Woelfle","given":"Joachim"},{"family":"Cowley","given":"Michael A"},{"family":"Reinehr","given":"Thomas"}],"issued":{"date-parts":[["2005",12]]},"PMID":"16204364"}}],"schema":"https://github.com/citation-style-language/schema/raw/master/csl-citation.json"} </w:instrText>
      </w:r>
      <w:r w:rsidRPr="003A0EF9">
        <w:fldChar w:fldCharType="separate"/>
      </w:r>
      <w:r w:rsidR="000A492A" w:rsidRPr="000A492A">
        <w:rPr>
          <w:vertAlign w:val="superscript"/>
        </w:rPr>
        <w:t>117</w:t>
      </w:r>
      <w:r w:rsidRPr="003A0EF9">
        <w:fldChar w:fldCharType="end"/>
      </w:r>
      <w:r w:rsidR="002D5B87" w:rsidRPr="003A0EF9">
        <w:t xml:space="preserve"> </w:t>
      </w:r>
    </w:p>
    <w:p w:rsidR="00941B51" w:rsidRPr="003A0EF9" w:rsidRDefault="00AE22CF" w:rsidP="00941B51">
      <w:pPr>
        <w:ind w:firstLine="720"/>
        <w:contextualSpacing/>
      </w:pPr>
      <w:r w:rsidRPr="003A0EF9">
        <w:t>Glucagon is produced by pancreatic islet α-cells and triggers an increase in blood glucose concentration via hepatic glycogenolysis in response to hypoglycemia.</w:t>
      </w:r>
      <w:r w:rsidRPr="003A0EF9">
        <w:fldChar w:fldCharType="begin"/>
      </w:r>
      <w:r w:rsidR="000A492A">
        <w:instrText xml:space="preserve"> ADDIN ZOTERO_ITEM CSL_CITATION {"citationID":"5s7Kiybp","properties":{"formattedCitation":"{\\rtf \\super 118\\nosupersub{}}","plainCitation":"118"},"citationItems":[{"id":245,"uris":["http://zotero.org/users/local/Ry4zHLbn/items/FSQEFA3K"],"uri":["http://zotero.org/users/local/Ry4zHLbn/items/FSQEFA3K"],"itemData":{"id":245,"type":"article-journal","title":"Obesity and appetite control","container-title":"Experimental diabetes research","page":"824305","volume":"2012","source":"NCBI PubMed","abstract":"Obesity is one of the major challenges to human health worldwide; however, there are currently no effective pharmacological interventions for obesity. Recent studies have improved our understanding of energy homeostasis by identifying sophisticated neurohumoral networks which convey signals between the brain and gut in order to control food intake. The hypothalamus is a key region which possesses reciprocal connections between the higher cortical centres such as reward-related limbic pathways, and the brainstem. Furthermore, the hypothalamus integrates a number of peripheral signals which modulate food intake and energy expenditure. Gut hormones, such as peptide YY, pancreatic polypeptide, glucagon-like peptide-1, oxyntomodulin, and ghrelin, are modulated by acute food ingestion. In contrast, adiposity signals such as leptin and insulin are implicated in both short- and long-term energy homeostasis. In this paper, we focus on the role of gut hormones and their related neuronal networks (the gut-brain axis) in appetite control, and their potentials as novel therapies for obesity.","DOI":"10.1155/2012/824305","ISSN":"1687-5303","note":"PMID: 22899902","journalAbbreviation":"Exp Diabetes Res","language":"eng","author":[{"family":"Suzuki","given":"Keisuke"},{"family":"Jayasena","given":"Channa N"},{"family":"Bloom","given":"Stephen R"}],"issued":{"date-parts":[["2012"]]},"PMID":"22899902"}}],"schema":"https://github.com/citation-style-language/schema/raw/master/csl-citation.json"} </w:instrText>
      </w:r>
      <w:r w:rsidRPr="003A0EF9">
        <w:fldChar w:fldCharType="separate"/>
      </w:r>
      <w:r w:rsidR="000A492A" w:rsidRPr="000A492A">
        <w:rPr>
          <w:vertAlign w:val="superscript"/>
        </w:rPr>
        <w:t>118</w:t>
      </w:r>
      <w:r w:rsidRPr="003A0EF9">
        <w:fldChar w:fldCharType="end"/>
      </w:r>
      <w:r w:rsidRPr="003A0EF9">
        <w:t xml:space="preserve">  Intravenous infusion of glucagon in r</w:t>
      </w:r>
      <w:r w:rsidR="002D5B87">
        <w:t>ats and  people causes decreased</w:t>
      </w:r>
      <w:r w:rsidRPr="003A0EF9">
        <w:t xml:space="preserve"> food intake.</w:t>
      </w:r>
      <w:r w:rsidRPr="003A0EF9">
        <w:fldChar w:fldCharType="begin"/>
      </w:r>
      <w:r w:rsidR="000A492A">
        <w:instrText xml:space="preserve"> ADDIN ZOTERO_ITEM CSL_CITATION {"citationID":"dhfYSlpr","properties":{"formattedCitation":"{\\rtf \\super 119,120\\nosupersub{}}","plainCitation":"119,120"},"citationItems":[{"id":247,"uris":["http://zotero.org/users/local/Ry4zHLbn/items/6EJBJQAZ"],"uri":["http://zotero.org/users/local/Ry4zHLbn/items/6EJBJQAZ"],"itemData":{"id":247,"type":"article-journal","title":"Decreased feeding in rats following hepatic-portal infusion of glucagon","container-title":"Physiology &amp; behavior","page":"461-466","volume":"19","issue":"4","source":"NCBI PubMed","ISSN":"0031-9384","note":"PMID: 613336","journalAbbreviation":"Physiol. Behav.","language":"eng","author":[{"family":"Martin","given":"J R"},{"family":"Novin","given":"D"}],"issued":{"date-parts":[["1977",10]]},"PMID":"613336"}},{"id":249,"uris":["http://zotero.org/users/local/Ry4zHLbn/items/RXZKKQWP"],"uri":["http://zotero.org/users/local/Ry4zHLbn/items/RXZKKQWP"],"itemData":{"id":249,"type":"article-journal","title":"Individual, but not simultaneous, glucagon and cholecystokinin infusions inhibit feeding in men","container-title":"The American journal of physiology","page":"R975-980","volume":"262","issue":"6 Pt 2","source":"NCBI PubMed","abstract":"Pancreatic glucagon and cholecystokinin octapeptide (CCK-8) were intravenously infused (1 ml/min for 10 min) alone or in combination beginning 15 min after normal-weight men had eaten a 500-ml tomato soup preload and 5 min before they were served a lunch of macaroni and beef with tomato sauce. Infusion of approximately 3 ng.kg-1.min-1 glucagon or approximately 2 ng.kg-1.min-1 CCK-8 each reduced test meal size. However, simultaneous infusion of these peptide doses reduced meal size less than the sum of the peptides' individual effects. Infusions of approximately 1.5 ng.kg-1.min-1 glucagon or approximately 1 ng.kg-1.min-1 CCK-8 had neither individual nor interactive effects on meal size. Psychophysical ratings failed to detect nonspecific side effects after any of the infusions. That exogenous glucagon and CCK-8 each reduced meal size without side effects suggests that these peptides may participate in the physiological control of human appetite; that their simultaneous infusion resulted in an infra-additive reduction in meal size suggests that they can interact antagonistically.","ISSN":"0002-9513","note":"PMID: 1621876","journalAbbreviation":"Am. J. Physiol.","language":"eng","author":[{"family":"Geary","given":"N"},{"family":"Kissileff","given":"H R"},{"family":"Pi-Sunyer","given":"F X"},{"family":"Hinton","given":"V"}],"issued":{"date-parts":[["1992",6]]},"PMID":"1621876"}}],"schema":"https://github.com/citation-style-language/schema/raw/master/csl-citation.json"} </w:instrText>
      </w:r>
      <w:r w:rsidRPr="003A0EF9">
        <w:fldChar w:fldCharType="separate"/>
      </w:r>
      <w:r w:rsidR="000A492A" w:rsidRPr="000A492A">
        <w:rPr>
          <w:vertAlign w:val="superscript"/>
        </w:rPr>
        <w:t>119,120</w:t>
      </w:r>
      <w:r w:rsidRPr="003A0EF9">
        <w:fldChar w:fldCharType="end"/>
      </w:r>
      <w:r w:rsidR="002D5B87">
        <w:t xml:space="preserve">  </w:t>
      </w:r>
      <w:r w:rsidR="00FA39B2">
        <w:t>Glucagon-like peptide 1 (</w:t>
      </w:r>
      <w:r w:rsidR="00941B51" w:rsidRPr="003A0EF9">
        <w:t>GLP-1</w:t>
      </w:r>
      <w:r w:rsidR="00FA39B2">
        <w:t>)</w:t>
      </w:r>
      <w:r w:rsidR="00941B51" w:rsidRPr="003A0EF9">
        <w:t xml:space="preserve"> is an anorexigenic preproglucagon gene product co-secreted with PYY from GI L cells as GLP-1</w:t>
      </w:r>
      <w:r w:rsidR="00941B51" w:rsidRPr="003A0EF9">
        <w:rPr>
          <w:vertAlign w:val="subscript"/>
        </w:rPr>
        <w:t>7-37</w:t>
      </w:r>
      <w:r w:rsidR="00941B51" w:rsidRPr="003A0EF9">
        <w:rPr>
          <w:vertAlign w:val="subscript"/>
        </w:rPr>
        <w:softHyphen/>
      </w:r>
      <w:r w:rsidR="00941B51" w:rsidRPr="003A0EF9">
        <w:t xml:space="preserve"> or GLP-1</w:t>
      </w:r>
      <w:r w:rsidR="00941B51" w:rsidRPr="003A0EF9">
        <w:rPr>
          <w:vertAlign w:val="subscript"/>
        </w:rPr>
        <w:t>7-36</w:t>
      </w:r>
      <w:r w:rsidR="00941B51" w:rsidRPr="003A0EF9">
        <w:t xml:space="preserve"> amide.</w:t>
      </w:r>
      <w:r w:rsidR="00941B51" w:rsidRPr="003A0EF9">
        <w:fldChar w:fldCharType="begin"/>
      </w:r>
      <w:r w:rsidR="000A492A">
        <w:instrText xml:space="preserve"> ADDIN ZOTERO_ITEM CSL_CITATION {"citationID":"joOTvvva","properties":{"formattedCitation":"{\\rtf \\super 121\\nosupersub{}}","plainCitation":"121"},"citationItems":[{"id":221,"uris":["http://zotero.org/users/local/Ry4zHLbn/items/SSDG7K4J"],"uri":["http://zotero.org/users/local/Ry4zHLbn/items/SSDG7K4J"],"itemData":{"id":221,"type":"article-journal","title":"Tissue and plasma concentrations of amidated and glycine-extended glucagon-like peptide I in humans","container-title":"Diabetes","page":"535-539","volume":"43","issue":"4","source":"NCBI PubMed","abstract":"Using specific radioimmunoassays, we studied the occurrence of amidated and glycine-extended glucagon-like peptide I (GLP-I) molecules in the human small intestine and pancreas and in the circulation system in response to a breakfast meal. Through gel permeation chromatography of extracts of the human pancreas (n = 5), we found that 71% of the GLP-I immunoreactivity eluted as a large molecule corresponding to the major proglucagon fragment, 24% corresponded to GLP-I 1-36 amide, and 5% to GLP-I 1-37. By gel permeation chromatography of extracts of human small intestine (n = 6), we found that all immunoreactivity eluted in one peak at the common elution position of the two insulin-releasing peptides, GLP-I 7-36 amide and GLP-I 7-37. Of the GLP-I immunoreactivity, 80% corresponded to GLP-I 7-36 amide and 20% to GLP-I 7-37. The mean concentrations of amidated GLP-I and glycine-extended GLP-I in fasting plasma were 7 +/- 1 and 6 +/- 1 pM, respectively (n = 6). In response to a breakfast meal, the concentration of amidated GLP-I rose significantly amounting to 41 +/- 5 pM 90 min after the meal ingestion, whereas the concentration of glycine-extended GLP-I only rose slightly to a maximum of 10 +/- 1 pM. Thus, both amidated and glycine-extended GLP-I molecules are produced in the small intestine and in the pancreas in humans. Both amidated and glycine-extended GLP-I are measurable in fasting plasma.(ABSTRACT TRUNCATED AT 250 WORDS)","ISSN":"0012-1797","note":"PMID: 8138058","journalAbbreviation":"Diabetes","language":"eng","author":[{"family":"Orskov","given":"C"},{"family":"Rabenhøj","given":"L"},{"family":"Wettergren","given":"A"},{"family":"Kofod","given":"H"},{"family":"Holst","given":"J J"}],"issued":{"date-parts":[["1994",4]]},"PMID":"8138058"}}],"schema":"https://github.com/citation-style-language/schema/raw/master/csl-citation.json"} </w:instrText>
      </w:r>
      <w:r w:rsidR="00941B51" w:rsidRPr="003A0EF9">
        <w:fldChar w:fldCharType="separate"/>
      </w:r>
      <w:r w:rsidR="000A492A" w:rsidRPr="000A492A">
        <w:rPr>
          <w:vertAlign w:val="superscript"/>
        </w:rPr>
        <w:t>121</w:t>
      </w:r>
      <w:r w:rsidR="00941B51" w:rsidRPr="003A0EF9">
        <w:fldChar w:fldCharType="end"/>
      </w:r>
      <w:r w:rsidR="00941B51" w:rsidRPr="003A0EF9">
        <w:t xml:space="preserve">   It is released after a meal to inhibit gastric acid secretion via an additive effect with PYY and to inhibit gastric emptying via the ileal brake mechanism.</w:t>
      </w:r>
      <w:r w:rsidR="00941B51" w:rsidRPr="003A0EF9">
        <w:fldChar w:fldCharType="begin"/>
      </w:r>
      <w:r w:rsidR="000A492A">
        <w:instrText xml:space="preserve"> ADDIN ZOTERO_ITEM CSL_CITATION {"citationID":"QswKOgMn","properties":{"formattedCitation":"{\\rtf \\super 115,122,123\\nosupersub{}}","plainCitation":"115,122,123"},"citationItems":[{"id":223,"uris":["http://zotero.org/users/local/Ry4zHLbn/items/U3QXJ4G5"],"uri":["http://zotero.org/users/local/Ry4zHLbn/items/U3QXJ4G5"],"itemData":{"id":223,"type":"article-journal","title":"Glucagon-like peptide-1 7-36 amide and peptide YY have additive inhibitory effect on gastric acid secretion in man","container-title":"Scandinavian journal of gastroenterology","page":"552-555","volume":"32","issue":"6","source":"NCBI PubMed","abstract":"BACKGROUND: Glucagon-like peptide-1 7-36 amide (GLP-1) and peptide YY (PYY) are colocalized in the L-cell of the ileal mucosa, and both peptides may function as enterogastrone hormones. However, it is not known whether they interact with regard to the effect on acid secretion.\nMETHODS: The effect of intravenous infusion of GLP-1 and PYY, either alone or in combination, on pentagastrin-induced acid secretion in eight healthy volunteers was examined. The peptides were infused at two different rates: 0.25 pmol/kg/min (low rate) and 0.5 pmol/kg/min (high rate).\nRESULTS: Given alone, GLP-1 and PYY inhibited acid secretion by 26 +/- 5% and 18 +/- 5% (low rate) and 45 +/- 8% and 38 +/- 7% (high rate), respectively. Combined infusion resulted in an inhibition of 32 +/- 5% (low rate) and 62 +/- 7% (high rate). Both infusion rates resulted in GLP-1 and PYY plasma concentrations below or similar to postprandial levels.\nCONCLUSION: The present study suggests that the interaction between GLP-1 and PYY in man is of the additive type. The results indicate that GLP-1 and PYY have an important role in the physiologic control of gastric acid secretion.","ISSN":"0036-5521","note":"PMID: 9200286","journalAbbreviation":"Scand. J. Gastroenterol.","language":"eng","author":[{"family":"Wettergren","given":"A"},{"family":"Maina","given":"P"},{"family":"Boesby","given":"S"},{"family":"Holst","given":"J J"}],"issued":{"date-parts":[["1997",6]]},"PMID":"9200286"}},{"id":215,"uris":["http://zotero.org/users/local/Ry4zHLbn/items/8JN6R7VC"],"uri":["http://zotero.org/users/local/Ry4zHLbn/items/8JN6R7VC"],"itemData":{"id":215,"type":"article-journal","title":"GLP-1 slows solid gastric emptying and inhibits insulin, glucagon, and PYY release in humans","container-title":"The American journal of physiology","page":"R910-916","volume":"277","issue":"3 Pt 2","source":"NCBI PubMed","abstract":"The aim of the present study was to assess the effect of glucagon-like peptide-1 (GLP-1) on solid gastric emptying and the subsequent release of pancreatic and intestinal hormones. In eight men [age 33.6 +/- 2.5 yr, body mass index 24.1 +/- 0.9 (means +/- SE)], scintigraphic solid gastric emptying during infusion of GLP-1 (0.75 pmol. kg(-1). min(-1)) or saline was studied for 180 min. Concomitantly, plasma concentrations of C- and N-terminal GLP-1, glucose, insulin, C-peptide, glucagon, and peptide YY (PYY) were assessed. Infusion of GLP-1 resulted in a profound inhibition of both the lag phase (GLP-1: 91.5, range 73.3-103.6 min vs. saline: 19. 5, range 10.2-43.4 min) and emptying rate (GLP-1: 0.34, range 0.06-0. 56 %/min vs. saline: 0.84, range 0.54-1.33 %/min; P &lt; 0.01 for both) of solid gastric emptying. Concentrations of both intact and total GLP-1 were elevated to supraphysiological levels. Plasma glucose and glucagon concentrations were below baseline during infusion of GLP-1 in contrast to saline infusion, where concentrations were elevated above baseline (both P &lt; 0.001). The insulin and C-peptide responses were lower during infusion with GLP-1 than with saline (P &lt; 0.004 and P &lt; 0.001, respectively). Plasma PYY concentrations decreased below baseline during GLP-1 infusion in contrast to saline, where concentrations were elevated above baseline (P = 0.04). Infusion of GLP-1 inhibits solid gastric emptying with secondary effects on the release of insulin, C-peptide, and glucagon, resulting in lower plasma glucose concentrations. In addition, the release of PYY into the circulation is inhibited by GLP-1 infusion, suggesting a negative feedback of GLP-1 on the function of the L-cell.","ISSN":"0002-9513","note":"PMID: 10484511","journalAbbreviation":"Am. J. Physiol.","language":"eng","author":[{"family":"Näslund","given":"E"},{"family":"Bogefors","given":"J"},{"family":"Skogar","given":"S"},{"family":"Grybäck","given":"P"},{"family":"Jacobsson","given":"H"},{"family":"Holst","given":"J J"},{"family":"Hellström","given":"P M"}],"issued":{"date-parts":[["1999",9]]},"PMID":"10484511"}},{"id":227,"uris":["http://zotero.org/users/local/Ry4zHLbn/items/24JPCQJ9"],"uri":["http://zotero.org/users/local/Ry4zHLbn/items/24JPCQJ9"],"itemData":{"id":227,"type":"article-journal","title":"Glucagon-like peptide 1 increases the period of postprandial satiety and slows gastric emptying in obese men","container-title":"The American journal of clinical nutrition","page":"525-530","volume":"68","issue":"3","source":"NCBI PubMed","abstract":"The gut peptide glucagon-like peptide 1(7-36) amide (GLP-1) is released into the circulation after food intake. GLP-1 has been shown to have an incretin effect and inhibits gastrointestinal motility in humans. In rats, intracerebral administration of GLP-1 results in reduced food intake. Obese humans have been found to have an attenuated plasma GLP-1 response to a mixed meal. To approximate the physiologic state, GLP-1 or saline was administered intravenously and randomly at the beginning of a test meal served on a universal eating monitor to 6 obese subjects to test our hypothesis that GLP-1 influences termination of food intake (and thus food intake during a meal) and feelings of satiety in humans. As a marker for gastric emptying, 1.5 g acetaminophen was given at the start of the meal. Blood samples for analysis of acetaminophen, insulin, glucose, glucagon, and C-peptide were obtained. Hunger, fullness, and food choice were assessed with visual analogue scales and food-choice questionnaires. GLP-1 infusion resulted in a prolonged period of reduced feelings of hunger, desire to eat, and prospective consumption after the meal. The rate of gastric emptying was slower during infusion of GLP-1. Postprandial blood glucose concentrations were reduced during the GLP-1 infusion, but the amount of energy consumed, eating rate, and plasma concentrations of insulin, glucagon, and C-peptide were unchanged. GLP-1 given exogenously at the start of a meal did not seem to affect meal termination or the amount of food eaten. However, postprandial feelings of hunger decreased, suggesting that exogenous GLP-1 may influence feelings of hunger and satiety in humans.","ISSN":"0002-9165","note":"PMID: 9734726","journalAbbreviation":"Am. J. Clin. Nutr.","language":"eng","author":[{"family":"Näslund","given":"E"},{"family":"Gutniak","given":"M"},{"family":"Skogar","given":"S"},{"family":"Rössner","given":"S"},{"family":"Hellström","given":"P M"}],"issued":{"date-parts":[["1998",9]]},"PMID":"9734726"}}],"schema":"https://github.com/citation-style-language/schema/raw/master/csl-citation.json"} </w:instrText>
      </w:r>
      <w:r w:rsidR="00941B51" w:rsidRPr="003A0EF9">
        <w:fldChar w:fldCharType="separate"/>
      </w:r>
      <w:r w:rsidR="000A492A" w:rsidRPr="000A492A">
        <w:rPr>
          <w:vertAlign w:val="superscript"/>
        </w:rPr>
        <w:t>115,122,123</w:t>
      </w:r>
      <w:r w:rsidR="00941B51" w:rsidRPr="003A0EF9">
        <w:fldChar w:fldCharType="end"/>
      </w:r>
      <w:r w:rsidR="00941B51" w:rsidRPr="003A0EF9">
        <w:t xml:space="preserve">  GLP-1 receptors are located within the hypothalamus and receptor activation causes cAMP production via adenylyl cyclase stimulation.</w:t>
      </w:r>
      <w:r w:rsidR="00941B51" w:rsidRPr="003A0EF9">
        <w:fldChar w:fldCharType="begin"/>
      </w:r>
      <w:r w:rsidR="000A492A">
        <w:instrText xml:space="preserve"> ADDIN ZOTERO_ITEM CSL_CITATION {"citationID":"MG38ET2O","properties":{"formattedCitation":"{\\rtf \\super 124,125\\nosupersub{}}","plainCitation":"124,125"},"citationItems":[{"id":229,"uris":["http://zotero.org/users/local/Ry4zHLbn/items/GH84ZEXT"],"uri":["http://zotero.org/users/local/Ry4zHLbn/items/GH84ZEXT"],"itemData":{"id":229,"type":"article-journal","title":"Signal transduction and desensitization of the glucagon-like peptide-1 receptor","container-title":"Acta physiologica Scandinavica","page":"317-319","volume":"157","issue":"3","source":"NCBI PubMed","DOI":"10.1046/j.1365-201X.1996.33260000.x","ISSN":"0001-6772","note":"PMID: 8830885","journalAbbreviation":"Acta Physiol. Scand.","language":"eng","author":[{"family":"Thorens","given":"B"},{"family":"Widmann","given":"C"}],"issued":{"date-parts":[["1996",7]]},"PMID":"8830885"}},{"id":231,"uris":["http://zotero.org/users/local/Ry4zHLbn/items/P6WNMR5V"],"uri":["http://zotero.org/users/local/Ry4zHLbn/items/P6WNMR5V"],"itemData":{"id":231,"type":"article-journal","title":"Functional expression of the rat pancreatic islet glucose-dependent insulinotropic polypeptide receptor: ligand binding and intracellular signaling properties","container-title":"Endocrinology","page":"4629-4639","volume":"136","issue":"10","source":"NCBI PubMed","abstract":"Incretins are endogenous peptides released from the gastrointestinal tract into the circulation during a meal that potentiate glucose-stimulated insulin secretion. At present, there are two established incretins: glucose-dependent insulinotropic polypeptide (GIP) and the truncated glucagon-like peptides (tGLPs), which are now being investigated for use in the treatment of diabetes mellitus. In the present study we cloned a rat islet GIP receptor complementary DNA (GIP-R1) to answer several important questions regarding the ligand-binding and intracellular signaling properties of the GP receptor. GIP-R1, when expressed transiently in monkey kidney (COS-7) or stably in Chinese hamster ovary (CHO-K1) cells, demonstrated comparable high affinity binding for either synthetic porcine (sp) GIP or synthetic human (sh) GIP. The IC50 values for displacement of [125I]spGIP in CHO-K1 cells were 2.6 +/- 0.8 and 3.1 +/- 0.9 nM for two different preparations of shGIP, and 3.7 +/- 1.5 and 3.6 +/- 0.4 nM for two preparations of spGIP. Saturation isotherms obtained with both intact cells and membranes gave monophasic binding curves with apparent Kd values of 204 +/- 17 and 334 +/- 94 pM, respectively. Cells expressed 12-15 x 10(3) receptors/cell. In COS-7 cells, spGIP and shGIP also exhibited similar IC50 values (7.6 +/- 1.2 and 8.9 +/- 1.8 nM, respectively). The receptor in CHO-K1 cells bound GIP-(1-30) with lower affinity (IC50 = 39 +/- 17 nM), whereas the fragments GIP-(19-30), GIP-(18-28), and GIP-(21-26) showed no apparent binding. The specificity of the receptor was further examined using several structurally related peptides. Surprisingly, exendin-(9-39) [Ex-(9-39)], a GLP-1 receptor antagonist, and Ex-4-(1-39), a GLP-1 receptor agonist, demonstrated some affinity for the GIP receptor, with 39% and 21% displacement of [125I]spGIP, respectively, at 1 microM. Other members of the secretin/vasoactive intestinal peptide family of peptides tested showed no interaction. GIP-R1 receptor binding correlated with activation of the adenylyl cyclase system, whereby spGIP and shGIP evoked concentration-dependent increases in cAMP accumulation with EC50 values of 8.7 +/- 1.5 x 10(-10)M and 8.1 +/- 1.6 x 10(-10)M for spGIP and shGIP, respectively. Increases in cAMP in the presence of 10 nM spGIP were not dependent on the ambient glucose concentration, with 22- and 18-fold increases in cAMP accumulation at 0.1 and 5.5 mM glucose, respectively.(ABSTRACT TRUNCATED AT 400 WORDS)","ISSN":"0013-7227","note":"PMID: 7664683","shortTitle":"Functional expression of the rat pancreatic islet glucose-dependent insulinotropic polypeptide receptor","journalAbbreviation":"Endocrinology","language":"eng","author":[{"family":"Wheeler","given":"M B"},{"family":"Gelling","given":"R W"},{"family":"McIntosh","given":"C H"},{"family":"Georgiou","given":"J"},{"family":"Brown","given":"J C"},{"family":"Pederson","given":"R A"}],"issued":{"date-parts":[["1995",10]]},"PMID":"7664683"}}],"schema":"https://github.com/citation-style-language/schema/raw/master/csl-citation.json"} </w:instrText>
      </w:r>
      <w:r w:rsidR="00941B51" w:rsidRPr="003A0EF9">
        <w:fldChar w:fldCharType="separate"/>
      </w:r>
      <w:r w:rsidR="000A492A" w:rsidRPr="000A492A">
        <w:rPr>
          <w:vertAlign w:val="superscript"/>
        </w:rPr>
        <w:t>124,125</w:t>
      </w:r>
      <w:r w:rsidR="00941B51" w:rsidRPr="003A0EF9">
        <w:fldChar w:fldCharType="end"/>
      </w:r>
      <w:r w:rsidR="00941B51" w:rsidRPr="003A0EF9">
        <w:t xml:space="preserve">  As body mass rises, circulating GLP-1 levels </w:t>
      </w:r>
      <w:r w:rsidR="008F6AAF">
        <w:t>decrease, with obese people</w:t>
      </w:r>
      <w:r w:rsidR="00941B51" w:rsidRPr="003A0EF9">
        <w:t xml:space="preserve"> showing a blunted GLP-1 response.</w:t>
      </w:r>
      <w:r w:rsidR="00941B51" w:rsidRPr="003A0EF9">
        <w:fldChar w:fldCharType="begin"/>
      </w:r>
      <w:r w:rsidR="000A492A">
        <w:instrText xml:space="preserve"> ADDIN ZOTERO_ITEM CSL_CITATION {"citationID":"brxLgV5R","properties":{"formattedCitation":"{\\rtf \\super 126\\uc0\\u8211{}129\\nosupersub{}}","plainCitation":"126–129"},"citationItems":[{"id":233,"uris":["http://zotero.org/users/local/Ry4zHLbn/items/QEHDRZFP"],"uri":["http://zotero.org/users/local/Ry4zHLbn/items/QEHDRZFP"],"itemData":{"id":233,"type":"article-journal","title":"Diurnal profile of pancreatic polypeptide, pancreatic glucagon, gut glucagon and insulin in human morbid obesity","container-title":"International journal of obesity","page":"529-538","volume":"7","issue":"6","source":"NCBI PubMed","abstract":"The diurnal profiles of pancreatic glucagon, insulin, pancreatic polypeptide (PP), and enteroglucagon were studied in five obese non-diabetic subjects (195 +/- 11 per cent of ideal body weight) and in six age matched controls. All the subjects were served with ordinary mixed meals five times during the day. The obese subjects were normoglycemic but hyperinsulinemic. Both groups showed rapid increases in PP to all meals, but the PP-response was significantly impaired in the obese group during the first part of the day. Normal subjects showed significant enteroglucagon responses to all meals, and had elevated levels throughout the day. In obese subjects, levels and responses were much lower at all times. Pancreatic glucagon profiles were similar. It is concluded that the possible role of abnormalities of PP and enteroglucagon secretion in the pathogenesis of human obesity deserves further study.","ISSN":"0307-0565","note":"PMID: 6360922","journalAbbreviation":"Int J Obes","language":"eng","author":[{"family":"Holst","given":"J J"},{"family":"Schwartz","given":"T W"},{"family":"Lovgreen","given":"N A"},{"family":"Pedersen","given":"O"},{"family":"Beck-Nielsen","given":"H"}],"issued":{"date-parts":[["1983"]]},"PMID":"6360922"}},{"id":235,"uris":["http://zotero.org/users/local/Ry4zHLbn/items/Z4HWE5DC"],"uri":["http://zotero.org/users/local/Ry4zHLbn/items/Z4HWE5DC"],"itemData":{"id":235,"type":"article-journal","title":"Energy intake and appetite are suppressed by glucagon-like peptide-1 (GLP-1) in obese men","container-title":"International journal of obesity and related metabolic disorders: journal of the International Association for the Study of Obesity","page":"304-311","volume":"23","issue":"3","source":"NCBI PubMed","abstract":"BACKGROUND: Peripheral administration of glucagon-like peptide-1 (GLP-1) for four hours, to normal weight and obese humans, decreases food intake and suppresses appetite.\nOBJECTIVE: The aim of this study was to assess the effect of an eight hour infusion of GLP-1 on appetite and energy intake at lunch and dinner in obese subjects.\nDESIGN: Randomised, blinded cross-over design with intravenous infusion of GLP-1 (0.75 pmol x kg(-1) min(-1)) or saline.\nSUBJECTS: Eight obese (body mass index, BMI, 45.5 +/- 2.3 kg/m2) male subjects.\nMEASUREMENTS: Ad libitum energy intake at lunch (12.00 h) and dinner (16.00 h) after an energy fixed breakfast (2.4 MJ) at 08.00 h. Appetite sensations using visual analogue scales, (VAS) immediately before and after meals and hourly in-between. Blood samples for the analysis of glucose, insulin, C-peptide, GLP-1 and peptide YY. Gastric emptying after breakfast and lunch using a paracetamol absorption technique.\nRESULTS: Hunger ratings were significantly lower with GLP-1 infusion. The summed ad libitum energy intake at lunch and dinner was reduced by 1.7 +/- 0.5 MJ (21 +/- 6%) by GLP-1 infusion (P = 0.01). Gastric emptying was delayed by GLP-1 infusion, and plasma glucose concentrations decreased (baseline: 6.6 +/- 0.35 mmol/L; nadir: 5.3 +/- 0.15 mmol/L). No nausea was recorded during GLP-1 infusion.\nCONCLUSIONS: Our results demonstrate that GLP-1 decreases feelings of hunger and reduces energy intake in obese humans. One possible mechanism for this finding might be an increased satiety primarily mediated by gastric vagal afferent signals.","ISSN":"0307-0565","note":"PMID: 10193877","journalAbbreviation":"Int. J. Obes. Relat. Metab. Disord.","language":"eng","author":[{"family":"Näslund","given":"E"},{"family":"Barkeling","given":"B"},{"family":"King","given":"N"},{"family":"Gutniak","given":"M"},{"family":"Blundell","given":"J E"},{"family":"Holst","given":"J J"},{"family":"Rössner","given":"S"},{"family":"Hellström","given":"P M"}],"issued":{"date-parts":[["1999",3]]},"PMID":"10193877"}},{"id":237,"uris":["http://zotero.org/users/local/Ry4zHLbn/items/WRGBM4JS"],"uri":["http://zotero.org/users/local/Ry4zHLbn/items/WRGBM4JS"],"itemData":{"id":237,"type":"article-journal","title":"Attenuated GLP-1 secretion in obesity: cause or consequence?","container-title":"Gut","page":"916-919","volume":"38","issue":"6","source":"NCBI PubMed","abstract":"BACKGROUND: Hypersecretion of insulinotropic factors such as glucose dependent insulinotropic polypeptide (GIP) and glucagon-like peptide-1(7-36)amide (GLP-1) have been postulated to account for the hyperinsulinaemia of obesity.\nAIMS: To examine the role of GLP-1 and GIP in obese women and matched controls.\nSUBJECTS: Six lean and six obese women subjects matched for age.\nMETHODS: The gut hormone, plasma glucose, and serum triglyceride responses were studied over 180 minutes after oral carbohydrate and fat meals. Heparin (10,000 units) was given intravenously at 120 minutes.\nRESULTS: There was pronounced attenuation of plasma GLP-1 secretion to oral carbohydrate in the obese compared with lean subjects but no such difference in response to oral fat load. There were no differences in the plasma GIP responses to carbohydrate or fat feeding. There was an apparent fall in plasma GLP-1 values in all subjects after administration of heparin.\nCONCLUSION: Postprandial GLP-1 secretion in response to oral carbohydrate is considerably attenuated in obese subjects. The cause of this attenuation of GLP-1 secretion is not known although we suggest that both this fall and the overall reduction in GLP-1 values in obese subjects may be related to an increase in plasma non-esterified fatty acids.","ISSN":"0017-5749","note":"PMID: 8984033","shortTitle":"Attenuated GLP-1 secretion in obesity","journalAbbreviation":"Gut","language":"eng","author":[{"family":"Ranganath","given":"L R"},{"family":"Beety","given":"J M"},{"family":"Morgan","given":"L M"},{"family":"Wright","given":"J W"},{"family":"Howland","given":"R"},{"family":"Marks","given":"V"}],"issued":{"date-parts":[["1996",6]]},"PMID":"8984033"}},{"id":239,"uris":["http://zotero.org/users/local/Ry4zHLbn/items/XR5WRV4C"],"uri":["http://zotero.org/users/local/Ry4zHLbn/items/XR5WRV4C"],"itemData":{"id":239,"type":"article-journal","title":"The role of postprandial releases of insulin and incretin hormones in meal-induced satiety--effect of obesity and weight reduction","container-title":"International journal of obesity and related metabolic disorders: journal of the International Association for the Study of Obesity","page":"1206-1214","volume":"25","issue":"8","source":"NCBI PubMed","abstract":"BACKGROUND: Previous studies have indicated that the secretion of the intestinal satiety hormone glucagon-like peptide-1 (GLP-1) is attenuated in obese subjects.\nOBJECTIVE: To compare meal-induced response of GLP-1 and glucose-dependent insulinotropic polypeptide (GIP) in obese and lean male subjects, to investigate the effect of a major weight reduction in the obese subjects, and to look for an association between these hormones and ad libitum food intake.\nMETHOD: Plasma concentrations of intestinal hormones and appetite sensations were measured prior to, and every 30 min for 180 min after, ingestion of a 2.5 MJ solid test meal. Gastric emptying was estimated scintigraphically. An ad libitum lunch was served 3 h after the test meal.\nSUBJECTS: Nineteen non-diabetic obese (body mass index (BMI) 34.1--43.8 kg/m(2)) and 12 lean (BMI 20.4--24.7 kg/m(2)) males. All obese subjects were re-examined after a mean stabilised weight loss of 18.8 kg (95% CI 14.4--23.2).\nRESULTS: Total area under the GLP-1 response curve (AUC(total, GLP-1)) was lower in obese before and after the weight loss compared to lean subjects (P&lt;0.05), although weight loss improved the response from 80 to 88% of that of the lean subjects (P=0.003). The GIP response was similar in obese and lean subjects. However, after the weight loss both AUC(total, GIP) and AUC(incremental, GIP) were lowered (P&lt;0.05). An inverse correlation was observed between AUC(incremental, GIP) and energy intake at the subsequent ad libitum meal in all groups. In lean subjects ad libitum energy intake was largely predicted by the insulin response to the preceding meal (r(2)=0.67, P=0.001).\nCONCLUSION: Our study confirmed previous findings of a reduced postprandial GLP-1 response in severely obese subjects. Following weight reduction, GLP-1 response in the obese subjects apparently rose to a level between that of obese and lean subjects. The data suggests that postprandial insulin and GIP responses are key players in short-term appetite regulation.","DOI":"10.1038/sj.ijo.0801655","ISSN":"0307-0565","note":"PMID: 11477506","journalAbbreviation":"Int. J. Obes. Relat. Metab. Disord.","language":"eng","author":[{"family":"Verdich","given":"C"},{"family":"Toubro","given":"S"},{"family":"Buemann","given":"B"},{"family":"Lysgård Madsen","given":"J"},{"family":"Juul Holst","given":"J"},{"family":"Astrup","given":"A"}],"issued":{"date-parts":[["2001",8]]},"PMID":"11477506"}}],"schema":"https://github.com/citation-style-language/schema/raw/master/csl-citation.json"} </w:instrText>
      </w:r>
      <w:r w:rsidR="00941B51" w:rsidRPr="003A0EF9">
        <w:fldChar w:fldCharType="separate"/>
      </w:r>
      <w:r w:rsidR="000A492A" w:rsidRPr="000A492A">
        <w:rPr>
          <w:vertAlign w:val="superscript"/>
        </w:rPr>
        <w:t>126–129</w:t>
      </w:r>
      <w:r w:rsidR="00941B51" w:rsidRPr="003A0EF9">
        <w:fldChar w:fldCharType="end"/>
      </w:r>
      <w:r w:rsidR="00941B51" w:rsidRPr="003A0EF9">
        <w:t xml:space="preserve">  </w:t>
      </w:r>
      <w:r w:rsidR="00C13C7E">
        <w:t xml:space="preserve">In dogs, however, GLP-1 has been shown to </w:t>
      </w:r>
      <w:r w:rsidR="008F6AAF">
        <w:t xml:space="preserve">increase with weight gain and </w:t>
      </w:r>
      <w:r w:rsidR="00C13C7E">
        <w:t xml:space="preserve">decrease </w:t>
      </w:r>
      <w:r w:rsidR="00CF5A20">
        <w:t>after weight loss.</w:t>
      </w:r>
      <w:r w:rsidR="00CF5A20">
        <w:fldChar w:fldCharType="begin"/>
      </w:r>
      <w:r w:rsidR="000A492A">
        <w:instrText xml:space="preserve"> ADDIN ZOTERO_ITEM CSL_CITATION {"citationID":"QuVyqgjp","properties":{"formattedCitation":"{\\rtf \\super 130,131\\nosupersub{}}","plainCitation":"130,131"},"citationItems":[{"id":395,"uris":["http://zotero.org/users/171999/items/HJRUJRIW"],"uri":["http://zotero.org/users/171999/items/HJRUJRIW"],"itemData":{"id":395,"type":"article-journal","title":"Metabolic and hormonal alterations with diacylglycerol and low glycemic index starch during canine weight loss.","container-title":"ISRN Veterinary Science","volume":"2012","source":"ISI Web of Knowledge","abstract":"Obesity increases insulin resistance and disregulation of glucose homeostasis. This study investigated low glycemic index starch (LGIS)/diacylglycerol (DAG) diet on plasma insulin and circulating incretin hormones during canine weight loss. Obese Beagle dogs were fed one of four starch/oil combination diets (LGIS/DAG; LGIS/triacylglycerol (TAG); high glycemic index starch (HGIS)/DAG; and HGIS/TAG) for 9 weeks during the weight loss period. At weeks 1 and 8, fasting plasma insulin, glucose, nonesterified fatty acid (NEFA), glucose-dependent insulinotropic polypeptide (GIP), and glucagon-like peptide-1 (GLP-1) were determined. Weight loss did not affect fasting insulin, glucose, and NEFA, but fasting GIP increased and GLP-1 decreased. LGIS affected postprandial insulin at both times and glucose was similar to insulin, except 60 min postprandially with DAG at week 8. NEFA lowering was less with the LGIS diets initially but not thereafter. At 60 min postprandially on week 8, GIP was significantly elevated by DAG, while GLP-1 was increased only with the HD diet. LGIS suppressed insulin and glucose responses up to 180 min postprandially at both sample times. DAG increased incretin hormones as did the DAG/HGIS combination but only at week 8. This latter finding appeared to be related to the glucose response but not to insulin at 60 min.","ISSN":"2090-4452","language":"English","author":[{"family":"Mitsuhashi","given":"Y."},{"family":"Nagaoka","given":"D."},{"family":"Bigley","given":"K. E."},{"family":"Umeda","given":"T."},{"family":"Otsuji","given":"K."},{"family":"Bauer","given":"J. E."}],"issued":{"date-parts":[["2012"]]}}},{"id":399,"uris":["http://zotero.org/users/171999/items/MVSENSMF"],"uri":["http://zotero.org/users/171999/items/MVSENSMF"],"itemData":{"id":399,"type":"article-journal","title":"Elevated glucagon-like peptide-1-(7-36)-amide, but not glucose, associated with hyperinsulinemic compensation for fat feeding","container-title":"The Journal of clinical endocrinology and metabolism","page":"5191-5198","volume":"87","issue":"11","source":"NCBI PubMed","abstract":"We previously developed a canine model of central obesity and insulin resistance by supplementing the normal chow diet with 2 g cooked bacon grease/kg body weight. Dogs fed this fatty diet maintained glucose tolerance with compensatory hyperinsulinemia. The signal(s) responsible for this up-regulation of plasma insulin is unknown. We hypothesized that meal-derived factors such as glucose, fatty acids, or incretin hormones may signal beta-cell compensation in the fat-fed dog. We fed the same fat-supplemented diet for 12 wk to six dogs and compared metabolic responses with seven control dogs fed a normal diet. Fasting and stimulated fatty acid and glucose-dependent insulinotropic peptide concentrations were not increased by fat feeding, whereas glucose was paradoxically decreased, ruling out those three factors as signals for compensatory hyperinsulinemia. Fasting plasma glucagon-like peptide-1 (GLP-1) concentration was 2.5-fold higher in the fat-fed animals, compared with controls, and 3.4-fold higher after a mixed meal. Additionally, expression of the GLP-1 receptor in whole pancreas was increased 2.3-fold in the fat-fed dogs. The increase in both circulating GLP-1 and its target receptor may have increased beta-cell responsiveness to lower glucose. Glucose is not the primary cause of hyperinsulinemia in the fat-fed dog. Corequisite meal-related signals may be permissive for development of hyperinsulinemia.","ISSN":"0021-972X","note":"PMID: 12414891","journalAbbreviation":"J. Clin. Endocrinol. Metab.","language":"eng","author":[{"family":"van Citters","given":"Gregg W"},{"family":"Kabir","given":"Morvarid"},{"family":"Kim","given":"Stella P"},{"family":"Mittelman","given":"Steven D"},{"family":"Dea","given":"Melvin K"},{"family":"Brubaker","given":"Patricia L"},{"family":"Bergman","given":"Richard N"}],"issued":{"date-parts":[["2002",11]]},"PMID":"12414891"}}],"schema":"https://github.com/citation-style-language/schema/raw/master/csl-citation.json"} </w:instrText>
      </w:r>
      <w:r w:rsidR="00CF5A20">
        <w:fldChar w:fldCharType="separate"/>
      </w:r>
      <w:r w:rsidR="000A492A" w:rsidRPr="000A492A">
        <w:rPr>
          <w:vertAlign w:val="superscript"/>
        </w:rPr>
        <w:t>130,131</w:t>
      </w:r>
      <w:r w:rsidR="00CF5A20">
        <w:fldChar w:fldCharType="end"/>
      </w:r>
      <w:r w:rsidR="00CF5A20">
        <w:t xml:space="preserve">  </w:t>
      </w:r>
      <w:r w:rsidR="00C13C7E">
        <w:t>Another study</w:t>
      </w:r>
      <w:r w:rsidR="008F6AAF">
        <w:t xml:space="preserve"> initially</w:t>
      </w:r>
      <w:r w:rsidR="00C13C7E">
        <w:t xml:space="preserve"> indicated GLP-1 levels were associated with the level of adiposity, but no significant effect remained after two extreme outliers were removed from analysis.</w:t>
      </w:r>
      <w:r w:rsidR="00C13C7E">
        <w:fldChar w:fldCharType="begin"/>
      </w:r>
      <w:r w:rsidR="000A492A">
        <w:instrText xml:space="preserve"> ADDIN ZOTERO_ITEM CSL_CITATION {"citationID":"2jn6h464d9","properties":{"formattedCitation":"{\\rtf \\super 132\\nosupersub{}}","plainCitation":"132"},"citationItems":[{"id":"sfRcBkgw/HNI7LvFY","uris":["http://zotero.org/users/local/Ry4zHLbn/items/IV9PNVC8"],"uri":["http://zotero.org/users/local/Ry4zHLbn/items/IV9PNVC8"],"itemData":{"id":"sfRcBkgw/HNI7LvFY","type":"article-journal","title":"Compensation for obesity-induced insulin resistance in dogs: assessment of the effects of leptin, adiponectin, and glucagon-like peptide-1 using path analysis","container-title":"Domestic animal endocrinology","page":"24-34","volume":"41","issue":"1","source":"NCBI PubMed","abstract":"The hormonal mediators of obesity-induced insulin resistance and compensatory hyperinsulinemia in dogs have not been identified. Plasma samples were obtained after a 24-h fast from 104 client-owned lean, overweight, and obese dogs. Plasma glucose and insulin concentrations were used to calculate insulin sensitivity and β-cell function with the use of the homeostasis model assessment (HOMA(insulin sensitivity) and HOMA(β-cell function), respectively). Path analysis with multivariable linear regression was used to identify whether fasting plasma leptin, adiponectin, or glucagon-like peptide-1 concentrations were associated with adiposity, insulin sensitivity, and basal insulin secretion. None of the dogs were hyperglycemic. In the final path model, adiposity was positively associated with leptin (P &lt; 0.01) and glucagon-like peptide-1 (P = 0.04) concentrations. No significant total effect of adiposity on adiponectin in dogs (P = 0.24) was observed. If there is a direct effect of leptin on adiponectin, then our results indicate that this is a positive relationship, which at least partly counters a negative direct relationship between adiposity and adiponectin. Fasting plasma leptin concentration was directly negatively associated with fasting insulin sensitivity (P = 0.01) and positively associated with β-cell function (P &lt; 0.01), but no direct association was observed between adiponectin concentration and either insulin sensitivity or β-cell function (P = 0.42 and 0.11, respectively). We conclude that dogs compensate effectively for obesity-induced insulin resistance. Fasting plasma leptin concentrations appear to be associated with obesity-associated changes in insulin sensitivity and compensatory hyperinsulinemia in naturally occurring obese dogs. Adiponectin does not appear to be involved in the pathophysiology of obesity-associated changes in insulin sensitivity.","DOI":"10.1016/j.domaniend.2011.02.001","ISSN":"1879-0054","note":"PMID: 21474268","shortTitle":"Compensation for obesity-induced insulin resistance in dogs","journalAbbreviation":"Domest. Anim. Endocrinol.","language":"eng","author":[{"family":"Verkest","given":"K R"},{"family":"Fleeman","given":"L M"},{"family":"Morton","given":"J M"},{"family":"Ishioka","given":"K"},{"family":"Rand","given":"J S"}],"issued":{"year":2011,"month":7},"PMID":"21474268","page-first":"24","title-short":"Compensation for obesity-induced insulin resistance in dogs","container-title-short":"Domest. Anim. Endocrinol."}}],"schema":"https://github.com/citation-style-language/schema/raw/master/csl-citation.json"} </w:instrText>
      </w:r>
      <w:r w:rsidR="00C13C7E">
        <w:fldChar w:fldCharType="separate"/>
      </w:r>
      <w:r w:rsidR="000A492A" w:rsidRPr="000A492A">
        <w:rPr>
          <w:vertAlign w:val="superscript"/>
        </w:rPr>
        <w:t>132</w:t>
      </w:r>
      <w:r w:rsidR="00C13C7E">
        <w:fldChar w:fldCharType="end"/>
      </w:r>
      <w:r w:rsidR="00C13C7E">
        <w:t xml:space="preserve">  </w:t>
      </w:r>
      <w:r w:rsidR="00941B51" w:rsidRPr="003A0EF9">
        <w:t>GLP-1 stimulates insulin secretion in a glucose-dependent manner via pancreatic β-cell receptor expression.</w:t>
      </w:r>
      <w:r w:rsidR="00941B51" w:rsidRPr="003A0EF9">
        <w:fldChar w:fldCharType="begin"/>
      </w:r>
      <w:r w:rsidR="000A492A">
        <w:instrText xml:space="preserve"> ADDIN ZOTERO_ITEM CSL_CITATION {"citationID":"qVEcBS63","properties":{"formattedCitation":"{\\rtf \\super 133,134\\nosupersub{}}","plainCitation":"133,134"},"citationItems":[{"id":241,"uris":["http://zotero.org/users/local/Ry4zHLbn/items/43RP7D3N"],"uri":["http://zotero.org/users/local/Ry4zHLbn/items/43RP7D3N"],"itemData":{"id":241,"type":"article-journal","title":"Glucagon-like peptide-1 7-36: a physiological incretin in man","container-title":"Lancet","page":"1300-1304","volume":"2","issue":"8571","source":"NCBI PubMed","abstract":"The physiological role of glucagon-like peptide-1 7-36 amide (GLP-1 7-36) in man was investigated. GLP-1 7-36-like immunoreactivity was found in the human bowel; its circulating level rose after oral glucose and after a test breakfast. When it was infused into seven volunteers at a rate to mimic its postprandial plasma concentration in the fasting state, plasma insulin levels rose significantly and glucose and glucagon concentrations fell. During an intravenous glucose load, it greatly enhanced insulin release and significantly reduced peak plasma glucose concentrations, compared with a control saline infusion, even inducing postinfusion reactive hypoglycaemia. By comparison, infusion of glucose-dependent insulinotropic peptide (GIP) to physiological levels was less effective in stimulating insulin release. These observations suggest that GLP-1 7-36 is a physiological incretin and that it is more powerful than GIP. The observation of greatly increased postprandial plasma GLP-1 7-36 levels in patients with postgastrectomy dumping syndrome suggests that it may mediate the hyperinsulinaemia and reactive hypoglycaemia of this disorder.","ISSN":"0140-6736","note":"PMID: 2890903","shortTitle":"Glucagon-like peptide-1 7-36","journalAbbreviation":"Lancet","language":"eng","author":[{"family":"Kreymann","given":"B"},{"family":"Williams","given":"G"},{"family":"Ghatei","given":"M A"},{"family":"Bloom","given":"S R"}],"issued":{"date-parts":[["1987",12,5]]},"PMID":"2890903"}},{"id":243,"uris":["http://zotero.org/users/local/Ry4zHLbn/items/XF7JVN2N"],"uri":["http://zotero.org/users/local/Ry4zHLbn/items/XF7JVN2N"],"itemData":{"id":243,"type":"article-journal","title":"The multiple actions of GLP-1 on the process of glucose-stimulated insulin secretion","container-title":"Diabetes","page":"S434-442","volume":"51 Suppl 3","source":"NCBI PubMed","abstract":"The physiological effects of glucagon-like peptide-1 (GLP-1) are of immense interest because of the potential clinical relevance of this peptide. Produced in intestinal L-cells through posttranslational processing of the proglucagon gene, GLP-1 is released from the gut in response to nutrient ingestion. Peripherally, GLP-1 is known to affect gut motility, inhibit gastric acid secretion, and inhibit glucagon secretion. In the central nervous system, GLP-1 induces satiety, leading to reduced weight gain. In the pancreas, GLP-1 is now known to induce expansion of insulin-secreting beta-cell mass, in addition to its most well-characterized effect: the augmentation of glucose-stimulated insulin secretion. GLP-1 is believed to enhance insulin secretion through mechanisms involving the regulation of ion channels (including ATP-sensitive K(+) channels, voltage-dependent Ca(2+) channels, voltage-dependent K(+) channels, and nonselective cation channels) and by the regulation of intracellular energy homeostasis and exocytosis. The present article will focus principally on the mechanisms proposed to underlie the glucose dependence of GLP-1's insulinotropic effect.","ISSN":"0012-1797","note":"PMID: 12475787","journalAbbreviation":"Diabetes","language":"eng","author":[{"family":"MacDonald","given":"Patrick E"},{"family":"El-Kholy","given":"Wasim"},{"family":"Riedel","given":"Michael J"},{"family":"Salapatek","given":"Anne Marie F"},{"family":"Light","given":"Peter E"},{"family":"Wheeler","given":"Michael B"}],"issued":{"date-parts":[["2002",12]]},"PMID":"12475787"}}],"schema":"https://github.com/citation-style-language/schema/raw/master/csl-citation.json"} </w:instrText>
      </w:r>
      <w:r w:rsidR="00941B51" w:rsidRPr="003A0EF9">
        <w:fldChar w:fldCharType="separate"/>
      </w:r>
      <w:r w:rsidR="000A492A" w:rsidRPr="000A492A">
        <w:rPr>
          <w:vertAlign w:val="superscript"/>
        </w:rPr>
        <w:t>133,134</w:t>
      </w:r>
      <w:r w:rsidR="00941B51" w:rsidRPr="003A0EF9">
        <w:fldChar w:fldCharType="end"/>
      </w:r>
      <w:r w:rsidR="00941B51" w:rsidRPr="003A0EF9">
        <w:t xml:space="preserve">  It is also responsible for stimulation of insulin gene transcription, islet cell growth, and neogenesis.</w:t>
      </w:r>
      <w:r w:rsidR="00941B51" w:rsidRPr="003A0EF9">
        <w:fldChar w:fldCharType="begin"/>
      </w:r>
      <w:r w:rsidR="000A492A">
        <w:instrText xml:space="preserve"> ADDIN ZOTERO_ITEM CSL_CITATION {"citationID":"GwAFLCuP","properties":{"formattedCitation":"{\\rtf \\super 134\\nosupersub{}}","plainCitation":"134"},"citationItems":[{"id":243,"uris":["http://zotero.org/users/local/Ry4zHLbn/items/XF7JVN2N"],"uri":["http://zotero.org/users/local/Ry4zHLbn/items/XF7JVN2N"],"itemData":{"id":243,"type":"article-journal","title":"The multiple actions of GLP-1 on the process of glucose-stimulated insulin secretion","container-title":"Diabetes","page":"S434-442","volume":"51 Suppl 3","source":"NCBI PubMed","abstract":"The physiological effects of glucagon-like peptide-1 (GLP-1) are of immense interest because of the potential clinical relevance of this peptide. Produced in intestinal L-cells through posttranslational processing of the proglucagon gene, GLP-1 is released from the gut in response to nutrient ingestion. Peripherally, GLP-1 is known to affect gut motility, inhibit gastric acid secretion, and inhibit glucagon secretion. In the central nervous system, GLP-1 induces satiety, leading to reduced weight gain. In the pancreas, GLP-1 is now known to induce expansion of insulin-secreting beta-cell mass, in addition to its most well-characterized effect: the augmentation of glucose-stimulated insulin secretion. GLP-1 is believed to enhance insulin secretion through mechanisms involving the regulation of ion channels (including ATP-sensitive K(+) channels, voltage-dependent Ca(2+) channels, voltage-dependent K(+) channels, and nonselective cation channels) and by the regulation of intracellular energy homeostasis and exocytosis. The present article will focus principally on the mechanisms proposed to underlie the glucose dependence of GLP-1's insulinotropic effect.","ISSN":"0012-1797","note":"PMID: 12475787","journalAbbreviation":"Diabetes","language":"eng","author":[{"family":"MacDonald","given":"Patrick E"},{"family":"El-Kholy","given":"Wasim"},{"family":"Riedel","given":"Michael J"},{"family":"Salapatek","given":"Anne Marie F"},{"family":"Light","given":"Peter E"},{"family":"Wheeler","given":"Michael B"}],"issued":{"date-parts":[["2002",12]]},"PMID":"12475787"}}],"schema":"https://github.com/citation-style-language/schema/raw/master/csl-citation.json"} </w:instrText>
      </w:r>
      <w:r w:rsidR="00941B51" w:rsidRPr="003A0EF9">
        <w:fldChar w:fldCharType="separate"/>
      </w:r>
      <w:r w:rsidR="000A492A" w:rsidRPr="000A492A">
        <w:rPr>
          <w:vertAlign w:val="superscript"/>
        </w:rPr>
        <w:t>134</w:t>
      </w:r>
      <w:r w:rsidR="00941B51" w:rsidRPr="003A0EF9">
        <w:fldChar w:fldCharType="end"/>
      </w:r>
    </w:p>
    <w:p w:rsidR="00941B51" w:rsidRPr="003A0EF9" w:rsidRDefault="00941B51" w:rsidP="00941B51">
      <w:pPr>
        <w:ind w:firstLine="720"/>
        <w:contextualSpacing/>
      </w:pPr>
      <w:r w:rsidRPr="003A0EF9">
        <w:t xml:space="preserve">  Infusion of cholecystokinin (CCK), a gut hormone released by small intestinal I cells, causes decreased food intake as well.</w:t>
      </w:r>
      <w:r w:rsidRPr="003A0EF9">
        <w:fldChar w:fldCharType="begin"/>
      </w:r>
      <w:r w:rsidR="000A492A">
        <w:instrText xml:space="preserve"> ADDIN ZOTERO_ITEM CSL_CITATION {"citationID":"IHJAWb4y","properties":{"formattedCitation":"{\\rtf \\super 120\\nosupersub{}}","plainCitation":"120"},"citationItems":[{"id":249,"uris":["http://zotero.org/users/local/Ry4zHLbn/items/RXZKKQWP"],"uri":["http://zotero.org/users/local/Ry4zHLbn/items/RXZKKQWP"],"itemData":{"id":249,"type":"article-journal","title":"Individual, but not simultaneous, glucagon and cholecystokinin infusions inhibit feeding in men","container-title":"The American journal of physiology","page":"R975-980","volume":"262","issue":"6 Pt 2","source":"NCBI PubMed","abstract":"Pancreatic glucagon and cholecystokinin octapeptide (CCK-8) were intravenously infused (1 ml/min for 10 min) alone or in combination beginning 15 min after normal-weight men had eaten a 500-ml tomato soup preload and 5 min before they were served a lunch of macaroni and beef with tomato sauce. Infusion of approximately 3 ng.kg-1.min-1 glucagon or approximately 2 ng.kg-1.min-1 CCK-8 each reduced test meal size. However, simultaneous infusion of these peptide doses reduced meal size less than the sum of the peptides' individual effects. Infusions of approximately 1.5 ng.kg-1.min-1 glucagon or approximately 1 ng.kg-1.min-1 CCK-8 had neither individual nor interactive effects on meal size. Psychophysical ratings failed to detect nonspecific side effects after any of the infusions. That exogenous glucagon and CCK-8 each reduced meal size without side effects suggests that these peptides may participate in the physiological control of human appetite; that their simultaneous infusion resulted in an infra-additive reduction in meal size suggests that they can interact antagonistically.","ISSN":"0002-9513","note":"PMID: 1621876","journalAbbreviation":"Am. J. Physiol.","language":"eng","author":[{"family":"Geary","given":"N"},{"family":"Kissileff","given":"H R"},{"family":"Pi-Sunyer","given":"F X"},{"family":"Hinton","given":"V"}],"issued":{"date-parts":[["1992",6]]},"PMID":"1621876"}}],"schema":"https://github.com/citation-style-language/schema/raw/master/csl-citation.json"} </w:instrText>
      </w:r>
      <w:r w:rsidRPr="003A0EF9">
        <w:fldChar w:fldCharType="separate"/>
      </w:r>
      <w:r w:rsidR="000A492A" w:rsidRPr="000A492A">
        <w:rPr>
          <w:vertAlign w:val="superscript"/>
        </w:rPr>
        <w:t>120</w:t>
      </w:r>
      <w:r w:rsidRPr="003A0EF9">
        <w:fldChar w:fldCharType="end"/>
      </w:r>
      <w:r w:rsidRPr="003A0EF9">
        <w:t xml:space="preserve">  While individual meal intake is reduced by CCK, total daily food intake recovers to normal levels due to increased feeding frequency in rats.</w:t>
      </w:r>
      <w:r w:rsidRPr="003A0EF9">
        <w:fldChar w:fldCharType="begin"/>
      </w:r>
      <w:r w:rsidR="000A492A">
        <w:instrText xml:space="preserve"> ADDIN ZOTERO_ITEM CSL_CITATION {"citationID":"zBpBu2T7","properties":{"formattedCitation":"{\\rtf \\super 135\\nosupersub{}}","plainCitation":"135"},"citationItems":[{"id":251,"uris":["http://zotero.org/users/local/Ry4zHLbn/items/N5GCW4ZI"],"uri":["http://zotero.org/users/local/Ry4zHLbn/items/N5GCW4ZI"],"itemData":{"id":251,"type":"article-journal","title":"Cholecystokinin persistently suppresses meal size but not food intake in free-feeding rats","container-title":"The American journal of physiology","page":"R776-787","volume":"246","issue":"5 Pt 2","source":"NCBI PubMed","abstract":"Food and water intake of free-feeding rats with indwelling intraperitoneal catheters connected to infusion pumps was continuously monitored and recorded by a microcomputer-based data acquisition system. Initially, at the start of every spontaneous meal for 4 days, each rat was infused with 0.27 ml of physiological saline. Saline infusion did not affect any feeding or drinking patterns, and the rate of weight gain remained unchanged. For 6 subsequent days, the octapeptide of cholecystokinin (CCK-8, 1.1 micrograms/meal) dissolved in physiological saline was infused at the onset of each meal. CCK-8 infusion caused a dramatic shift of patterns of food intake. Average meal size was reduced by at least 44%, whereas daily meal number increased by 162% or more for all 6 days of CCK-8 infusion. Total daily food intake recovered to predrug levels by the 4th day of CCK-8 infusion, primarily due to increased feeding frequency. Average body weight dropped by 12.4 g on the 1st day of CCK infusion, but over the following 5 days the growth rate was not different from the base-line predrug rate. With discontinuation of CCK-8 infusion all meal patterns returned rapidly to normal and body weight immediately recovered.","ISSN":"0002-9513","note":"PMID: 6326618","journalAbbreviation":"Am. J. Physiol.","language":"eng","author":[{"family":"West","given":"D B"},{"family":"Fey","given":"D"},{"family":"Woods","given":"S C"}],"issued":{"date-parts":[["1984",5]]},"PMID":"6326618"}}],"schema":"https://github.com/citation-style-language/schema/raw/master/csl-citation.json"} </w:instrText>
      </w:r>
      <w:r w:rsidRPr="003A0EF9">
        <w:fldChar w:fldCharType="separate"/>
      </w:r>
      <w:r w:rsidR="000A492A" w:rsidRPr="000A492A">
        <w:rPr>
          <w:vertAlign w:val="superscript"/>
        </w:rPr>
        <w:t>135</w:t>
      </w:r>
      <w:r w:rsidRPr="003A0EF9">
        <w:fldChar w:fldCharType="end"/>
      </w:r>
      <w:r w:rsidRPr="003A0EF9">
        <w:t xml:space="preserve">  There are two known widely distributed CCK receptors; CCK1 and CCK2, and the former is responsible for mediating the decreased appetite effects of CCK.  CCK plasma levels increase within 15 minutes of a mixed liquid meal in people and its half-life is only a few </w:t>
      </w:r>
      <w:r w:rsidRPr="003A0EF9">
        <w:lastRenderedPageBreak/>
        <w:t>minutes.</w:t>
      </w:r>
      <w:r w:rsidRPr="003A0EF9">
        <w:fldChar w:fldCharType="begin"/>
      </w:r>
      <w:r w:rsidR="000A492A">
        <w:instrText xml:space="preserve"> ADDIN ZOTERO_ITEM CSL_CITATION {"citationID":"vIuGrwJh","properties":{"formattedCitation":"{\\rtf \\super 118,136\\nosupersub{}}","plainCitation":"118,136"},"citationItems":[{"id":245,"uris":["http://zotero.org/users/local/Ry4zHLbn/items/FSQEFA3K"],"uri":["http://zotero.org/users/local/Ry4zHLbn/items/FSQEFA3K"],"itemData":{"id":245,"type":"article-journal","title":"Obesity and appetite control","container-title":"Experimental diabetes research","page":"824305","volume":"2012","source":"NCBI PubMed","abstract":"Obesity is one of the major challenges to human health worldwide; however, there are currently no effective pharmacological interventions for obesity. Recent studies have improved our understanding of energy homeostasis by identifying sophisticated neurohumoral networks which convey signals between the brain and gut in order to control food intake. The hypothalamus is a key region which possesses reciprocal connections between the higher cortical centres such as reward-related limbic pathways, and the brainstem. Furthermore, the hypothalamus integrates a number of peripheral signals which modulate food intake and energy expenditure. Gut hormones, such as peptide YY, pancreatic polypeptide, glucagon-like peptide-1, oxyntomodulin, and ghrelin, are modulated by acute food ingestion. In contrast, adiposity signals such as leptin and insulin are implicated in both short- and long-term energy homeostasis. In this paper, we focus on the role of gut hormones and their related neuronal networks (the gut-brain axis) in appetite control, and their potentials as novel therapies for obesity.","DOI":"10.1155/2012/824305","ISSN":"1687-5303","note":"PMID: 22899902","journalAbbreviation":"Exp Diabetes Res","language":"eng","author":[{"family":"Suzuki","given":"Keisuke"},{"family":"Jayasena","given":"Channa N"},{"family":"Bloom","given":"Stephen R"}],"issued":{"date-parts":[["2012"]]},"PMID":"22899902"}},{"id":253,"uris":["http://zotero.org/users/local/Ry4zHLbn/items/AVS8DW3A"],"uri":["http://zotero.org/users/local/Ry4zHLbn/items/AVS8DW3A"],"itemData":{"id":253,"type":"article-journal","title":"Cholecystokinin bioactivity in human plasma. Molecular forms, responses to feeding, and relationship to gallbladder contraction","container-title":"The Journal of clinical investigation","page":"1144-1152","volume":"75","issue":"4","source":"NCBI PubMed","abstract":"A sensitive and specific bioassay for the measurement of cholecystokinin (CCK) in human plasma was developed to determine the molecular forms of CCK in circulation, CCK responses to feeding, and the physiologic role of CCK in gallbladder contraction. First, plasma was quantitatively extracted and concentrated with octadecylsilylsilica, and the extracts were then assayed for their ability to stimulate amylase release from isolated rat pancreatic acini. Acini were highly sensitive to CCK whereas gastrin reacted only weakly in this system. With the assay, plasma levels of cholecystokinin octapeptide (CCK-8) bioactivity as low as 0.2 pM were detectable. CCK bioactivity in plasma was inhibited by the CCK antagonist, bibutyryl cyclic guanosine monophosphate, and was eliminated by immunoadsorption with an antibody directed against the carboxyl terminus of CCK. Detection of fasting levels of CCK was possible in all individuals tested and averaged 1.0 +/- 0.2 pM (mean +/- SE, n = 22) CCK-8 equivalents. Plasma CCK biological activity was normal in patients with gastrin-secreting tumors. After being fed a mixed liquid meal, CCK levels rose within 15 min to 6.0 +/- 1.6 pM. The individual food components fat, protein, and amino acids were all potent stimulants of CCK secretion; in contrast, glucose caused a significant but smaller elevation in plasma CCK levels. Gel filtration studies identified three major forms of CCK bioactivity in human plasma: an abundant form that eluted with CCK-33, a smaller form that eluted with CCK-8, and an intermediate form that eluted between CCK-33 and CCK-8. Ultrasonic measurements of gallbladder volume indicated that this organ decreased 51% in size 30 min after feeding a mixed liquid meal. This contraction occurred coincidentally with the increase in plasma CCK levels. Next CCK-8 was infused to obtain CCK levels similar to postprandial levels. This infusion caused a decrease in gallbladder volume, similar to that seen with a meal. The present studies indicate, therefore, that CCK can be bioassayed in fasting and postprandial human plasma. These studies also suggest that CCK may be an important regulator of gallbladder contraction.","DOI":"10.1172/JCI111809","ISSN":"0021-9738","note":"PMID: 2580857","journalAbbreviation":"J. Clin. Invest.","language":"eng","author":[{"family":"Liddle","given":"R A"},{"family":"Goldfine","given":"I D"},{"family":"Rosen","given":"M S"},{"family":"Taplitz","given":"R A"},{"family":"Williams","given":"J A"}],"issued":{"date-parts":[["1985",4]]},"PMID":"2580857"}}],"schema":"https://github.com/citation-style-language/schema/raw/master/csl-citation.json"} </w:instrText>
      </w:r>
      <w:r w:rsidRPr="003A0EF9">
        <w:fldChar w:fldCharType="separate"/>
      </w:r>
      <w:r w:rsidR="000A492A" w:rsidRPr="000A492A">
        <w:rPr>
          <w:vertAlign w:val="superscript"/>
        </w:rPr>
        <w:t>118,136</w:t>
      </w:r>
      <w:r w:rsidRPr="003A0EF9">
        <w:fldChar w:fldCharType="end"/>
      </w:r>
      <w:r w:rsidRPr="003A0EF9">
        <w:t xml:space="preserve">  Other effects of CCK include inhibition of gastric emptying, promotion of intestinal motility, stimulation of gallbladder contraction, and stimulation of pancreatic enzyme release.</w:t>
      </w:r>
      <w:r w:rsidRPr="003A0EF9">
        <w:fldChar w:fldCharType="begin"/>
      </w:r>
      <w:r w:rsidR="000A492A">
        <w:instrText xml:space="preserve"> ADDIN ZOTERO_ITEM CSL_CITATION {"citationID":"kSIbVNJT","properties":{"formattedCitation":"{\\rtf \\super 118,137,138\\nosupersub{}}","plainCitation":"118,137,138"},"citationItems":[{"id":245,"uris":["http://zotero.org/users/local/Ry4zHLbn/items/FSQEFA3K"],"uri":["http://zotero.org/users/local/Ry4zHLbn/items/FSQEFA3K"],"itemData":{"id":245,"type":"article-journal","title":"Obesity and appetite control","container-title":"Experimental diabetes research","page":"824305","volume":"2012","source":"NCBI PubMed","abstract":"Obesity is one of the major challenges to human health worldwide; however, there are currently no effective pharmacological interventions for obesity. Recent studies have improved our understanding of energy homeostasis by identifying sophisticated neurohumoral networks which convey signals between the brain and gut in order to control food intake. The hypothalamus is a key region which possesses reciprocal connections between the higher cortical centres such as reward-related limbic pathways, and the brainstem. Furthermore, the hypothalamus integrates a number of peripheral signals which modulate food intake and energy expenditure. Gut hormones, such as peptide YY, pancreatic polypeptide, glucagon-like peptide-1, oxyntomodulin, and ghrelin, are modulated by acute food ingestion. In contrast, adiposity signals such as leptin and insulin are implicated in both short- and long-term energy homeostasis. In this paper, we focus on the role of gut hormones and their related neuronal networks (the gut-brain axis) in appetite control, and their potentials as novel therapies for obesity.","DOI":"10.1155/2012/824305","ISSN":"1687-5303","note":"PMID: 22899902","journalAbbreviation":"Exp Diabetes Res","language":"eng","author":[{"family":"Suzuki","given":"Keisuke"},{"family":"Jayasena","given":"Channa N"},{"family":"Bloom","given":"Stephen R"}],"issued":{"date-parts":[["2012"]]},"PMID":"22899902"}},{"id":255,"uris":["http://zotero.org/users/local/Ry4zHLbn/items/ZPMQCCRP"],"uri":["http://zotero.org/users/local/Ry4zHLbn/items/ZPMQCCRP"],"itemData":{"id":255,"type":"article-journal","title":"Role of cholecystokinin in regulation of gastrointestinal motor functions","container-title":"Lancet","page":"12-15","volume":"2","issue":"8653","source":"NCBI PubMed","abstract":"By means of loxiglumide, a potent and highly specific antagonist for cholecystokinin (CCK), the effects of blocking CCK receptors on gastrointestinal motility were investigated in a placebo-controlled study in healthy young men (aged 21-39, mean 24 years). Gallbladder contraction stimulated by ingestion of a liquid test meal was completely abolished by oral administration of loxiglumide 30 min before the test meal. Gastric emptying of radio-opaque markers ingested with the test meal was significantly accelerated by loxiglumide (area under the curve [markers x h] 33.3 [SEM 3.8] vs 17.9 [2.7] after placebo). No effect of loxiglumide was found on small-bowel transit time, but 7 days' treatment with oral loxiglumide (800 mg three times daily) significantly shortened colonic transit time (29.4 [4.1] h after placebo, 15.0 [3.4] h after loxiglumide). It is concluded that CCK is an important mediator of meal-induced gallbladder contraction and is involved in the regulation of gastrointestinal motility in man.","ISSN":"0140-6736","note":"PMID: 2567793","journalAbbreviation":"Lancet","language":"eng","author":[{"family":"Meyer","given":"B M"},{"family":"Werth","given":"B A"},{"family":"Beglinger","given":"C"},{"family":"Hildebrand","given":"P"},{"family":"Jansen","given":"J B"},{"family":"Zach","given":"D"},{"family":"Rovati","given":"L C"},{"family":"Stalder","given":"G A"}],"issued":{"date-parts":[["1989",7,1]]},"PMID":"2567793"}},{"id":257,"uris":["http://zotero.org/users/local/Ry4zHLbn/items/P8RW966W"],"uri":["http://zotero.org/users/local/Ry4zHLbn/items/P8RW966W"],"itemData":{"id":257,"type":"article-journal","title":"Cholecystokinin inhibits gastric emptying by acting on both proximal stomach and pylorus","container-title":"The American journal of physiology","page":"E375-378","volume":"234","issue":"4","source":"NCBI PubMed","abstract":"Cholecystokinin is a potent inhibitor of gastric emptying. It is known to both relax the proximal stomach and contract the pyloric sphincter, and either one or both of these actions could mediate inhibition of gastric emptying. We investigated the relative importance of these two actions by studying the effectiveness of the C-terminal octapeptide of cholecystokinin (OP-CCK) to inhibit the emptying of a liquid meal (300 ml saline) before and after operations that either remove or destroy the pyloric mechanism (antrectomy and pyloroplasty), or lead to loss of accommodation of the proximal stomach (vagotomy), and after both vagotomy and antrectomy, and vagotomy and pyloroplasty. The results show that OP-CCK causes dose-related inhibition of gastric emptying in the intact dog. After either pyloroplasty or antrectomy the effectiveness of low but not of high doses of OP-CCK is lost. After vagotomy, OP-CCK at any dose was ineffective. The findings suggest that cholecystokinin inhibits gastric emptying by acting both on the pylorus and on the proximal stomach.","ISSN":"0002-9513","note":"PMID: 645853","journalAbbreviation":"Am. J. Physiol.","language":"eng","author":[{"family":"Yamagishi","given":"T"},{"family":"Debas","given":"H T"}],"issued":{"date-parts":[["1978",4]]},"PMID":"645853"}}],"schema":"https://github.com/citation-style-language/schema/raw/master/csl-citation.json"} </w:instrText>
      </w:r>
      <w:r w:rsidRPr="003A0EF9">
        <w:fldChar w:fldCharType="separate"/>
      </w:r>
      <w:r w:rsidR="000A492A" w:rsidRPr="000A492A">
        <w:rPr>
          <w:vertAlign w:val="superscript"/>
        </w:rPr>
        <w:t>118,137,138</w:t>
      </w:r>
      <w:r w:rsidRPr="003A0EF9">
        <w:fldChar w:fldCharType="end"/>
      </w:r>
    </w:p>
    <w:p w:rsidR="002D43E9" w:rsidRDefault="00941B51" w:rsidP="002D43E9">
      <w:pPr>
        <w:ind w:firstLine="720"/>
        <w:contextualSpacing/>
      </w:pPr>
      <w:r w:rsidRPr="003A0EF9">
        <w:t>Peripheral signals released in rel</w:t>
      </w:r>
      <w:r w:rsidR="00F96019">
        <w:t>ation to the level of adiposity</w:t>
      </w:r>
      <w:r w:rsidR="00FC1FD0">
        <w:t xml:space="preserve"> are referred to as adiposity signals.</w:t>
      </w:r>
      <w:r w:rsidR="00551AE1">
        <w:t xml:space="preserve">  These signals are secret</w:t>
      </w:r>
      <w:r w:rsidR="00FC1FD0">
        <w:t xml:space="preserve">ed into plasma in direct proportion to </w:t>
      </w:r>
      <w:r w:rsidR="00F4443D">
        <w:t xml:space="preserve">the level of fat mass, enter the CNS in proportion to their plasma levels, and have receptors in brain neurons involved in central control of energy intake. </w:t>
      </w:r>
      <w:r w:rsidRPr="003A0EF9">
        <w:t xml:space="preserve"> </w:t>
      </w:r>
      <w:r w:rsidR="00F4443D">
        <w:t>Central administration of adiposity signals decreases food intake and signal deficiency increases intake.</w:t>
      </w:r>
      <w:r w:rsidR="00F4443D">
        <w:fldChar w:fldCharType="begin"/>
      </w:r>
      <w:r w:rsidR="000A492A">
        <w:instrText xml:space="preserve"> ADDIN ZOTERO_ITEM CSL_CITATION {"citationID":"6vpb9k0an","properties":{"formattedCitation":"{\\rtf \\super 102\\nosupersub{}}","plainCitation":"102"},"citationItems":[{"id":241,"uris":["http://zotero.org/users/171999/items/37ZM2HD7"],"uri":["http://zotero.org/users/171999/items/37ZM2HD7"],"itemData":{"id":241,"type":"article-journal","title":"Central nervous system control of food intake","container-title":"Nature","page":"661-671","volume":"404","issue":"6778","source":"www.nature.com.proxy.lib.utk.edu:90","abstract":"New information regarding neuronal circuits that control food intake and their hormonal regulation has extended our understanding of energy homeostasis, the process whereby energy intake is matched to energy expenditure over time. The profound obesity that results in rodents (and in the rare human case as well) from mutation of key signalling molecules involved in this regulatory system highlights its importance to human health. Although each new signalling pathway discovered in the hypothalamus is a potential target for drug development in the treatment of obesity, the growing number of such signalling molecules indicates that food intake is controlled by a highly complex process. To better understand how energy homeostasis can be achieved, we describe a model that delineates the roles of individual hormonal and neuropeptide signalling pathways in the control of food intake and the means by which obesity can arise from inherited or acquired defects in their function.","DOI":"10.1038/35007534","ISSN":"0028-0836","journalAbbreviation":"Nature","language":"en","author":[{"family":"Schwartz","given":"Michael W."},{"family":"Woods","given":"Stephen C."},{"family":"Porte","given":"Daniel"},{"family":"Seeley","given":"Randy J."},{"family":"Baskin","given":"Denis G."}],"issued":{"date-parts":[["2000",4,6]]},"accessed":{"date-parts":[["2013",11,17]]}}}],"schema":"https://github.com/citation-style-language/schema/raw/master/csl-citation.json"} </w:instrText>
      </w:r>
      <w:r w:rsidR="00F4443D">
        <w:fldChar w:fldCharType="separate"/>
      </w:r>
      <w:r w:rsidR="000A492A" w:rsidRPr="000A492A">
        <w:rPr>
          <w:vertAlign w:val="superscript"/>
        </w:rPr>
        <w:t>102</w:t>
      </w:r>
      <w:r w:rsidR="00F4443D">
        <w:fldChar w:fldCharType="end"/>
      </w:r>
      <w:r w:rsidR="00F4443D">
        <w:t xml:space="preserve">  </w:t>
      </w:r>
      <w:r w:rsidR="00F96019">
        <w:t xml:space="preserve">Insulin, </w:t>
      </w:r>
      <w:r w:rsidR="00F85C06">
        <w:t xml:space="preserve">a peptide hormone </w:t>
      </w:r>
      <w:r w:rsidRPr="003A0EF9">
        <w:t>produced by pancreatic β-cells</w:t>
      </w:r>
      <w:r w:rsidR="00F96019">
        <w:t>,</w:t>
      </w:r>
      <w:r w:rsidRPr="003A0EF9">
        <w:t xml:space="preserve"> </w:t>
      </w:r>
      <w:r w:rsidR="00F96019">
        <w:t xml:space="preserve">is an adiposity signal.  It </w:t>
      </w:r>
      <w:r w:rsidRPr="003A0EF9">
        <w:t xml:space="preserve">is released in a pulsatile fashion, leading to decreases in plasma glucose levels.  </w:t>
      </w:r>
      <w:r w:rsidR="00D7390F">
        <w:t>When insulin binds its receptor, the intrinsic receptor tyrosine kinase is activated and phosphorylates insulin receptor substrate (IRS) proteins.  IRS</w:t>
      </w:r>
      <w:r w:rsidR="00904AD3">
        <w:t>1</w:t>
      </w:r>
      <w:r w:rsidR="00D7390F">
        <w:t xml:space="preserve"> phosphorylates protein kinase B (PKB</w:t>
      </w:r>
      <w:r w:rsidR="00F96019">
        <w:t>/AKT</w:t>
      </w:r>
      <w:r w:rsidR="004C0563">
        <w:t>) allowing for movement of the GLUT4 transporter to the plasma membrane.</w:t>
      </w:r>
      <w:r w:rsidR="00D7390F">
        <w:t xml:space="preserve">  </w:t>
      </w:r>
      <w:r w:rsidR="004C0563">
        <w:t xml:space="preserve">GLUT4 allows adipose and striated muscle cells to move glucose intracellularly and effectively decreases the amount of glucose present in plasma </w:t>
      </w:r>
      <w:r w:rsidR="004C0563">
        <w:rPr>
          <w:color w:val="FF0000"/>
        </w:rPr>
        <w:t xml:space="preserve">(Figure </w:t>
      </w:r>
      <w:r w:rsidR="00A2666C">
        <w:rPr>
          <w:color w:val="FF0000"/>
        </w:rPr>
        <w:t>2</w:t>
      </w:r>
      <w:r w:rsidR="004C0563">
        <w:rPr>
          <w:color w:val="FF0000"/>
        </w:rPr>
        <w:t>)</w:t>
      </w:r>
      <w:r w:rsidR="00A200B5">
        <w:rPr>
          <w:color w:val="FF0000"/>
        </w:rPr>
        <w:t>.</w:t>
      </w:r>
      <w:r w:rsidR="004C0563">
        <w:rPr>
          <w:color w:val="FF0000"/>
        </w:rPr>
        <w:fldChar w:fldCharType="begin"/>
      </w:r>
      <w:r w:rsidR="00C13C7E">
        <w:rPr>
          <w:color w:val="FF0000"/>
        </w:rPr>
        <w:instrText xml:space="preserve"> ADDIN ZOTERO_ITEM CSL_CITATION {"citationID":"29vsrqavq9","properties":{"formattedCitation":"{\\rtf \\super 139,140\\nosupersub{}}","plainCitation":"139,140"},"citationItems":[{"id":1774,"uris":["http://zotero.org/users/171999/items/ZDI6WP2K"],"uri":["http://zotero.org/users/171999/items/ZDI6WP2K"],"itemData":{"id":1774,"type":"article-journal","title":"Inhibition of the mTOR/p70S6K pathway is not involved in the insulin-sensitizing effect of AMPK on cardiac glucose uptake","container-title":"American Journal of Physiology - Heart and Circulatory Physiology","page":"H469-H477","volume":"301","issue":"2","source":"ajpheart.physiology.org","abstract":"The AMP-activated protein kinase (AMPK) is known to increase cardiac insulin sensitivity on glucose uptake. AMPK also inhibits the mammalian target of rapamycin (mTOR)/p70 ribosomal S6 kinase (p70S6K) pathway. Once activated by insulin, mTOR/p70S6K phosphorylates insulin receptor substrate-1 (IRS-1) on serine residues, resulting in its inhibition and reduction of insulin signaling. AMPK was postulated to act on insulin by inhibiting this mTOR/p70S6K-mediated negative feedback loop. We tested this hypothesis in cardiomyocytes. The stimulation of glucose uptake by AMPK activators and insulin correlated with AMPK and protein kinase B (PKB/Akt) activation, respectively. Both treatments induced the phosphorylation of Akt substrate 160 (AS160) known to control glucose uptake. Together, insulin and AMPK activators acted synergistically to induce PKB/Akt overactivation, AS160 overphosphorylation, and glucose uptake overstimulation. This correlated with p70S6K inhibition and with a decrease in serine phosphorylation of IRS-1, indicating the inhibition of the negative feedback loop. We used the mTOR inhibitor rapamycin to confirm these results. Mimicking AMPK activators in the presence of insulin, rapamycin inhibited p70S6K and reduced IRS-1 phosphorylation on serine, resulting in the overphosphorylation of PKB/Akt and AS160. However, rapamycin did not enhance the insulin-induced stimulation of glucose uptake. In conclusion, although the insulin-sensitizing effect of AMPK on PKB/Akt is explained by the inhibition of the insulin-induced negative feedback loop, its effect on glucose uptake is independent of this mechanism. This disconnection revealed that the PKB/Akt/AS160 pathway does not seem to be the rate-limiting step in the control of glucose uptake under insulin treatment.","DOI":"10.1152/ajpheart.00986.2010","note":"The AMP-activated protein kinase (AMPK) is known to increase cardiac insulin sensitivity on glucose uptake. AMPK also inhibits the mammalian target of rapamycin (mTOR)/p70 ribosomal S6 kinase (p70S6K) pathway. Once activated by insulin, mTOR/p70S6K phosphorylates insulin receptor substrate-1 (IRS-1) on serine residues, resulting in its inhibition and reduction of insulin signaling. AMPK was postulated to act on insulin by inhibiting this mTOR/p70S6K-mediated negative feedback loop. We tested this hypothesis in cardiomyocytes. The stimulation of glucose uptake by AMPK activators and insulin correlated with AMPK and protein kinase B (PKB/Akt) activation, respectively. Both treatments induced the phosphorylation of Akt substrate 160 (AS160) known to control glucose uptake. Together, insulin and AMPK activators acted synergistically to induce PKB/Akt overactivation, AS160 overphosphorylation, and glucose uptake overstimulation. This correlated with p70S6K inhibition and with a decrease in serine phosphorylation of IRS-1, indicating the inhibition of the negative feedback loop. We used the mTOR inhibitor rapamycin to confirm these results. Mimicking AMPK activators in the presence of insulin, rapamycin inhibited p70S6K and reduced IRS-1 phosphorylation on serine, resulting in the overphosphorylation of PKB/Akt and AS160. However, rapamycin did not enhance the insulin-induced stimulation of glucose uptake. In conclusion, although the insulin-sensitizing effect of AMPK on PKB/Akt is explained by the inhibition of the insulin-induced negative feedback loop, its effect on glucose uptake is independent of this mechanism. This disconnection revealed that the PKB/Akt/AS160 pathway does not seem to be the rate-limiting step in the control of glucose uptake under insulin treatment.\nPMID: 21602475","language":"en","author":[{"family":"Ginion","given":"Audrey"},{"family":"Auquier","given":"Julien"},{"family":"Benton","given":"Carley R."},{"family":"Mouton","given":"Céline"},{"family":"Vanoverschelde","given":"Jean-Louis"},{"family":"Hue","given":"Louis"},{"family":"Horman","given":"Sandrine"},{"family":"Beauloye","given":"Christophe"},{"family":"Bertrand","given":"Luc"}],"issued":{"date-parts":[["2011",8,1]]},"accessed":{"date-parts":[["2013",11,11]]},"PMID":"21602475"}},{"id":1790,"uris":["http://zotero.org/users/171999/items/BUE597FG"],"uri":["http://zotero.org/users/171999/items/BUE597FG"],"itemData":{"id":1790,"type":"article-journal","title":"Review of insulin and insulin-like growth factor expression, signaling, and malfunction in the central nervous system: relevance to Alzheimer's disease","container-title":"Journal of Alzheimer's disease: JAD","page":"45-61","volume":"7","issue":"1","source":"NCBI PubMed","abstract":"Interest in characterizing the role of impaired insulin actions in Alzheimer's disease (AD) and vascular dementia is growing exponentially. This review details what is currently known about insulin, insulin-like growth factor type I (IGF-I) and IGF-II proteins and their corresponding receptors in the brain, and delineates the major controversies pertaining to alterations in the expression and function of these molecules in AD. The various experimental animal models generated by over-expression, mutation, or depletion of genes that are critical to the insulin or IGF signaling cascades are summarized, noting the degrees to which they reproduce the histopathological, biochemical, molecular, or behavioral abnormalities associated with AD. Although no single model was determined to be truly representative of AD, depletion of the neuronal insulin receptor and intracerebroventricular injection of Streptozotocin reproduce a number of important aspects of AD-type neurodegeneration, and therefore provide supportive evidence that AD may be caused in part by neuronal insulin resistance, i.e. brain diabetes. The extant literature did not resolve whether the CNS insulin resistance in AD represents a local disease process, or complication/extension of peripheral insulin resistance, i.e. chronic hyperglycemia, hyperinsulinemia, and Type 2 diabetes mellitus. The available epidemiological data are largely inconclusive with regard to the contribution of Type 2 diabetes mellitus to cognitive impairment and AD-type neurodegeneration. A major conclusion drawn from this review is that there is a genuine need for thorough and comprehensive study of the neuropathological changes associated with diabetes mellitus, in the presence or absence of superimposed AD or vascular dementia. Strategies for intervention may depend entirely upon whether the CNS disease processes are mediated by peripheral, central, or both types of insulin resistance.","ISSN":"1387-2877","note":"PMID: 15750214","shortTitle":"Review of insulin and insulin-like growth factor expression, signaling, and malfunction in the central nervous system","journalAbbreviation":"J. Alzheimers Dis.","language":"eng","author":[{"family":"de la Monte","given":"Suzanne M"},{"family":"Wands","given":"Jack R"}],"issued":{"date-parts":[["2005",2]]},"PMID":"15750214"}}],"schema":"https://github.com/citation-style-language/schema/raw/master/csl-citation.json"} </w:instrText>
      </w:r>
      <w:r w:rsidR="004C0563">
        <w:rPr>
          <w:color w:val="FF0000"/>
        </w:rPr>
        <w:fldChar w:fldCharType="separate"/>
      </w:r>
      <w:r w:rsidR="00C13C7E" w:rsidRPr="00C13C7E">
        <w:rPr>
          <w:vertAlign w:val="superscript"/>
        </w:rPr>
        <w:t>139,140</w:t>
      </w:r>
      <w:r w:rsidR="004C0563">
        <w:rPr>
          <w:color w:val="FF0000"/>
        </w:rPr>
        <w:fldChar w:fldCharType="end"/>
      </w:r>
      <w:r w:rsidR="004C0563">
        <w:t xml:space="preserve">  </w:t>
      </w:r>
      <w:r w:rsidR="00AF1447">
        <w:t>Insulin sensitivity is positively correlated to the oxidative capacity of muscle, which is related to the ratio of type I (slow twitch) to type II (fast twitch) fibers.</w:t>
      </w:r>
      <w:r w:rsidR="00AF1447">
        <w:fldChar w:fldCharType="begin"/>
      </w:r>
      <w:r w:rsidR="00C13C7E">
        <w:instrText xml:space="preserve"> ADDIN ZOTERO_ITEM CSL_CITATION {"citationID":"8cpbkohk1","properties":{"formattedCitation":"{\\rtf \\super 141\\nosupersub{}}","plainCitation":"141"},"citationItems":[{"id":1491,"uris":["http://zotero.org/users/171999/items/RI3F8D7S"],"uri":["http://zotero.org/users/171999/items/RI3F8D7S"],"itemData":{"id":1491,"type":"article-journal","title":"Insulin dose-response characteristics among individual muscle and adipose tissues measured in the rat in vivo with 3[H]2-deoxyglucose","container-title":"Diabetes","page":"153-159","volume":"33","issue":"2","source":"NCBI PubMed","abstract":"The dose-response characteristics of three skeletal muscles, three adipose tissue beds, and heart muscle to single i.v. injection of insulin were compared in vivo. Comparisons were made at 8 dose levels spanning the entire range for response by all tissues and for the integrated whole body response as reflected in the rate of disappearance of 3H-2-deoxyglucose from plasma. The insulin-sensitive tissues varied widely with respect to the magnitude of the maximal response and the sensitivity to insulin as judged by the effective dose 50% (ED 50). Among the muscles, a slow-twitch oxidative muscle, soleus, was more sensitive than the fast-twitch glycolytic muscle, extensor digitorum longus (EDL), while a mixed muscle, quadriceps femoris, displayed even lower sensitivity. Heart muscle sensitivity was comparable to EDL. Among the adipose sites, the rank order of sensitivity was subcutaneous greater than epididymal much greater than omental. The threshold for a detectable response to insulin was 0.013 U/kg rat.","ISSN":"0012-1797","note":"PMID: 6363169","journalAbbreviation":"Diabetes","language":"eng","author":[{"family":"Hom","given":"F G"},{"family":"Goodner","given":"C J"}],"issued":{"date-parts":[["1984",2]]},"PMID":"6363169"}}],"schema":"https://github.com/citation-style-language/schema/raw/master/csl-citation.json"} </w:instrText>
      </w:r>
      <w:r w:rsidR="00AF1447">
        <w:fldChar w:fldCharType="separate"/>
      </w:r>
      <w:r w:rsidR="00C13C7E" w:rsidRPr="00C13C7E">
        <w:rPr>
          <w:vertAlign w:val="superscript"/>
        </w:rPr>
        <w:t>141</w:t>
      </w:r>
      <w:r w:rsidR="00AF1447">
        <w:fldChar w:fldCharType="end"/>
      </w:r>
      <w:r w:rsidR="00AF1447">
        <w:t xml:space="preserve">  As type II fiber expression increases during obesity, muscle oxidative capacity and subsequent insulin sensitivity decline.</w:t>
      </w:r>
      <w:r w:rsidR="00AF1447">
        <w:fldChar w:fldCharType="begin"/>
      </w:r>
      <w:r w:rsidR="00C13C7E">
        <w:instrText xml:space="preserve"> ADDIN ZOTERO_ITEM CSL_CITATION {"citationID":"rg4dvbtf","properties":{"formattedCitation":"{\\rtf \\super 142\\nosupersub{}}","plainCitation":"142"},"citationItems":[{"id":1489,"uris":["http://zotero.org/users/171999/items/4ERIQVE4"],"uri":["http://zotero.org/users/171999/items/4ERIQVE4"],"itemData":{"id":1489,"type":"article-journal","title":"PGC-1alpha, SIRT1 and AMPK, an energy sensing network that controls energy expenditure","container-title":"Current opinion in lipidology","page":"98-105","volume":"20","issue":"2","source":"NCBI PubMed","abstract":"PURPOSE OF REVIEW: Peroxisome proliferator-activated receptor gamma coactivator-1-alpha (PGC-1alpha) has been extensively described as a master regulator of mitochondrial biogenesis. However, PGC-1alpha activity is not constant and can be finely tuned in response to different metabolic situations. From this point of view, PGC-1alpha could be described as a mediator of the transcriptional outputs triggered by metabolic sensors, providing the idea that these sensors, together with PGC-1alpha, might be weaving a network controlling cellular energy expenditure. In this review, we will focus on how disorders such as type 2 diabetes and the metabolic syndrome might be related to an abnormal and improper function of this network.\nRECENT FINDINGS: Two metabolic sensors, AMP-activated protein kinase (AMPK) and SIRT1 have been described to directly affect PGC-1alpha activity through phosphorylation and deacetylation, respectively. Although the physiological relevance of these modifications and their molecular consequences are still largely unknown, recent insight from different in-vivo transgenic models clearly suggests that AMPK, SIRT1 and PGC-1alpha might act as an orchestrated network to improve metabolic fitness.\nSUMMARY: Metabolic sensors such as AMPK and SIRT1, gatekeepers of the activity of the master regulator of mitochondria, PGC-1alpha, are vital links in a regulatory network for metabolic homeostasis. Together, these players explain many of the beneficial effects of physical activity and dietary interventions in our battle against type 2 diabetes and related metabolic disorders. Hence, understanding the mechanisms by which they act could guide us to identify and improve preventive and therapeutic strategies for metabolic diseases.","DOI":"10.1097/MOL.0b013e328328d0a4","ISSN":"1473-6535","note":"PMID: 19276888","journalAbbreviation":"Curr. Opin. Lipidol.","language":"eng","author":[{"family":"Cantó","given":"Carles"},{"family":"Auwerx","given":"Johan"}],"issued":{"date-parts":[["2009",4]]},"PMID":"19276888"}}],"schema":"https://github.com/citation-style-language/schema/raw/master/csl-citation.json"} </w:instrText>
      </w:r>
      <w:r w:rsidR="00AF1447">
        <w:fldChar w:fldCharType="separate"/>
      </w:r>
      <w:r w:rsidR="00C13C7E" w:rsidRPr="00C13C7E">
        <w:rPr>
          <w:vertAlign w:val="superscript"/>
        </w:rPr>
        <w:t>142</w:t>
      </w:r>
      <w:r w:rsidR="00AF1447">
        <w:fldChar w:fldCharType="end"/>
      </w:r>
      <w:r w:rsidRPr="003A0EF9">
        <w:t>Obese individuals show pulsatile patterns similar to healthy weight individuals (release following meals and during overnight fasting), but the amplitude of insulin pulses are larger during obesity.</w:t>
      </w:r>
      <w:r w:rsidRPr="003A0EF9">
        <w:fldChar w:fldCharType="begin"/>
      </w:r>
      <w:r w:rsidR="00C13C7E">
        <w:instrText xml:space="preserve"> ADDIN ZOTERO_ITEM CSL_CITATION {"citationID":"EajpwOXF","properties":{"formattedCitation":"{\\rtf \\super 143\\nosupersub{}}","plainCitation":"143"},"citationItems":[{"id":259,"uris":["http://zotero.org/users/local/Ry4zHLbn/items/S7EDNQ98"],"uri":["http://zotero.org/users/local/Ry4zHLbn/items/S7EDNQ98"],"itemData":{"id":259,"type":"article-journal","title":"Twenty-four-hour profiles and pulsatile patterns of insulin secretion in normal and obese subjects","container-title":"The Journal of clinical investigation","page":"442-448","volume":"81","issue":"2","source":"NCBI PubMed","abstract":"The pattern of endogenous insulin secretion over a 24-h period, which included three mixed meals, was evaluated in 14 normal volunteers and 15 obese subjects. Insulin secretory rates were calculated from plasma C-peptide levels using individually derived C-peptide kinetic parameters and a validated open two-compartment model of peripheral C-peptide kinetics. Insulin secretion rates were consistently elevated in the obese subjects under basal conditions (11.6 +/- 1.2 vs. 5.4 +/- 0.5 nmol/h) and in the 4 h after breakfast (139 +/- 15 vs. 63 +/- 5 nmol/4 h, P less than 0.001), lunch (152 +/- 16 vs. 67 +/- 5 nmol/4 h, P less than 0.001), and dinner (145 +/- 18 vs. 65 +/- 6 nmol/4 h, P less than 0.001). In the normal subjects, basal insulin secretion represented 50 +/- 2.1% of total 24-h insulin production, insulin secretion returned to baseline between meals, and equal quantities of insulin were secreted in the 4 h after breakfast, lunch, and dinner, despite the fact that subjects consumed half the number of calories at breakfast compared to lunch and dinner. Overall glucose responses were also similar after the three meals. In contrast, the pattern of insulin secretion in obese subjects was largely normal, albeit set at a higher level. However, the insulin secretion rate after meals did not return to baseline, and the secretion rate immediately before lunch (350.5 +/- 81.9 pmol/min) and dinner (373.6 +/- 64.8 pmol/min) was considerably higher than the secretion rate immediately before breakfast (175.5 +/- 18.5 pmol/min). In these overweight subjects, the glucose response after lunch was lower than after dinner. Analysis of individual 24-h insulin secretory profiles in the normal subjects revealed that insulin secretion was pulsatile. On average 11.1 +/- 0.5 pulses were produced in each 24-h period. The most prevalent temporal distribution of postmeal secretory pulses was two pulses after breakfast and three pulses after both lunch and dinner. Insulin secretion was also pulsatile during the period without meal stimuli: 3.9 +/- 0.3 pulses occurred during the period of overnight sampling and in the 3-h period before ingestion of the breakfast meal. In the obese subjects, the number and timing of secretory pulses was similar to those of normal volunteers, although the amplitude of the pulses was significantly greater. In both groups of subjects, greater than 80% of insulin pulses were concomitant with a pulse in glucose concentration in the postmeal period. The concomitancy rate was significantly lower in the interval without the meal stimuli, averaging 47% in both groups. Thus in obesity, although hypersecretion of insulin can be documented, the temporal pattern of secretion i s largely unaltered, which suggests that the functioning beta cell mass is enhance, but normal regulatory mechanisms influencing secretion are still operative.","DOI":"10.1172/JCI113339","ISSN":"0021-9738","note":"PMID: 3276730","journalAbbreviation":"J. Clin. Invest.","language":"eng","author":[{"family":"Polonsky","given":"K S"},{"family":"Given","given":"B D"},{"family":"Van Cauter","given":"E"}],"issued":{"date-parts":[["1988",2]]},"PMID":"3276730"}}],"schema":"https://github.com/citation-style-language/schema/raw/master/csl-citation.json"} </w:instrText>
      </w:r>
      <w:r w:rsidRPr="003A0EF9">
        <w:fldChar w:fldCharType="separate"/>
      </w:r>
      <w:r w:rsidR="00C13C7E" w:rsidRPr="00C13C7E">
        <w:rPr>
          <w:vertAlign w:val="superscript"/>
        </w:rPr>
        <w:t>143</w:t>
      </w:r>
      <w:r w:rsidRPr="003A0EF9">
        <w:fldChar w:fldCharType="end"/>
      </w:r>
      <w:r w:rsidRPr="003A0EF9">
        <w:t xml:space="preserve">  Insulin exhibits a diurnal release pattern, with peak levels 2 to 5 hours postprandial in dogs.</w:t>
      </w:r>
      <w:r w:rsidRPr="003A0EF9">
        <w:fldChar w:fldCharType="begin"/>
      </w:r>
      <w:r w:rsidR="00C13C7E">
        <w:instrText xml:space="preserve"> ADDIN ZOTERO_ITEM CSL_CITATION {"citationID":"RmUeul9n","properties":{"formattedCitation":"{\\rtf \\super 144\\nosupersub{}}","plainCitation":"144"},"citationItems":[{"id":261,"uris":["http://zotero.org/users/local/Ry4zHLbn/items/GTC6WIUN"],"uri":["http://zotero.org/users/local/Ry4zHLbn/items/GTC6WIUN"],"itemData":{"id":261,"type":"article-journal","title":"Diurnal variations of serum leptin in dogs: effects of fasting and re-feeding","container-title":"Veterinary journal (London, England: 1997)","page":"85-90","volume":"169","issue":"1","source":"NCBI PubMed","abstract":"Leptin is a protein synthesized and secreted primarily by adipocytes, and plays a key role in the regulation of energy balance. We have reported that serum leptin is elevated in obese dogs. In the present study, we examined diurnal variations of serum leptin in the dog, with special references to feeding and fasting cycles. Four male beagles were accustomed to feed once a day at 10:00 h, and blood samples were taken every 3 h for 24-36 h. Serum leptin concentration showed clear diurnal variations, being lowest before food intake (2.3+/-0.5 ng/mL) at 09:00 h, and highest (10.5+/-2.4 ng/mL) at 18:00 h. Such diurnal variations disappeared when the dogs were fasted. Serum insulin also showed diurnal variation with higher levels at 12:00-15:00 h. When insulin or glucose was injected in the fasted dogs to mimic the post-prandial insulin rise, serum leptin concentration was significantly increased in 4-8 h, but in both cases to a lesser extents than those after food intake. The results indicate that serum leptin concentrations change diurnally in association with feeding-fasting cycles in the dog, partially due to changes in insulin secretion.","DOI":"10.1016/j.tvjl.2004.01.003","ISSN":"1090-0233","note":"PMID: 15683767","shortTitle":"Diurnal variations of serum leptin in dogs","journalAbbreviation":"Vet. J.","language":"eng","author":[{"family":"Ishioka","given":"K"},{"family":"Hatai","given":"H"},{"family":"Komabayashi","given":"K"},{"family":"Soliman","given":"M M"},{"family":"Shibata","given":"H"},{"family":"Honjoh","given":"T"},{"family":"Kimura","given":"K"},{"family":"Saito","given":"M"}],"issued":{"date-parts":[["2005",1]]},"PMID":"15683767"}}],"schema":"https://github.com/citation-style-language/schema/raw/master/csl-citation.json"} </w:instrText>
      </w:r>
      <w:r w:rsidRPr="003A0EF9">
        <w:fldChar w:fldCharType="separate"/>
      </w:r>
      <w:r w:rsidR="00C13C7E" w:rsidRPr="00C13C7E">
        <w:rPr>
          <w:vertAlign w:val="superscript"/>
        </w:rPr>
        <w:t>144</w:t>
      </w:r>
      <w:r w:rsidRPr="003A0EF9">
        <w:fldChar w:fldCharType="end"/>
      </w:r>
      <w:r w:rsidRPr="003A0EF9">
        <w:t xml:space="preserve">  </w:t>
      </w:r>
      <w:r w:rsidR="009D7104">
        <w:t>Insulin resistance is a common manifestation in obese people and has also been found in dogs.</w:t>
      </w:r>
      <w:r w:rsidR="009D7104">
        <w:fldChar w:fldCharType="begin"/>
      </w:r>
      <w:r w:rsidR="00636862">
        <w:instrText xml:space="preserve"> ADDIN ZOTERO_ITEM CSL_CITATION {"citationID":"5793ZUNa","properties":{"formattedCitation":"{\\rtf \\super 145\\uc0\\u8211{}148\\nosupersub{}}","plainCitation":"145–148"},"citationItems":[{"id":"sfRcBkgw/Mv2E0of4","uris":["http://zotero.org/users/local/Ry4zHLbn/items/T3HJ3BEN"],"uri":["http://zotero.org/users/local/Ry4zHLbn/items/T3HJ3BEN"],"itemData":{"id":"sfRcBkgw/Mv2E0of4","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Endocrinol."}},{"id":410,"uris":["http://zotero.org/users/171999/items/HISNJAIQ"],"uri":["http://zotero.org/users/171999/items/HISNJAIQ"],"itemData":{"id":410,"type":"article-journal","title":"Longitudinal compensation for fat-induced insulin resistance includes reduced insulin clearance and enhanced beta-cell response","container-title":"Diabetes","page":"2116-2125","volume":"49","issue":"12","source":"NCBI PubMed","abstract":"Central adiposity is highly correlated with insulin resistance, which is an important risk factor for type 2 diabetes and other chronic diseases. However, in normal individuals, central adiposity can be tolerated for many years without development of impaired glucose tolerance or diabetes. Here we examine longitudinally the mechanisms by which glucose tolerance can be maintained in the face of substantial insulin resistance. Normal dogs were fed a diet enriched with moderate amounts of fat (2 g x kg(-1) x day(-1)), similar to that seen in modern \"cafeteria\" diets, and the time course of metabolic changes in these animals was examined over 12 weeks. Trunk adiposity as assessed by magnetic resonance imaging increased from 12 to 19%, but body weight remained unchanged. Insulin sensitivity (SI) as determined by frequently sampled intravenous glucose tolerance tests was measured over a 12-week period. SI decreased 35% by week 1 and remained impaired for the entire 12 weeks. Intravenous glucose tolerance was reduced transiently for 1 week, recovered to baseline, and then again began to decline after 8 weeks. First-phase insulin response began to increase after week 2, peaked by week 6 (190% of basal), and then declined. The increase in insulin response was due partially to enhanced beta-cell function (22%) but due also to an approximately 50% reduction in insulin clearance. This compensation by insulin clearance was also confirmed with insulin clamps performed in fat-fed versus control dogs. The present study confirms the ability of the normal individual to compensate for fat-induced insulin resistance by enhanced insulin response, such that the product of insulin sensitivity x secretion is little changed. However, the compensation is due as much to reduced insulin clearance as increased beta-cell sensitivity to glucose. Reduced hepatic extraction of insulin may be the first line of defense providing a higher proportion of secreted insulin to the periphery and sparing the beta-cells during compensation for the insulin-resistant state.","ISSN":"0012-1797","note":"PMID: 11118015","journalAbbreviation":"Diabetes","language":"eng","author":[{"family":"Mittelman","given":"S D"},{"family":"Van Citters","given":"G W"},{"family":"Kim","given":"S P"},{"family":"Davis","given":"D A"},{"family":"Dea","given":"M K"},{"family":"Hamilton-Wessler","given":"M"},{"family":"Bergman","given":"R N"}],"issued":{"date-parts":[["2000",12]]},"PMID":"11118015"}},{"id":402,"uris":["http://zotero.org/users/171999/items/XHNSVAQZ"],"uri":["http://zotero.org/users/171999/items/XHNSVAQZ"],"itemData":{"id":402,"type":"article-journal","title":"Primacy of hepatic insulin resistance in the development of the metabolic syndrome induced by an isocaloric moderate-fat diet in the dog","container-title":"Diabetes","page":"2453-2460","volume":"52","issue":"10","source":"NCBI PubMed","abstract":"Obesity is highly correlated with insulin resistance and the development of type 2 diabetes. Insulin resistance will result in a decrease in insulin's ability to stimulate glucose uptake into peripheral tissue and will suppress glucose production by the liver. However, the development of peripheral and hepatic insulin resistance relative to one another in the context of obesity-associated insulin resistance is not well understood. To examine this phenomena, we used the moderate fat-fed dog model, which has been shown to develop both subcutaneous and visceral adiposity and severe insulin resistance. Six normal dogs were fed an isocaloric diet with a modest increase in fat content for 12 weeks, and they were assessed at weeks 0, 6, and 12 for changes in insulin sensitivity and glucose turnover. By week 12 of the diet, there was a more than twofold increase in trunk adiposity as assessed by magnetic resonance imaging because of an accumulation in both subcutaneous and visceral fat depots with very little change in body weight. Fasting plasma insulin had increased by week 6 (150% of week 0) and remained increased up to week 12 of the study (170% of week 0). Surprisingly, there appeared to be no change in the rates of insulin-stimulated glucose uptake as measured by euglycemic-hyperinsulinemic clamps throughout the course of fat feeding. However, there was an increase in steady-state plasma insulin levels at weeks 6 and 12, indicating a moderate degree of peripheral insulin resistance. In contrast to the moderate defect seen in the periphery, there was a marked impairment in insulin's ability to suppress endogenous glucose production during the clamp such that by week 12 of the study, there was a complete inability of insulin to suppress glucose production. Our results indicate that a diet enriched with a moderate amount of fat results in the development of both subcutaneous and visceral adiposity, hyperinsulinemia, and a modest degree of peripheral insulin resistance. However, there is a complete inability of insulin to suppress hepatic glucose production during the clamp, suggesting that insulin resistance of the liver may be the primary defect in the development of insulin resistance associated with obesity.","ISSN":"0012-1797","note":"PMID: 14514627","journalAbbreviation":"Diabetes","language":"eng","author":[{"family":"Kim","given":"Stella P"},{"family":"Ellmerer","given":"Martin"},{"family":"Van Citters","given":"Gregg W"},{"family":"Bergman","given":"Richard N"}],"issued":{"date-parts":[["2003",10]]},"PMID":"14514627"}},{"id":422,"uris":["http://zotero.org/users/171999/items/EWHIZQ5J"],"uri":["http://zotero.org/users/171999/items/EWHIZQ5J"],"itemData":{"id":422,"type":"article-journal","title":"Glucose-Tolerance and Insulin-Response in Obese Dogs","container-title":"Journal of the American Animal Hospital Association","page":"287-293","volume":"20","issue":"2","source":"ISI Web of Knowledge","ISSN":"0587-2871","note":"WOS:A1984SJ53700014","journalAbbreviation":"J. Am. Anim. Hosp. Assoc.","language":"English","author":[{"family":"Mattheeuws","given":"D."},{"family":"Rottiers","given":"R."},{"family":"Baeyens","given":"D."},{"family":"Vermeulen","given":"A."}],"issued":{"date-parts":[["1984"]]}}}],"schema":"https://github.com/citation-style-language/schema/raw/master/csl-citation.json"} </w:instrText>
      </w:r>
      <w:r w:rsidR="009D7104">
        <w:fldChar w:fldCharType="separate"/>
      </w:r>
      <w:r w:rsidR="00636862" w:rsidRPr="00636862">
        <w:rPr>
          <w:vertAlign w:val="superscript"/>
        </w:rPr>
        <w:t>145–148</w:t>
      </w:r>
      <w:r w:rsidR="009D7104">
        <w:fldChar w:fldCharType="end"/>
      </w:r>
      <w:r w:rsidR="009D7104">
        <w:t xml:space="preserve">  </w:t>
      </w:r>
      <w:r w:rsidRPr="003A0EF9">
        <w:t>Insulin is also able to affect food intake via hypothalamic receptors.</w:t>
      </w:r>
      <w:r w:rsidRPr="003A0EF9">
        <w:fldChar w:fldCharType="begin"/>
      </w:r>
      <w:r w:rsidR="00636862">
        <w:instrText xml:space="preserve"> ADDIN ZOTERO_ITEM CSL_CITATION {"citationID":"hr8tavY1","properties":{"formattedCitation":"{\\rtf \\super 149\\nosupersub{}}","plainCitation":"149"},"citationItems":[{"id":263,"uris":["http://zotero.org/users/local/Ry4zHLbn/items/PJSG8HKV"],"uri":["http://zotero.org/users/local/Ry4zHLbn/items/PJSG8HKV"],"itemData":{"id":263,"type":"article-journal","title":"Localization of 125I-insulin binding sites in the rat hypothalamus by quantitative autoradiography","container-title":"Neuroscience letters","page":"17-22","volume":"70","issue":"1","source":"NCBI PubMed","abstract":"In vitro autoradiography and computer video densitometry were used to localize and quantify binding of 125I-insulin in the hypothalamus of the rat brain. Highest specific binding was found in the arcuate, dorsomedial, suprachiasmatic, paraventricular and periventricular regions. Significantly lower binding was present in the ventromedial nucleus and median eminence. The results are consistent with the hypothesis that insulin modulates the neural regulation of feeding by acting at sites in the hypothalamus.","ISSN":"0304-3940","note":"PMID: 3534636","journalAbbreviation":"Neurosci. Lett.","language":"eng","author":[{"family":"Corp","given":"E S"},{"family":"Woods","given":"S C"},{"family":"Porte","given":"D, Jr"},{"family":"Dorsa","given":"D M"},{"family":"Figlewicz","given":"D P"},{"family":"Baskin","given":"D G"}],"issued":{"date-parts":[["1986",9,25]]},"PMID":"3534636"}}],"schema":"https://github.com/citation-style-language/schema/raw/master/csl-citation.json"} </w:instrText>
      </w:r>
      <w:r w:rsidRPr="003A0EF9">
        <w:fldChar w:fldCharType="separate"/>
      </w:r>
      <w:r w:rsidR="00636862" w:rsidRPr="00636862">
        <w:rPr>
          <w:vertAlign w:val="superscript"/>
        </w:rPr>
        <w:t>149</w:t>
      </w:r>
      <w:r w:rsidRPr="003A0EF9">
        <w:fldChar w:fldCharType="end"/>
      </w:r>
      <w:r w:rsidRPr="003A0EF9">
        <w:t xml:space="preserve">  When activated, these receptors inhibit NPY expression and coexpress POMC, thereby inhibiting food intake.</w:t>
      </w:r>
      <w:r w:rsidRPr="003A0EF9">
        <w:fldChar w:fldCharType="begin"/>
      </w:r>
      <w:r w:rsidR="00636862">
        <w:instrText xml:space="preserve"> ADDIN ZOTERO_ITEM CSL_CITATION {"citationID":"uhtC05oK","properties":{"formattedCitation":"{\\rtf \\super 150,151\\nosupersub{}}","plainCitation":"150,151"},"citationItems":[{"id":265,"uris":["http://zotero.org/users/local/Ry4zHLbn/items/SFX3EGKI"],"uri":["http://zotero.org/users/local/Ry4zHLbn/items/SFX3EGKI"],"itemData":{"id":265,"type":"article-journal","title":"Inhibition of hypothalamic neuropeptide Y gene expression by insulin","container-title":"Endocrinology","page":"3608-3616","volume":"130","issue":"6","source":"NCBI PubMed","abstract":"Insulin acts in the brain to suppress feeding, whereas neuropeptide Y (NPY) has the opposite effect. Since fasting lowers plasma insulin levels and increases hypothalamic synthesis of NPY, we proposed that insulin may inhibit hypothalamic NPY gene expression. To test this hypothesis, we used RIA and in situ hybridization histochemistry to determine if centrally administered insulin could reduce levels of both NPY and its messenger RNA (mRNA) in discreet hypothalamic regions during fasting. Three groups of Long-Evans rats were entered into a 72-h study protocol. One group was fed ad libitum during this period, while the others were fasted. Fed rats received intracerebroventricular (icv) injections of saline vehicle at 12-h intervals, whereas fasted groups received icv vehicle alone or with insulin (4 mU/12 h). In vehicle-only treated rats, fasting significantly increased expression of preproNPY mRNA in the arcuate nucleus to 179 +/- 20% of fed controls. Administration of icv insulin during fasting abolished this increase (99 +/- 14% of fed controls; P less than 0.05 vs. fasted, vehicle-treated rats). Central insulin administration during fasting also reduced immunoreactive NPY concentrations in samples punched from the paraventricular nucleus (PVN) (875 +/- 122 pg/punch) to levels below vehicle-only treated rats (1396 +/- 435 pg/punch; P less than 0.05), similar to free-feeding control values (814 +/- 170 pg/punch). By comparison, neither fasting nor central insulin administration altered NPY levels in four other hypothalamic regions (supraoptic, ventromedial, dorsomedial, and arcuate nuclei). Continuous icv insulin infusion at a lower dose (2 mU/day) produced a similar result during a shorter period (48 h) of food deprivation in Wistar rats. In this study, central insulin infusion also inhibited the fasting-related increase in arcuate preproNPY mRNA levels and did not affect plasma glucose or insulin levels. This suggests that insulin acts locally to inhibit hypothalamic NPY mRNA expression. We conclude that the increase of levels of NPY in the PVN and preproNPY mRNA in the arcuate nucleus during fasting are inhibited by icv insulin. Fasting, therefore, increases NPY biosynthesis along an arcuate nucleus-PVN pathway in the hypothalamus via a mechanism dependent on low insulin levels.","ISSN":"0013-7227","note":"PMID: 1597158","journalAbbreviation":"Endocrinology","language":"eng","author":[{"family":"Schwartz","given":"M W"},{"family":"Sipols","given":"A J"},{"family":"Marks","given":"J L"},{"family":"Sanacora","given":"G"},{"family":"White","given":"J D"},{"family":"Scheurink","given":"A"},{"family":"Kahn","given":"S E"},{"family":"Baskin","given":"D G"},{"family":"Woods","given":"S C"},{"family":"Figlewicz","given":"D P"}],"issued":{"date-parts":[["1992",6]]},"PMID":"1597158"}},{"id":267,"uris":["http://zotero.org/users/local/Ry4zHLbn/items/SVRMS4KH"],"uri":["http://zotero.org/users/local/Ry4zHLbn/items/SVRMS4KH"],"itemData":{"id":267,"type":"article-journal","title":"The catabolic action of insulin in the brain is mediated by melanocortins","container-title":"The Journal of neuroscience: the official journal of the Society for Neuroscience","page":"9048-9052","volume":"22","issue":"20","source":"NCBI PubMed","abstract":"Like leptin, the pancreatic hormone insulin is an important adiposity signal to the brain. We report that the hypothalamic melanocortin system is an important target of the actions of insulin to regulate food intake and body weight. Hypothalamic neurons expressing insulin receptors were found to coexpress the melanocortin precursor molecule pro-opiomelanocortin (POMC), and administration of insulin into the third cerebral ventricle of fasted rats increased expression of POMC mRNA. Finally, a subthreshold dose of the melanocortin antagonist SHU-9119 prevented the reduction in food intake caused by third-ventricular insulin administration. These data suggest that the hypothalamic melanocortin system mediates the anorexic effects of central insulin, as well as of leptin.","ISSN":"1529-2401","note":"PMID: 12388611","journalAbbreviation":"J. Neurosci.","language":"eng","author":[{"family":"Benoit","given":"Stephen C"},{"family":"Air","given":"Ellen L"},{"family":"Coolen","given":"Lique M"},{"family":"Strauss","given":"Richelle"},{"family":"Jackman","given":"Alana"},{"family":"Clegg","given":"Deborah J"},{"family":"Seeley","given":"Randy J"},{"family":"Woods","given":"Stephen C"}],"issued":{"date-parts":[["2002",10,15]]},"PMID":"12388611"}}],"schema":"https://github.com/citation-style-language/schema/raw/master/csl-citation.json"} </w:instrText>
      </w:r>
      <w:r w:rsidRPr="003A0EF9">
        <w:fldChar w:fldCharType="separate"/>
      </w:r>
      <w:r w:rsidR="00636862" w:rsidRPr="00636862">
        <w:rPr>
          <w:vertAlign w:val="superscript"/>
        </w:rPr>
        <w:t>150,151</w:t>
      </w:r>
      <w:r w:rsidRPr="003A0EF9">
        <w:fldChar w:fldCharType="end"/>
      </w:r>
      <w:r w:rsidR="00AF1447">
        <w:t xml:space="preserve">  </w:t>
      </w:r>
    </w:p>
    <w:p w:rsidR="002D43E9" w:rsidRDefault="00197D02" w:rsidP="002D43E9">
      <w:pPr>
        <w:ind w:firstLine="720"/>
        <w:contextualSpacing/>
      </w:pPr>
      <w:r w:rsidRPr="003A0EF9">
        <w:t>Leptin is</w:t>
      </w:r>
      <w:r w:rsidR="00FF00C6">
        <w:t xml:space="preserve"> an adiposity signal</w:t>
      </w:r>
      <w:r w:rsidRPr="003A0EF9">
        <w:t xml:space="preserve"> secreted from adipocytes via the </w:t>
      </w:r>
      <w:r w:rsidRPr="003A0EF9">
        <w:rPr>
          <w:i/>
        </w:rPr>
        <w:t>ob</w:t>
      </w:r>
      <w:r w:rsidRPr="003A0EF9">
        <w:t xml:space="preserve"> gene in direct proportion to the level of fat mass.</w:t>
      </w:r>
      <w:r w:rsidRPr="003A0EF9">
        <w:fldChar w:fldCharType="begin"/>
      </w:r>
      <w:r w:rsidR="00636862">
        <w:instrText xml:space="preserve"> ADDIN ZOTERO_ITEM CSL_CITATION {"citationID":"99sERtx0","properties":{"formattedCitation":"{\\rtf \\super 152\\uc0\\u8211{}157\\nosupersub{}}","plainCitation":"152–157"},"citationItems":[{"id":269,"uris":["http://zotero.org/users/local/Ry4zHLbn/items/B7KIJ56U"],"uri":["http://zotero.org/users/local/Ry4zHLbn/items/B7KIJ56U"],"itemData":{"id":269,"type":"article-journal","title":"Positional cloning of the mouse obese gene and its human homologue","container-title":"Nature","page":"425-432","volume":"372","issue":"6505","source":"NCBI PubMed","abstract":"The mechanisms that balance food intake and energy expenditure determine who will be obese and who will be lean. One of the molecules that regulates energy balance in the mouse is the obese (ob) gene. Mutation of ob results in profound obesity and type II diabetes as part of a syndrome that resembles morbid obesity in humans. The ob gene product may function as part of a signalling pathway from adipose tissue that acts to regulate the size of the body fat depot.","DOI":"10.1038/372425a0","ISSN":"0028-0836","note":"PMID: 7984236","journalAbbreviation":"Nature","language":"eng","author":[{"family":"Zhang","given":"Y"},{"family":"Proenca","given":"R"},{"family":"Maffei","given":"M"},{"family":"Barone","given":"M"},{"family":"Leopold","given":"L"},{"family":"Friedman","given":"J M"}],"issued":{"date-parts":[["1994",12,1]]},"PMID":"7984236"}},{"id":271,"uris":["http://zotero.org/users/local/Ry4zHLbn/items/MI4TTAGJ"],"uri":["http://zotero.org/users/local/Ry4zHLbn/items/MI4TTAGJ"],"itemData":{"id":271,"type":"article-journal","title":"Serum immunoreactive-leptin concentrations in normal-weight and obese humans","container-title":"The New England journal of medicine","page":"292-295","volume":"334","issue":"5","source":"NCBI PubMed","abstract":"BACKGROUND: Leptin, the product of the ob gene, is a hormone secreted by adipocytes. Animals with mutations in the ob gene are obese and lose weight when given leptin, but little is known about the physiologic actions of leptin in humans.\nMETHODS: Using a newly developed radioimmunoassay, wer measured serum concentrations of leptin in 136 normal-weight subjects and 139 obese subjects (body-mass index, &gt; or = 27.3 for men and &gt; or = 27.8 for women; the body-mass index was defined as the weight in kilograms divided by the square of the height in meters). The measurements were repeated in seven obese subjects after weight loss and during maintenance of the lower weight. The ob messenger RNA (mRNA) content of adipocytes was determined in 27 normal-weight and 27 obese subjects.\nRESULTS: The mean (+/- SD) serum leptin concentrations were 31.3 +/- 24.1 ng per milliliter in the obese subjects and 7.5 +/- 9.3 ng per milliliter in the normal-weight subjects (P &lt; 0.001). There was a strong positive correlation between serum leptin concentrations and the percentage of body fat (r = 0.85, P &lt; 0.001). The ob mRNA content of adipocytes was about twice as high in the obese subjects as in the normal-weight subjects (P &lt; 0.001) and was correlated with the percentage of body fat (r = 0.68, P &lt; 0.001) in the 54 subjects in whom it was measured. In the seven obese subjects studied after weight loss, both serum leptin concentrations and ob mRNA content of adipocytes declined, but these measures increased again during the maintenance of the lower weight.\nCONCLUSIONS: Serum leptin concentrations are correlated with the percentage of body fat, suggesting that most obese persons are insensitive to endogenous leptin production.","DOI":"10.1056/NEJM199602013340503","ISSN":"0028-4793","note":"PMID: 8532024","journalAbbreviation":"N. Engl. J. Med.","language":"eng","author":[{"family":"Considine","given":"R V"},{"family":"Sinha","given":"M K"},{"family":"Heiman","given":"M L"},{"family":"Kriauciunas","given":"A"},{"family":"Stephens","given":"T W"},{"family":"Nyce","given":"M R"},{"family":"Ohannesian","given":"J P"},{"family":"Marco","given":"C C"},{"family":"McKee","given":"L J"},{"family":"Bauer","given":"T L"}],"issued":{"date-parts":[["1996",2,1]]},"PMID":"8532024"}},{"id":273,"uris":["http://zotero.org/users/local/Ry4zHLbn/items/4M27QUAB"],"uri":["http://zotero.org/users/local/Ry4zHLbn/items/4M27QUAB"],"itemData":{"id":273,"type":"article-journal","title":"Leptin levels in human and rodent: measurement of plasma leptin and ob RNA in obese and weight-reduced subjects","container-title":"Nature medicine","page":"1155-1161","volume":"1","issue":"11","source":"NCBI PubMed","abstract":"Leptin, the gene product of the obese gene, may play an important role in regulating body weight by signalling the size of the adipose tissue mass. Plasma leptin was found to be highly correlated with body mass index (BMI) in rodents and in 87 lean and obese humans. In humans, there was variability in plasma leptin at each BMI suggesting that there are differences in its secretion rate from fat. Weight loss due to food restriction was associated with a decrease in plasma leptin in samples from mice and obese humans.","ISSN":"1078-8956","note":"PMID: 7584987","shortTitle":"Leptin levels in human and rodent","journalAbbreviation":"Nat. Med.","language":"eng","author":[{"family":"Maffei","given":"M"},{"family":"Halaas","given":"J"},{"family":"Ravussin","given":"E"},{"family":"Pratley","given":"R E"},{"family":"Lee","given":"G H"},{"family":"Zhang","given":"Y"},{"family":"Fei","given":"H"},{"family":"Kim","given":"S"},{"family":"Lallone","given":"R"},{"family":"Ranganathan","given":"S"}],"issued":{"date-parts":[["1995",11]]},"PMID":"7584987"}},{"id":275,"uris":["http://zotero.org/users/local/Ry4zHLbn/items/SXXM3WXK"],"uri":["http://zotero.org/users/local/Ry4zHLbn/items/SXXM3WXK"],"itemData":{"id":275,"type":"article-journal","title":"Correlation between plasma leptin concentration and body fat content in dogs","container-title":"American journal of veterinary research","page":"7-10","volume":"63","issue":"1","source":"NCBI PubMed","abstract":"OBJECTIVE: To evaluate the relationship between plasma leptin concentration and body fat content in dogs.\nANIMALS: 20 spayed female Beagles that were 10 months old at the start of the experiment.\nPROCEDURE: Dogs were kept under regulated feeding and exercise conditions for 21 weeks, resulting in a wide range of body weights, body condition scores (BCS), and subcutaneous thicknesses. Plasma leptin concentration was measured by use of a canine leptin-specific ELISA test to evaluate its correlation to body fat content estimated by the deuterium oxide dilution method. Plasma concentrations of glucose, cholesterol, triglycerides (TG), and nonesterified fatty acids (NEFA) were also measured.\nRESULTS: Body fat content (9 to 60% of body weight) was positively and closely correlated (r = 0.920; n = 20; P &lt; 0.001) to plasma leptin concentration (0.67 to 8.06 ng/ml), compared with other variables (ie, glucose, cholesterol, TG, and NEFA; r = 0.142, 0.412, 0.074, and 0.182, respectively).\nCONCLUSIONS AND CLINICAL RELEVANCE: The positive relationship between plasma leptin concentration and body fat content in dogs was similar to correlations reported for humans and rodents, suggesting that plasma leptin is a quantitative marker of adiposity in dogs.","ISSN":"0002-9645","note":"PMID: 16206772","journalAbbreviation":"Am. J. Vet. Res.","language":"eng","author":[{"family":"Sagawa","given":"Mayumi M"},{"family":"Nakadomo","given":"Fumio"},{"family":"Honjoh","given":"Tsutomu"},{"family":"Ishioka","given":"Katsumi"},{"family":"Saito","given":"Masayuki"}],"issued":{"date-parts":[["2002",1]]},"PMID":"16206772"}},{"id":277,"uris":["http://zotero.org/users/local/Ry4zHLbn/items/C86UJ9T2"],"uri":["http://zotero.org/users/local/Ry4zHLbn/items/C86UJ9T2"],"itemData":{"id":277,"type":"article-journal","title":"Experimental and clinical studies on plasma leptin in obese dogs","container-title":"The Journal of veterinary medical science / the Japanese Society of Veterinary Science","page":"349-353","volume":"64","issue":"4","source":"NCBI PubMed","abstract":"Leptin is a protein synthesized and secreted primarily by adipocytes, and the circulating leptin concentration is elevated in obese humans and rodents. Recently, we have established a sandwich enzyme-linked immunosorbent assay for canine leptin. In the present study, plasma leptin concentrations were measured in experimentally developed obese beagles and in clinically obese dogs. When 5 male beagles were given a high-energy diet for 3 months, all of them became obese and the plasma leptin concentration significantly increased from 2.4+/-1.2 to 4.9+/-0.9 ng/ml, positively correlating with body fat content estimated by the deuterium oxide dilution method (r=0.87). The leptin concentrations of plasma samples collected from 59 dogs in veterinary practices were compared with their body condition scores (BCS). The plasma leptin concentrations of obese dogs were 9.7+/-0.7 and 12.3+/-1.5 ng/ml at BCS=4 and BCS=5, respectively, which were significantly higher than those of optimal (BCS=3) dogs (2.7+/-0.3 ng/ml). There was no significant effect of sex and breed. A weak positive correlation (r=0.37) was found between the plasma leptin concentration and age, probably due to the lesser content of visceral fat in puppies younger than 1 year old. These results indicate that plasma leptin is a good index of adiposity in dogs regardless of breed, age and sex, and may be useful for quantitative assessment of obesity in small animal practice.","ISSN":"0916-7250","note":"PMID: 12014581","journalAbbreviation":"J. Vet. Med. Sci.","language":"eng","author":[{"family":"Ishioka","given":"Katsumi"},{"family":"Soliman","given":"Mohamed M"},{"family":"Sagawa","given":"Mayumi"},{"family":"Nakadomo","given":"Fumio"},{"family":"Shibata","given":"Haruki"},{"family":"Honjoh","given":"Tsutomu"},{"family":"Hashimoto","given":"Akira"},{"family":"Kitamura","given":"Hiroshi"},{"family":"Kimura","given":"Kazuhiro"},{"family":"Saito","given":"Masayuki"}],"issued":{"date-parts":[["2002",4]]},"PMID":"12014581"}},{"id":279,"uris":["http://zotero.org/users/local/Ry4zHLbn/items/8B467TE4"],"uri":["http://zotero.org/users/local/Ry4zHLbn/items/8B467TE4"],"itemData":{"id":279,"type":"article-journal","title":"Influence of obesity on plasma lipid and lipoprotein concentrations in dogs","container-title":"American journal of veterinary research","page":"81-86","volume":"66","issue":"1","source":"NCBI PubMed","abstract":"OBJECTIVE: To determine effects of obesity and diet in dogs on plasma lipid and lipoprotein concentrations by assaying plasma leptin and ghrelin concentrations and determining total plasma cholesterol and triglyceride concentrations as well as the concentrations of cholesterol and triglycerides in various lipoprotein classes (ie, very-low-density, low-density, and high-density lipoproteins).\nANIMALS: 24 Beagles; 12 lean (mean [+/- SEM] body weight, 12.7 +/- 0.7 kg) and 12 chronically obese (21.9 +/- 0.8 kg) dogs of both sexes, between 1 and 9 years old.\nPROCEDURES: Total plasma cholesterol and triglyceride concentrations; lipoprotein cholesterol and triglyceride concentrations; and plasma ghrelin, leptin, free fatty acids, insulin, and glucose concentrations were measured and compared between lean and obese dogs, both of which were fed a complete and balanced maintenance diet. Chronically obese dogs were subsequently fed a high-protein low-energy diet to evaluate effects of diet composition on plasma lipid and lipoprotein measurements.\nRESULTS: Chronic obesity resulted in a significant decrease in plasma ghrelin concentration and a significant increase in plasma leptin, cholesterol, and triglyceride concentrations in dogs. High total plasma cholesterol and triglyceride concentrations resulted from increased cholesterol and triglyceride concentrations in all lipoprotein fractions. In obese dogs, modification of diet composition resulted in beneficial effects on plasma lipid and leptin concentrations, even before weight loss was observed.\nCONCLUSIONS AND CLINICAL RELEVANCE: Correlations exist between obesity and plasma measurements (ie, lipoproteins, leptin, insulin, and ghrelin) commonly associated with obesity. Modification of diet composition to control energy intake improves plasma lipid and leptin concentrations in obese dogs.","ISSN":"0002-9645","note":"PMID: 15691040","journalAbbreviation":"Am. J. Vet. Res.","language":"eng","author":[{"family":"Jeusette","given":"Isabelle C"},{"family":"Lhoest","given":"Estelle T"},{"family":"Istasse","given":"Louis P"},{"family":"Diez","given":"Marianne O"}],"issued":{"date-parts":[["2005",1]]},"PMID":"15691040"}}],"schema":"https://github.com/citation-style-language/schema/raw/master/csl-citation.json"} </w:instrText>
      </w:r>
      <w:r w:rsidRPr="003A0EF9">
        <w:fldChar w:fldCharType="separate"/>
      </w:r>
      <w:r w:rsidR="00636862" w:rsidRPr="00636862">
        <w:rPr>
          <w:vertAlign w:val="superscript"/>
        </w:rPr>
        <w:t>152–157</w:t>
      </w:r>
      <w:r w:rsidRPr="003A0EF9">
        <w:fldChar w:fldCharType="end"/>
      </w:r>
      <w:r w:rsidRPr="003A0EF9">
        <w:t xml:space="preserve">  When leptin levels are low, mice exhibit weight gain, which is reversed after administration of an exogenous leptin source.</w:t>
      </w:r>
      <w:r w:rsidRPr="003A0EF9">
        <w:fldChar w:fldCharType="begin"/>
      </w:r>
      <w:r w:rsidR="00636862">
        <w:instrText xml:space="preserve"> ADDIN ZOTERO_ITEM CSL_CITATION {"citationID":"MTiVE07q","properties":{"formattedCitation":"{\\rtf \\super 158\\uc0\\u8211{}160\\nosupersub{}}","plainCitation":"158–160"},"citationItems":[{"id":281,"uris":["http://zotero.org/users/local/Ry4zHLbn/items/239CXQGM"],"uri":["http://zotero.org/users/local/Ry4zHLbn/items/239CXQGM"],"itemData":{"id":281,"type":"article-journal","title":"Effects of the obese gene product on body weight regulation in ob/ob mice","container-title":"Science (New York, N.Y.)","page":"540-543","volume":"269","issue":"5223","source":"NCBI PubMed","abstract":"C57BL/6J mice with a mutation in the obese (ob) gene are obese, diabetic, and exhibit reduced activity, metabolism, and body temperature. Daily intraperitoneal injection of these mice with recombinant OB protein lowered their body weight, percent body fat, food intake, and serum concentrations of glucose and insulin. In addition, metabolic rate, body temperature, and activity levels were increased by this treatment. None of these parameters was altered beyond the level observed in lean controls, suggesting that the OB protein normalized the metabolic status of the ob/ob mice. Lean animals injected with OB protein maintained a smaller weight loss throughout the 28-day study and showed no changes in any of the metabolic parameters. These data suggest that the OB protein regulates body weight and fat deposition through effects on metabolism and appetite.","ISSN":"0036-8075","note":"PMID: 7624776","journalAbbreviation":"Science","language":"eng","author":[{"family":"Pelleymounter","given":"M A"},{"family":"Cullen","given":"M J"},{"family":"Baker","given":"M B"},{"family":"Hecht","given":"R"},{"family":"Winters","given":"D"},{"family":"Boone","given":"T"},{"family":"Collins","given":"F"}],"issued":{"date-parts":[["1995",7,28]]},"PMID":"7624776"}},{"id":283,"uris":["http://zotero.org/users/local/Ry4zHLbn/items/8H4XM3BJ"],"uri":["http://zotero.org/users/local/Ry4zHLbn/items/8H4XM3BJ"],"itemData":{"id":283,"type":"article-journal","title":"Weight-reducing effects of the plasma protein encoded by the obese gene","container-title":"Science (New York, N.Y.)","page":"543-546","volume":"269","issue":"5223","source":"NCBI PubMed","abstract":"The gene product of the ob locus is important in the regulation of body weight. The ob product was shown to be present as a 16-kilodalton protein in mouse and human plasma but was undetectable in plasma from C57BL/6J ob/ob mice. Plasma levels of this protein were increased in diabetic (db) mice, a mutant thought to be resistant to the effects of ob. Daily intraperitoneal injections of either mouse or human recombinant OB protein reduced the body weight of ob/ob mice by 30 percent after 2 weeks of treatment with no apparent toxicity but had no effect on db/db mice. The protein reduced food intake and increased energy expenditure in ob/ob mice. Injections of wild-type mice twice daily with the mouse protein resulted in a sustained 12 percent weight loss, decreased food intake, and a reduction of body fat from 12.2 to 0.7 percent. These data suggest that the OB protein serves an endocrine function to regulate body fat stores.","ISSN":"0036-8075","note":"PMID: 7624777","journalAbbreviation":"Science","language":"eng","author":[{"family":"Halaas","given":"J L"},{"family":"Gajiwala","given":"K S"},{"family":"Maffei","given":"M"},{"family":"Cohen","given":"S L"},{"family":"Chait","given":"B T"},{"family":"Rabinowitz","given":"D"},{"family":"Lallone","given":"R L"},{"family":"Burley","given":"S K"},{"family":"Friedman","given":"J M"}],"issued":{"date-parts":[["1995",7,28]]},"PMID":"7624777"}},{"id":285,"uris":["http://zotero.org/users/local/Ry4zHLbn/items/IMX4WHKG"],"uri":["http://zotero.org/users/local/Ry4zHLbn/items/IMX4WHKG"],"itemData":{"id":285,"type":"article-journal","title":"Recombinant mouse OB protein: evidence for a peripheral signal linking adiposity and central neural networks","container-title":"Science (New York, N.Y.)","page":"546-549","volume":"269","issue":"5223","source":"NCBI PubMed","abstract":"The recent positional cloning of the mouse ob gene and its human homology has provided the basis to investigate the potential role of the ob gene product in body weight regulation. A biologically active form of recombinant mouse OB protein was overexpressed and purified to near homogeneity from a bacterial expression system. Peripheral and central administration of microgram doses of OB protein reduced food intake and body weight of ob/ob and diet-induced obese mice but not in db/db obese mice. The behavioral effects after brain administration suggest that OB protein can act directly on neuronal networks that control feeding and energy balance.","ISSN":"0036-8075","note":"PMID: 7624778","shortTitle":"Recombinant mouse OB protein","journalAbbreviation":"Science","language":"eng","author":[{"family":"Campfield","given":"L A"},{"family":"Smith","given":"F J"},{"family":"Guisez","given":"Y"},{"family":"Devos","given":"R"},{"family":"Burn","given":"P"}],"issued":{"date-parts":[["1995",7,28]]},"PMID":"7624778"}}],"schema":"https://github.com/citation-style-language/schema/raw/master/csl-citation.json"} </w:instrText>
      </w:r>
      <w:r w:rsidRPr="003A0EF9">
        <w:fldChar w:fldCharType="separate"/>
      </w:r>
      <w:r w:rsidR="00636862" w:rsidRPr="00636862">
        <w:rPr>
          <w:vertAlign w:val="superscript"/>
        </w:rPr>
        <w:t>158–160</w:t>
      </w:r>
      <w:r w:rsidRPr="003A0EF9">
        <w:fldChar w:fldCharType="end"/>
      </w:r>
      <w:r w:rsidRPr="003A0EF9">
        <w:t xml:space="preserve">  </w:t>
      </w:r>
      <w:r>
        <w:t>E</w:t>
      </w:r>
      <w:r w:rsidRPr="003A0EF9">
        <w:t>xogenous leptin causes decreased food intake and increased metabolic rate, body temperature, and activity levels compared to those exhibited in lean control mice.</w:t>
      </w:r>
      <w:r w:rsidRPr="003A0EF9">
        <w:fldChar w:fldCharType="begin"/>
      </w:r>
      <w:r w:rsidR="00636862">
        <w:instrText xml:space="preserve"> ADDIN ZOTERO_ITEM CSL_CITATION {"citationID":"odg2Sx5A","properties":{"formattedCitation":"{\\rtf \\super 158,159\\nosupersub{}}","plainCitation":"158,159"},"citationItems":[{"id":281,"uris":["http://zotero.org/users/local/Ry4zHLbn/items/239CXQGM"],"uri":["http://zotero.org/users/local/Ry4zHLbn/items/239CXQGM"],"itemData":{"id":281,"type":"article-journal","title":"Effects of the obese gene product on body weight regulation in ob/ob mice","container-title":"Science (New York, N.Y.)","page":"540-543","volume":"269","issue":"5223","source":"NCBI PubMed","abstract":"C57BL/6J mice with a mutation in the obese (ob) gene are obese, diabetic, and exhibit reduced activity, metabolism, and body temperature. Daily intraperitoneal injection of these mice with recombinant OB protein lowered their body weight, percent body fat, food intake, and serum concentrations of glucose and insulin. In addition, metabolic rate, body temperature, and activity levels were increased by this treatment. None of these parameters was altered beyond the level observed in lean controls, suggesting that the OB protein normalized the metabolic status of the ob/ob mice. Lean animals injected with OB protein maintained a smaller weight loss throughout the 28-day study and showed no changes in any of the metabolic parameters. These data suggest that the OB protein regulates body weight and fat deposition through effects on metabolism and appetite.","ISSN":"0036-8075","note":"PMID: 7624776","journalAbbreviation":"Science","language":"eng","author":[{"family":"Pelleymounter","given":"M A"},{"family":"Cullen","given":"M J"},{"family":"Baker","given":"M B"},{"family":"Hecht","given":"R"},{"family":"Winters","given":"D"},{"family":"Boone","given":"T"},{"family":"Collins","given":"F"}],"issued":{"date-parts":[["1995",7,28]]},"PMID":"7624776"}},{"id":283,"uris":["http://zotero.org/users/local/Ry4zHLbn/items/8H4XM3BJ"],"uri":["http://zotero.org/users/local/Ry4zHLbn/items/8H4XM3BJ"],"itemData":{"id":283,"type":"article-journal","title":"Weight-reducing effects of the plasma protein encoded by the obese gene","container-title":"Science (New York, N.Y.)","page":"543-546","volume":"269","issue":"5223","source":"NCBI PubMed","abstract":"The gene product of the ob locus is important in the regulation of body weight. The ob product was shown to be present as a 16-kilodalton protein in mouse and human plasma but was undetectable in plasma from C57BL/6J ob/ob mice. Plasma levels of this protein were increased in diabetic (db) mice, a mutant thought to be resistant to the effects of ob. Daily intraperitoneal injections of either mouse or human recombinant OB protein reduced the body weight of ob/ob mice by 30 percent after 2 weeks of treatment with no apparent toxicity but had no effect on db/db mice. The protein reduced food intake and increased energy expenditure in ob/ob mice. Injections of wild-type mice twice daily with the mouse protein resulted in a sustained 12 percent weight loss, decreased food intake, and a reduction of body fat from 12.2 to 0.7 percent. These data suggest that the OB protein serves an endocrine function to regulate body fat stores.","ISSN":"0036-8075","note":"PMID: 7624777","journalAbbreviation":"Science","language":"eng","author":[{"family":"Halaas","given":"J L"},{"family":"Gajiwala","given":"K S"},{"family":"Maffei","given":"M"},{"family":"Cohen","given":"S L"},{"family":"Chait","given":"B T"},{"family":"Rabinowitz","given":"D"},{"family":"Lallone","given":"R L"},{"family":"Burley","given":"S K"},{"family":"Friedman","given":"J M"}],"issued":{"date-parts":[["1995",7,28]]},"PMID":"7624777"}}],"schema":"https://github.com/citation-style-language/schema/raw/master/csl-citation.json"} </w:instrText>
      </w:r>
      <w:r w:rsidRPr="003A0EF9">
        <w:fldChar w:fldCharType="separate"/>
      </w:r>
      <w:r w:rsidR="00636862" w:rsidRPr="00636862">
        <w:rPr>
          <w:vertAlign w:val="superscript"/>
        </w:rPr>
        <w:t>158,159</w:t>
      </w:r>
      <w:r w:rsidRPr="003A0EF9">
        <w:fldChar w:fldCharType="end"/>
      </w:r>
      <w:r w:rsidRPr="003A0EF9">
        <w:t xml:space="preserve">  It also </w:t>
      </w:r>
      <w:r>
        <w:t>results in</w:t>
      </w:r>
      <w:r w:rsidRPr="003A0EF9">
        <w:t xml:space="preserve"> weight loss, decreased food intake, and reduced body fat in wild-type and diet induced obese mice.</w:t>
      </w:r>
      <w:r w:rsidRPr="003A0EF9">
        <w:fldChar w:fldCharType="begin"/>
      </w:r>
      <w:r w:rsidR="00636862">
        <w:instrText xml:space="preserve"> ADDIN ZOTERO_ITEM CSL_CITATION {"citationID":"ZbIOBl0H","properties":{"formattedCitation":"{\\rtf \\super 159,160\\nosupersub{}}","plainCitation":"159,160"},"citationItems":[{"id":283,"uris":["http://zotero.org/users/local/Ry4zHLbn/items/8H4XM3BJ"],"uri":["http://zotero.org/users/local/Ry4zHLbn/items/8H4XM3BJ"],"itemData":{"id":283,"type":"article-journal","title":"Weight-reducing effects of the plasma protein encoded by the obese gene","container-title":"Science (New York, N.Y.)","page":"543-546","volume":"269","issue":"5223","source":"NCBI PubMed","abstract":"The gene product of the ob locus is important in the regulation of body weight. The ob product was shown to be present as a 16-kilodalton protein in mouse and human plasma but was undetectable in plasma from C57BL/6J ob/ob mice. Plasma levels of this protein were increased in diabetic (db) mice, a mutant thought to be resistant to the effects of ob. Daily intraperitoneal injections of either mouse or human recombinant OB protein reduced the body weight of ob/ob mice by 30 percent after 2 weeks of treatment with no apparent toxicity but had no effect on db/db mice. The protein reduced food intake and increased energy expenditure in ob/ob mice. Injections of wild-type mice twice daily with the mouse protein resulted in a sustained 12 percent weight loss, decreased food intake, and a reduction of body fat from 12.2 to 0.7 percent. These data suggest that the OB protein serves an endocrine function to regulate body fat stores.","ISSN":"0036-8075","note":"PMID: 7624777","journalAbbreviation":"Science","language":"eng","author":[{"family":"Halaas","given":"J L"},{"family":"Gajiwala","given":"K S"},{"family":"Maffei","given":"M"},{"family":"Cohen","given":"S L"},{"family":"Chait","given":"B T"},{"family":"Rabinowitz","given":"D"},{"family":"Lallone","given":"R L"},{"family":"Burley","given":"S K"},{"family":"Friedman","given":"J M"}],"issued":{"date-parts":[["1995",7,28]]},"PMID":"7624777"}},{"id":285,"uris":["http://zotero.org/users/local/Ry4zHLbn/items/IMX4WHKG"],"uri":["http://zotero.org/users/local/Ry4zHLbn/items/IMX4WHKG"],"itemData":{"id":285,"type":"article-journal","title":"Recombinant mouse OB protein: evidence for a peripheral signal linking adiposity and central neural networks","container-title":"Science (New York, N.Y.)","page":"546-549","volume":"269","issue":"5223","source":"NCBI PubMed","abstract":"The recent positional cloning of the mouse ob gene and its human homology has provided the basis to investigate the potential role of the ob gene product in body weight regulation. A biologically active form of recombinant mouse OB protein was overexpressed and purified to near homogeneity from a bacterial expression system. Peripheral and central administration of microgram doses of OB protein reduced food intake and body weight of ob/ob and diet-induced obese mice but not in db/db obese mice. The behavioral effects after brain administration suggest that OB protein can act directly on neuronal networks that control feeding and energy balance.","ISSN":"0036-8075","note":"PMID: 7624778","shortTitle":"Recombinant mouse OB protein","journalAbbreviation":"Science","language":"eng","author":[{"family":"Campfield","given":"L A"},{"family":"Smith","given":"F J"},{"family":"Guisez","given":"Y"},{"family":"Devos","given":"R"},{"family":"Burn","given":"P"}],"issued":{"date-parts":[["1995",7,28]]},"PMID":"7624778"}}],"schema":"https://github.com/citation-style-language/schema/raw/master/csl-citation.json"} </w:instrText>
      </w:r>
      <w:r w:rsidRPr="003A0EF9">
        <w:fldChar w:fldCharType="separate"/>
      </w:r>
      <w:r w:rsidR="00636862" w:rsidRPr="00636862">
        <w:rPr>
          <w:vertAlign w:val="superscript"/>
        </w:rPr>
        <w:t>159,160</w:t>
      </w:r>
      <w:r w:rsidRPr="003A0EF9">
        <w:fldChar w:fldCharType="end"/>
      </w:r>
      <w:r w:rsidRPr="003A0EF9">
        <w:t xml:space="preserve">  </w:t>
      </w:r>
      <w:r>
        <w:t>In chronically obese mice</w:t>
      </w:r>
      <w:r w:rsidRPr="003A0EF9">
        <w:t>, however, leptin is elevated and unable to assert its antiobesity effects.  In people, serum leptin concentration is 4 times higher in obese individuals versus those with a normal weight, with a strong positive correlation  to the level of fat mass.</w:t>
      </w:r>
      <w:r w:rsidRPr="003A0EF9">
        <w:fldChar w:fldCharType="begin"/>
      </w:r>
      <w:r w:rsidR="00636862">
        <w:instrText xml:space="preserve"> ADDIN ZOTERO_ITEM CSL_CITATION {"citationID":"ysmsy9I2","properties":{"formattedCitation":"{\\rtf \\super 153\\nosupersub{}}","plainCitation":"153"},"citationItems":[{"id":271,"uris":["http://zotero.org/users/local/Ry4zHLbn/items/MI4TTAGJ"],"uri":["http://zotero.org/users/local/Ry4zHLbn/items/MI4TTAGJ"],"itemData":{"id":271,"type":"article-journal","title":"Serum immunoreactive-leptin concentrations in normal-weight and obese humans","container-title":"The New England journal of medicine","page":"292-295","volume":"334","issue":"5","source":"NCBI PubMed","abstract":"BACKGROUND: Leptin, the product of the ob gene, is a hormone secreted by adipocytes. Animals with mutations in the ob gene are obese and lose weight when given leptin, but little is known about the physiologic actions of leptin in humans.\nMETHODS: Using a newly developed radioimmunoassay, wer measured serum concentrations of leptin in 136 normal-weight subjects and 139 obese subjects (body-mass index, &gt; or = 27.3 for men and &gt; or = 27.8 for women; the body-mass index was defined as the weight in kilograms divided by the square of the height in meters). The measurements were repeated in seven obese subjects after weight loss and during maintenance of the lower weight. The ob messenger RNA (mRNA) content of adipocytes was determined in 27 normal-weight and 27 obese subjects.\nRESULTS: The mean (+/- SD) serum leptin concentrations were 31.3 +/- 24.1 ng per milliliter in the obese subjects and 7.5 +/- 9.3 ng per milliliter in the normal-weight subjects (P &lt; 0.001). There was a strong positive correlation between serum leptin concentrations and the percentage of body fat (r = 0.85, P &lt; 0.001). The ob mRNA content of adipocytes was about twice as high in the obese subjects as in the normal-weight subjects (P &lt; 0.001) and was correlated with the percentage of body fat (r = 0.68, P &lt; 0.001) in the 54 subjects in whom it was measured. In the seven obese subjects studied after weight loss, both serum leptin concentrations and ob mRNA content of adipocytes declined, but these measures increased again during the maintenance of the lower weight.\nCONCLUSIONS: Serum leptin concentrations are correlated with the percentage of body fat, suggesting that most obese persons are insensitive to endogenous leptin production.","DOI":"10.1056/NEJM199602013340503","ISSN":"0028-4793","note":"PMID: 8532024","journalAbbreviation":"N. Engl. J. Med.","language":"eng","author":[{"family":"Considine","given":"R V"},{"family":"Sinha","given":"M K"},{"family":"Heiman","given":"M L"},{"family":"Kriauciunas","given":"A"},{"family":"Stephens","given":"T W"},{"family":"Nyce","given":"M R"},{"family":"Ohannesian","given":"J P"},{"family":"Marco","given":"C C"},{"family":"McKee","given":"L J"},{"family":"Bauer","given":"T L"}],"issued":{"date-parts":[["1996",2,1]]},"PMID":"8532024"}}],"schema":"https://github.com/citation-style-language/schema/raw/master/csl-citation.json"} </w:instrText>
      </w:r>
      <w:r w:rsidRPr="003A0EF9">
        <w:fldChar w:fldCharType="separate"/>
      </w:r>
      <w:r w:rsidR="00636862" w:rsidRPr="00636862">
        <w:rPr>
          <w:vertAlign w:val="superscript"/>
        </w:rPr>
        <w:t>153</w:t>
      </w:r>
      <w:r w:rsidRPr="003A0EF9">
        <w:fldChar w:fldCharType="end"/>
      </w:r>
      <w:r w:rsidRPr="003A0EF9">
        <w:t xml:space="preserve">  Similar results are seen when lean dogs (BCS 3/5) are compared to obese dogs (BCS 5/5), regardless of gender or breed.</w:t>
      </w:r>
      <w:r w:rsidRPr="003A0EF9">
        <w:fldChar w:fldCharType="begin"/>
      </w:r>
      <w:r w:rsidR="00636862">
        <w:instrText xml:space="preserve"> ADDIN ZOTERO_ITEM CSL_CITATION {"citationID":"4e40Jfwh","properties":{"formattedCitation":"{\\rtf \\super 17,156\\nosupersub{}}","plainCitation":"17,156"},"citationItems":[{"id":277,"uris":["http://zotero.org/users/local/Ry4zHLbn/items/C86UJ9T2"],"uri":["http://zotero.org/users/local/Ry4zHLbn/items/C86UJ9T2"],"itemData":{"id":277,"type":"article-journal","title":"Experimental and clinical studies on plasma leptin in obese dogs","container-title":"The Journal of veterinary medical science / the Japanese Society of Veterinary Science","page":"349-353","volume":"64","issue":"4","source":"NCBI PubMed","abstract":"Leptin is a protein synthesized and secreted primarily by adipocytes, and the circulating leptin concentration is elevated in obese humans and rodents. Recently, we have established a sandwich enzyme-linked immunosorbent assay for canine leptin. In the present study, plasma leptin concentrations were measured in experimentally developed obese beagles and in clinically obese dogs. When 5 male beagles were given a high-energy diet for 3 months, all of them became obese and the plasma leptin concentration significantly increased from 2.4+/-1.2 to 4.9+/-0.9 ng/ml, positively correlating with body fat content estimated by the deuterium oxide dilution method (r=0.87). The leptin concentrations of plasma samples collected from 59 dogs in veterinary practices were compared with their body condition scores (BCS). The plasma leptin concentrations of obese dogs were 9.7+/-0.7 and 12.3+/-1.5 ng/ml at BCS=4 and BCS=5, respectively, which were significantly higher than those of optimal (BCS=3) dogs (2.7+/-0.3 ng/ml). There was no significant effect of sex and breed. A weak positive correlation (r=0.37) was found between the plasma leptin concentration and age, probably due to the lesser content of visceral fat in puppies younger than 1 year old. These results indicate that plasma leptin is a good index of adiposity in dogs regardless of breed, age and sex, and may be useful for quantitative assessment of obesity in small animal practice.","ISSN":"0916-7250","note":"PMID: 12014581","journalAbbreviation":"J. Vet. Med. Sci.","language":"eng","author":[{"family":"Ishioka","given":"Katsumi"},{"family":"Soliman","given":"Mohamed M"},{"family":"Sagawa","given":"Mayumi"},{"family":"Nakadomo","given":"Fumio"},{"family":"Shibata","given":"Haruki"},{"family":"Honjoh","given":"Tsutomu"},{"family":"Hashimoto","given":"Akira"},{"family":"Kitamura","given":"Hiroshi"},{"family":"Kimura","given":"Kazuhiro"},{"family":"Saito","given":"Masayuki"}],"issued":{"date-parts":[["2002",4]]},"PMID":"12014581"}},{"id":287,"uris":["http://zotero.org/users/local/Ry4zHLbn/items/CKGM6JWG"],"uri":["http://zotero.org/users/local/Ry4zHLbn/items/CKGM6JWG"],"itemData":{"id":287,"type":"article-journal","title":"Plasma leptin concentration in dogs: effects of body condition score, age, gender and breeds","container-title":"Research in veterinary science","page":"11-15","volume":"82","issue":"1","source":"NCBI PubMed","abstract":"Leptin is a cytokine produced by adipocytes, and plays a key role in the regulation of energy balance. In the present study, we measured plasma leptin concentrations of 166 normal and obese dogs visiting veterinary practices, and clarified the influence of age, gender and breed on plasma leptin levels in dogs. Leptin levels were higher in the dogs with higher body condition scores. There was no noticeable influence of age, gender and breed, but those in optimal puppies and obese Miniature Dachshund tended to be lower than those in corresponding groups. We conclude that plasma leptin is a reliable marker of adiposity in dogs regardless of age, gender and breed variations, and thereby useful as a blood biochemistry test for health examinations and treatment of obesity.","DOI":"10.1016/j.rvsc.2006.06.002","ISSN":"0034-5288","note":"PMID: 16919691","shortTitle":"Plasma leptin concentration in dogs","journalAbbreviation":"Res. Vet. Sci.","language":"eng","author":[{"family":"Ishioka","given":"K"},{"family":"Hosoya","given":"K"},{"family":"Kitagawa","given":"H"},{"family":"Shibata","given":"H"},{"family":"Honjoh","given":"T"},{"family":"Kimura","given":"K"},{"family":"Saito","given":"M"}],"issued":{"date-parts":[["2007",2]]},"PMID":"16919691"}}],"schema":"https://github.com/citation-style-language/schema/raw/master/csl-citation.json"} </w:instrText>
      </w:r>
      <w:r w:rsidRPr="003A0EF9">
        <w:fldChar w:fldCharType="separate"/>
      </w:r>
      <w:r w:rsidR="00636862" w:rsidRPr="00636862">
        <w:rPr>
          <w:vertAlign w:val="superscript"/>
        </w:rPr>
        <w:t>17,156</w:t>
      </w:r>
      <w:r w:rsidRPr="003A0EF9">
        <w:fldChar w:fldCharType="end"/>
      </w:r>
      <w:r w:rsidRPr="003A0EF9">
        <w:t xml:space="preserve">  Age of adult dogs does not affect plasma leptin levels, but a posit</w:t>
      </w:r>
      <w:r>
        <w:t>ive correlation (r=0.37) is observed</w:t>
      </w:r>
      <w:r w:rsidRPr="003A0EF9">
        <w:t xml:space="preserve"> when dogs less than one year of age are included in analysis.</w:t>
      </w:r>
      <w:r w:rsidRPr="003A0EF9">
        <w:fldChar w:fldCharType="begin"/>
      </w:r>
      <w:r w:rsidR="00636862">
        <w:instrText xml:space="preserve"> ADDIN ZOTERO_ITEM CSL_CITATION {"citationID":"aUAOtkoS","properties":{"formattedCitation":"{\\rtf \\super 17,156\\nosupersub{}}","plainCitation":"17,156"},"citationItems":[{"id":277,"uris":["http://zotero.org/users/local/Ry4zHLbn/items/C86UJ9T2"],"uri":["http://zotero.org/users/local/Ry4zHLbn/items/C86UJ9T2"],"itemData":{"id":277,"type":"article-journal","title":"Experimental and clinical studies on plasma leptin in obese dogs","container-title":"The Journal of veterinary medical science / the Japanese Society of Veterinary Science","page":"349-353","volume":"64","issue":"4","source":"NCBI PubMed","abstract":"Leptin is a protein synthesized and secreted primarily by adipocytes, and the circulating leptin concentration is elevated in obese humans and rodents. Recently, we have established a sandwich enzyme-linked immunosorbent assay for canine leptin. In the present study, plasma leptin concentrations were measured in experimentally developed obese beagles and in clinically obese dogs. When 5 male beagles were given a high-energy diet for 3 months, all of them became obese and the plasma leptin concentration significantly increased from 2.4+/-1.2 to 4.9+/-0.9 ng/ml, positively correlating with body fat content estimated by the deuterium oxide dilution method (r=0.87). The leptin concentrations of plasma samples collected from 59 dogs in veterinary practices were compared with their body condition scores (BCS). The plasma leptin concentrations of obese dogs were 9.7+/-0.7 and 12.3+/-1.5 ng/ml at BCS=4 and BCS=5, respectively, which were significantly higher than those of optimal (BCS=3) dogs (2.7+/-0.3 ng/ml). There was no significant effect of sex and breed. A weak positive correlation (r=0.37) was found between the plasma leptin concentration and age, probably due to the lesser content of visceral fat in puppies younger than 1 year old. These results indicate that plasma leptin is a good index of adiposity in dogs regardless of breed, age and sex, and may be useful for quantitative assessment of obesity in small animal practice.","ISSN":"0916-7250","note":"PMID: 12014581","journalAbbreviation":"J. Vet. Med. Sci.","language":"eng","author":[{"family":"Ishioka","given":"Katsumi"},{"family":"Soliman","given":"Mohamed M"},{"family":"Sagawa","given":"Mayumi"},{"family":"Nakadomo","given":"Fumio"},{"family":"Shibata","given":"Haruki"},{"family":"Honjoh","given":"Tsutomu"},{"family":"Hashimoto","given":"Akira"},{"family":"Kitamura","given":"Hiroshi"},{"family":"Kimura","given":"Kazuhiro"},{"family":"Saito","given":"Masayuki"}],"issued":{"date-parts":[["2002",4]]},"PMID":"12014581"}},{"id":287,"uris":["http://zotero.org/users/local/Ry4zHLbn/items/CKGM6JWG"],"uri":["http://zotero.org/users/local/Ry4zHLbn/items/CKGM6JWG"],"itemData":{"id":287,"type":"article-journal","title":"Plasma leptin concentration in dogs: effects of body condition score, age, gender and breeds","container-title":"Research in veterinary science","page":"11-15","volume":"82","issue":"1","source":"NCBI PubMed","abstract":"Leptin is a cytokine produced by adipocytes, and plays a key role in the regulation of energy balance. In the present study, we measured plasma leptin concentrations of 166 normal and obese dogs visiting veterinary practices, and clarified the influence of age, gender and breed on plasma leptin levels in dogs. Leptin levels were higher in the dogs with higher body condition scores. There was no noticeable influence of age, gender and breed, but those in optimal puppies and obese Miniature Dachshund tended to be lower than those in corresponding groups. We conclude that plasma leptin is a reliable marker of adiposity in dogs regardless of age, gender and breed variations, and thereby useful as a blood biochemistry test for health examinations and treatment of obesity.","DOI":"10.1016/j.rvsc.2006.06.002","ISSN":"0034-5288","note":"PMID: 16919691","shortTitle":"Plasma leptin concentration in dogs","journalAbbreviation":"Res. Vet. Sci.","language":"eng","author":[{"family":"Ishioka","given":"K"},{"family":"Hosoya","given":"K"},{"family":"Kitagawa","given":"H"},{"family":"Shibata","given":"H"},{"family":"Honjoh","given":"T"},{"family":"Kimura","given":"K"},{"family":"Saito","given":"M"}],"issued":{"date-parts":[["2007",2]]},"PMID":"16919691"}}],"schema":"https://github.com/citation-style-language/schema/raw/master/csl-citation.json"} </w:instrText>
      </w:r>
      <w:r w:rsidRPr="003A0EF9">
        <w:fldChar w:fldCharType="separate"/>
      </w:r>
      <w:r w:rsidR="00636862" w:rsidRPr="00636862">
        <w:rPr>
          <w:vertAlign w:val="superscript"/>
        </w:rPr>
        <w:t>17,156</w:t>
      </w:r>
      <w:r w:rsidRPr="003A0EF9">
        <w:fldChar w:fldCharType="end"/>
      </w:r>
      <w:r>
        <w:t xml:space="preserve">  This weak</w:t>
      </w:r>
      <w:r w:rsidRPr="003A0EF9">
        <w:t xml:space="preserve"> age relationship has been attributed to lower level of visceral fat mass found in puppies.</w:t>
      </w:r>
      <w:r w:rsidRPr="003A0EF9">
        <w:fldChar w:fldCharType="begin"/>
      </w:r>
      <w:r w:rsidR="00636862">
        <w:instrText xml:space="preserve"> ADDIN ZOTERO_ITEM CSL_CITATION {"citationID":"S88erdSY","properties":{"formattedCitation":"{\\rtf \\super 156\\nosupersub{}}","plainCitation":"156"},"citationItems":[{"id":277,"uris":["http://zotero.org/users/local/Ry4zHLbn/items/C86UJ9T2"],"uri":["http://zotero.org/users/local/Ry4zHLbn/items/C86UJ9T2"],"itemData":{"id":277,"type":"article-journal","title":"Experimental and clinical studies on plasma leptin in obese dogs","container-title":"The Journal of veterinary medical science / the Japanese Society of Veterinary Science","page":"349-353","volume":"64","issue":"4","source":"NCBI PubMed","abstract":"Leptin is a protein synthesized and secreted primarily by adipocytes, and the circulating leptin concentration is elevated in obese humans and rodents. Recently, we have established a sandwich enzyme-linked immunosorbent assay for canine leptin. In the present study, plasma leptin concentrations were measured in experimentally developed obese beagles and in clinically obese dogs. When 5 male beagles were given a high-energy diet for 3 months, all of them became obese and the plasma leptin concentration significantly increased from 2.4+/-1.2 to 4.9+/-0.9 ng/ml, positively correlating with body fat content estimated by the deuterium oxide dilution method (r=0.87). The leptin concentrations of plasma samples collected from 59 dogs in veterinary practices were compared with their body condition scores (BCS). The plasma leptin concentrations of obese dogs were 9.7+/-0.7 and 12.3+/-1.5 ng/ml at BCS=4 and BCS=5, respectively, which were significantly higher than those of optimal (BCS=3) dogs (2.7+/-0.3 ng/ml). There was no significant effect of sex and breed. A weak positive correlation (r=0.37) was found between the plasma leptin concentration and age, probably due to the lesser content of visceral fat in puppies younger than 1 year old. These results indicate that plasma leptin is a good index of adiposity in dogs regardless of breed, age and sex, and may be useful for quantitative assessment of obesity in small animal practice.","ISSN":"0916-7250","note":"PMID: 12014581","journalAbbreviation":"J. Vet. Med. Sci.","language":"eng","author":[{"family":"Ishioka","given":"Katsumi"},{"family":"Soliman","given":"Mohamed M"},{"family":"Sagawa","given":"Mayumi"},{"family":"Nakadomo","given":"Fumio"},{"family":"Shibata","given":"Haruki"},{"family":"Honjoh","given":"Tsutomu"},{"family":"Hashimoto","given":"Akira"},{"family":"Kitamura","given":"Hiroshi"},{"family":"Kimura","given":"Kazuhiro"},{"family":"Saito","given":"Masayuki"}],"issued":{"date-parts":[["2002",4]]},"PMID":"12014581"}}],"schema":"https://github.com/citation-style-language/schema/raw/master/csl-citation.json"} </w:instrText>
      </w:r>
      <w:r w:rsidRPr="003A0EF9">
        <w:fldChar w:fldCharType="separate"/>
      </w:r>
      <w:r w:rsidR="00636862" w:rsidRPr="00636862">
        <w:rPr>
          <w:vertAlign w:val="superscript"/>
        </w:rPr>
        <w:t>156</w:t>
      </w:r>
      <w:r w:rsidRPr="003A0EF9">
        <w:fldChar w:fldCharType="end"/>
      </w:r>
      <w:r w:rsidRPr="003A0EF9">
        <w:t xml:space="preserve">  Adipocytes harvested from</w:t>
      </w:r>
    </w:p>
    <w:p w:rsidR="002D43E9" w:rsidRDefault="00197D02" w:rsidP="002D43E9">
      <w:pPr>
        <w:ind w:firstLine="720"/>
        <w:contextualSpacing/>
      </w:pPr>
      <w:r w:rsidRPr="003A0EF9">
        <w:lastRenderedPageBreak/>
        <w:t xml:space="preserve"> </w:t>
      </w:r>
      <w:r w:rsidR="002D43E9">
        <w:rPr>
          <w:noProof/>
        </w:rPr>
        <w:drawing>
          <wp:inline distT="0" distB="0" distL="0" distR="0" wp14:anchorId="075CD90A" wp14:editId="0FFF0B90">
            <wp:extent cx="5486400" cy="3726988"/>
            <wp:effectExtent l="0" t="0" r="0" b="6985"/>
            <wp:docPr id="5" name="Picture 5" descr="http://ajpheart.physiology.org/content/ajpheart/301/2/H469/F8.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ajpheart.physiology.org/content/ajpheart/301/2/H469/F8.larg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3726988"/>
                    </a:xfrm>
                    <a:prstGeom prst="rect">
                      <a:avLst/>
                    </a:prstGeom>
                    <a:noFill/>
                    <a:ln>
                      <a:noFill/>
                    </a:ln>
                  </pic:spPr>
                </pic:pic>
              </a:graphicData>
            </a:graphic>
          </wp:inline>
        </w:drawing>
      </w:r>
    </w:p>
    <w:p w:rsidR="002D43E9" w:rsidRDefault="002D43E9" w:rsidP="002D43E9">
      <w:pPr>
        <w:pStyle w:val="Caption"/>
      </w:pPr>
      <w:bookmarkStart w:id="10" w:name="_Toc376465862"/>
      <w:r>
        <w:t xml:space="preserve">Figure </w:t>
      </w:r>
      <w:fldSimple w:instr=" SEQ Figure \* ARABIC ">
        <w:r w:rsidR="00DE5561">
          <w:rPr>
            <w:noProof/>
          </w:rPr>
          <w:t>2</w:t>
        </w:r>
      </w:fldSimple>
      <w:r>
        <w:t xml:space="preserve"> Regulation of glucose uptake by insulin and AMPK</w:t>
      </w:r>
      <w:r w:rsidR="00025B7A">
        <w:t>.</w:t>
      </w:r>
      <w:bookmarkEnd w:id="10"/>
    </w:p>
    <w:p w:rsidR="002D43E9" w:rsidRPr="00B35180" w:rsidRDefault="002D43E9" w:rsidP="002D43E9">
      <w:pPr>
        <w:rPr>
          <w:color w:val="FF0000"/>
        </w:rPr>
        <w:sectPr w:rsidR="002D43E9" w:rsidRPr="00B35180" w:rsidSect="00B35180">
          <w:pgSz w:w="12240" w:h="15840" w:code="1"/>
          <w:pgMar w:top="1440" w:right="1800" w:bottom="1872" w:left="1800" w:header="720" w:footer="1440" w:gutter="0"/>
          <w:cols w:space="720"/>
          <w:noEndnote/>
          <w:docGrid w:linePitch="360"/>
        </w:sectPr>
      </w:pPr>
      <w:r>
        <w:t>When insulin binds its receptor (IR), the intrinsic receptor tyrosine kinase is activated and phosphorylates insulin receptor substrate (IRS-1) proteins.  IRS-1 phosphorylates protein kinase B (PKB/AKT) which then phosphorylates and inhibits AS160 allowing the translocation of the glucose transporter GLUT4 storage vesicles to the plasma membrane (</w:t>
      </w:r>
      <w:r>
        <w:rPr>
          <w:rFonts w:ascii="Times-Italic" w:hAnsi="Times-Italic" w:cs="Times-Italic"/>
          <w:i/>
          <w:iCs/>
        </w:rPr>
        <w:t>1</w:t>
      </w:r>
      <w:r>
        <w:t>).  In addition, PKB/AKT induces the phosphorylation and activation of the mammalian target of rapamycin (mTOR)/p70S6K pathway, which, then, phosphorylates IRS-1 leading to the inhibition of the insulin signaling (</w:t>
      </w:r>
      <w:r>
        <w:rPr>
          <w:rFonts w:ascii="Times-Italic" w:hAnsi="Times-Italic" w:cs="Times-Italic"/>
          <w:i/>
          <w:iCs/>
        </w:rPr>
        <w:t>2</w:t>
      </w:r>
      <w:r>
        <w:t>).  AMPK phosphorylates and inhibits AS160 stimulating glucose uptake independently of insulin (</w:t>
      </w:r>
      <w:r>
        <w:rPr>
          <w:rFonts w:ascii="Times-Italic" w:hAnsi="Times-Italic" w:cs="Times-Italic"/>
          <w:i/>
          <w:iCs/>
        </w:rPr>
        <w:t>3</w:t>
      </w:r>
      <w:r>
        <w:t>).  AMPK also inhibits the mTOR/p70S6K-dependent negative feedback loop leading to the over phosphorylation of the PKB/AKT/AS160 axis (</w:t>
      </w:r>
      <w:r>
        <w:rPr>
          <w:rFonts w:ascii="Times-Italic" w:hAnsi="Times-Italic" w:cs="Times-Italic"/>
          <w:i/>
          <w:iCs/>
        </w:rPr>
        <w:t>4</w:t>
      </w:r>
      <w:r>
        <w:t>).  Part of the insulin action on glucose uptake is independent of PKB/AKT/AS160 (</w:t>
      </w:r>
      <w:r>
        <w:rPr>
          <w:rFonts w:ascii="Times-Italic" w:hAnsi="Times-Italic" w:cs="Times-Italic"/>
          <w:i/>
          <w:iCs/>
        </w:rPr>
        <w:t>5</w:t>
      </w:r>
      <w:r>
        <w:t>). The insulin-sensitizing effect of AMPK on glucose uptake could be due to the action of AMPK on these events (</w:t>
      </w:r>
      <w:r>
        <w:rPr>
          <w:rFonts w:ascii="Times-Italic" w:hAnsi="Times-Italic" w:cs="Times-Italic"/>
          <w:i/>
          <w:iCs/>
        </w:rPr>
        <w:t>6</w:t>
      </w:r>
      <w:r>
        <w:t xml:space="preserve">).  </w:t>
      </w:r>
      <w:commentRangeStart w:id="11"/>
      <w:r w:rsidR="000A2582">
        <w:t>Copyright © 2011, The American Physiological Society.</w:t>
      </w:r>
      <w:r>
        <w:rPr>
          <w:color w:val="FF0000"/>
        </w:rPr>
        <w:fldChar w:fldCharType="begin"/>
      </w:r>
      <w:r>
        <w:rPr>
          <w:color w:val="FF0000"/>
        </w:rPr>
        <w:instrText xml:space="preserve"> ADDIN ZOTERO_ITEM CSL_CITATION {"citationID":"i985vojar","properties":{"formattedCitation":"{\\rtf \\super 139\\nosupersub{}}","plainCitation":"139"},"citationItems":[{"id":1774,"uris":["http://zotero.org/users/171999/items/ZDI6WP2K"],"uri":["http://zotero.org/users/171999/items/ZDI6WP2K"],"itemData":{"id":1774,"type":"article-journal","title":"Inhibition of the mTOR/p70S6K pathway is not involved in the insulin-sensitizing effect of AMPK on cardiac glucose uptake","container-title":"American Journal of Physiology - Heart and Circulatory Physiology","page":"H469-H477","volume":"301","issue":"2","source":"ajpheart.physiology.org","abstract":"The AMP-activated protein kinase (AMPK) is known to increase cardiac insulin sensitivity on glucose uptake. AMPK also inhibits the mammalian target of rapamycin (mTOR)/p70 ribosomal S6 kinase (p70S6K) pathway. Once activated by insulin, mTOR/p70S6K phosphorylates insulin receptor substrate-1 (IRS-1) on serine residues, resulting in its inhibition and reduction of insulin signaling. AMPK was postulated to act on insulin by inhibiting this mTOR/p70S6K-mediated negative feedback loop. We tested this hypothesis in cardiomyocytes. The stimulation of glucose uptake by AMPK activators and insulin correlated with AMPK and protein kinase B (PKB/Akt) activation, respectively. Both treatments induced the phosphorylation of Akt substrate 160 (AS160) known to control glucose uptake. Together, insulin and AMPK activators acted synergistically to induce PKB/Akt overactivation, AS160 overphosphorylation, and glucose uptake overstimulation. This correlated with p70S6K inhibition and with a decrease in serine phosphorylation of IRS-1, indicating the inhibition of the negative feedback loop. We used the mTOR inhibitor rapamycin to confirm these results. Mimicking AMPK activators in the presence of insulin, rapamycin inhibited p70S6K and reduced IRS-1 phosphorylation on serine, resulting in the overphosphorylation of PKB/Akt and AS160. However, rapamycin did not enhance the insulin-induced stimulation of glucose uptake. In conclusion, although the insulin-sensitizing effect of AMPK on PKB/Akt is explained by the inhibition of the insulin-induced negative feedback loop, its effect on glucose uptake is independent of this mechanism. This disconnection revealed that the PKB/Akt/AS160 pathway does not seem to be the rate-limiting step in the control of glucose uptake under insulin treatment.","DOI":"10.1152/ajpheart.00986.2010","note":"The AMP-activated protein kinase (AMPK) is known to increase cardiac insulin sensitivity on glucose uptake. AMPK also inhibits the mammalian target of rapamycin (mTOR)/p70 ribosomal S6 kinase (p70S6K) pathway. Once activated by insulin, mTOR/p70S6K phosphorylates insulin receptor substrate-1 (IRS-1) on serine residues, resulting in its inhibition and reduction of insulin signaling. AMPK was postulated to act on insulin by inhibiting this mTOR/p70S6K-mediated negative feedback loop. We tested this hypothesis in cardiomyocytes. The stimulation of glucose uptake by AMPK activators and insulin correlated with AMPK and protein kinase B (PKB/Akt) activation, respectively. Both treatments induced the phosphorylation of Akt substrate 160 (AS160) known to control glucose uptake. Together, insulin and AMPK activators acted synergistically to induce PKB/Akt overactivation, AS160 overphosphorylation, and glucose uptake overstimulation. This correlated with p70S6K inhibition and with a decrease in serine phosphorylation of IRS-1, indicating the inhibition of the negative feedback loop. We used the mTOR inhibitor rapamycin to confirm these results. Mimicking AMPK activators in the presence of insulin, rapamycin inhibited p70S6K and reduced IRS-1 phosphorylation on serine, resulting in the overphosphorylation of PKB/Akt and AS160. However, rapamycin did not enhance the insulin-induced stimulation of glucose uptake. In conclusion, although the insulin-sensitizing effect of AMPK on PKB/Akt is explained by the inhibition of the insulin-induced negative feedback loop, its effect on glucose uptake is independent of this mechanism. This disconnection revealed that the PKB/Akt/AS160 pathway does not seem to be the rate-limiting step in the control of glucose uptake under insulin treatment.\nPMID: 21602475","language":"en","author":[{"family":"Ginion","given":"Audrey"},{"family":"Auquier","given":"Julien"},{"family":"Benton","given":"Carley R."},{"family":"Mouton","given":"Céline"},{"family":"Vanoverschelde","given":"Jean-Louis"},{"family":"Hue","given":"Louis"},{"family":"Horman","given":"Sandrine"},{"family":"Beauloye","given":"Christophe"},{"family":"Bertrand","given":"Luc"}],"issued":{"date-parts":[["2011",8,1]]},"accessed":{"date-parts":[["2013",11,11]]},"PMID":"21602475"}}],"schema":"https://github.com/citation-style-language/schema/raw/master/csl-citation.json"} </w:instrText>
      </w:r>
      <w:r>
        <w:rPr>
          <w:color w:val="FF0000"/>
        </w:rPr>
        <w:fldChar w:fldCharType="separate"/>
      </w:r>
      <w:r w:rsidRPr="00C13C7E">
        <w:rPr>
          <w:vertAlign w:val="superscript"/>
        </w:rPr>
        <w:t>139</w:t>
      </w:r>
      <w:r>
        <w:rPr>
          <w:color w:val="FF0000"/>
        </w:rPr>
        <w:fldChar w:fldCharType="end"/>
      </w:r>
      <w:commentRangeEnd w:id="11"/>
      <w:r w:rsidR="000A2582">
        <w:rPr>
          <w:rStyle w:val="CommentReference"/>
        </w:rPr>
        <w:commentReference w:id="11"/>
      </w:r>
    </w:p>
    <w:p w:rsidR="00197D02" w:rsidRDefault="00197D02" w:rsidP="002D43E9">
      <w:pPr>
        <w:keepNext/>
        <w:contextualSpacing/>
      </w:pPr>
      <w:r w:rsidRPr="003A0EF9">
        <w:lastRenderedPageBreak/>
        <w:t>obese individuals have increased leptin mRNA expression as well.</w:t>
      </w:r>
      <w:r w:rsidRPr="003A0EF9">
        <w:fldChar w:fldCharType="begin"/>
      </w:r>
      <w:r w:rsidR="00636862">
        <w:instrText xml:space="preserve"> ADDIN ZOTERO_ITEM CSL_CITATION {"citationID":"VCqDebvR","properties":{"formattedCitation":"{\\rtf \\super 161,162\\nosupersub{}}","plainCitation":"161,162"},"citationItems":[{"id":289,"uris":["http://zotero.org/users/local/Ry4zHLbn/items/AN25ID6P"],"uri":["http://zotero.org/users/local/Ry4zHLbn/items/AN25ID6P"],"itemData":{"id":289,"type":"article-journal","title":"Increased obese mRNA expression in omental fat cells from massively obese humans","container-title":"Nature medicine","page":"953-956","volume":"1","issue":"9","source":"NCBI PubMed","abstract":"Obesity presents a significant challenge to the general health of affluent nations in terms of the number of people affected, the serious associated maladies and the lack of effective treatments. While common wisdom has held that obesity results from 'gluttony and sloth', a number of studies have indicated physiological causes of underlying the pathogenesis of obesity, with the degree of adiposity having a strong genetic component. Recently, the obese gene in the ob/ob mouse was cloned, along with its human homologue. The specific production of the obese protein by adipose tissue suggested that it may function in a feedback loop from fat tissue to the hypothalamus to control energy intake and/or energy expenditure, and that it may play a role in the pathogenesis of human obesity. In this study we report that obese mRNA expression is elevated in ex vivo omental adipocytes isolated from massively obese humans in the absence of an identifiable mutation. Therefore, we speculate that this increased expression may suggest that the massively obese are insensitive to the putative regulatory function(s) of the obese gene product.","ISSN":"1078-8956","note":"PMID: 7585224","journalAbbreviation":"Nat. Med.","language":"eng","author":[{"family":"Hamilton","given":"B S"},{"family":"Paglia","given":"D"},{"family":"Kwan","given":"A Y"},{"family":"Deitel","given":"M"}],"issued":{"date-parts":[["1995",9]]},"PMID":"7585224"}},{"id":291,"uris":["http://zotero.org/users/local/Ry4zHLbn/items/58VSHK45"],"uri":["http://zotero.org/users/local/Ry4zHLbn/items/58VSHK45"],"itemData":{"id":291,"type":"article-journal","title":"Overexpression of the obese (ob) gene in adipose tissue of human obese subjects","container-title":"Nature medicine","page":"950-953","volume":"1","issue":"9","source":"NCBI PubMed","abstract":"Obesity is accompanied by complications such as hypertension, non-insulin-dependent diabetes mellitus and atherosclerosis, which in turn cause ischaemic heart disease, stroke and premature death. The underlying mechanisms behind imbalance in energy intake and energy expenditure that lead to obesity are still controversial. In most populations, obesity is more common among women than men and is a multifactorial phenotype, which may result from a complex network of genetic and nongenetic factors. The relative importance of genetic factors for obesity is under debate. Genome searches using polymorphic markers in inbred mice with phenotypes that result in extreme obesity and studies of human candidate genes are being performed in an attempt to identify genes that contribute to obesity. There is evidence that body weight is physiologically regulated and it has been postulated that the storage of fat may provide signals to the brain that the body is obese, which in turn may make the subject eat less and burn more fuel. One of the molecules that may be involved in such signalling is the obese (ob) gene product. Mutations in ob result in profound obesity and type II diabetes in mice. The mouse ob gene and its human homologue have been cloned and sequenced. The gene is expressed in adipose tissue and the product has features of a secreted protein. We have investigated human ob expression in subcutaneous and omental adipose tissue obtained from non-obese and massively obese subjects using in situ hybridization histochemistry and report on overexpression in obese people.","ISSN":"1078-8956","note":"PMID: 7585223","journalAbbreviation":"Nat. Med.","language":"eng","author":[{"family":"Lönnqvist","given":"F"},{"family":"Arner","given":"P"},{"family":"Nordfors","given":"L"},{"family":"Schalling","given":"M"}],"issued":{"date-parts":[["1995",9]]},"PMID":"7585223"}}],"schema":"https://github.com/citation-style-language/schema/raw/master/csl-citation.json"} </w:instrText>
      </w:r>
      <w:r w:rsidRPr="003A0EF9">
        <w:fldChar w:fldCharType="separate"/>
      </w:r>
      <w:r w:rsidR="00636862" w:rsidRPr="00636862">
        <w:rPr>
          <w:vertAlign w:val="superscript"/>
        </w:rPr>
        <w:t>161,162</w:t>
      </w:r>
      <w:r w:rsidRPr="003A0EF9">
        <w:fldChar w:fldCharType="end"/>
      </w:r>
      <w:r w:rsidRPr="003A0EF9">
        <w:t xml:space="preserve">  It has been suggested that these high leptin levels during obesity are indicative of resistance to the anorexigenic effects of the protein.</w:t>
      </w:r>
      <w:r w:rsidRPr="003A0EF9">
        <w:fldChar w:fldCharType="begin"/>
      </w:r>
      <w:r w:rsidR="00636862">
        <w:instrText xml:space="preserve"> ADDIN ZOTERO_ITEM CSL_CITATION {"citationID":"WiNwrC5Z","properties":{"formattedCitation":"{\\rtf \\super 153,161\\nosupersub{}}","plainCitation":"153,161"},"citationItems":[{"id":271,"uris":["http://zotero.org/users/local/Ry4zHLbn/items/MI4TTAGJ"],"uri":["http://zotero.org/users/local/Ry4zHLbn/items/MI4TTAGJ"],"itemData":{"id":271,"type":"article-journal","title":"Serum immunoreactive-leptin concentrations in normal-weight and obese humans","container-title":"The New England journal of medicine","page":"292-295","volume":"334","issue":"5","source":"NCBI PubMed","abstract":"BACKGROUND: Leptin, the product of the ob gene, is a hormone secreted by adipocytes. Animals with mutations in the ob gene are obese and lose weight when given leptin, but little is known about the physiologic actions of leptin in humans.\nMETHODS: Using a newly developed radioimmunoassay, wer measured serum concentrations of leptin in 136 normal-weight subjects and 139 obese subjects (body-mass index, &gt; or = 27.3 for men and &gt; or = 27.8 for women; the body-mass index was defined as the weight in kilograms divided by the square of the height in meters). The measurements were repeated in seven obese subjects after weight loss and during maintenance of the lower weight. The ob messenger RNA (mRNA) content of adipocytes was determined in 27 normal-weight and 27 obese subjects.\nRESULTS: The mean (+/- SD) serum leptin concentrations were 31.3 +/- 24.1 ng per milliliter in the obese subjects and 7.5 +/- 9.3 ng per milliliter in the normal-weight subjects (P &lt; 0.001). There was a strong positive correlation between serum leptin concentrations and the percentage of body fat (r = 0.85, P &lt; 0.001). The ob mRNA content of adipocytes was about twice as high in the obese subjects as in the normal-weight subjects (P &lt; 0.001) and was correlated with the percentage of body fat (r = 0.68, P &lt; 0.001) in the 54 subjects in whom it was measured. In the seven obese subjects studied after weight loss, both serum leptin concentrations and ob mRNA content of adipocytes declined, but these measures increased again during the maintenance of the lower weight.\nCONCLUSIONS: Serum leptin concentrations are correlated with the percentage of body fat, suggesting that most obese persons are insensitive to endogenous leptin production.","DOI":"10.1056/NEJM199602013340503","ISSN":"0028-4793","note":"PMID: 8532024","journalAbbreviation":"N. Engl. J. Med.","language":"eng","author":[{"family":"Considine","given":"R V"},{"family":"Sinha","given":"M K"},{"family":"Heiman","given":"M L"},{"family":"Kriauciunas","given":"A"},{"family":"Stephens","given":"T W"},{"family":"Nyce","given":"M R"},{"family":"Ohannesian","given":"J P"},{"family":"Marco","given":"C C"},{"family":"McKee","given":"L J"},{"family":"Bauer","given":"T L"}],"issued":{"date-parts":[["1996",2,1]]},"PMID":"8532024"}},{"id":289,"uris":["http://zotero.org/users/local/Ry4zHLbn/items/AN25ID6P"],"uri":["http://zotero.org/users/local/Ry4zHLbn/items/AN25ID6P"],"itemData":{"id":289,"type":"article-journal","title":"Increased obese mRNA expression in omental fat cells from massively obese humans","container-title":"Nature medicine","page":"953-956","volume":"1","issue":"9","source":"NCBI PubMed","abstract":"Obesity presents a significant challenge to the general health of affluent nations in terms of the number of people affected, the serious associated maladies and the lack of effective treatments. While common wisdom has held that obesity results from 'gluttony and sloth', a number of studies have indicated physiological causes of underlying the pathogenesis of obesity, with the degree of adiposity having a strong genetic component. Recently, the obese gene in the ob/ob mouse was cloned, along with its human homologue. The specific production of the obese protein by adipose tissue suggested that it may function in a feedback loop from fat tissue to the hypothalamus to control energy intake and/or energy expenditure, and that it may play a role in the pathogenesis of human obesity. In this study we report that obese mRNA expression is elevated in ex vivo omental adipocytes isolated from massively obese humans in the absence of an identifiable mutation. Therefore, we speculate that this increased expression may suggest that the massively obese are insensitive to the putative regulatory function(s) of the obese gene product.","ISSN":"1078-8956","note":"PMID: 7585224","journalAbbreviation":"Nat. Med.","language":"eng","author":[{"family":"Hamilton","given":"B S"},{"family":"Paglia","given":"D"},{"family":"Kwan","given":"A Y"},{"family":"Deitel","given":"M"}],"issued":{"date-parts":[["1995",9]]},"PMID":"7585224"}}],"schema":"https://github.com/citation-style-language/schema/raw/master/csl-citation.json"} </w:instrText>
      </w:r>
      <w:r w:rsidRPr="003A0EF9">
        <w:fldChar w:fldCharType="separate"/>
      </w:r>
      <w:r w:rsidR="00636862" w:rsidRPr="00636862">
        <w:rPr>
          <w:vertAlign w:val="superscript"/>
        </w:rPr>
        <w:t>153,161</w:t>
      </w:r>
      <w:r w:rsidRPr="003A0EF9">
        <w:fldChar w:fldCharType="end"/>
      </w:r>
      <w:r w:rsidRPr="003A0EF9">
        <w:t xml:space="preserve">  There are two proposed underlying mechanisms of leptin resistance; defective transport across </w:t>
      </w:r>
      <w:r>
        <w:t>the blood brain barrier (BBB) and</w:t>
      </w:r>
      <w:r w:rsidRPr="003A0EF9">
        <w:t xml:space="preserve"> impaired leptin signaling.</w:t>
      </w:r>
      <w:r w:rsidRPr="003A0EF9">
        <w:fldChar w:fldCharType="begin"/>
      </w:r>
      <w:r w:rsidR="00636862">
        <w:instrText xml:space="preserve"> ADDIN ZOTERO_ITEM CSL_CITATION {"citationID":"jXjlI4r2","properties":{"formattedCitation":"{\\rtf \\super 163\\uc0\\u8211{}165\\nosupersub{}}","plainCitation":"163–165"},"citationItems":[{"id":293,"uris":["http://zotero.org/users/local/Ry4zHLbn/items/D7T39QC7"],"uri":["http://zotero.org/users/local/Ry4zHLbn/items/D7T39QC7"],"itemData":{"id":293,"type":"article-journal","title":"Impaired transport of leptin across the blood-brain barrier in obesity is acquired and reversible","container-title":"American journal of physiology. Endocrinology and metabolism","page":"E10-15","volume":"285","issue":"1","source":"NCBI PubMed","abstract":"Leptin resistance is a major cause of obesity in humans. A major component of this resistance is likely an impaired transport of leptin across the blood-brain barrier (BBB). The fattest subgroup of otherwise normal 12-mo-old CD-1 mice have severely impaired transport of leptin across the BBB. However, it is unknown whether these mice are born with a BBB impairment or acquire it with aging and obesity. Here, we found within an otherwise normal population of CD-1 mice that the 10% fattest mice gained weight throughout a 12-mo-life span, whereas the 10% thinnest mice gained little weight after 3 mo of age. The fattest mice acquired a progressive impairment in their ability to transport leptin across the BBB, whereas the thinnest mice had a rate of transport that did not change with age. Fasting fat mice for 24 h or treating them with leptin resulted in modest weight reduction and development of transport rates for leptin across the BBB similar to those of thin mice. These results show that, in obese CD-1 mice, the impaired transport of leptin across the BBB develops in tandem with obesity and is reversible with even modest weight reduction.","DOI":"10.1152/ajpendo.00468.2002","ISSN":"0193-1849","note":"PMID: 12618361","journalAbbreviation":"Am. J. Physiol. Endocrinol. Metab.","language":"eng","author":[{"family":"Banks","given":"William A"},{"family":"Farrell","given":"Catherine L"}],"issued":{"date-parts":[["2003",7]]},"PMID":"12618361"}},{"id":295,"uris":["http://zotero.org/users/local/Ry4zHLbn/items/SAXPJSNQ"],"uri":["http://zotero.org/users/local/Ry4zHLbn/items/SAXPJSNQ"],"itemData":{"id":295,"type":"article-journal","title":"Leptin resistance: a prediposing factor for diet-induced obesity","container-title":"American journal of physiology. Regulatory, integrative and comparative physiology","page":"R493-500","volume":"296","issue":"3","source":"NCBI PubMed","abstract":"Obesity is a resilient and complex chronic disease. One potential causative factor in the obesity syndrome is leptin resistance. Leptin behaves as a potent anorexic and energy-enhancing hormone in most young or lean animals, but its effects are diminished or lacking in the obese state associated with a normal genetic background. Emerging evidence suggests that leptin resistance predisposes the animal to exacerbated diet-induced obesity (DIO). Elevation of central leptin in young, lean rats induces a leptin resistance that precludes obesity on a chow diet but accelerates high-fat (HF)-induced obesity. Similarly, chronic dietary fructose consumption evokes a leptin resistance that causes obesity only upon HF exposure. Inherent central leptin insensitivity also contributes to dietary weight gain in certain obesity-prone rats. Conversely, aged, leptin-resistant animals are obese with continuous chow feeding and demonstrate aggravated obesity when challenged with an HF diet. Additionally, a submaximal central blockade with a leptin antagonist leads to obesity on both chow and HF diets, as is the case in rodents with leptin receptor deficiency of genetic origin. Despite the differences in the incidence of obesity on a chow diet, all of these forms of leptin resistance predispose rodents to aggravated HF-mediated obesity. Moreover, once leptin resistance takes hold, it aggravates DIO, and the leptin resistance and obesity compound one another, promoting a vicious cycle of escalating weight gain.","DOI":"10.1152/ajpregu.90669.2008","ISSN":"0363-6119","note":"PMID: 19091915","shortTitle":"Leptin resistance","journalAbbreviation":"Am. J. Physiol. Regul. Integr. Comp. Physiol.","language":"eng","author":[{"family":"Scarpace","given":"Philip J"},{"family":"Zhang","given":"Yi"}],"issued":{"date-parts":[["2009",3]]},"PMID":"19091915"}},{"id":297,"uris":["http://zotero.org/users/local/Ry4zHLbn/items/KGERZ588"],"uri":["http://zotero.org/users/local/Ry4zHLbn/items/KGERZ588"],"itemData":{"id":297,"type":"article-journal","title":"Leptin receptor action and mechanisms of leptin resistance","container-title":"Cellular and molecular life sciences: CMLS","page":"642-652","volume":"62","issue":"6","source":"NCBI PubMed","abstract":"The adipose tissue-derived hormone leptin regulates energy balance and neuroendocrine function. Resistance to the appetite-suppressing effects of leptin is associated with common forms of obesity. Here, we review the mechanisms by which leptin activates intracellular signals and the roles that these signals play in leptin action in vivo. Furthermore, we discuss potential mechanisms of leptin resistance, specifically focusing on data regarding the neuroanatomical locus of leptin resistance and potential mechanisms by which expression of the suppressor of cytokine signaling-3 may impair leptin action.","DOI":"10.1007/s00018-004-4432-1","ISSN":"1420-682X","note":"PMID: 15770417","journalAbbreviation":"Cell. Mol. Life Sci.","language":"eng","author":[{"family":"Münzberg","given":"H"},{"family":"Björnholm","given":"M"},{"family":"Bates","given":"S H"},{"family":"Myers","given":"M G, Jr"}],"issued":{"date-parts":[["2005",3]]},"PMID":"15770417"}}],"schema":"https://github.com/citation-style-language/schema/raw/master/csl-citation.json"} </w:instrText>
      </w:r>
      <w:r w:rsidRPr="003A0EF9">
        <w:fldChar w:fldCharType="separate"/>
      </w:r>
      <w:r w:rsidR="00636862" w:rsidRPr="00636862">
        <w:rPr>
          <w:vertAlign w:val="superscript"/>
        </w:rPr>
        <w:t>163–165</w:t>
      </w:r>
      <w:r w:rsidRPr="003A0EF9">
        <w:fldChar w:fldCharType="end"/>
      </w:r>
      <w:r w:rsidRPr="003A0EF9">
        <w:t xml:space="preserve">  </w:t>
      </w:r>
      <w:r>
        <w:t>Leptin</w:t>
      </w:r>
      <w:r w:rsidRPr="003A0EF9">
        <w:t xml:space="preserve"> resistance is debated, however, since some argue the role of leptin is to signal undernutrition to the brain rather than to prevent overnutrition.</w:t>
      </w:r>
      <w:r w:rsidRPr="003A0EF9">
        <w:fldChar w:fldCharType="begin"/>
      </w:r>
      <w:r w:rsidR="00636862">
        <w:instrText xml:space="preserve"> ADDIN ZOTERO_ITEM CSL_CITATION {"citationID":"iUFBNkEe","properties":{"formattedCitation":"{\\rtf \\super 165\\nosupersub{}}","plainCitation":"165"},"citationItems":[{"id":297,"uris":["http://zotero.org/users/local/Ry4zHLbn/items/KGERZ588"],"uri":["http://zotero.org/users/local/Ry4zHLbn/items/KGERZ588"],"itemData":{"id":297,"type":"article-journal","title":"Leptin receptor action and mechanisms of leptin resistance","container-title":"Cellular and molecular life sciences: CMLS","page":"642-652","volume":"62","issue":"6","source":"NCBI PubMed","abstract":"The adipose tissue-derived hormone leptin regulates energy balance and neuroendocrine function. Resistance to the appetite-suppressing effects of leptin is associated with common forms of obesity. Here, we review the mechanisms by which leptin activates intracellular signals and the roles that these signals play in leptin action in vivo. Furthermore, we discuss potential mechanisms of leptin resistance, specifically focusing on data regarding the neuroanatomical locus of leptin resistance and potential mechanisms by which expression of the suppressor of cytokine signaling-3 may impair leptin action.","DOI":"10.1007/s00018-004-4432-1","ISSN":"1420-682X","note":"PMID: 15770417","journalAbbreviation":"Cell. Mol. Life Sci.","language":"eng","author":[{"family":"Münzberg","given":"H"},{"family":"Björnholm","given":"M"},{"family":"Bates","given":"S H"},{"family":"Myers","given":"M G, Jr"}],"issued":{"date-parts":[["2005",3]]},"PMID":"15770417"}}],"schema":"https://github.com/citation-style-language/schema/raw/master/csl-citation.json"} </w:instrText>
      </w:r>
      <w:r w:rsidRPr="003A0EF9">
        <w:fldChar w:fldCharType="separate"/>
      </w:r>
      <w:r w:rsidR="00636862" w:rsidRPr="00636862">
        <w:rPr>
          <w:vertAlign w:val="superscript"/>
        </w:rPr>
        <w:t>165</w:t>
      </w:r>
      <w:r w:rsidRPr="003A0EF9">
        <w:fldChar w:fldCharType="end"/>
      </w:r>
      <w:r w:rsidRPr="003A0EF9">
        <w:t xml:space="preserve">  Four weeks after weight reduction, serum leptin concent</w:t>
      </w:r>
      <w:r>
        <w:t>rations in people increase</w:t>
      </w:r>
      <w:r w:rsidRPr="003A0EF9">
        <w:t xml:space="preserve"> to levels similar to those exhibited before weight loss.</w:t>
      </w:r>
      <w:r w:rsidRPr="003A0EF9">
        <w:fldChar w:fldCharType="begin"/>
      </w:r>
      <w:r w:rsidR="00636862">
        <w:instrText xml:space="preserve"> ADDIN ZOTERO_ITEM CSL_CITATION {"citationID":"6bh5AWqa","properties":{"formattedCitation":"{\\rtf \\super 153\\nosupersub{}}","plainCitation":"153"},"citationItems":[{"id":271,"uris":["http://zotero.org/users/local/Ry4zHLbn/items/MI4TTAGJ"],"uri":["http://zotero.org/users/local/Ry4zHLbn/items/MI4TTAGJ"],"itemData":{"id":271,"type":"article-journal","title":"Serum immunoreactive-leptin concentrations in normal-weight and obese humans","container-title":"The New England journal of medicine","page":"292-295","volume":"334","issue":"5","source":"NCBI PubMed","abstract":"BACKGROUND: Leptin, the product of the ob gene, is a hormone secreted by adipocytes. Animals with mutations in the ob gene are obese and lose weight when given leptin, but little is known about the physiologic actions of leptin in humans.\nMETHODS: Using a newly developed radioimmunoassay, wer measured serum concentrations of leptin in 136 normal-weight subjects and 139 obese subjects (body-mass index, &gt; or = 27.3 for men and &gt; or = 27.8 for women; the body-mass index was defined as the weight in kilograms divided by the square of the height in meters). The measurements were repeated in seven obese subjects after weight loss and during maintenance of the lower weight. The ob messenger RNA (mRNA) content of adipocytes was determined in 27 normal-weight and 27 obese subjects.\nRESULTS: The mean (+/- SD) serum leptin concentrations were 31.3 +/- 24.1 ng per milliliter in the obese subjects and 7.5 +/- 9.3 ng per milliliter in the normal-weight subjects (P &lt; 0.001). There was a strong positive correlation between serum leptin concentrations and the percentage of body fat (r = 0.85, P &lt; 0.001). The ob mRNA content of adipocytes was about twice as high in the obese subjects as in the normal-weight subjects (P &lt; 0.001) and was correlated with the percentage of body fat (r = 0.68, P &lt; 0.001) in the 54 subjects in whom it was measured. In the seven obese subjects studied after weight loss, both serum leptin concentrations and ob mRNA content of adipocytes declined, but these measures increased again during the maintenance of the lower weight.\nCONCLUSIONS: Serum leptin concentrations are correlated with the percentage of body fat, suggesting that most obese persons are insensitive to endogenous leptin production.","DOI":"10.1056/NEJM199602013340503","ISSN":"0028-4793","note":"PMID: 8532024","journalAbbreviation":"N. Engl. J. Med.","language":"eng","author":[{"family":"Considine","given":"R V"},{"family":"Sinha","given":"M K"},{"family":"Heiman","given":"M L"},{"family":"Kriauciunas","given":"A"},{"family":"Stephens","given":"T W"},{"family":"Nyce","given":"M R"},{"family":"Ohannesian","given":"J P"},{"family":"Marco","given":"C C"},{"family":"McKee","given":"L J"},{"family":"Bauer","given":"T L"}],"issued":{"date-parts":[["1996",2,1]]},"PMID":"8532024"}}],"schema":"https://github.com/citation-style-language/schema/raw/master/csl-citation.json"} </w:instrText>
      </w:r>
      <w:r w:rsidRPr="003A0EF9">
        <w:fldChar w:fldCharType="separate"/>
      </w:r>
      <w:r w:rsidR="00636862" w:rsidRPr="00636862">
        <w:rPr>
          <w:vertAlign w:val="superscript"/>
        </w:rPr>
        <w:t>153</w:t>
      </w:r>
      <w:r w:rsidRPr="003A0EF9">
        <w:fldChar w:fldCharType="end"/>
      </w:r>
      <w:r w:rsidRPr="003A0EF9">
        <w:t xml:space="preserve">  In obese dogs, leptin levels decrease by 25% four weeks after consuming 45% less calories based on their target body weight despite maintaining a consistent body weight over that time frame.</w:t>
      </w:r>
      <w:r w:rsidRPr="003A0EF9">
        <w:fldChar w:fldCharType="begin"/>
      </w:r>
      <w:r w:rsidR="00636862">
        <w:instrText xml:space="preserve"> ADDIN ZOTERO_ITEM CSL_CITATION {"citationID":"Pb85sCfV","properties":{"formattedCitation":"{\\rtf \\super 157\\nosupersub{}}","plainCitation":"157"},"citationItems":[{"id":279,"uris":["http://zotero.org/users/local/Ry4zHLbn/items/8B467TE4"],"uri":["http://zotero.org/users/local/Ry4zHLbn/items/8B467TE4"],"itemData":{"id":279,"type":"article-journal","title":"Influence of obesity on plasma lipid and lipoprotein concentrations in dogs","container-title":"American journal of veterinary research","page":"81-86","volume":"66","issue":"1","source":"NCBI PubMed","abstract":"OBJECTIVE: To determine effects of obesity and diet in dogs on plasma lipid and lipoprotein concentrations by assaying plasma leptin and ghrelin concentrations and determining total plasma cholesterol and triglyceride concentrations as well as the concentrations of cholesterol and triglycerides in various lipoprotein classes (ie, very-low-density, low-density, and high-density lipoproteins).\nANIMALS: 24 Beagles; 12 lean (mean [+/- SEM] body weight, 12.7 +/- 0.7 kg) and 12 chronically obese (21.9 +/- 0.8 kg) dogs of both sexes, between 1 and 9 years old.\nPROCEDURES: Total plasma cholesterol and triglyceride concentrations; lipoprotein cholesterol and triglyceride concentrations; and plasma ghrelin, leptin, free fatty acids, insulin, and glucose concentrations were measured and compared between lean and obese dogs, both of which were fed a complete and balanced maintenance diet. Chronically obese dogs were subsequently fed a high-protein low-energy diet to evaluate effects of diet composition on plasma lipid and lipoprotein measurements.\nRESULTS: Chronic obesity resulted in a significant decrease in plasma ghrelin concentration and a significant increase in plasma leptin, cholesterol, and triglyceride concentrations in dogs. High total plasma cholesterol and triglyceride concentrations resulted from increased cholesterol and triglyceride concentrations in all lipoprotein fractions. In obese dogs, modification of diet composition resulted in beneficial effects on plasma lipid and leptin concentrations, even before weight loss was observed.\nCONCLUSIONS AND CLINICAL RELEVANCE: Correlations exist between obesity and plasma measurements (ie, lipoproteins, leptin, insulin, and ghrelin) commonly associated with obesity. Modification of diet composition to control energy intake improves plasma lipid and leptin concentrations in obese dogs.","ISSN":"0002-9645","note":"PMID: 15691040","journalAbbreviation":"Am. J. Vet. Res.","language":"eng","author":[{"family":"Jeusette","given":"Isabelle C"},{"family":"Lhoest","given":"Estelle T"},{"family":"Istasse","given":"Louis P"},{"family":"Diez","given":"Marianne O"}],"issued":{"date-parts":[["2005",1]]},"PMID":"15691040"}}],"schema":"https://github.com/citation-style-language/schema/raw/master/csl-citation.json"} </w:instrText>
      </w:r>
      <w:r w:rsidRPr="003A0EF9">
        <w:fldChar w:fldCharType="separate"/>
      </w:r>
      <w:r w:rsidR="00636862" w:rsidRPr="00636862">
        <w:rPr>
          <w:vertAlign w:val="superscript"/>
        </w:rPr>
        <w:t>157</w:t>
      </w:r>
      <w:r w:rsidRPr="003A0EF9">
        <w:fldChar w:fldCharType="end"/>
      </w:r>
      <w:r w:rsidRPr="003A0EF9">
        <w:t xml:space="preserve">  After weight loss is achiev</w:t>
      </w:r>
      <w:r w:rsidR="00EA0474">
        <w:t>ed, leptin levels decrease 74.5</w:t>
      </w:r>
      <w:r w:rsidRPr="003A0EF9">
        <w:t>%, but weight maintenance values in dogs have not been determined.</w:t>
      </w:r>
      <w:r w:rsidRPr="003A0EF9">
        <w:fldChar w:fldCharType="begin"/>
      </w:r>
      <w:r w:rsidR="000A492A">
        <w:instrText xml:space="preserve"> ADDIN ZOTERO_ITEM CSL_CITATION {"citationID":"Bk5fnQyo","properties":{"formattedCitation":"{\\rtf \\super 103\\nosupersub{}}","plainCitation":"103"},"citationItems":[{"id":191,"uris":["http://zotero.org/users/local/Ry4zHLbn/items/B3FJ9CVI"],"uri":["http://zotero.org/users/local/Ry4zHLbn/items/B3FJ9CVI"],"itemData":{"id":191,"type":"article-journal","title":"Effects of chronic obesity and weight loss on plasma ghrelin and leptin concentrations in dogs","container-title":"Research in veterinary science","page":"169-175","volume":"79","issue":"2","source":"NCBI PubMed","abstract":"The objective of this study was to evaluate, in dogs, the effects of obesity and weight loss on plasma total ghrelin and leptin concentrations. Twenty-four Beagle dogs, 12 control lean and 12 obese dogs of both genders and aged between 1 and 9 years, were used for the experiments. Mean body weight was 12.7+/-0.7 kg for the lean group and 21.9+/-0.8 kg for the obese group. The trial was divided into three phases. During phase 1, all 24 Beagle dogs were fed a maintenance diet. During phase 2, the obese dogs were submitted to a weight loss protocol with a high protein-low energy diet. The weight loss protocol ended once dogs reached optimal body weight. During phase 3, the dogs that were submitted to the weight loss protocol were maintained at their optimal body weight for 6 months. Plasma total ghrelin, leptin, insulin and glucose concentrations were measured to evaluate the effects of obesity and weight loss on these parameters in dogs. Body weight, body condition score, thoracic and pelvic perimeters, and ingested food amounts were also recorded during the study. Obese dogs demonstrated a significant decrease in plasma ghrelin and a significant increase in plasma leptin and insulin concentrations when compared with control dogs. During weight loss, significant increases in plasma total ghrelin and glucose and significant decreases in plasma leptin and insulin were observed. The increase in plasma ghrelin concentrations seemed to be transient. Body weight and the morphometric parameters correlated positively with leptin concentrations and negatively with total ghrelin concentrations. These results suggest that ghrelin and leptin could play a role in dogs in the adaptation to a positive or negative energy balance, as observed in humans.","DOI":"10.1016/j.rvsc.2004.11.012","ISSN":"0034-5288","note":"PMID: 15924935","journalAbbreviation":"Res. Vet. Sci.","language":"eng","author":[{"family":"Jeusette","given":"Isabelle C"},{"family":"Detilleux","given":"Johanne"},{"family":"Shibata","given":"Haruki"},{"family":"Saito","given":"Masayuki"},{"family":"Honjoh","given":"Tsutomu"},{"family":"Delobel","given":"Agathe"},{"family":"Istasse","given":"Louis"},{"family":"Diez","given":"Marianne"}],"issued":{"date-parts":[["2005",10]]},"PMID":"15924935"}}],"schema":"https://github.com/citation-style-language/schema/raw/master/csl-citation.json"} </w:instrText>
      </w:r>
      <w:r w:rsidRPr="003A0EF9">
        <w:fldChar w:fldCharType="separate"/>
      </w:r>
      <w:r w:rsidR="000A492A" w:rsidRPr="000A492A">
        <w:rPr>
          <w:vertAlign w:val="superscript"/>
        </w:rPr>
        <w:t>103</w:t>
      </w:r>
      <w:r w:rsidRPr="003A0EF9">
        <w:fldChar w:fldCharType="end"/>
      </w:r>
      <w:r w:rsidRPr="003A0EF9">
        <w:t xml:space="preserve">  Leptin exhibits diurnal variation, with lowest levels just prior to an accustomed feeding time, and highest levels 8 hours postprandial in dogs.</w:t>
      </w:r>
      <w:r w:rsidRPr="003A0EF9">
        <w:fldChar w:fldCharType="begin"/>
      </w:r>
      <w:r w:rsidR="00C13C7E">
        <w:instrText xml:space="preserve"> ADDIN ZOTERO_ITEM CSL_CITATION {"citationID":"HoIYkllQ","properties":{"formattedCitation":"{\\rtf \\super 144\\nosupersub{}}","plainCitation":"144"},"citationItems":[{"id":261,"uris":["http://zotero.org/users/local/Ry4zHLbn/items/GTC6WIUN"],"uri":["http://zotero.org/users/local/Ry4zHLbn/items/GTC6WIUN"],"itemData":{"id":261,"type":"article-journal","title":"Diurnal variations of serum leptin in dogs: effects of fasting and re-feeding","container-title":"Veterinary journal (London, England: 1997)","page":"85-90","volume":"169","issue":"1","source":"NCBI PubMed","abstract":"Leptin is a protein synthesized and secreted primarily by adipocytes, and plays a key role in the regulation of energy balance. We have reported that serum leptin is elevated in obese dogs. In the present study, we examined diurnal variations of serum leptin in the dog, with special references to feeding and fasting cycles. Four male beagles were accustomed to feed once a day at 10:00 h, and blood samples were taken every 3 h for 24-36 h. Serum leptin concentration showed clear diurnal variations, being lowest before food intake (2.3+/-0.5 ng/mL) at 09:00 h, and highest (10.5+/-2.4 ng/mL) at 18:00 h. Such diurnal variations disappeared when the dogs were fasted. Serum insulin also showed diurnal variation with higher levels at 12:00-15:00 h. When insulin or glucose was injected in the fasted dogs to mimic the post-prandial insulin rise, serum leptin concentration was significantly increased in 4-8 h, but in both cases to a lesser extents than those after food intake. The results indicate that serum leptin concentrations change diurnally in association with feeding-fasting cycles in the dog, partially due to changes in insulin secretion.","DOI":"10.1016/j.tvjl.2004.01.003","ISSN":"1090-0233","note":"PMID: 15683767","shortTitle":"Diurnal variations of serum leptin in dogs","journalAbbreviation":"Vet. J.","language":"eng","author":[{"family":"Ishioka","given":"K"},{"family":"Hatai","given":"H"},{"family":"Komabayashi","given":"K"},{"family":"Soliman","given":"M M"},{"family":"Shibata","given":"H"},{"family":"Honjoh","given":"T"},{"family":"Kimura","given":"K"},{"family":"Saito","given":"M"}],"issued":{"date-parts":[["2005",1]]},"PMID":"15683767"}}],"schema":"https://github.com/citation-style-language/schema/raw/master/csl-citation.json"} </w:instrText>
      </w:r>
      <w:r w:rsidRPr="003A0EF9">
        <w:fldChar w:fldCharType="separate"/>
      </w:r>
      <w:r w:rsidR="00C13C7E" w:rsidRPr="00C13C7E">
        <w:rPr>
          <w:vertAlign w:val="superscript"/>
        </w:rPr>
        <w:t>144</w:t>
      </w:r>
      <w:r w:rsidRPr="003A0EF9">
        <w:fldChar w:fldCharType="end"/>
      </w:r>
    </w:p>
    <w:p w:rsidR="00481607" w:rsidRDefault="00FF00C6" w:rsidP="00481607">
      <w:pPr>
        <w:ind w:firstLine="720"/>
        <w:contextualSpacing/>
      </w:pPr>
      <w:r>
        <w:t>Interleu</w:t>
      </w:r>
      <w:r w:rsidR="00192F3F">
        <w:t>kin-6 (IL6) is a</w:t>
      </w:r>
      <w:r>
        <w:t xml:space="preserve"> cytokine</w:t>
      </w:r>
      <w:r w:rsidR="00192F3F">
        <w:t xml:space="preserve"> released from white adipose tissue (WAT), macrophages, fibroblasts, endothelial cel</w:t>
      </w:r>
      <w:r w:rsidR="00D726E6">
        <w:t>l</w:t>
      </w:r>
      <w:r w:rsidR="00192F3F">
        <w:t>s, and skeletal muscle cells.</w:t>
      </w:r>
      <w:r w:rsidR="00192F3F">
        <w:fldChar w:fldCharType="begin"/>
      </w:r>
      <w:r w:rsidR="00636862">
        <w:instrText xml:space="preserve"> ADDIN ZOTERO_ITEM CSL_CITATION {"citationID":"1l6hb0jn8c","properties":{"formattedCitation":"{\\rtf \\super 166\\nosupersub{}}","plainCitation":"166"},"citationItems":[{"id":251,"uris":["http://zotero.org/users/171999/items/D3HWXAZ7"],"uri":["http://zotero.org/users/171999/items/D3HWXAZ7"],"itemData":{"id":251,"type":"article-journal","title":"Adipokine inflammation and insulin resistance: the role of glucose, lipids and endotoxin","container-title":"The Journal of endocrinology","page":"T1-T15","volume":"216","issue":"1","source":"NCBI PubMed","abstract":"Adipose tissue is an active endocrine organ, and our knowledge of this secretory tissue, in recent years, has led us to completely rethink how our body functions and becomes dysregulated with weight gain. Human adipose tissue appears to act as a multifunctional secretory organ with the capacity to control energy homoeostasis through peripheral and central regulation of energy homoeostasis. It also plays an important role in innate immunity. However, the capability to more than double its original mass to cope with positive energy balance in obesity leads to many pathogenic changes. These changes arise within the adipose tissue as well as inducing secondary detrimental effects on other organs like muscle and liver, including chronic low-grade inflammation mediated by adipocytokines (adipokine inflammation). This inflammation is modulated by dietary factors and nutrients including glucose and lipids, as well as gut bacteria in the form of endotoxin or LPS. The aim of this current review is to consider the impact of nutrients such as glucose and lipids on inflammatory pathways, specifically within adipose tissue. Furthermore, how nutrients such as these can influence adipokine inflammation and consequently insulin resistance directly through their effects on secretion of adipocytokines (TNFα, IL6 and resistin) as well as indirectly through increases in endotoxin is discussed.","DOI":"10.1530/JOE-12-0498","ISSN":"1479-6805","note":"PMID: 23160966","shortTitle":"Adipokine inflammation and insulin resistance","journalAbbreviation":"J. Endocrinol.","language":"eng","author":[{"family":"Piya","given":"M K"},{"family":"McTernan","given":"P G"},{"family":"Kumar","given":"S"}],"issued":{"date-parts":[["2013",1]]},"PMID":"23160966"}}],"schema":"https://github.com/citation-style-language/schema/raw/master/csl-citation.json"} </w:instrText>
      </w:r>
      <w:r w:rsidR="00192F3F">
        <w:fldChar w:fldCharType="separate"/>
      </w:r>
      <w:r w:rsidR="00636862" w:rsidRPr="00636862">
        <w:rPr>
          <w:vertAlign w:val="superscript"/>
        </w:rPr>
        <w:t>166</w:t>
      </w:r>
      <w:r w:rsidR="00192F3F">
        <w:fldChar w:fldCharType="end"/>
      </w:r>
      <w:r w:rsidR="00192F3F">
        <w:t xml:space="preserve">  </w:t>
      </w:r>
      <w:r w:rsidR="00904AD3">
        <w:t>It has been proposed that IL6 also be considered an adiposity signal because its plasma levels correlate to the level of adiposity and it has receptors in the dorsomedial and ventromedial hypothalamus.</w:t>
      </w:r>
      <w:r w:rsidR="00904AD3">
        <w:fldChar w:fldCharType="begin"/>
      </w:r>
      <w:r w:rsidR="00636862">
        <w:instrText xml:space="preserve"> ADDIN ZOTERO_ITEM CSL_CITATION {"citationID":"2dd1judpnu","properties":{"formattedCitation":"{\\rtf \\super 167\\nosupersub{}}","plainCitation":"167"},"citationItems":[{"id":237,"uris":["http://zotero.org/users/171999/items/3BFI36T2"],"uri":["http://zotero.org/users/171999/items/3BFI36T2"],"itemData":{"id":237,"type":"article-journal","title":"Adiposity signals, genetic and body weight regulation in humans","container-title":"Diabetes &amp; metabolism","page":"215-227","volume":"30","issue":"3","source":"NCBI PubMed","abstract":"Numerous signals convey information about body fat status from the periphery to the brain areas that control energy homeostasis so that, throughout life, body weight remains nearly stable. These signals mainly originate, either from the adipose tissue, like leptin and to a lesser extent interleukin 6, or from the pancreas, like insulin and amylin. These factors circulate in proportion to body fat mass and they are referred to as \"adiposity signals\". It is well established, at least for leptin and insulin, that they enter the brain from the plasma where they induce/repress a network of important neuropeptide regulators of energy intake and expenditure. Beside these endocrine signals, a growing amount of literature show data relative to adipocyte-derived molecules, most of them belonging to the cytokine family, like IL6, TNFalpha, IL8, IL10 whose secretion also correlates with body fat mass and that may locally regulate fat mass expansion. Others, like adiponectin, are negatively correlated with body fat mass. These \"adiposity molecules\" have already been involved in insulin resistance associated with obesity and inflammatory process. They may participate to a complex inter organ dialogue. In this review, we will synthesize data relative to the role played by insulin, leptin and amylin, either alone or through a cross talk, in \"energy level sensing\" at the brain level. Furthermore, we will develop how \"adiposity molecules\" through their paracrin and/or autocrin action may contribute to maintain fat mass expansion, therefore representing new adiposity molecules per se. Lastly, since any distortion in the metabolic circuitry of energy homeostasis is susceptible to lead to a pathological status like obesity, the impact of known genetic polymorphisms in genes encoding the adiposity signals will be discussed.","ISSN":"1262-3636","note":"PMID: 15223973","journalAbbreviation":"Diabetes Metab.","language":"eng","author":[{"family":"Cancello","given":"R"},{"family":"Tounian","given":"A"},{"family":"Poitou","given":"Ch"},{"family":"Clément","given":"K"}],"issued":{"date-parts":[["2004",6]]},"PMID":"15223973"}}],"schema":"https://github.com/citation-style-language/schema/raw/master/csl-citation.json"} </w:instrText>
      </w:r>
      <w:r w:rsidR="00904AD3">
        <w:fldChar w:fldCharType="separate"/>
      </w:r>
      <w:r w:rsidR="00636862" w:rsidRPr="00636862">
        <w:rPr>
          <w:vertAlign w:val="superscript"/>
        </w:rPr>
        <w:t>167</w:t>
      </w:r>
      <w:r w:rsidR="00904AD3">
        <w:fldChar w:fldCharType="end"/>
      </w:r>
      <w:r w:rsidR="00904AD3">
        <w:t xml:space="preserve">  IL6 is proinflammatory when in WAT and hepatic tissue and increases insulin resistance via downstream inhibition of insulin receptor and IRS1 phosphorylation.</w:t>
      </w:r>
      <w:r w:rsidR="00904AD3">
        <w:fldChar w:fldCharType="begin"/>
      </w:r>
      <w:r w:rsidR="00636862">
        <w:instrText xml:space="preserve"> ADDIN ZOTERO_ITEM CSL_CITATION {"citationID":"bWKm2LRE","properties":{"formattedCitation":"{\\rtf \\super 166,168\\uc0\\u8211{}170\\nosupersub{}}","plainCitation":"166,168–170"},"citationItems":[{"id":251,"uris":["http://zotero.org/users/171999/items/D3HWXAZ7"],"uri":["http://zotero.org/users/171999/items/D3HWXAZ7"],"itemData":{"id":251,"type":"article-journal","title":"Adipokine inflammation and insulin resistance: the role of glucose, lipids and endotoxin","container-title":"The Journal of endocrinology","page":"T1-T15","volume":"216","issue":"1","source":"NCBI PubMed","abstract":"Adipose tissue is an active endocrine organ, and our knowledge of this secretory tissue, in recent years, has led us to completely rethink how our body functions and becomes dysregulated with weight gain. Human adipose tissue appears to act as a multifunctional secretory organ with the capacity to control energy homoeostasis through peripheral and central regulation of energy homoeostasis. It also plays an important role in innate immunity. However, the capability to more than double its original mass to cope with positive energy balance in obesity leads to many pathogenic changes. These changes arise within the adipose tissue as well as inducing secondary detrimental effects on other organs like muscle and liver, including chronic low-grade inflammation mediated by adipocytokines (adipokine inflammation). This inflammation is modulated by dietary factors and nutrients including glucose and lipids, as well as gut bacteria in the form of endotoxin or LPS. The aim of this current review is to consider the impact of nutrients such as glucose and lipids on inflammatory pathways, specifically within adipose tissue. Furthermore, how nutrients such as these can influence adipokine inflammation and consequently insulin resistance directly through their effects on secretion of adipocytokines (TNFα, IL6 and resistin) as well as indirectly through increases in endotoxin is discussed.","DOI":"10.1530/JOE-12-0498","ISSN":"1479-6805","note":"PMID: 23160966","shortTitle":"Adipokine inflammation and insulin resistance","journalAbbreviation":"J. Endocrinol.","language":"eng","author":[{"family":"Piya","given":"M K"},{"family":"McTernan","given":"P G"},{"family":"Kumar","given":"S"}],"issued":{"date-parts":[["2013",1]]},"PMID":"23160966"}},{"id":255,"uris":["http://zotero.org/users/171999/items/3GHDFRBP"],"uri":["http://zotero.org/users/171999/items/3GHDFRBP"],"itemData":{"id":255,"type":"article-journal","title":"Interleukin-6 induces cellular insulin resistance in hepatocytes","container-title":"Diabetes","page":"3391-3399","volume":"51","issue":"12","source":"NCBI PubMed","abstract":"Interleukin (IL)-6 is one of several proinflammatory cytokines that have been associated with insulin resistance and type 2 diabetes. A two- to threefold elevation of circulating IL-6 has been observed in these conditions. Nonetheless, little evidence supports a direct role for IL-6 in mediating insulin resistance. Here, we present data that IL-6 can inhibit insulin receptor (IR) signal transduction and insulin action in both primary mouse hepatocytes and the human hepatocarcinoma cell line, HepG2. This inhibition depends on duration of IL-6 exposure, with a maximum effect at 1-1.5 h of pretreatment with IL-6 in both HepG2 cells and primary hepatocytes. The IL-6 effect is characterized by a decreased tyrosine phosphorylation of IR substrate (IRS)-1 and decreased association of the p85 subunit of phosphatidylinositol 3-kinase with IRS-1 in response to physiologic insulin levels. In addition, insulin-dependent activation of Akt, important in mediating insulin's downstream metabolic actions, is markedly inhibited by IL-6 treatment. Finally, a 1.5-h preincubation of primary hepatocytes with IL-6 inhibits insulin-induced glycogen synthesis by 75%. These data suggest that IL-6 plays a direct role in insulin resistance at the cellular level in both primary hepatocytes and HepG2 cell lines and may contribute to insulin resistance and type 2 diabetes.","ISSN":"0012-1797","note":"PMID: 12453891","journalAbbreviation":"Diabetes","language":"eng","author":[{"family":"Senn","given":"Joseph J"},{"family":"Klover","given":"Peter J"},{"family":"Nowak","given":"Irena A"},{"family":"Mooney","given":"Robert A"}],"issued":{"date-parts":[["2002",12]]},"PMID":"12453891"}},{"id":259,"uris":["http://zotero.org/users/171999/items/IK4U25NH"],"uri":["http://zotero.org/users/171999/items/IK4U25NH"],"itemData":{"id":259,"type":"article-journal","title":"Suppressor of cytokine signaling-3 (SOCS-3), a potential mediator of interleukin-6-dependent insulin resistance in hepatocytes","container-title":"The Journal of biological chemistry","page":"13740-13746","volume":"278","issue":"16","source":"NCBI PubMed","abstract":"Interleukin-6 (IL-6) is one of several pro-inflammatory cytokines implicated in insulin resistance during infection, cachexia, and obesity. We recently demonstrated that IL-6 inhibits insulin signaling in hepatocytes (Senn, J. J., Klover, P. J., Nowak, I. A., and Mooney, R. A. (2002) Diabetes 51, 3391-3399). Members of the suppressors of cytokine signaling (SOCS) family associate with the insulin receptor (IR), and their ectopic expression inhibits IR signaling. Since several SOCS proteins are induced by IL-6, a working hypothesis is that IL-6-dependent insulin resistance is mediated, at least in part, by induction of SOCS protein(s) in insulin target cells. To examine the involvement of SOCS protein(s) in IL-6-dependent inhibition of insulin receptor signaling, HepG2 cells were treated with IL-6 (20 ng/ml) for periods from 1 min to 8 h. IL-6 induced SOCS-3 transcript at 30 min with a maximum effect at 1 h. SOCS-3 protein levels were also markedly elevated at 1 h. Transcript and protein levels returned to near basal levels by 2 h. SOCS-3 induction by IL-6 paralleled IL-6-dependent inhibition of IR signal transduction. Ectopically expressed SOCS-3 associated with the IR and suppressed insulin-dependent receptor autophosphorylation, insulin receptor substrate-1 (IRS-1) tyrosine phosphorylation, association of IRS-1 with the p85 subunit of phosphatidylinositol 3-kinase, and activation of Akt. SOCS-3 was also a direct inhibitor of insulin receptor autophosphorylation in vitro. In mice exposed to IL-6 for 60-90 min, hepatic SOCS-3 expression was increased. This was associated with inhibition of hepatic insulin-dependent receptor autophosphorylation and IRS-1 tyrosine phosphorylation. These data suggest that induction of SOCS-3 in liver may be an important mechanism of IL-6-mediated insulin resistance.","DOI":"10.1074/jbc.M210689200","ISSN":"0021-9258","note":"PMID: 12560330","journalAbbreviation":"J. Biol. Chem.","language":"eng","author":[{"family":"Senn","given":"Joseph J"},{"family":"Klover","given":"Peter J"},{"family":"Nowak","given":"Irena A"},{"family":"Zimmers","given":"Teresa A"},{"family":"Koniaris","given":"Leonidas G"},{"family":"Furlanetto","given":"Richard W"},{"family":"Mooney","given":"Robert A"}],"issued":{"date-parts":[["2003",4,18]]},"PMID":"12560330"}},{"id":265,"uris":["http://zotero.org/users/171999/items/BQZ26STT"],"uri":["http://zotero.org/users/171999/items/BQZ26STT"],"itemData":{"id":265,"type":"article-journal","title":"Interleukin-6 (IL-6) induces insulin resistance in 3T3-L1 adipocytes and is, like IL-8 and tumor necrosis factor-alpha, overexpressed in human fat cells from insulin-resistant subjects","container-title":"The Journal of biological chemistry","page":"45777-45784","volume":"278","issue":"46","source":"NCBI PubMed","abstract":"Several studies have shown a relationship between interleukin (IL) 6 levels and insulin resistance. We here show that human subcutaneous adipose cells, like 3T3-L1 cells, are target cells for IL-6. To examine putative mechanisms and cross-talk with insulin, 3T3-L1 adipocytes were cultured for different times with IL-6 and tumor necrosis factor alpha (TNF-alpha). IL-6, in contrast to TNF-alpha, did not increase pS-307 of insulin-receptor substrate (IRS)-1 or JNK activation. However, IL-6, like TNF-alpha exerted long term inhibitory effects on the gene transcription of IRS-1, GLUT-4, and peroxisome proliferator-activated receptor gamma. This effect of IL-6 was accompanied by a marked reduction in IRS-1, but not IRS-2, protein expression, and insulin-stimulated tyrosine phosphorylation, whereas no inhibitory effect was seen on the insulin receptor tyrosine phosphorylation. Consistent with the reduced GLUT-4 mRNA, insulin-stimulated glucose transport was also significantly reduced by IL-6. An important interaction with TNF-alpha was found because TNF-alpha markedly increased IL-6 mRNA and protein secretion. These results show that IL-6, through effects on gene transcription, is capable of impairing insulin signaling and action but, in contrast to TNF-alpha, IL-6 does not increase pS-307 (or pS-612) of IRS-1. The link between IL-6 and insulin resistance in man was further corroborated by the finding that the expression of IL-6, like that of TNF-alpha and IL-8, was markedly increased ( approximately 15-fold) in human fat cells from insulin-resistant individuals. We conclude that IL-6 can play an important role in insulin resistance in man and, furthermore, that it may act in concert with other cytokines that also are up-regulated in adipose cells in insulin resistance.","DOI":"10.1074/jbc.M301977200","ISSN":"0021-9258","note":"PMID: 12952969","journalAbbreviation":"J. Biol. Chem.","language":"eng","author":[{"family":"Rotter","given":"Victoria"},{"family":"Nagaev","given":"Ivan"},{"family":"Smith","given":"Ulf"}],"issued":{"date-parts":[["2003",11,14]]},"PMID":"12952969"}}],"schema":"https://github.com/citation-style-language/schema/raw/master/csl-citation.json"} </w:instrText>
      </w:r>
      <w:r w:rsidR="00904AD3">
        <w:fldChar w:fldCharType="separate"/>
      </w:r>
      <w:r w:rsidR="00636862" w:rsidRPr="00636862">
        <w:rPr>
          <w:vertAlign w:val="superscript"/>
        </w:rPr>
        <w:t>166,168–170</w:t>
      </w:r>
      <w:r w:rsidR="00904AD3">
        <w:fldChar w:fldCharType="end"/>
      </w:r>
      <w:r w:rsidR="004133C7">
        <w:t xml:space="preserve">  IL6 also has the ability to be </w:t>
      </w:r>
      <w:r w:rsidR="00FC311C">
        <w:t>anti-inflammatory</w:t>
      </w:r>
      <w:r w:rsidR="004133C7">
        <w:t xml:space="preserve"> in exercising skeletal muscle, evident by its </w:t>
      </w:r>
      <w:r w:rsidR="00D726E6">
        <w:t>attenuation of</w:t>
      </w:r>
      <w:r w:rsidR="004133C7">
        <w:t xml:space="preserve"> tumor necrosis factor-α (TNFα) production.</w:t>
      </w:r>
      <w:r w:rsidR="004133C7">
        <w:fldChar w:fldCharType="begin"/>
      </w:r>
      <w:r w:rsidR="00636862">
        <w:instrText xml:space="preserve"> ADDIN ZOTERO_ITEM CSL_CITATION {"citationID":"9coi25q9d","properties":{"formattedCitation":"{\\rtf \\super 171\\nosupersub{}}","plainCitation":"171"},"citationItems":[{"id":269,"uris":["http://zotero.org/users/171999/items/4M8MAHVE"],"uri":["http://zotero.org/users/171999/items/4M8MAHVE"],"itemData":{"id":269,"type":"article-journal","title":"Exercise and IL-6 infusion inhibit endotoxin-induced TNF-alpha production in humans","container-title":"FASEB journal: official publication of the Federation of American Societies for Experimental Biology","page":"884-886","volume":"17","issue":"8","source":"NCBI PubMed","abstract":"During \"nondamaging\" exercise, skeletal muscle markedly releases interleukin (IL)-6, and it has been suggested that one biological role of this phenomenon is to inhibit the production of tumor necrosis factor (TNF)- alpha, which is known to cause pathogenesis such as insulin resistance and atherosclerosis. To test this hypothesis, we performed three experiments in which eight healthy males either rested (CON), rode a bicycle for 3 h (EX), or were infused with recombinant human IL-6 (rhIL-6) for 3 h while they rested. After 2.5 h, the volunteers received a bolus of Escherichia coli lipopolysaccharide endotoxin (0.06 ng/kg) i.v. to induce low-grade inflammation. In CON, plasma TNF-alpha increased significantly in response to endotoxin. In contrast, during EX, which resulted in elevated IL-6, and rhIL-6, the endotoxin-induced increase in TNF-alpha was totally attenuated. In conclusion, physical exercise and rhIL-6 infusion at physiological concentrations inhibit endotoxin-induced TNF-alpha production in humans. Hence, these data provide the first experimental evidence that physical activity mediates antiinflammatory activity and suggest that the mechanism include IL-6, which is produced by and released from exercising muscles.","DOI":"10.1096/fj.02-0670fje","ISSN":"1530-6860","note":"PMID: 12626436","journalAbbreviation":"FASEB J.","language":"eng","author":[{"family":"Starkie","given":"Rebecca"},{"family":"Ostrowski","given":"Sisse Rye"},{"family":"Jauffred","given":"Sune"},{"family":"Febbraio","given":"Mark"},{"family":"Pedersen","given":"Bente Klarlund"}],"issued":{"date-parts":[["2003",5]]},"PMID":"12626436"}}],"schema":"https://github.com/citation-style-language/schema/raw/master/csl-citation.json"} </w:instrText>
      </w:r>
      <w:r w:rsidR="004133C7">
        <w:fldChar w:fldCharType="separate"/>
      </w:r>
      <w:r w:rsidR="00636862" w:rsidRPr="00636862">
        <w:rPr>
          <w:vertAlign w:val="superscript"/>
        </w:rPr>
        <w:t>171</w:t>
      </w:r>
      <w:r w:rsidR="004133C7">
        <w:fldChar w:fldCharType="end"/>
      </w:r>
      <w:r w:rsidR="004133C7">
        <w:t xml:space="preserve">  I</w:t>
      </w:r>
      <w:r w:rsidR="00D726E6">
        <w:t xml:space="preserve">t </w:t>
      </w:r>
      <w:r w:rsidR="004133C7">
        <w:t>activate</w:t>
      </w:r>
      <w:r w:rsidR="00D726E6">
        <w:t>s</w:t>
      </w:r>
      <w:r w:rsidR="004133C7">
        <w:t xml:space="preserve"> AMP-activated protein kinase (AMPK) in muscle and adipose tissue</w:t>
      </w:r>
      <w:r w:rsidR="0051717D">
        <w:t>, with the greatest increases in muscle tissue in response to exercise.</w:t>
      </w:r>
      <w:r w:rsidR="0051717D">
        <w:fldChar w:fldCharType="begin"/>
      </w:r>
      <w:r w:rsidR="00636862">
        <w:instrText xml:space="preserve"> ADDIN ZOTERO_ITEM CSL_CITATION {"citationID":"1sfq1iajke","properties":{"formattedCitation":"{\\rtf \\super 172\\nosupersub{}}","plainCitation":"172"},"citationItems":[{"id":273,"uris":["http://zotero.org/users/171999/items/AFG3BFDB"],"uri":["http://zotero.org/users/171999/items/AFG3BFDB"],"itemData":{"id":273,"type":"article-journal","title":"AMPK activity is diminished in tissues of IL-6 knockout mice: the effect of exercise","container-title":"Biochemical and biophysical research communications","page":"449-454","volume":"320","issue":"2","source":"NCBI PubMed","abstract":"Following exercise, AMP-activated protein kinase (AMPK) activity is increased several fold in rat liver and adipose tissue as well as muscle; however, the mechanism by which this occurs is not known. Interleukin-6 (IL-6) is released from muscle in large amounts during and after sustained physical activity resulting in up to 100-fold increases in its plasma concentration, from 1-2 ng/ml to 50-100 ng/ml. We report here that incubation with IL-6 (30-120 ng/ml) increases the phosphorylation of AMPK (an indicator of its activation) and that of its target molecule, acetyl CoA carboxylase (ACC), in both extensor digitorum longus muscle and cultured F422a adipocytes. To assess more directly whether IL-6 regulates AMPK in vivo during exercise, measurements were carried out in skeletal muscle, liver, and adipose tissue of 3-month-old IL-6 knockout (IL-6(-/-)) and C57 black control mice. In agreement with previous studies in the rat, in control mice P-AMPK and P-ACC abundance was increased by 30-150% in the three tissues in response to exercise with the greatest increases in skeletal muscle. In contrast, in IL-6(-/-) mice, we found that the abundance of both P-AMPK and P-ACC was lower (60-90%) in muscle and adipose tissue at rest. Also the absolute increases in P-AMPK caused by exercise were diminished compared to those in control mice, although percentage increases were similar. In liver, decreases in P-AMPK and P-ACC in the IL-6(-/-) mice were more modest and the increases in their abundance caused by exercise were indistinguishable from those of control mice. The results indicate that IL-6 can activate AMPK in muscle and adipose tissue, and that this contributes to, but does not fully account for, the increase in AMPK activity in these tissues in response to exercise. They also suggest that a genetic lack of IL-6 is associated with a decrease in AMPK activity.","DOI":"10.1016/j.bbrc.2004.05.188","ISSN":"0006-291X","note":"PMID: 15219849","shortTitle":"AMPK activity is diminished in tissues of IL-6 knockout mice","journalAbbreviation":"Biochem. Biophys. Res. Commun.","language":"eng","author":[{"family":"Kelly","given":"Meghan"},{"family":"Keller","given":"Charlotte"},{"family":"Avilucea","given":"Paco R"},{"family":"Keller","given":"Pernille"},{"family":"Luo","given":"Zhijun"},{"family":"Xiang","given":"Xiaoquin"},{"family":"Giralt","given":"Mercé"},{"family":"Hidalgo","given":"Juan"},{"family":"Saha","given":"Asish K"},{"family":"Pedersen","given":"Bente K"},{"family":"Ruderman","given":"Neil B"}],"issued":{"date-parts":[["2004",7,23]]},"PMID":"15219849"}}],"schema":"https://github.com/citation-style-language/schema/raw/master/csl-citation.json"} </w:instrText>
      </w:r>
      <w:r w:rsidR="0051717D">
        <w:fldChar w:fldCharType="separate"/>
      </w:r>
      <w:r w:rsidR="00636862" w:rsidRPr="00636862">
        <w:rPr>
          <w:vertAlign w:val="superscript"/>
        </w:rPr>
        <w:t>172</w:t>
      </w:r>
      <w:r w:rsidR="0051717D">
        <w:fldChar w:fldCharType="end"/>
      </w:r>
      <w:r w:rsidR="00D726E6">
        <w:t xml:space="preserve">  AMPK is a protein kinase that regulates cell metabolism by upregulating glucose uptake and fatty acid oxidation.</w:t>
      </w:r>
      <w:r w:rsidR="00D726E6">
        <w:fldChar w:fldCharType="begin"/>
      </w:r>
      <w:r w:rsidR="00636862">
        <w:instrText xml:space="preserve"> ADDIN ZOTERO_ITEM CSL_CITATION {"citationID":"1rbdmvf1nt","properties":{"formattedCitation":"{\\rtf \\super 173\\nosupersub{}}","plainCitation":"173"},"citationItems":[{"id":277,"uris":["http://zotero.org/users/171999/items/J226RQ8N"],"uri":["http://zotero.org/users/171999/items/J226RQ8N"],"itemData":{"id":277,"type":"article-journal","title":"AMPK and the neuroendocrine regulation of appetite and energy expenditure","container-title":"Molecular and cellular endocrinology","page":"215-223","volume":"366","issue":"2","source":"NCBI PubMed","abstract":"This review highlights recent advances in the hormonal control of hypothalamic AMPK activity and the impact on appetite and energy metabolism. AMPK is an intracellular energy sensor that switches off ATP-consuming pathways and switches on ATP-producing pathways such as glucose uptake and fatty acid oxidation. In this regard, it is well positioned to respond to dynamic changes in metabolic state and nutritional over- or under-supply. Within the hypothalamus, AMPK responds to peripheral hormones that convey metabolic information based on increased plasma concentrations. For example, negative energy balance increases plasma ghrelin concentrations, increases hypothalamic AMPK and drives food intake. Conversely, plasma leptin concentrations are secreted in proportion to adipose levels and leptin suppresses hypothalamic AMPK activity and restricts food intake. This review explains that hypothalamic AMPK mediates neuroendocrine feedback control of energy metabolism. A current working model suggests that endocrine feedback influences hypothalamic AMPK via a number of mechanisms designed to shift an organism from negative to neutral energy balance. These mechanisms include (1) ghrelin stimulation of AMPK in NPY/AgRP in the arcuate nucleus (2) ghrelin stimulation of AMPK in the ventromedial hypothalamic nucleus, (3) a novel ghrelin-stimulated AMPK-dependent presynaptic mechanism that sustains AgRP neuron firing via a local synaptic memory system, (4) adiponectin stimulation of hypothalamic AMPK and (5) hypothalamic AMPK control of energy expenditure by thyroid hormone or leptin. The number of diverse mechanisms ensures hypothalamic AMPK drives the shift from negative to neutral energy balance and underscores the fundamental importance of hypothalamic AMPK to maintain neutral energy balance.","DOI":"10.1016/j.mce.2012.06.012","ISSN":"1872-8057","note":"PMID: 22789749","journalAbbreviation":"Mol. Cell. Endocrinol.","language":"eng","author":[{"family":"Stark","given":"Romana"},{"family":"Ashley","given":"Sarah E"},{"family":"Andrews","given":"Zane B"}],"issued":{"date-parts":[["2013",2,25]]},"PMID":"22789749"}}],"schema":"https://github.com/citation-style-language/schema/raw/master/csl-citation.json"} </w:instrText>
      </w:r>
      <w:r w:rsidR="00D726E6">
        <w:fldChar w:fldCharType="separate"/>
      </w:r>
      <w:r w:rsidR="00636862" w:rsidRPr="00636862">
        <w:rPr>
          <w:vertAlign w:val="superscript"/>
        </w:rPr>
        <w:t>173</w:t>
      </w:r>
      <w:r w:rsidR="00D726E6">
        <w:fldChar w:fldCharType="end"/>
      </w:r>
    </w:p>
    <w:p w:rsidR="00941B51" w:rsidRDefault="00790143" w:rsidP="00790143">
      <w:pPr>
        <w:pStyle w:val="Heading4"/>
      </w:pPr>
      <w:r>
        <w:t>E</w:t>
      </w:r>
      <w:r w:rsidR="00941B51" w:rsidRPr="003A0EF9">
        <w:t>nergy expenditure</w:t>
      </w:r>
    </w:p>
    <w:p w:rsidR="00EE3662" w:rsidRPr="00EE3662" w:rsidRDefault="00EE3662" w:rsidP="00EE3662">
      <w:pPr>
        <w:pStyle w:val="Heading5"/>
      </w:pPr>
      <w:r>
        <w:t>Basal metabolism</w:t>
      </w:r>
    </w:p>
    <w:p w:rsidR="00EE3662" w:rsidRDefault="00941B51" w:rsidP="00EE3662">
      <w:pPr>
        <w:ind w:firstLine="720"/>
        <w:contextualSpacing/>
      </w:pPr>
      <w:r>
        <w:t>The minimal amount of energy an animal needs to maintain homeostasis in a post-absorptive state, when lying down, awake, and in a thermoneutral environment is the basal metabolic rate (BMR).</w:t>
      </w:r>
      <w:r>
        <w:fldChar w:fldCharType="begin"/>
      </w:r>
      <w:r w:rsidR="00636862">
        <w:instrText xml:space="preserve"> ADDIN ZOTERO_ITEM CSL_CITATION {"citationID":"1hLNLNpY","properties":{"formattedCitation":"{\\rtf \\super 67,174\\nosupersub{}}","plainCitation":"67,174"},"citationItems":[{"id":1389,"uris":["http://zotero.org/users/171999/items/IUQI8T68"],"uri":["http://zotero.org/users/171999/items/IUQI8T68"],"itemData":{"id":1389,"type":"book","title":"Energy metabolism in animals and man","publisher":"Cambridge University Press","publisher-place":"Cambridge England ; New York","number-of-pages":"336","source":"Primo","event-place":"Cambridge England ; New York","ISBN":"0521360943","call-number":"QP176","language":"eng","author":[{"family":"Blaxter","given":"Sir Kenneth Lyon"}],"issued":{"date-parts":[["1989"]]}}},{"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fldChar w:fldCharType="separate"/>
      </w:r>
      <w:r w:rsidR="00636862" w:rsidRPr="00636862">
        <w:rPr>
          <w:vertAlign w:val="superscript"/>
        </w:rPr>
        <w:t>67,174</w:t>
      </w:r>
      <w:r>
        <w:fldChar w:fldCharType="end"/>
      </w:r>
      <w:r>
        <w:t xml:space="preserve">  Heat is produced in relation to meal consumption due to activation of the autonomic nervous system and due to ingestion, digestion, absorption, and assimilation of food.  To account for the increased heat production, this thermic effect of food is represented by the resting fed metabolic rate (RFMR; BMR + thermic effect of food).</w:t>
      </w:r>
      <w:r>
        <w:fldChar w:fldCharType="begin"/>
      </w:r>
      <w:r w:rsidR="00F52D2F">
        <w:instrText xml:space="preserve"> ADDIN ZOTERO_ITEM CSL_CITATION {"citationID":"aAn0RMdo","properties":{"formattedCitation":"{\\rtf \\super 67\\nosupersub{}}","plainCitation":"67"},"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fldChar w:fldCharType="separate"/>
      </w:r>
      <w:r w:rsidR="00F52D2F" w:rsidRPr="00F52D2F">
        <w:rPr>
          <w:vertAlign w:val="superscript"/>
        </w:rPr>
        <w:t>67</w:t>
      </w:r>
      <w:r>
        <w:fldChar w:fldCharType="end"/>
      </w:r>
      <w:r>
        <w:t xml:space="preserve">  Resting energy requirement (RER) is the energy requirement at rest, in a thermoneutral environment, and </w:t>
      </w:r>
      <w:r w:rsidR="00362D07">
        <w:t xml:space="preserve">in </w:t>
      </w:r>
      <w:r>
        <w:t>a non-fasted state.  It also accounts for energy expended for recovery from physical activity.  The energy needed to support energy equilibrium, over a long period of time, is the maintenance energy requirement (MER).</w:t>
      </w:r>
      <w:r>
        <w:fldChar w:fldCharType="begin"/>
      </w:r>
      <w:r w:rsidR="00636862">
        <w:instrText xml:space="preserve"> ADDIN ZOTERO_ITEM CSL_CITATION {"citationID":"sm8KllZ4","properties":{"formattedCitation":"{\\rtf \\super 174\\nosupersub{}}","plainCitation":"174"},"citationItems":[{"id":1389,"uris":["http://zotero.org/users/171999/items/IUQI8T68"],"uri":["http://zotero.org/users/171999/items/IUQI8T68"],"itemData":{"id":1389,"type":"book","title":"Energy metabolism in animals and man","publisher":"Cambridge University Press","publisher-place":"Cambridge England ; New York","number-of-pages":"336","source":"Primo","event-place":"Cambridge England ; New York","ISBN":"0521360943","call-number":"QP176","language":"eng","author":[{"family":"Blaxter","given":"Sir Kenneth Lyon"}],"issued":{"date-parts":[["1989"]]}}}],"schema":"https://github.com/citation-style-language/schema/raw/master/csl-citation.json"} </w:instrText>
      </w:r>
      <w:r>
        <w:fldChar w:fldCharType="separate"/>
      </w:r>
      <w:r w:rsidR="00636862" w:rsidRPr="00636862">
        <w:rPr>
          <w:vertAlign w:val="superscript"/>
        </w:rPr>
        <w:t>174</w:t>
      </w:r>
      <w:r>
        <w:fldChar w:fldCharType="end"/>
      </w:r>
      <w:r>
        <w:t xml:space="preserve">  Because there is a time effect, MER includes the energy required for thermoregulation, spontaneous activity, and moderate exercise.</w:t>
      </w:r>
      <w:r>
        <w:fldChar w:fldCharType="begin"/>
      </w:r>
      <w:r w:rsidR="00F52D2F">
        <w:instrText xml:space="preserve"> ADDIN ZOTERO_ITEM CSL_CITATION {"citationID":"EDFdO06a","properties":{"formattedCitation":"{\\rtf \\super 67\\nosupersub{}}","plainCitation":"67"},"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fldChar w:fldCharType="separate"/>
      </w:r>
      <w:r w:rsidR="00F52D2F" w:rsidRPr="00F52D2F">
        <w:rPr>
          <w:vertAlign w:val="superscript"/>
        </w:rPr>
        <w:t>67</w:t>
      </w:r>
      <w:r>
        <w:fldChar w:fldCharType="end"/>
      </w:r>
      <w:r>
        <w:t xml:space="preserve">  To calculate </w:t>
      </w:r>
      <w:r>
        <w:lastRenderedPageBreak/>
        <w:t xml:space="preserve">the energy requirements of dogs, the vast range of possible body weights must be considered.  For this reason, formulas include the body weight </w:t>
      </w:r>
      <w:r w:rsidR="00362D07">
        <w:t xml:space="preserve">(BW) </w:t>
      </w:r>
      <w:r>
        <w:t>raised to an exponent</w:t>
      </w:r>
      <w:r w:rsidR="00362D07">
        <w:t xml:space="preserve"> (metabolic BW)</w:t>
      </w:r>
      <w:r>
        <w:t>, commonly set to Kleiber’s</w:t>
      </w:r>
      <w:r w:rsidR="007D44F5">
        <w:t xml:space="preserve"> law</w:t>
      </w:r>
      <w:r>
        <w:t xml:space="preserve"> [</w:t>
      </w:r>
      <w:r w:rsidRPr="0081604F">
        <w:t xml:space="preserve">RER (kcal ME/day) = 70 x </w:t>
      </w:r>
      <w:r w:rsidR="00362D07">
        <w:t>BW</w:t>
      </w:r>
      <w:r w:rsidR="00362D07">
        <w:rPr>
          <w:vertAlign w:val="subscript"/>
        </w:rPr>
        <w:t>kg</w:t>
      </w:r>
      <w:r w:rsidRPr="0081604F">
        <w:rPr>
          <w:vertAlign w:val="superscript"/>
        </w:rPr>
        <w:t>0.75</w:t>
      </w:r>
      <w:r>
        <w:t>].</w:t>
      </w:r>
      <w:r>
        <w:fldChar w:fldCharType="begin"/>
      </w:r>
      <w:r w:rsidR="00636862">
        <w:instrText xml:space="preserve"> ADDIN ZOTERO_ITEM CSL_CITATION {"citationID":"1vablb6t3v","properties":{"formattedCitation":"{\\rtf \\super 175\\nosupersub{}}","plainCitation":"175"},"citationItems":[{"id":1390,"uris":["http://zotero.org/users/171999/items/T82XEDH8"],"uri":["http://zotero.org/users/171999/items/T82XEDH8"],"itemData":{"id":1390,"type":"book","title":"The fire of life; an introduction to animal energetics.","publisher":"New York, Wiley","number-of-pages":"454","source":"Primo","call-number":"QP141","language":"eng","author":[{"family":"Kleiber","given":"Max"}],"issued":{"date-parts":[["1961"]]}}}],"schema":"https://github.com/citation-style-language/schema/raw/master/csl-citation.json"} </w:instrText>
      </w:r>
      <w:r>
        <w:fldChar w:fldCharType="separate"/>
      </w:r>
      <w:r w:rsidR="00636862" w:rsidRPr="00636862">
        <w:rPr>
          <w:vertAlign w:val="superscript"/>
        </w:rPr>
        <w:t>175</w:t>
      </w:r>
      <w:r>
        <w:fldChar w:fldCharType="end"/>
      </w:r>
      <w:r>
        <w:t xml:space="preserve">  </w:t>
      </w:r>
      <w:r w:rsidRPr="005411BB">
        <w:t xml:space="preserve">A compilation of canine data by the National Research Council (NRC) provided a basal metabolic rate close to that estimated by Kleiber’s </w:t>
      </w:r>
      <w:r w:rsidR="007D44F5">
        <w:t>law</w:t>
      </w:r>
      <w:r w:rsidRPr="005411BB">
        <w:t>, validating its use in dogs</w:t>
      </w:r>
      <w:r>
        <w:t>.</w:t>
      </w:r>
      <w:r>
        <w:fldChar w:fldCharType="begin"/>
      </w:r>
      <w:r w:rsidR="004418F2">
        <w:instrText xml:space="preserve"> ADDIN ZOTERO_ITEM CSL_CITATION {"citationID":"zqps1gno","properties":{"formattedCitation":"{\\rtf \\super 67\\nosupersub{}}","plainCitation":"67"},"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fldChar w:fldCharType="separate"/>
      </w:r>
      <w:r w:rsidR="004418F2" w:rsidRPr="004418F2">
        <w:rPr>
          <w:vertAlign w:val="superscript"/>
        </w:rPr>
        <w:t>67</w:t>
      </w:r>
      <w:r>
        <w:fldChar w:fldCharType="end"/>
      </w:r>
      <w:r>
        <w:t xml:space="preserve">  MER is estimated by multiplying RER by a lifestage factor based on reproduction status and activity level.</w:t>
      </w:r>
      <w:r>
        <w:fldChar w:fldCharType="begin"/>
      </w:r>
      <w:r w:rsidR="00CC106C">
        <w:instrText xml:space="preserve"> ADDIN ZOTERO_ITEM CSL_CITATION {"citationID":"2h6mfbd2jh","properties":{"formattedCitation":"{\\rtf \\super 49\\nosupersub{}}","plainCitation":"49"},"citationItems":[{"id":89,"uris":["http://zotero.org/users/171999/items/3C5TNVXD"],"uri":["http://zotero.org/users/171999/items/3C5TNVXD"],"itemData":{"id":89,"type":"chapter","title":"Small Animal Clinical Nutrition: An Iterative Process","container-title":"Small animal clinical nutrition","publisher":"Mark Morris Institute","publisher-place":"Topeka, Kan","page":"3-21","edition":"5th ed..","source":"Primo","event-place":"Topeka, Kan","ISBN":"0615297013","call-number":"SF427.4","language":"eng","author":[{"family":"Thatcher","given":"C D"},{"family":"Hand","given":"Michael S"},{"family":"Remillard","given":"R L"}],"issued":{"date-parts":[["2010"]]}}}],"schema":"https://github.com/citation-style-language/schema/raw/master/csl-citation.json"} </w:instrText>
      </w:r>
      <w:r>
        <w:fldChar w:fldCharType="separate"/>
      </w:r>
      <w:r w:rsidR="00CC106C" w:rsidRPr="00CC106C">
        <w:rPr>
          <w:vertAlign w:val="superscript"/>
        </w:rPr>
        <w:t>49</w:t>
      </w:r>
      <w:r>
        <w:fldChar w:fldCharType="end"/>
      </w:r>
      <w:r w:rsidR="00362D07">
        <w:t xml:space="preserve">  Alternatively, MER may also be calculated as RER multiplied by a factor other than 70, in relation to breed, age, housing, and activity level.</w:t>
      </w:r>
      <w:r w:rsidR="00362D07">
        <w:fldChar w:fldCharType="begin"/>
      </w:r>
      <w:r w:rsidR="00362D07">
        <w:instrText xml:space="preserve"> ADDIN ZOTERO_ITEM CSL_CITATION {"citationID":"fuljeq6jr","properties":{"formattedCitation":"{\\rtf \\super 67\\nosupersub{}}","plainCitation":"67"},"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rsidR="00362D07">
        <w:fldChar w:fldCharType="separate"/>
      </w:r>
      <w:r w:rsidR="00362D07" w:rsidRPr="00362D07">
        <w:rPr>
          <w:vertAlign w:val="superscript"/>
        </w:rPr>
        <w:t>67</w:t>
      </w:r>
      <w:r w:rsidR="00362D07">
        <w:fldChar w:fldCharType="end"/>
      </w:r>
    </w:p>
    <w:p w:rsidR="00EE3662" w:rsidRDefault="00EE3662" w:rsidP="00EE3662">
      <w:pPr>
        <w:pStyle w:val="Heading5"/>
      </w:pPr>
      <w:r>
        <w:t>Thermogenesis</w:t>
      </w:r>
    </w:p>
    <w:p w:rsidR="00941B51" w:rsidRDefault="00214623" w:rsidP="00132F0C">
      <w:pPr>
        <w:ind w:firstLine="720"/>
        <w:contextualSpacing/>
      </w:pPr>
      <w:r>
        <w:t>E</w:t>
      </w:r>
      <w:r w:rsidR="00B80EE3">
        <w:t>nvironment</w:t>
      </w:r>
      <w:r>
        <w:t>al</w:t>
      </w:r>
      <w:r w:rsidR="00B80EE3">
        <w:t xml:space="preserve"> temperature changes</w:t>
      </w:r>
      <w:r>
        <w:t xml:space="preserve"> also affect energy metabolism since</w:t>
      </w:r>
      <w:r w:rsidR="00B80EE3">
        <w:t xml:space="preserve"> homeothermic animals adapt by modifying their body heat production to maintain a constant core body temperature.  Energy consumption will increase whenever the animal is exposed to an ambient temperature outside the thermoneutral zone lower and upper critical temperatures.</w:t>
      </w:r>
      <w:r w:rsidR="00B80EE3">
        <w:fldChar w:fldCharType="begin"/>
      </w:r>
      <w:r w:rsidR="004418F2">
        <w:instrText xml:space="preserve"> ADDIN ZOTERO_ITEM CSL_CITATION {"citationID":"ByZw2Ybh","properties":{"formattedCitation":"{\\rtf \\super 67\\nosupersub{}}","plainCitation":"67"},"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rsidR="00B80EE3">
        <w:fldChar w:fldCharType="separate"/>
      </w:r>
      <w:r w:rsidR="004418F2" w:rsidRPr="004418F2">
        <w:rPr>
          <w:vertAlign w:val="superscript"/>
        </w:rPr>
        <w:t>67</w:t>
      </w:r>
      <w:r w:rsidR="00B80EE3">
        <w:fldChar w:fldCharType="end"/>
      </w:r>
      <w:r w:rsidR="00B80EE3">
        <w:t xml:space="preserve">  </w:t>
      </w:r>
      <w:r w:rsidR="00941B51">
        <w:t>T</w:t>
      </w:r>
      <w:r>
        <w:t>his type of t</w:t>
      </w:r>
      <w:r w:rsidR="00941B51">
        <w:t>hermogenesis</w:t>
      </w:r>
      <w:r>
        <w:t xml:space="preserve"> can be</w:t>
      </w:r>
      <w:r w:rsidR="00941B51">
        <w:t xml:space="preserve"> facultative (heat production is turned on when needed) or adaptive (heat production capacity increases due to pro</w:t>
      </w:r>
      <w:r>
        <w:t>longed cold exposure)</w:t>
      </w:r>
      <w:r w:rsidR="00941B51">
        <w:t>.</w:t>
      </w:r>
      <w:r w:rsidR="00941B51">
        <w:fldChar w:fldCharType="begin"/>
      </w:r>
      <w:r w:rsidR="00636862">
        <w:instrText xml:space="preserve"> ADDIN ZOTERO_ITEM CSL_CITATION {"citationID":"gpYfAZb4","properties":{"formattedCitation":"{\\rtf \\super 176\\nosupersub{}}","plainCitation":"176"},"citationItems":[{"id":1391,"uris":["http://zotero.org/users/171999/items/H6H37EZ2"],"uri":["http://zotero.org/users/171999/items/H6H37EZ2"],"itemData":{"id":1391,"type":"article-journal","title":"Implications of nonshivering thermogenesis for energy balance regulation in humans","container-title":"American journal of physiology. Regulatory, integrative and comparative physiology","page":"R285-296","volume":"301","issue":"2","source":"NCBI PubMed","abstract":"The incidence of the metabolic syndrome has reached epidemic levels in the Western world. With respect to the energy balance, most attention has been given to reducing energy (food) intake. Increasing energy expenditure is an important alternative strategy. Facultative thermogenesis, which is the increase in energy expenditure in response to cold or diet, may be an effective way to affect the energy balance. The recent identification of functional brown adipose tissue (BAT) in adult humans promoted a renewed interest in nonshivering thermogenesis (NST). The purpose of this review is to highlight the recent insight in NST, general aspects of its regulation, the major tissues involved, and its metabolic consequences. Sustainable NST in adult humans amounts to 15% of the average daily energy expenditure. Calculations based on the limited available literature show that BAT thermogenesis can amount to 5% of the basal metabolic rate. It is likely that at least a substantial part of NST can be attributed to BAT, but it is possible that other tissues contribute to NST. Several studies on mitochondrial uncoupling indicate that skeletal muscle is another potential contributor to facultative thermogenesis in humans. The general and synergistic role of the sympathetic nervous system and the thyroid axis in relation to NST is discussed. Finally, perspectives on BAT and skeletal muscle NST are given.","DOI":"10.1152/ajpregu.00652.2010","ISSN":"1522-1490","note":"PMID: 21490370","journalAbbreviation":"Am. J. Physiol. Regul. Integr. Comp. Physiol.","language":"eng","author":[{"family":"van Marken Lichtenbelt","given":"Wouter D"},{"family":"Schrauwen","given":"Patrick"}],"issued":{"date-parts":[["2011",8]]},"PMID":"21490370"}}],"schema":"https://github.com/citation-style-language/schema/raw/master/csl-citation.json"} </w:instrText>
      </w:r>
      <w:r w:rsidR="00941B51">
        <w:fldChar w:fldCharType="separate"/>
      </w:r>
      <w:r w:rsidR="00636862" w:rsidRPr="00636862">
        <w:rPr>
          <w:vertAlign w:val="superscript"/>
        </w:rPr>
        <w:t>176</w:t>
      </w:r>
      <w:r w:rsidR="00941B51">
        <w:fldChar w:fldCharType="end"/>
      </w:r>
      <w:r w:rsidR="00941B51">
        <w:t xml:space="preserve">  After adaptive thermogenesis has commenced, the animal switches from a shivering to a nonshivering state with an increased metabolic rate versus when warm acclimated.</w:t>
      </w:r>
      <w:r w:rsidR="00941B51">
        <w:fldChar w:fldCharType="begin"/>
      </w:r>
      <w:r w:rsidR="00636862">
        <w:instrText xml:space="preserve"> ADDIN ZOTERO_ITEM CSL_CITATION {"citationID":"15mn2c28mo","properties":{"formattedCitation":"{\\rtf \\super 177\\nosupersub{}}","plainCitation":"177"},"citationItems":[{"id":1393,"uris":["http://zotero.org/users/171999/items/ED9JX4SR"],"uri":["http://zotero.org/users/171999/items/ED9JX4SR"],"itemData":{"id":1393,"type":"article-journal","title":"Cold acclimation and the electromyogram of unanesthetized rats","container-title":"Journal of applied physiology","page":"404-408","volume":"9","issue":"3","source":"NCBI PubMed","ISSN":"0021-8987","note":"PMID: 13376463","journalAbbreviation":"J Appl Physiol","language":"eng","author":[{"family":"Hart","given":"J S"},{"family":"Heroux","given":"O"},{"family":"Depocas","given":"F"}],"issued":{"date-parts":[["1956",11]]},"PMID":"13376463"}}],"schema":"https://github.com/citation-style-language/schema/raw/master/csl-citation.json"} </w:instrText>
      </w:r>
      <w:r w:rsidR="00941B51">
        <w:fldChar w:fldCharType="separate"/>
      </w:r>
      <w:r w:rsidR="00636862" w:rsidRPr="00636862">
        <w:rPr>
          <w:vertAlign w:val="superscript"/>
        </w:rPr>
        <w:t>177</w:t>
      </w:r>
      <w:r w:rsidR="00941B51">
        <w:fldChar w:fldCharType="end"/>
      </w:r>
      <w:r w:rsidR="00941B51">
        <w:t xml:space="preserve">  To avoid confusing this classic definition with any metabolic process not related to shivering, it has been suggested to further define this type of adaptive thermogenesis as cold acclimation-recruited, cold exposure-induced nonshivering thermogenesis.</w:t>
      </w:r>
      <w:r w:rsidR="00941B51">
        <w:fldChar w:fldCharType="begin"/>
      </w:r>
      <w:r w:rsidR="00636862">
        <w:instrText xml:space="preserve"> ADDIN ZOTERO_ITEM CSL_CITATION {"citationID":"1b55v7l4ug","properties":{"formattedCitation":"{\\rtf \\super 178\\nosupersub{}}","plainCitation":"178"},"citationItems":[{"id":1395,"uris":["http://zotero.org/users/171999/items/UHVK4GH3"],"uri":["http://zotero.org/users/171999/items/UHVK4GH3"],"itemData":{"id":1395,"type":"article-journal","title":"Brown adipose tissue: function and physiological significance","container-title":"Physiological reviews","page":"277-359","volume":"84","issue":"1","source":"NCBI PubMed","abstract":"The function of brown adipose tissue is to transfer energy from food into heat; physiologically, both the heat produced and the resulting decrease in metabolic efficiency can be of significance. Both the acute activity of the tissue, i.e., the heat production, and the recruitment process in the tissue (that results in a higher thermogenic capacity) are under the control of norepinephrine released from sympathetic nerves. In thermoregulatory thermogenesis, brown adipose tissue is essential for classical nonshivering thermogenesis (this phenomenon does not exist in the absence of functional brown adipose tissue), as well as for the cold acclimation-recruited norepinephrine-induced thermogenesis. Heat production from brown adipose tissue is activated whenever the organism is in need of extra heat, e.g., postnatally, during entry into a febrile state, and during arousal from hibernation, and the rate of thermogenesis is centrally controlled via a pathway initiated in the hypothalamus. Feeding as such also results in activation of brown adipose tissue; a series of diets, apparently all characterized by being low in protein, result in a leptin-dependent recruitment of the tissue; this metaboloregulatory thermogenesis is also under hypothalamic control. When the tissue is active, high amounts of lipids and glucose are combusted in the tissue. The development of brown adipose tissue with its characteristic protein, uncoupling protein-1 (UCP1), was probably determinative for the evolutionary success of mammals, as its thermogenesis enhances neonatal survival and allows for active life even in cold surroundings.","DOI":"10.1152/physrev.00015.2003","ISSN":"0031-9333","note":"PMID: 14715917","shortTitle":"Brown adipose tissue","journalAbbreviation":"Physiol. Rev.","language":"eng","author":[{"family":"Cannon","given":"Barbara"},{"family":"Nedergaard","given":"Jan"}],"issued":{"date-parts":[["2004",1]]},"PMID":"14715917"}}],"schema":"https://github.com/citation-style-language/schema/raw/master/csl-citation.json"} </w:instrText>
      </w:r>
      <w:r w:rsidR="00941B51">
        <w:fldChar w:fldCharType="separate"/>
      </w:r>
      <w:r w:rsidR="00636862" w:rsidRPr="00636862">
        <w:rPr>
          <w:vertAlign w:val="superscript"/>
        </w:rPr>
        <w:t>178</w:t>
      </w:r>
      <w:r w:rsidR="00941B51">
        <w:fldChar w:fldCharType="end"/>
      </w:r>
      <w:r w:rsidR="00941B51">
        <w:t xml:space="preserve">  </w:t>
      </w:r>
      <w:r w:rsidR="0005774B">
        <w:t xml:space="preserve">For simplicity, this is what will be meant by the use of nonshivering thermogenesis (NST) in this paper.  </w:t>
      </w:r>
      <w:r w:rsidR="00941B51">
        <w:t>The more inclusive definition of adaptive thermogenesis, however, involves nonshivering heat production from both ambient temperature and diet (</w:t>
      </w:r>
      <w:r w:rsidR="00941B51" w:rsidRPr="00126839">
        <w:rPr>
          <w:color w:val="FF0000"/>
        </w:rPr>
        <w:t xml:space="preserve">Figure </w:t>
      </w:r>
      <w:r w:rsidR="00A2666C">
        <w:rPr>
          <w:color w:val="FF0000"/>
        </w:rPr>
        <w:t>3</w:t>
      </w:r>
      <w:r w:rsidR="00941B51">
        <w:t>).</w:t>
      </w:r>
      <w:r w:rsidR="00941B51">
        <w:fldChar w:fldCharType="begin"/>
      </w:r>
      <w:r w:rsidR="00636862">
        <w:instrText xml:space="preserve"> ADDIN ZOTERO_ITEM CSL_CITATION {"citationID":"iX3KVrF4","properties":{"formattedCitation":"{\\rtf \\super 179\\nosupersub{}}","plainCitation":"179"},"citationItems":[{"id":1407,"uris":["http://zotero.org/users/171999/items/68QVIZE8"],"uri":["http://zotero.org/users/171999/items/68QVIZE8"],"itemData":{"id":1407,"type":"article-journal","title":"Towards a molecular understanding of adaptive thermogenesis","container-title":"Nature","page":"652-660","volume":"404","issue":"6778","source":"NCBI PubMed","abstract":"Obesity results when energy intake exceeds energy expenditure. Naturally occurring genetic mutations, as well as ablative lesions, have shown that the brain regulates both aspects of energy balance and that abnormalities in energy expenditure contribute to the development of obesity. Energy can be expended by performing work or producing heat (thermogenesis). Adaptive thermogenesis, or the regulated production of heat, is influenced by environmental temperature and diet. Mitochondria, the organelles that convert food to carbon dioxide, water and ATP, are fundamental in mediating effects on energy dissipation. Recently, there have been significant advances in understanding the molecular regulation of energy expenditure in mitochondria and the mechanisms of transcriptional control of mitochondrial genes. Here we explore these developments in relation to classical physiological views of adaptive thermogenesis.","DOI":"10.1038/35007527","ISSN":"0028-0836","note":"PMID: 10766252","journalAbbreviation":"Nature","language":"eng","author":[{"family":"Lowell","given":"B B"},{"family":"Spiegelman","given":"B M"}],"issued":{"date-parts":[["2000",4,6]]},"PMID":"10766252"}}],"schema":"https://github.com/citation-style-language/schema/raw/master/csl-citation.json"} </w:instrText>
      </w:r>
      <w:r w:rsidR="00941B51">
        <w:fldChar w:fldCharType="separate"/>
      </w:r>
      <w:r w:rsidR="00636862" w:rsidRPr="00636862">
        <w:rPr>
          <w:vertAlign w:val="superscript"/>
        </w:rPr>
        <w:t>179</w:t>
      </w:r>
      <w:r w:rsidR="00941B51">
        <w:fldChar w:fldCharType="end"/>
      </w:r>
    </w:p>
    <w:p w:rsidR="002D43E9" w:rsidRDefault="00132F0C" w:rsidP="002D43E9">
      <w:pPr>
        <w:ind w:firstLine="720"/>
        <w:contextualSpacing/>
      </w:pPr>
      <w:r>
        <w:t xml:space="preserve">Adaptation from </w:t>
      </w:r>
      <w:r w:rsidR="00D97798">
        <w:t>c</w:t>
      </w:r>
      <w:r w:rsidR="00D943CE">
        <w:t xml:space="preserve">old-induced </w:t>
      </w:r>
      <w:r>
        <w:t>shivering to NST is due to increased brown adipose tissue (BAT) recruitment.</w:t>
      </w:r>
      <w:r>
        <w:fldChar w:fldCharType="begin"/>
      </w:r>
      <w:r w:rsidR="00636862">
        <w:instrText xml:space="preserve"> ADDIN ZOTERO_ITEM CSL_CITATION {"citationID":"d68dan6in","properties":{"formattedCitation":"{\\rtf \\super 178\\nosupersub{}}","plainCitation":"178"},"citationItems":[{"id":1395,"uris":["http://zotero.org/users/171999/items/UHVK4GH3"],"uri":["http://zotero.org/users/171999/items/UHVK4GH3"],"itemData":{"id":1395,"type":"article-journal","title":"Brown adipose tissue: function and physiological significance","container-title":"Physiological reviews","page":"277-359","volume":"84","issue":"1","source":"NCBI PubMed","abstract":"The function of brown adipose tissue is to transfer energy from food into heat; physiologically, both the heat produced and the resulting decrease in metabolic efficiency can be of significance. Both the acute activity of the tissue, i.e., the heat production, and the recruitment process in the tissue (that results in a higher thermogenic capacity) are under the control of norepinephrine released from sympathetic nerves. In thermoregulatory thermogenesis, brown adipose tissue is essential for classical nonshivering thermogenesis (this phenomenon does not exist in the absence of functional brown adipose tissue), as well as for the cold acclimation-recruited norepinephrine-induced thermogenesis. Heat production from brown adipose tissue is activated whenever the organism is in need of extra heat, e.g., postnatally, during entry into a febrile state, and during arousal from hibernation, and the rate of thermogenesis is centrally controlled via a pathway initiated in the hypothalamus. Feeding as such also results in activation of brown adipose tissue; a series of diets, apparently all characterized by being low in protein, result in a leptin-dependent recruitment of the tissue; this metaboloregulatory thermogenesis is also under hypothalamic control. When the tissue is active, high amounts of lipids and glucose are combusted in the tissue. The development of brown adipose tissue with its characteristic protein, uncoupling protein-1 (UCP1), was probably determinative for the evolutionary success of mammals, as its thermogenesis enhances neonatal survival and allows for active life even in cold surroundings.","DOI":"10.1152/physrev.00015.2003","ISSN":"0031-9333","note":"PMID: 14715917","shortTitle":"Brown adipose tissue","journalAbbreviation":"Physiol. Rev.","language":"eng","author":[{"family":"Cannon","given":"Barbara"},{"family":"Nedergaard","given":"Jan"}],"issued":{"date-parts":[["2004",1]]},"PMID":"14715917"}}],"schema":"https://github.com/citation-style-language/schema/raw/master/csl-citation.json"} </w:instrText>
      </w:r>
      <w:r>
        <w:fldChar w:fldCharType="separate"/>
      </w:r>
      <w:r w:rsidR="00636862" w:rsidRPr="00636862">
        <w:rPr>
          <w:vertAlign w:val="superscript"/>
        </w:rPr>
        <w:t>178</w:t>
      </w:r>
      <w:r>
        <w:fldChar w:fldCharType="end"/>
      </w:r>
      <w:r>
        <w:t xml:space="preserve">  BAT recruitment occurs with sympathetic nervous system activation and subsequent cyclic AMP (cAMP) generation.  cAMP activates protein kinase A (PKA), leading to an acute increase in lipolysis and uncoupling protein-1 (UCP1) activity and chronic increases in UCP1 transcription, mitochondrial biogenesis, BAT hyperplasia, and BAT recruitment within white adipose tissue (WAT; </w:t>
      </w:r>
      <w:r w:rsidRPr="00126839">
        <w:rPr>
          <w:color w:val="FF0000"/>
        </w:rPr>
        <w:t xml:space="preserve">Figure </w:t>
      </w:r>
      <w:r w:rsidR="00A2666C">
        <w:rPr>
          <w:color w:val="FF0000"/>
        </w:rPr>
        <w:t>4</w:t>
      </w:r>
      <w:r>
        <w:t>).</w:t>
      </w:r>
      <w:r>
        <w:fldChar w:fldCharType="begin"/>
      </w:r>
      <w:r w:rsidR="00636862">
        <w:instrText xml:space="preserve"> ADDIN ZOTERO_ITEM CSL_CITATION {"citationID":"1udnv6k9cc","properties":{"formattedCitation":"{\\rtf \\super 179\\nosupersub{}}","plainCitation":"179"},"citationItems":[{"id":1407,"uris":["http://zotero.org/users/171999/items/68QVIZE8"],"uri":["http://zotero.org/users/171999/items/68QVIZE8"],"itemData":{"id":1407,"type":"article-journal","title":"Towards a molecular understanding of adaptive thermogenesis","container-title":"Nature","page":"652-660","volume":"404","issue":"6778","source":"NCBI PubMed","abstract":"Obesity results when energy intake exceeds energy expenditure. Naturally occurring genetic mutations, as well as ablative lesions, have shown that the brain regulates both aspects of energy balance and that abnormalities in energy expenditure contribute to the development of obesity. Energy can be expended by performing work or producing heat (thermogenesis). Adaptive thermogenesis, or the regulated production of heat, is influenced by environmental temperature and diet. Mitochondria, the organelles that convert food to carbon dioxide, water and ATP, are fundamental in mediating effects on energy dissipation. Recently, there have been significant advances in understanding the molecular regulation of energy expenditure in mitochondria and the mechanisms of transcriptional control of mitochondrial genes. Here we explore these developments in relation to classical physiological views of adaptive thermogenesis.","DOI":"10.1038/35007527","ISSN":"0028-0836","note":"PMID: 10766252","journalAbbreviation":"Nature","language":"eng","author":[{"family":"Lowell","given":"B B"},{"family":"Spiegelman","given":"B M"}],"issued":{"date-parts":[["2000",4,6]]},"PMID":"10766252"}}],"schema":"https://github.com/citation-style-language/schema/raw/master/csl-citation.json"} </w:instrText>
      </w:r>
      <w:r>
        <w:fldChar w:fldCharType="separate"/>
      </w:r>
      <w:r w:rsidR="00636862" w:rsidRPr="00636862">
        <w:rPr>
          <w:vertAlign w:val="superscript"/>
        </w:rPr>
        <w:t>179</w:t>
      </w:r>
      <w:r>
        <w:fldChar w:fldCharType="end"/>
      </w:r>
      <w:r>
        <w:t xml:space="preserve">  UCP1 is the mitochondrial protein contributing to the thermogenic function of BAT by uncoupling oxidative phosphorylation.</w:t>
      </w:r>
      <w:r>
        <w:fldChar w:fldCharType="begin"/>
      </w:r>
      <w:r w:rsidR="00636862">
        <w:instrText xml:space="preserve"> ADDIN ZOTERO_ITEM CSL_CITATION {"citationID":"MUAtSOqJ","properties":{"formattedCitation":"{\\rtf \\super 180,181\\nosupersub{}}","plainCitation":"180,181"},"citationItems":[{"id":1401,"uris":["http://zotero.org/users/171999/items/MM96GUTG"],"uri":["http://zotero.org/users/171999/items/MM96GUTG"],"itemData":{"id":1401,"type":"article-journal","title":"Thermogenic mechanisms in brown fat","container-title":"Physiological reviews","page":"1-64","volume":"64","issue":"1","source":"NCBI PubMed","ISSN":"0031-9333","note":"PMID: 6320232","journalAbbreviation":"Physiol. Rev.","language":"eng","author":[{"family":"Nicholls","given":"D G"},{"family":"Locke","given":"R M"}],"issued":{"date-parts":[["1984",1]]},"PMID":"6320232"}},{"id":1403,"uris":["http://zotero.org/users/171999/items/B9X7USUG"],"uri":["http://zotero.org/users/171999/items/B9X7USUG"],"itemData":{"id":1403,"type":"article-journal","title":"Uncoupling proteins: functional characteristics and role in the pathogenesis of obesity and Type II diabetes","container-title":"Diabetologia","page":"946-965","volume":"44","issue":"8","source":"NCBI PubMed","abstract":"Uncoupling proteins are mitochondrial carrier proteins which are able to dissipate the proton gradient of the inner mitochondrial membrane. This uncoupling process reduces the amount of ATP generated through an oxidation of fuels. The hypothesis that uncoupling proteins (UCPs) are candidate genes for human obesity or Type II (non-insulin-dependent) diabetes mellitus is based on the finding that a chemical uncoupling of the mitochondrial membrane reduces body adiposity, and that lower metabolic rates predict weight gain. It is straightforward to hypothesize that common polymorphisms of UCP1, UCP2 and UCP3 genes lower metabolic rate by a more efficient energy coupling in the mitochondria. Furthermore, genetically engineered mice over expressing different UCP homologues are lean and resistant to diet-induced obesity. The three uncoupling protein homologue genes UCP1, UCP2, and UCP3 have been investigated for polymorphisms and mutations and their impact on Type II diabetes mellitus, obesity, and body weight gain or BMI. The main conclusion is that variation in the UCP1, UCP2 or UCP3 genes is not associated with major alterations of body weight gain. The contribution of UCP genes towards polygenic obesity and Type II diabetes is evaluated and discussed.","DOI":"10.1007/s001250100596","ISSN":"0012-186X","note":"PMID: 11484071","shortTitle":"Uncoupling proteins","journalAbbreviation":"Diabetologia","language":"eng","author":[{"family":"Dalgaard","given":"L T"},{"family":"Pedersen","given":"O"}],"issued":{"date-parts":[["2001",8]]},"PMID":"11484071"}}],"schema":"https://github.com/citation-style-language/schema/raw/master/csl-citation.json"} </w:instrText>
      </w:r>
      <w:r>
        <w:fldChar w:fldCharType="separate"/>
      </w:r>
      <w:r w:rsidR="00636862" w:rsidRPr="00636862">
        <w:rPr>
          <w:vertAlign w:val="superscript"/>
        </w:rPr>
        <w:t>180,181</w:t>
      </w:r>
      <w:r>
        <w:fldChar w:fldCharType="end"/>
      </w:r>
      <w:r>
        <w:t xml:space="preserve">  This uncoupling process is commonly referred to as proton leak because protons generated through oxidative phosphorylation are moved from the mitochondrial intermembrane space to the matrix through UCP1 rather than through ATP-synthase for ATP production (</w:t>
      </w:r>
      <w:r w:rsidRPr="00126839">
        <w:rPr>
          <w:color w:val="FF0000"/>
        </w:rPr>
        <w:t xml:space="preserve">Figure </w:t>
      </w:r>
      <w:r w:rsidR="00A2666C">
        <w:rPr>
          <w:color w:val="FF0000"/>
        </w:rPr>
        <w:t>5</w:t>
      </w:r>
      <w:r>
        <w:t>).</w:t>
      </w:r>
      <w:r>
        <w:fldChar w:fldCharType="begin"/>
      </w:r>
      <w:r w:rsidR="00636862">
        <w:instrText xml:space="preserve"> ADDIN ZOTERO_ITEM CSL_CITATION {"citationID":"18d8stsusg","properties":{"formattedCitation":"{\\rtf \\super 182\\nosupersub{}}","plainCitation":"182"},"citationItems":[{"id":1409,"uris":["http://zotero.org/users/171999/items/8WXMG725"],"uri":["http://zotero.org/users/171999/items/8WXMG725"],"itemData":{"id":1409,"type":"article-journal","title":"The role of the uncoupling protein 1 (UCP1) on the development of obesity and type 2 diabetes mellitus","container-title":"Arquivos brasileiros de endocrinologia e metabologia","page":"215-225","volume":"56","issue":"4","source":"NCBI PubMed","abstract":"It is well established that genetic factors play an important role in the development of both type 2 diabetes mellitus (DM2) and obesity, and that genetically susceptible subjects can develop these metabolic diseases after being exposed to environmental risk factors. Therefore, great efforts have been made to identify genes associated with DM2 and/or obesity. Uncoupling protein 1 (UCP1) is mainly expressed in brown adipose tissue, and acts in thermogenesis, regulation of energy expenditure, and protection against oxidative stress. All these mechanisms are associated with the pathogenesis of DM2 and obesity. Hence, UCP1 is a candidate gene for the development of these disorders. Indeed, several studies have reported that polymorphisms -3826A/G, -1766A/G and -112A/C in the promoter region, Ala64Thr in exon 2 and Met299Leu in exon 5 of UCP1 gene are possibly associated with obesity and/or DM2. However, results are still controversial in different populations. Thus, the aim of this study was to review the role of UCP1 in the development of these metabolic diseases.","ISSN":"1677-9487","note":"PMID: 22790465","journalAbbreviation":"Arq Bras Endocrinol Metabol","language":"eng","author":[{"family":"Brondani","given":"Letícia de Almeida"},{"family":"Assmann","given":"Taís Silveira"},{"family":"Duarte","given":"Guilherme Coutinho Kullmann"},{"family":"Gross","given":"Jorge Luiz"},{"family":"Canani","given":"Luís Henrique"},{"family":"Crispim","given":"Daisy"}],"issued":{"date-parts":[["2012",6]]},"PMID":"22790465"}}],"schema":"https://github.com/citation-style-language/schema/raw/master/csl-citation.json"} </w:instrText>
      </w:r>
      <w:r>
        <w:fldChar w:fldCharType="separate"/>
      </w:r>
      <w:r w:rsidR="00636862" w:rsidRPr="00636862">
        <w:rPr>
          <w:vertAlign w:val="superscript"/>
        </w:rPr>
        <w:t>182</w:t>
      </w:r>
      <w:r>
        <w:fldChar w:fldCharType="end"/>
      </w:r>
      <w:r w:rsidRPr="0097638C">
        <w:t xml:space="preserve"> </w:t>
      </w:r>
      <w:r>
        <w:t xml:space="preserve"> The resulting heat generation allows for adaptive thermogenesis in response to chronic overfeeding or cold exposure.</w:t>
      </w:r>
      <w:r>
        <w:fldChar w:fldCharType="begin"/>
      </w:r>
      <w:r w:rsidR="00636862">
        <w:instrText xml:space="preserve"> ADDIN ZOTERO_ITEM CSL_CITATION {"citationID":"uq6gc696v","properties":{"formattedCitation":"{\\rtf \\super 183\\nosupersub{}}","plainCitation":"183"},"citationItems":[{"id":1405,"uris":["http://zotero.org/users/171999/items/XIDBCXJU"],"uri":["http://zotero.org/users/171999/items/XIDBCXJU"],"itemData":{"id":1405,"type":"article-journal","title":"The on-off switches of the mitochondrial uncoupling proteins","container-title":"Trends in biochemical sciences","page":"298-307","volume":"35","issue":"5","source":"NCBI PubMed","abstract":"Mitochondrial uncoupling proteins disengage substrate oxidation from ADP phosphorylation by dissipating the proton electrochemical gradient that is required for ATP synthesis. In doing this, the archetypal uncoupling protein, UCP1, mediates adaptive thermogenesis. By contrast, its paralogues UCP2 and UCP3 are not thought to mediate whole body thermogenesis in mammals. Instead, they have been implicated in a variety of physiological and pathological processes, including protection from oxidative stress, negative regulation of glucose sensing systems and the adaptation of fatty acid oxidation capacity to starving. Although much work has been devoted to how these proteins are activated, little is known of the mechanisms that reverse this activation.","DOI":"10.1016/j.tibs.2009.11.001","ISSN":"0968-0004","note":"PMID: 20006514","journalAbbreviation":"Trends Biochem. Sci.","language":"eng","author":[{"family":"Azzu","given":"Vian"},{"family":"Brand","given":"Martin D"}],"issued":{"date-parts":[["2010",5]]},"PMID":"20006514"}}],"schema":"https://github.com/citation-style-language/schema/raw/master/csl-citation.json"} </w:instrText>
      </w:r>
      <w:r>
        <w:fldChar w:fldCharType="separate"/>
      </w:r>
      <w:r w:rsidR="00636862" w:rsidRPr="00636862">
        <w:rPr>
          <w:vertAlign w:val="superscript"/>
        </w:rPr>
        <w:t>183</w:t>
      </w:r>
      <w:r>
        <w:fldChar w:fldCharType="end"/>
      </w:r>
    </w:p>
    <w:p w:rsidR="00362A5B" w:rsidRDefault="00132F0C" w:rsidP="00362A5B">
      <w:pPr>
        <w:ind w:firstLine="720"/>
        <w:contextualSpacing/>
      </w:pPr>
      <w:r>
        <w:t xml:space="preserve">In people, </w:t>
      </w:r>
      <w:r>
        <w:rPr>
          <w:vertAlign w:val="superscript"/>
        </w:rPr>
        <w:t>18</w:t>
      </w:r>
      <w:r>
        <w:t>Fluoro-deoxyglucose positron emission tomography/X-ray</w:t>
      </w:r>
      <w:r w:rsidR="00362A5B" w:rsidRPr="00362A5B">
        <w:t xml:space="preserve"> </w:t>
      </w:r>
      <w:r w:rsidR="00362A5B">
        <w:t>computed tomography (</w:t>
      </w:r>
      <w:r w:rsidR="00362A5B">
        <w:rPr>
          <w:vertAlign w:val="superscript"/>
        </w:rPr>
        <w:t>18</w:t>
      </w:r>
      <w:r w:rsidR="00362A5B">
        <w:t>F-FDG-PET/CT) can detect active BAT stores.</w:t>
      </w:r>
      <w:r w:rsidR="00362A5B">
        <w:fldChar w:fldCharType="begin"/>
      </w:r>
      <w:r w:rsidR="00362A5B">
        <w:instrText xml:space="preserve"> ADDIN ZOTERO_ITEM CSL_CITATION {"citationID":"1o1iku8thh","properties":{"formattedCitation":"{\\rtf \\super 184\\uc0\\u8211{}188\\nosupersub{}}","plainCitation":"184–188"},"citationItems":[{"id":1437,"uris":["http://zotero.org/users/171999/items/S76G2HPA"],"uri":["http://zotero.org/users/171999/items/S76G2HPA"],"itemData":{"id":1437,"type":"article-journal","title":"High incidence of metabolically active brown adipose tissue in healthy adult humans: effects of cold exposure and adiposity","container-title":"Diabetes","page":"1526-1531","volume":"58","issue":"7","source":"NCBI PubMed","abstract":"OBJECTIVE: The significant roles of brown adipose tissue (BAT) in the regulation of energy expenditure and adiposity are established in small rodents but have been controversial in humans. The objective is to examine the prevalence of metabolically active BAT in healthy adult humans and to clarify the effects of cold exposure and adiposity.\nRESEARCH DESIGN AND METHODS: In vivo 2-[(18)F]fluoro-2-deoxyglucose (FDG) uptake into adipose tissue was measured in 56 healthy volunteers (31 male and 25 female subjects) aged 23-65 years by positron emission tomography (PET) combined with X-ray computed tomography (CT).\nRESULTS: When exposed to cold (19 degrees C) for 2 h, 17 of 32 younger subjects (aged 23-35 years) and 2 of 24 elderly subjects (aged 38-65 years) showed a substantial FDG uptake into adipose tissue of the supraclavicular and paraspinal regions, whereas they showed no detectable uptake when kept warm (27 degrees C). Histological examinations confirmed the presence of brown adipocytes in these regions. The cold-activated FDG uptake was increased in winter compared with summer (P &lt; 0.001) and was inversely related to BMI (P &lt; 0.001) and total (P &lt; 0.01) and visceral (P &lt; 0.001) fat areas estimated from CT image at the umbilical level.\nCONCLUSIONS: Our findings, being against the conventional view, indicate the high incidence of metabolically active BAT in adult humans and suggest a role in the control of body temperature and adiposity.","DOI":"10.2337/db09-0530","ISSN":"1939-327X","note":"PMID: 19401428","shortTitle":"High incidence of metabolically active brown adipose tissue in healthy adult humans","journalAbbreviation":"Diabetes","language":"eng","author":[{"family":"Saito","given":"Masayuki"},{"family":"Okamatsu-Ogura","given":"Yuko"},{"family":"Matsushita","given":"Mami"},{"family":"Watanabe","given":"Kumiko"},{"family":"Yoneshiro","given":"Takeshi"},{"family":"Nio-Kobayashi","given":"Junko"},{"family":"Iwanaga","given":"Toshihiko"},{"family":"Miyagawa","given":"Masao"},{"family":"Kameya","given":"Toshimitsu"},{"family":"Nakada","given":"Kunihiro"},{"family":"Kawai","given":"Yuko"},{"family":"Tsujisaki","given":"Masayuki"}],"issued":{"date-parts":[["2009",7]]},"PMID":"19401428"}},{"id":1439,"uris":["http://zotero.org/users/171999/items/NCMGUF6E"],"uri":["http://zotero.org/users/171999/items/NCMGUF6E"],"itemData":{"id":1439,"type":"article-journal","title":"Identification and importance of brown adipose tissue in adult humans","container-title":"The New England journal of medicine","page":"1509-1517","volume":"360","issue":"15","source":"NCBI PubMed","abstract":"BACKGROUND: Obesity results from an imbalance between energy intake and expenditure. In rodents and newborn humans, brown adipose tissue helps regulate energy expenditure by thermogenesis mediated by the expression of uncoupling protein 1 (UCP1), but brown adipose tissue has been considered to have no physiologic relevance in adult humans.\nMETHODS: We analyzed 3640 consecutive (18)F-fluorodeoxyglucose ((18)F-FDG) positron-emission tomographic and computed tomographic (PET-CT) scans performed for various diagnostic reasons in 1972 patients for the presence of substantial depots of putative brown adipose tissue. Such depots were defined as collections of tissue that were more than 4 mm in diameter, had the density of adipose tissue according to CT, and had maximal standardized uptake values of (18)F-FDG of at least 2.0 g per milliliter, indicating high metabolic activity. Clinical indexes were recorded and compared with those of date-matched controls. Immunostaining for UCP1 was performed on biopsy specimens from the neck and supraclavicular regions in patients undergoing surgery.\nRESULTS: Substantial depots of brown adipose tissue were identified by PET-CT in a region extending from the anterior neck to the thorax. Tissue from this region had UCP1-immunopositive, multilocular adipocytes indicating brown adipose tissue. Positive scans were seen in 76 of 1013 women (7.5%) and 30 of 959 men (3.1%), corresponding to a female:male ratio greater than 2:1 (P&lt;0.001). Women also had a greater mass of brown adipose tissue and higher (18)F-FDG uptake activity. The probability of the detection of brown adipose tissue was inversely correlated with years of age (P&lt;0.001), outdoor temperature at the time of the scan (P=0.02), beta-blocker use (P&lt;0.001), and among older patients, body-mass index (P=0.007).\nCONCLUSIONS: Defined regions of functionally active brown adipose tissue are present in adult humans, are more frequent in women than in men, and may be quantified noninvasively with the use of (18)F-FDG PET-CT. Most important, the amount of brown adipose tissue is inversely correlated with body-mass index, especially in older people, suggesting a potential role of brown adipose tissue in adult human metabolism.","DOI":"10.1056/NEJMoa0810780","ISSN":"1533-4406","note":"PMID: 19357406","journalAbbreviation":"N. Engl. J. Med.","language":"eng","author":[{"family":"Cypess","given":"Aaron M"},{"family":"Lehman","given":"Sanaz"},{"family":"Williams","given":"Gethin"},{"family":"Tal","given":"Ilan"},{"family":"Rodman","given":"Dean"},{"family":"Goldfine","given":"Allison B"},{"family":"Kuo","given":"Frank C"},{"family":"Palmer","given":"Edwin L"},{"family":"Tseng","given":"Yu-Hua"},{"family":"Doria","given":"Alessandro"},{"family":"Kolodny","given":"Gerald M"},{"family":"Kahn","given":"C Ronald"}],"issued":{"date-parts":[["2009",4,9]]},"PMID":"19357406"}},{"id":1441,"uris":["http://zotero.org/users/171999/items/QV838CMK"],"uri":["http://zotero.org/users/171999/items/QV838CMK"],"itemData":{"id":1441,"type":"article-journal","title":"Functional brown adipose tissue in healthy adults","container-title":"The New England journal of medicine","page":"1518-1525","volume":"360","issue":"15","source":"NCBI PubMed","abstract":"Using positron-emission tomography (PET), we found that cold-induced glucose uptake was increased by a factor of 15 in paracervical and supraclavicular adipose tissue in five healthy subjects. We obtained biopsy specimens of this tissue from the first three consecutive subjects and documented messenger RNA (mRNA) and protein levels of the brown-adipocyte marker, uncoupling protein 1 (UCP1). Together with morphologic assessment, which showed numerous multilocular, intracellular lipid droplets, and with the results of biochemical analysis, these findings document the presence of substantial amounts of metabolically active brown adipose tissue in healthy adult humans.","DOI":"10.1056/NEJMoa0808949","ISSN":"1533-4406","note":"PMID: 19357407","journalAbbreviation":"N. Engl. J. Med.","language":"eng","author":[{"family":"Virtanen","given":"Kirsi A"},{"family":"Lidell","given":"Martin E"},{"family":"Orava","given":"Janne"},{"family":"Heglind","given":"Mikael"},{"family":"Westergren","given":"Rickard"},{"family":"Niemi","given":"Tarja"},{"family":"Taittonen","given":"Markku"},{"family":"Laine","given":"Jukka"},{"family":"Savisto","given":"Nina-Johanna"},{"family":"Enerbäck","given":"Sven"},{"family":"Nuutila","given":"Pirjo"}],"issued":{"date-parts":[["2009",4,9]]},"PMID":"19357407"}},{"id":1443,"uris":["http://zotero.org/users/171999/items/RGHAAJW7"],"uri":["http://zotero.org/users/171999/items/RGHAAJW7"],"itemData":{"id":1443,"type":"article-journal","title":"Brown adipose tissue oxidative metabolism contributes to energy expenditure during acute cold exposure in humans","container-title":"The Journal of clinical investigation","page":"545-552","volume":"122","issue":"2","source":"NCBI PubMed","abstract":"Brown adipose tissue (BAT) is vital for proper thermogenesis during cold exposure in rodents, but until recently its presence in adult humans and its contribution to human metabolism were thought to be minimal or insignificant. Recent studies using PET with 18F-fluorodeoxyglucose (18FDG) have shown the presence of BAT in adult humans. However, whether BAT contributes to cold-induced nonshivering thermogenesis in humans has not been proven. Using PET with 11C-acetate, 18FDG, and 18F-fluoro-thiaheptadecanoic acid (18FTHA), a fatty acid tracer, we have quantified BAT oxidative metabolism and glucose and nonesterified fatty acid (NEFA) turnover in 6 healthy men under controlled cold exposure conditions. All subjects displayed substantial NEFA and glucose uptake upon cold exposure. Furthermore, we demonstrated cold-induced activation of oxidative metabolism in BAT, but not in adjoining skeletal muscles and subcutaneous adipose tissue. This activation was associated with an increase in total energy expenditure. We found an inverse relationship between BAT activity and shivering. We also observed an increase in BAT radio density upon cold exposure, indicating reduced BAT triglyceride content. In sum, our study provides evidence that BAT acts as a nonshivering thermogenesis effector in humans.","DOI":"10.1172/JCI60433","ISSN":"1558-8238","note":"PMID: 22269323","journalAbbreviation":"J. Clin. Invest.","language":"eng","author":[{"family":"Ouellet","given":"Véronique"},{"family":"Labbé","given":"Sébastien M"},{"family":"Blondin","given":"Denis P"},{"family":"Phoenix","given":"Serge"},{"family":"Guérin","given":"Brigitte"},{"family":"Haman","given":"François"},{"family":"Turcotte","given":"Eric E"},{"family":"Richard","given":"Denis"},{"family":"Carpentier","given":"André C"}],"issued":{"date-parts":[["2012",2,1]]},"PMID":"22269323"}},{"id":1445,"uris":["http://zotero.org/users/171999/items/4CWCE5TU"],"uri":["http://zotero.org/users/171999/items/4CWCE5TU"],"itemData":{"id":1445,"type":"article-journal","title":"Brown adipose tissue, whole-body energy expenditure, and thermogenesis in healthy adult men","container-title":"Obesity (Silver Spring, Md.)","page":"13-16","volume":"19","issue":"1","source":"NCBI PubMed","abstract":"Brown adipose tissue (BAT) can be identified by (18)F-fluorodeoxyglucose (FDG)-positron emission tomography (PET) in adult humans. Thirteen healthy male volunteers aged 20-28 years underwent FDG-PET after 2-h cold exposure at 19 °C with light-clothing and intermittently putting their legs on an ice block. When exposed to cold, 6 out of the 13 subjects showed marked FDG uptake into adipose tissue of the supraclavicular and paraspinal regions (BAT-positive group), whereas the remaining seven showed no detectable uptake (BAT-negative group). The BMI and body fat content were similar in the two groups. Under warm conditions at 27 °C, the energy expenditure of the BAT-positive group estimated by indirect calorimetry was 1,446 ± 97 kcal/day, being comparable with that of the BAT-negative group (1,434 ± 246 kcal/day). After cold exposure, the energy expenditure increased markedly by 410 ± 293 (P &lt; 0.05) and slightly by 42 ± 114 kcal/day (P = 0.37) in the BAT-positive and -negative groups, respectively. A positive correlation (P &lt; 0.05) was found between the cold-induced rise in energy expenditure and the BAT activity quantified from FDG uptake. After cold exposure, the skin temperature in the supraclavicular region close to BAT deposits dropped by 0.14 °C in the BAT-positive group, whereas it dropped more markedly (P &lt; 0.01) by 0.60 °C in the BAT-negative group. The skin temperature drop in other regions apart from BAT deposits was similar in the two groups. These results suggest that BAT is involved in cold-induced increases in whole-body energy expenditure, and, thereby, the control of body temperature and adiposity in adult humans.","DOI":"10.1038/oby.2010.105","ISSN":"1930-739X","note":"PMID: 20448535","journalAbbreviation":"Obesity (Silver Spring)","language":"eng","author":[{"family":"Yoneshiro","given":"Takeshi"},{"family":"Aita","given":"Sayuri"},{"family":"Matsushita","given":"Mami"},{"family":"Kameya","given":"Toshimitsu"},{"family":"Nakada","given":"Kunihiro"},{"family":"Kawai","given":"Yuko"},{"family":"Saito","given":"Masayuki"}],"issued":{"date-parts":[["2011",1]]},"PMID":"20448535"}}],"schema":"https://github.com/citation-style-language/schema/raw/master/csl-citation.json"} </w:instrText>
      </w:r>
      <w:r w:rsidR="00362A5B">
        <w:fldChar w:fldCharType="separate"/>
      </w:r>
      <w:r w:rsidR="00362A5B" w:rsidRPr="00636862">
        <w:rPr>
          <w:vertAlign w:val="superscript"/>
        </w:rPr>
        <w:t>184–188</w:t>
      </w:r>
      <w:r w:rsidR="00362A5B">
        <w:fldChar w:fldCharType="end"/>
      </w:r>
      <w:r w:rsidR="00362A5B">
        <w:t xml:space="preserve">  </w:t>
      </w:r>
      <w:proofErr w:type="gramStart"/>
      <w:r w:rsidR="00362A5B">
        <w:t>The</w:t>
      </w:r>
      <w:proofErr w:type="gramEnd"/>
      <w:r w:rsidR="00362A5B">
        <w:t xml:space="preserve"> combination of modalities allows for the CT images to correct the PET image</w:t>
      </w:r>
      <w:r>
        <w:t xml:space="preserve"> </w:t>
      </w:r>
    </w:p>
    <w:p w:rsidR="002D43E9" w:rsidRDefault="002D43E9" w:rsidP="00362A5B">
      <w:pPr>
        <w:ind w:firstLine="720"/>
        <w:contextualSpacing/>
      </w:pPr>
      <w:r>
        <w:rPr>
          <w:noProof/>
        </w:rPr>
        <w:lastRenderedPageBreak/>
        <w:drawing>
          <wp:inline distT="0" distB="0" distL="0" distR="0" wp14:anchorId="466B3CE3" wp14:editId="1B0BBA27">
            <wp:extent cx="4173220" cy="5359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15599" t="16068" r="47222" b="7536"/>
                    <a:stretch/>
                  </pic:blipFill>
                  <pic:spPr bwMode="auto">
                    <a:xfrm>
                      <a:off x="0" y="0"/>
                      <a:ext cx="4173220" cy="5359400"/>
                    </a:xfrm>
                    <a:prstGeom prst="rect">
                      <a:avLst/>
                    </a:prstGeom>
                    <a:ln>
                      <a:noFill/>
                    </a:ln>
                    <a:extLst>
                      <a:ext uri="{53640926-AAD7-44D8-BBD7-CCE9431645EC}">
                        <a14:shadowObscured xmlns:a14="http://schemas.microsoft.com/office/drawing/2010/main"/>
                      </a:ext>
                    </a:extLst>
                  </pic:spPr>
                </pic:pic>
              </a:graphicData>
            </a:graphic>
          </wp:inline>
        </w:drawing>
      </w:r>
    </w:p>
    <w:p w:rsidR="002D43E9" w:rsidRDefault="002D43E9" w:rsidP="002D43E9">
      <w:pPr>
        <w:pStyle w:val="Caption"/>
      </w:pPr>
      <w:bookmarkStart w:id="12" w:name="_Toc376465863"/>
      <w:r>
        <w:t xml:space="preserve">Figure </w:t>
      </w:r>
      <w:fldSimple w:instr=" SEQ Figure \* ARABIC ">
        <w:r w:rsidR="00DE5561">
          <w:rPr>
            <w:noProof/>
          </w:rPr>
          <w:t>3</w:t>
        </w:r>
      </w:fldSimple>
      <w:r>
        <w:t xml:space="preserve"> Thermodynamic perspective of energy expenditure.</w:t>
      </w:r>
      <w:bookmarkEnd w:id="12"/>
    </w:p>
    <w:p w:rsidR="002D43E9" w:rsidRPr="00126839" w:rsidRDefault="002D43E9" w:rsidP="002D43E9">
      <w:r w:rsidRPr="00126839">
        <w:t xml:space="preserve">Energy enters an organism as food and exits as heat and work. Energy can also be mobilized from adipose stores. Total energy expenditure can be subdivided into three principal components: obligatory energy expenditure required for normal functioning of cells and organs; energy expenditure resulting from physical activity; and expenditure attributed to adaptive thermogenesis, which is defined as heat production in response to environmental temperature or diet. </w:t>
      </w:r>
      <w:proofErr w:type="gramStart"/>
      <w:r w:rsidR="00C92648">
        <w:t>Reprinted by permission from Macmillan Publishers Ltd: [NATURE</w:t>
      </w:r>
      <w:r w:rsidR="00C92648" w:rsidRPr="000A2582">
        <w:t>] (</w:t>
      </w:r>
      <w:r w:rsidR="00C92648">
        <w:t>Lowell BB, Spiegelman BM. Towards a molecular understanding of adaptive thermogenesis.</w:t>
      </w:r>
      <w:proofErr w:type="gramEnd"/>
      <w:r w:rsidR="00C92648">
        <w:t xml:space="preserve"> Nature 2000;404:652–660), Copyright © 2000</w:t>
      </w:r>
      <w:r w:rsidRPr="00126839">
        <w:rPr>
          <w:color w:val="FF0000"/>
        </w:rPr>
        <w:t>.</w:t>
      </w:r>
      <w:r w:rsidRPr="00126839">
        <w:fldChar w:fldCharType="begin"/>
      </w:r>
      <w:r>
        <w:instrText xml:space="preserve"> ADDIN ZOTERO_ITEM CSL_CITATION {"citationID":"ECbPocoW","properties":{"formattedCitation":"{\\rtf \\super 179\\nosupersub{}}","plainCitation":"179"},"citationItems":[{"id":1407,"uris":["http://zotero.org/users/171999/items/68QVIZE8"],"uri":["http://zotero.org/users/171999/items/68QVIZE8"],"itemData":{"id":1407,"type":"article-journal","title":"Towards a molecular understanding of adaptive thermogenesis","container-title":"Nature","page":"652-660","volume":"404","issue":"6778","source":"NCBI PubMed","abstract":"Obesity results when energy intake exceeds energy expenditure. Naturally occurring genetic mutations, as well as ablative lesions, have shown that the brain regulates both aspects of energy balance and that abnormalities in energy expenditure contribute to the development of obesity. Energy can be expended by performing work or producing heat (thermogenesis). Adaptive thermogenesis, or the regulated production of heat, is influenced by environmental temperature and diet. Mitochondria, the organelles that convert food to carbon dioxide, water and ATP, are fundamental in mediating effects on energy dissipation. Recently, there have been significant advances in understanding the molecular regulation of energy expenditure in mitochondria and the mechanisms of transcriptional control of mitochondrial genes. Here we explore these developments in relation to classical physiological views of adaptive thermogenesis.","DOI":"10.1038/35007527","ISSN":"0028-0836","note":"PMID: 10766252","journalAbbreviation":"Nature","language":"eng","author":[{"family":"Lowell","given":"B B"},{"family":"Spiegelman","given":"B M"}],"issued":{"date-parts":[["2000",4,6]]},"PMID":"10766252"}}],"schema":"https://github.com/citation-style-language/schema/raw/master/csl-citation.json"} </w:instrText>
      </w:r>
      <w:r w:rsidRPr="00126839">
        <w:fldChar w:fldCharType="separate"/>
      </w:r>
      <w:r w:rsidRPr="00636862">
        <w:rPr>
          <w:vertAlign w:val="superscript"/>
        </w:rPr>
        <w:t>179</w:t>
      </w:r>
      <w:r w:rsidRPr="00126839">
        <w:fldChar w:fldCharType="end"/>
      </w:r>
    </w:p>
    <w:p w:rsidR="002D43E9" w:rsidRDefault="002D43E9" w:rsidP="002D43E9">
      <w:pPr>
        <w:keepNext/>
        <w:contextualSpacing/>
      </w:pPr>
      <w:r>
        <w:rPr>
          <w:noProof/>
        </w:rPr>
        <w:lastRenderedPageBreak/>
        <w:drawing>
          <wp:inline distT="0" distB="0" distL="0" distR="0" wp14:anchorId="3137A5C5" wp14:editId="3EDF4012">
            <wp:extent cx="5248047" cy="6273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52778" t="15385" r="6838" b="7351"/>
                    <a:stretch/>
                  </pic:blipFill>
                  <pic:spPr bwMode="auto">
                    <a:xfrm>
                      <a:off x="0" y="0"/>
                      <a:ext cx="5242906" cy="6267655"/>
                    </a:xfrm>
                    <a:prstGeom prst="rect">
                      <a:avLst/>
                    </a:prstGeom>
                    <a:ln>
                      <a:noFill/>
                    </a:ln>
                    <a:extLst>
                      <a:ext uri="{53640926-AAD7-44D8-BBD7-CCE9431645EC}">
                        <a14:shadowObscured xmlns:a14="http://schemas.microsoft.com/office/drawing/2010/main"/>
                      </a:ext>
                    </a:extLst>
                  </pic:spPr>
                </pic:pic>
              </a:graphicData>
            </a:graphic>
          </wp:inline>
        </w:drawing>
      </w:r>
    </w:p>
    <w:p w:rsidR="002D43E9" w:rsidRDefault="002D43E9" w:rsidP="002D43E9">
      <w:pPr>
        <w:pStyle w:val="Caption"/>
      </w:pPr>
      <w:bookmarkStart w:id="13" w:name="_Toc376465864"/>
      <w:r>
        <w:t xml:space="preserve">Figure </w:t>
      </w:r>
      <w:fldSimple w:instr=" SEQ Figure \* ARABIC ">
        <w:r w:rsidR="00DE5561">
          <w:rPr>
            <w:noProof/>
          </w:rPr>
          <w:t>4</w:t>
        </w:r>
      </w:fldSimple>
      <w:r>
        <w:t xml:space="preserve"> </w:t>
      </w:r>
      <w:r w:rsidRPr="006306BB">
        <w:t>Mechanism of cold-induced adaptive thermogenesis</w:t>
      </w:r>
      <w:r w:rsidR="00025B7A">
        <w:t>.</w:t>
      </w:r>
      <w:bookmarkEnd w:id="13"/>
    </w:p>
    <w:p w:rsidR="002D43E9" w:rsidRPr="00362A5B" w:rsidRDefault="002D43E9" w:rsidP="00362A5B">
      <w:pPr>
        <w:rPr>
          <w:color w:val="FF0000"/>
        </w:rPr>
      </w:pPr>
      <w:r>
        <w:t xml:space="preserve">Brown adipose tissue recruitment occurs with sympathetic nervous system activation and subsequent cyclic </w:t>
      </w:r>
      <w:r>
        <w:rPr>
          <w:caps/>
        </w:rPr>
        <w:t>AMP (</w:t>
      </w:r>
      <w:r>
        <w:t xml:space="preserve">cAMP) generation.  </w:t>
      </w:r>
      <w:proofErr w:type="gramStart"/>
      <w:r>
        <w:t>cAMP</w:t>
      </w:r>
      <w:proofErr w:type="gramEnd"/>
      <w:r>
        <w:t xml:space="preserve"> activates protein kinase A, leading to acute and chronic activation effects.  </w:t>
      </w:r>
      <w:proofErr w:type="gramStart"/>
      <w:r>
        <w:t>UCP-1, uncoupling protein-1; β-AR, β-adrenergic receptor.</w:t>
      </w:r>
      <w:proofErr w:type="gramEnd"/>
      <w:r w:rsidRPr="00126839">
        <w:rPr>
          <w:color w:val="FF0000"/>
        </w:rPr>
        <w:t xml:space="preserve"> </w:t>
      </w:r>
      <w:proofErr w:type="gramStart"/>
      <w:r w:rsidR="00C92648">
        <w:t>Reprinted by permission from Macmillan Publishers Ltd: [NATURE</w:t>
      </w:r>
      <w:r w:rsidR="00C92648" w:rsidRPr="000A2582">
        <w:t>] (</w:t>
      </w:r>
      <w:r w:rsidR="00C92648">
        <w:t>Lowell BB, Spiegelman BM. Towards a molecular understanding of adaptive thermogenesis.</w:t>
      </w:r>
      <w:proofErr w:type="gramEnd"/>
      <w:r w:rsidR="00C92648">
        <w:t xml:space="preserve"> Nature 2000;404:652–660), Copyright © 2000.</w:t>
      </w:r>
      <w:r w:rsidRPr="00126839">
        <w:rPr>
          <w:color w:val="FF0000"/>
        </w:rPr>
        <w:fldChar w:fldCharType="begin"/>
      </w:r>
      <w:r>
        <w:rPr>
          <w:color w:val="FF0000"/>
        </w:rPr>
        <w:instrText xml:space="preserve"> ADDIN ZOTERO_ITEM CSL_CITATION {"citationID":"sHOITdb8","properties":{"formattedCitation":"{\\rtf \\super 179\\nosupersub{}}","plainCitation":"179"},"citationItems":[{"id":1407,"uris":["http://zotero.org/users/171999/items/68QVIZE8"],"uri":["http://zotero.org/users/171999/items/68QVIZE8"],"itemData":{"id":1407,"type":"article-journal","title":"Towards a molecular understanding of adaptive thermogenesis","container-title":"Nature","page":"652-660","volume":"404","issue":"6778","source":"NCBI PubMed","abstract":"Obesity results when energy intake exceeds energy expenditure. Naturally occurring genetic mutations, as well as ablative lesions, have shown that the brain regulates both aspects of energy balance and that abnormalities in energy expenditure contribute to the development of obesity. Energy can be expended by performing work or producing heat (thermogenesis). Adaptive thermogenesis, or the regulated production of heat, is influenced by environmental temperature and diet. Mitochondria, the organelles that convert food to carbon dioxide, water and ATP, are fundamental in mediating effects on energy dissipation. Recently, there have been significant advances in understanding the molecular regulation of energy expenditure in mitochondria and the mechanisms of transcriptional control of mitochondrial genes. Here we explore these developments in relation to classical physiological views of adaptive thermogenesis.","DOI":"10.1038/35007527","ISSN":"0028-0836","note":"PMID: 10766252","journalAbbreviation":"Nature","language":"eng","author":[{"family":"Lowell","given":"B B"},{"family":"Spiegelman","given":"B M"}],"issued":{"date-parts":[["2000",4,6]]},"PMID":"10766252"}}],"schema":"https://github.com/citation-style-language/schema/raw/master/csl-citation.json"} </w:instrText>
      </w:r>
      <w:r w:rsidRPr="00126839">
        <w:rPr>
          <w:color w:val="FF0000"/>
        </w:rPr>
        <w:fldChar w:fldCharType="separate"/>
      </w:r>
      <w:r w:rsidRPr="00636862">
        <w:rPr>
          <w:vertAlign w:val="superscript"/>
        </w:rPr>
        <w:t>179</w:t>
      </w:r>
      <w:r w:rsidRPr="00126839">
        <w:rPr>
          <w:color w:val="FF0000"/>
        </w:rPr>
        <w:fldChar w:fldCharType="end"/>
      </w:r>
    </w:p>
    <w:p w:rsidR="00362A5B" w:rsidRDefault="00362A5B" w:rsidP="00362A5B">
      <w:pPr>
        <w:keepNext/>
        <w:contextualSpacing/>
      </w:pPr>
      <w:r>
        <w:rPr>
          <w:noProof/>
        </w:rPr>
        <w:lastRenderedPageBreak/>
        <w:drawing>
          <wp:inline distT="0" distB="0" distL="0" distR="0" wp14:anchorId="2BAE6AA4" wp14:editId="5D3DEC0B">
            <wp:extent cx="5486400" cy="3238369"/>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9273" t="23590" r="26923" b="35042"/>
                    <a:stretch/>
                  </pic:blipFill>
                  <pic:spPr bwMode="auto">
                    <a:xfrm>
                      <a:off x="0" y="0"/>
                      <a:ext cx="5486400" cy="3238369"/>
                    </a:xfrm>
                    <a:prstGeom prst="rect">
                      <a:avLst/>
                    </a:prstGeom>
                    <a:ln>
                      <a:noFill/>
                    </a:ln>
                    <a:extLst>
                      <a:ext uri="{53640926-AAD7-44D8-BBD7-CCE9431645EC}">
                        <a14:shadowObscured xmlns:a14="http://schemas.microsoft.com/office/drawing/2010/main"/>
                      </a:ext>
                    </a:extLst>
                  </pic:spPr>
                </pic:pic>
              </a:graphicData>
            </a:graphic>
          </wp:inline>
        </w:drawing>
      </w:r>
    </w:p>
    <w:p w:rsidR="00362A5B" w:rsidRDefault="00362A5B" w:rsidP="00362A5B">
      <w:pPr>
        <w:pStyle w:val="Caption"/>
      </w:pPr>
      <w:bookmarkStart w:id="14" w:name="_Toc376465865"/>
      <w:r>
        <w:t xml:space="preserve">Figure </w:t>
      </w:r>
      <w:fldSimple w:instr=" SEQ Figure \* ARABIC ">
        <w:r w:rsidR="00DE5561">
          <w:rPr>
            <w:noProof/>
          </w:rPr>
          <w:t>5</w:t>
        </w:r>
      </w:fldSimple>
      <w:r>
        <w:t xml:space="preserve"> UCP1 location and function in the mitochondrial respiratory chain (MRC).</w:t>
      </w:r>
      <w:bookmarkEnd w:id="14"/>
    </w:p>
    <w:p w:rsidR="00362A5B" w:rsidRPr="00126839" w:rsidRDefault="00362A5B" w:rsidP="00362A5B">
      <w:r w:rsidRPr="00126839">
        <w:t xml:space="preserve">Numbers I-IV corresponds to the MRC complexes. </w:t>
      </w:r>
      <w:r>
        <w:t xml:space="preserve"> </w:t>
      </w:r>
      <w:r w:rsidRPr="00126839">
        <w:t>ATP-synthase is the fifth complex of the MRC. During respiration, protons are pumped through the MRC complexes, and a proton gradient is generated. The energy of the proton gradient drives the synthesis of ATP by the ATP-synthase complex.</w:t>
      </w:r>
      <w:r>
        <w:t xml:space="preserve"> </w:t>
      </w:r>
      <w:r w:rsidRPr="00126839">
        <w:t xml:space="preserve"> UCP1 catalyzes a regulated re-entry of protons into the matrix, uncoupling the MRC and, consequently, reducing ATP synthesis and generating heat. </w:t>
      </w:r>
      <w:commentRangeStart w:id="15"/>
      <w:r w:rsidRPr="00126839">
        <w:rPr>
          <w:color w:val="FF0000"/>
        </w:rPr>
        <w:t>NEED</w:t>
      </w:r>
      <w:r>
        <w:rPr>
          <w:color w:val="FF0000"/>
        </w:rPr>
        <w:t xml:space="preserve"> </w:t>
      </w:r>
      <w:r w:rsidRPr="00126839">
        <w:rPr>
          <w:color w:val="FF0000"/>
        </w:rPr>
        <w:t>PERMISSION</w:t>
      </w:r>
      <w:commentRangeEnd w:id="15"/>
      <w:r w:rsidR="00136898">
        <w:rPr>
          <w:rStyle w:val="CommentReference"/>
        </w:rPr>
        <w:commentReference w:id="15"/>
      </w:r>
      <w:r w:rsidRPr="00126839">
        <w:rPr>
          <w:color w:val="FF0000"/>
        </w:rPr>
        <w:t>.</w:t>
      </w:r>
      <w:r w:rsidRPr="00126839">
        <w:fldChar w:fldCharType="begin"/>
      </w:r>
      <w:r>
        <w:instrText xml:space="preserve"> ADDIN ZOTERO_ITEM CSL_CITATION {"citationID":"QeozgeDz","properties":{"formattedCitation":"{\\rtf \\super 182\\nosupersub{}}","plainCitation":"182"},"citationItems":[{"id":1409,"uris":["http://zotero.org/users/171999/items/8WXMG725"],"uri":["http://zotero.org/users/171999/items/8WXMG725"],"itemData":{"id":1409,"type":"article-journal","title":"The role of the uncoupling protein 1 (UCP1) on the development of obesity and type 2 diabetes mellitus","container-title":"Arquivos brasileiros de endocrinologia e metabologia","page":"215-225","volume":"56","issue":"4","source":"NCBI PubMed","abstract":"It is well established that genetic factors play an important role in the development of both type 2 diabetes mellitus (DM2) and obesity, and that genetically susceptible subjects can develop these metabolic diseases after being exposed to environmental risk factors. Therefore, great efforts have been made to identify genes associated with DM2 and/or obesity. Uncoupling protein 1 (UCP1) is mainly expressed in brown adipose tissue, and acts in thermogenesis, regulation of energy expenditure, and protection against oxidative stress. All these mechanisms are associated with the pathogenesis of DM2 and obesity. Hence, UCP1 is a candidate gene for the development of these disorders. Indeed, several studies have reported that polymorphisms -3826A/G, -1766A/G and -112A/C in the promoter region, Ala64Thr in exon 2 and Met299Leu in exon 5 of UCP1 gene are possibly associated with obesity and/or DM2. However, results are still controversial in different populations. Thus, the aim of this study was to review the role of UCP1 in the development of these metabolic diseases.","ISSN":"1677-9487","note":"PMID: 22790465","journalAbbreviation":"Arq Bras Endocrinol Metabol","language":"eng","author":[{"family":"Brondani","given":"Letícia de Almeida"},{"family":"Assmann","given":"Taís Silveira"},{"family":"Duarte","given":"Guilherme Coutinho Kullmann"},{"family":"Gross","given":"Jorge Luiz"},{"family":"Canani","given":"Luís Henrique"},{"family":"Crispim","given":"Daisy"}],"issued":{"date-parts":[["2012",6]]},"PMID":"22790465"}}],"schema":"https://github.com/citation-style-language/schema/raw/master/csl-citation.json"} </w:instrText>
      </w:r>
      <w:r w:rsidRPr="00126839">
        <w:fldChar w:fldCharType="separate"/>
      </w:r>
      <w:r w:rsidRPr="00636862">
        <w:rPr>
          <w:vertAlign w:val="superscript"/>
        </w:rPr>
        <w:t>182</w:t>
      </w:r>
      <w:r w:rsidRPr="00126839">
        <w:fldChar w:fldCharType="end"/>
      </w:r>
    </w:p>
    <w:p w:rsidR="00362A5B" w:rsidRDefault="00362A5B" w:rsidP="00362A5B">
      <w:pPr>
        <w:pStyle w:val="Caption"/>
      </w:pPr>
    </w:p>
    <w:p w:rsidR="00362A5B" w:rsidRPr="00362A5B" w:rsidRDefault="00362A5B" w:rsidP="00362A5B"/>
    <w:p w:rsidR="00362A5B" w:rsidRPr="00362A5B" w:rsidRDefault="00362A5B" w:rsidP="00362A5B"/>
    <w:p w:rsidR="00362A5B" w:rsidRDefault="00362A5B" w:rsidP="002D43E9">
      <w:pPr>
        <w:keepNext/>
        <w:contextualSpacing/>
      </w:pPr>
    </w:p>
    <w:p w:rsidR="00362A5B" w:rsidRDefault="00362A5B" w:rsidP="002D43E9">
      <w:pPr>
        <w:keepNext/>
        <w:contextualSpacing/>
      </w:pPr>
    </w:p>
    <w:p w:rsidR="00362A5B" w:rsidRDefault="00362A5B" w:rsidP="002D43E9">
      <w:pPr>
        <w:keepNext/>
        <w:contextualSpacing/>
      </w:pPr>
    </w:p>
    <w:p w:rsidR="00362A5B" w:rsidRDefault="00362A5B" w:rsidP="002D43E9">
      <w:pPr>
        <w:keepNext/>
        <w:contextualSpacing/>
      </w:pPr>
    </w:p>
    <w:p w:rsidR="00362A5B" w:rsidRDefault="00362A5B" w:rsidP="002D43E9">
      <w:pPr>
        <w:keepNext/>
        <w:contextualSpacing/>
      </w:pPr>
    </w:p>
    <w:p w:rsidR="00362A5B" w:rsidRDefault="00362A5B" w:rsidP="002D43E9">
      <w:pPr>
        <w:keepNext/>
        <w:contextualSpacing/>
      </w:pPr>
    </w:p>
    <w:p w:rsidR="00362A5B" w:rsidRDefault="00362A5B" w:rsidP="002D43E9">
      <w:pPr>
        <w:keepNext/>
        <w:contextualSpacing/>
      </w:pPr>
    </w:p>
    <w:p w:rsidR="00362A5B" w:rsidRDefault="00362A5B" w:rsidP="002D43E9">
      <w:pPr>
        <w:keepNext/>
        <w:contextualSpacing/>
      </w:pPr>
    </w:p>
    <w:p w:rsidR="00362A5B" w:rsidRDefault="00362A5B" w:rsidP="002D43E9">
      <w:pPr>
        <w:keepNext/>
        <w:contextualSpacing/>
      </w:pPr>
    </w:p>
    <w:p w:rsidR="00362A5B" w:rsidRDefault="00362A5B" w:rsidP="002D43E9">
      <w:pPr>
        <w:keepNext/>
        <w:contextualSpacing/>
      </w:pPr>
    </w:p>
    <w:p w:rsidR="00362A5B" w:rsidRDefault="00362A5B">
      <w:r>
        <w:br w:type="page"/>
      </w:r>
    </w:p>
    <w:p w:rsidR="00132F0C" w:rsidRDefault="00132F0C" w:rsidP="002D43E9">
      <w:pPr>
        <w:keepNext/>
        <w:contextualSpacing/>
      </w:pPr>
      <w:r>
        <w:lastRenderedPageBreak/>
        <w:t>attenuation and provides better anatomic localization versus either modality</w:t>
      </w:r>
      <w:r w:rsidR="002D43E9">
        <w:t xml:space="preserve"> </w:t>
      </w:r>
      <w:r>
        <w:t>alone.</w:t>
      </w:r>
      <w:r>
        <w:fldChar w:fldCharType="begin"/>
      </w:r>
      <w:r w:rsidR="00636862">
        <w:instrText xml:space="preserve"> ADDIN ZOTERO_ITEM CSL_CITATION {"citationID":"2hph9rev7o","properties":{"formattedCitation":"{\\rtf \\super 189\\nosupersub{}}","plainCitation":"189"},"citationItems":[{"id":1447,"uris":["http://zotero.org/users/171999/items/76C5ZRWS"],"uri":["http://zotero.org/users/171999/items/76C5ZRWS"],"itemData":{"id":1447,"type":"article-journal","title":"Patterns of (18)F-FDG uptake in adipose tissue and muscle: a potential source of false-positives for PET","container-title":"Journal of nuclear medicine: official publication, Society of Nuclear Medicine","page":"1789-1796","volume":"44","issue":"11","source":"NCBI PubMed","abstract":"The routine use of PET/CT fusion imaging in a large oncology practice has led to the realization that (18)F-FDG uptake into normal fat and muscle can be a common source of potentially misleading false-positive PET imaging in the neck, thorax, and abdomen. The goal of this study was to characterize this normal variant of (18)F-FDG uptake in terms of incidence and characteristic extent.\nMETHODS: All body scans done on our PET/CT scanners in July and August 2002 were retrospectively reviewed. All cases in which increased (18)F-FDG uptake in the neck was not localized to lymph nodes or other obvious anatomic sites on the CT scans were included in this study. Sites of any unexplained (18)F-FDG uptake in the rest of the body were also recorded.\nRESULTS: A total of 863 PET scans (476 males, 387 females; age, 2-88 y; mean age, 57 y) were reviewed. The following distinctive patterns of nonpathologic (18)F-FDG activity were observed: (a) neck fat, 20 patients (2.3%); (b) paravertebral uptake, 12 patients (1.4%); (c) perinephric fat, 7 patients (0.8%); (d) mediastinal fat, 8 patients (0.9%); (e) normal musculature, 12 patients (1.4%). Patients showing paravertebral uptake, perinephric fat, and mediastinal fat were all associated with the neck fat pattern, singly or in combination. On the other hand, patients showing the normal musculature pattern did not show any of the other uptake. In this analysis, the incidence of (18)F-FDG uptake in sites other than the neck is restricted to the patient population with neck fat uptake and may be an underestimation of the true incidence. Neck fat is found predominantly in females, whereas normal musculature is usually seen in males (P &lt; 0.01, Fisher exact test). Neck fat is also seen significantly more in the pediatric population (4/26 = 15%) than in the adult population (16/837 = 1.9%) (P &lt; 0.01, Fisher exact test).\nCONCLUSION: Increased (18)F-FDG uptake is sometimes seen in individual muscles and in adipose tissue in the neck and shoulder region, axillae, mediastinum, and perinephric regions. There is also associated (18)F-FDG uptake in the intercostal spaces in the paravertebral regions. (18)F-FDG uptake in neck fat is more commonly seen in female patients and the pediatric population. The pattern of uptake as well as the age and sex distribution suggest that the (18)F-FDG in fat is in the brown adipose tissue. It is important to recognize this uptake pattern to avoid false interpretation of this benign normal variant as a malignant finding on (18)F-FDG PET scans.","ISSN":"0161-5505","note":"PMID: 14602861","shortTitle":"Patterns of (18)F-FDG uptake in adipose tissue and muscle","journalAbbreviation":"J. Nucl. Med.","language":"eng","author":[{"family":"Yeung","given":"Henry W D"},{"family":"Grewal","given":"Ravinder K"},{"family":"Gonen","given":"Mithat"},{"family":"Schöder","given":"Heiko"},{"family":"Larson","given":"Steven M"}],"issued":{"date-parts":[["2003",11]]},"PMID":"14602861"}}],"schema":"https://github.com/citation-style-language/schema/raw/master/csl-citation.json"} </w:instrText>
      </w:r>
      <w:r>
        <w:fldChar w:fldCharType="separate"/>
      </w:r>
      <w:proofErr w:type="gramStart"/>
      <w:r w:rsidR="00636862" w:rsidRPr="00636862">
        <w:rPr>
          <w:vertAlign w:val="superscript"/>
        </w:rPr>
        <w:t>189</w:t>
      </w:r>
      <w:r>
        <w:fldChar w:fldCharType="end"/>
      </w:r>
      <w:r>
        <w:t xml:space="preserve">  </w:t>
      </w:r>
      <w:r w:rsidRPr="00F740FA">
        <w:rPr>
          <w:vertAlign w:val="superscript"/>
        </w:rPr>
        <w:t>18</w:t>
      </w:r>
      <w:r>
        <w:t>F-FDG</w:t>
      </w:r>
      <w:proofErr w:type="gramEnd"/>
      <w:r>
        <w:t xml:space="preserve"> is a radiolabeled form of glucose, which is taken up by cells capable of metabolizing glucose, including BAT. </w:t>
      </w:r>
      <w:r>
        <w:rPr>
          <w:vertAlign w:val="subscript"/>
        </w:rPr>
        <w:t xml:space="preserve"> </w:t>
      </w:r>
      <w:r w:rsidRPr="00392ED0">
        <w:rPr>
          <w:vertAlign w:val="superscript"/>
        </w:rPr>
        <w:t>18</w:t>
      </w:r>
      <w:r>
        <w:t xml:space="preserve">F-FDG uptake by BAT was an important discovery because previous evidence indicated adults did not have active BAT.  It is now known that as animals age, BAT is largely converted to WAT, leaving behind very few BAT deposits.  There are, however, bilateral and symmetric </w:t>
      </w:r>
      <w:r w:rsidR="001D43DE">
        <w:t>deposits</w:t>
      </w:r>
      <w:r>
        <w:t xml:space="preserve"> in the supraclavicular area, posterior neck, suprasternal notch, upper axilla, mediastinum, paraspinal regions, cardiac apex, and pararenal space.</w:t>
      </w:r>
      <w:r>
        <w:fldChar w:fldCharType="begin"/>
      </w:r>
      <w:r w:rsidR="00636862">
        <w:instrText xml:space="preserve"> ADDIN ZOTERO_ITEM CSL_CITATION {"citationID":"GbrqFR63","properties":{"formattedCitation":"{\\rtf \\super 190\\uc0\\u8211{}192\\nosupersub{}}","plainCitation":"190–192"},"citationItems":[{"id":1419,"uris":["http://zotero.org/users/171999/items/9PJK5DAQ"],"uri":["http://zotero.org/users/171999/items/9PJK5DAQ"],"itemData":{"id":1419,"type":"article-journal","title":"Brown adipose tissue: a factor to consider in symmetrical tracer uptake in the neck and upper chest region","container-title":"European journal of nuclear medicine and molecular imaging","page":"1393-1398","volume":"29","issue":"10","source":"NCBI PubMed","abstract":"Increased symmetrical fluorine-18 fluorodeoxyglucose (FDG) uptake in the cervical and thoracic spine region is well known and has been attributed to muscular uptake. The purpose of this study was to re-evaluate this FDG uptake pattern by means of co-registered positron emission tomography (PET) and computed tomography (CT) imaging, which allowed exact localisation of this uptake. Between April and November 2001, 638 consecutive patients referred for PET/CT were imaged on an in-line PET/CT system (GEMS). This system combines an advanced GE PET scanner and a multirow-detector computer tomograph (Lightspeed, GEMS). The examination included PET with FDG and one CT acquisition with 80 mA. For CT, the following parameters were used: 140 kV, 80 mA, reconstructed slice thickness 5 mm, scan length 867 mm, AT 22.5 s. CT data were used for attenuation correction as well as image co-registration. Image analysis was performed on an Entegra work-station (ELGEMS). All patients with symmetrical uptake within the neck, thorax and shoulder regions were selected and the exact localisation of uptake determined (muscle, bone, fatty tissue or articulation). In 17 of the 638 patients (2.5%), increased, symmetrical FDG uptake in the shoulder region in a typical pattern was found. If extensive, this pattern included FDG activity comparable to brain activity in the lower cervical spine, the shoulder region and the upper thoracic spine in the costovertebral region. A less extensive pattern only involved intermediate FDG uptake in the lower cervical spine and shoulder region or in the shoulder region alone. In seven female patients (average 32.3 years), the extensive uptake pattern was seen. The average body mass index (BMI) was 19.0 (range 16.8-23.4). In the other ten patients (two male, eight female, average age 37.1 years), the average BMI was 22.7 (18.7-27.7). In all patients, the soft tissue uptake was clearly localised within the fatty tissue of the shoulders as demonstrated by PET/CT co-registration. The uptake in the region of the thoracic spine was localised in the region of the costovertebral joints. Symmetrical FDG uptake in the shoulder, neck and thoracic spine region is probably related to uptake in adipose tissue, especially in underweight patients. Hypothetically, this FDG uptake could represent activated brown adipose tissue during increased sympathetic nerve system (SNS) activity due to cold stress.","DOI":"10.1007/s00259-002-0902-6","ISSN":"1619-7070","note":"PMID: 12271425","shortTitle":"Brown adipose tissue","journalAbbreviation":"Eur. J. Nucl. Med. Mol. Imaging","language":"eng","author":[{"family":"Hany","given":"Thomas F"},{"family":"Gharehpapagh","given":"Esmaiel"},{"family":"Kamel","given":"Ehab M"},{"family":"Buck","given":"Alfred"},{"family":"Himms-Hagen","given":"Jean"},{"family":"von Schulthess","given":"Gustav K"}],"issued":{"date-parts":[["2002",10]]},"PMID":"12271425"}},{"id":1417,"uris":["http://zotero.org/users/171999/items/RNSWSU7Z"],"uri":["http://zotero.org/users/171999/items/RNSWSU7Z"],"itemData":{"id":1417,"type":"article-journal","title":"Uptake in supraclavicular area fat (\"USA-Fat\"): description on 18F-FDG PET/CT","container-title":"Journal of nuclear medicine: official publication, Society of Nuclear Medicine","page":"170-176","volume":"44","issue":"2","source":"NCBI PubMed","abstract":"The supraclavicular region is a common site for lymph node metastases. A commonly reported type of nonmalignant (18)F-FDG uptake on PET imaging in the supraclavicular region is \"muscle uptake\" purportedly due to muscle contraction in tense patients during the (18)F-FDG uptake phase. PET/CT offers the unique opportunity to correlate PET findings with CT anatomy in the supraclavicular region.\nMETHODS: Images from the first 359 consecutive clinical whole-body studies (in 347 patients) using (18)F-FDG and a PET/CT scanner (with CT attenuation correction and ordered-subsets expectation maximization [OSEM] reconstruction) were retrospectively reviewed. The supraclavicular region was evaluated for the presence of abnormal uptake on PET images, and the corresponding CT findings were assessed. Three distinct patterns of abnormal (18)F-FDG uptake were noted: pattern A (uptake localizing to supraclavicular area fat [USA-fat], i.e., without corresponding lymph node or muscle uptake on CT), pattern B (uptake localizing to muscle on CT), and pattern C (uptake localizing to lymph nodes or soft-tissue masses on CT).\nRESULTS: Forty-nine patients (14.1%) (32 female, 17 male; mean age, 51.4 +/- 15.6 y; age range, 12-77 y) showed abnormal (18)F-FDG uptake in the supraclavicular region. Twenty patients (5.8%) had muscle uptake (group B); 15 (4.3%) had definite abnormal lymph nodes (group C). However, 14 patients (4.0%) had USA-fat (group A) and foci of very low Hounsfield units on CT. These foci were also present on (68)Ge attenuation-corrected images (when obtained) and non-attenuation-corrected images. Uptake in USA-fat was typically bilateral and symmetric, intense, more often multifocal than linear, and located in fat on PET/CT. Age was not significantly different for group C versus the 2 other groups. Intensity; mean standardized uptake value, lean (SUV(L MEAN)); or maximum standardized uptake value, lean (SUV(L MAX)), did not allow differentiation between patterns A and C (P &gt; 0.05). Standardized uptake values (SUV(L MAX), 3.1; SUV(L MEAN), 2.1) were significantly lower in group B than in the 2 other groups (P &lt; 0.005).\nCONCLUSION: So-called muscle uptake in the supraclavicular region may be caused in a significant proportion of cases by an unrelated process we call the USA-fat finding, with (18)F-FDG uptake in tissues of low-Hounsfield (fat) density. This finding most likely reflects an underlying nonpathologic process that we hypothesize to be in foci of brown fat. This intense supraclavicular uptake should be recognized and should not be misinterpreted as a malignant metastatic process or as muscle uptake.","ISSN":"0161-5505","note":"PMID: 12571205","shortTitle":"Uptake in supraclavicular area fat (\"USA-Fat\")","journalAbbreviation":"J. Nucl. Med.","language":"eng","author":[{"family":"Cohade","given":"Christian"},{"family":"Osman","given":"Medhat"},{"family":"Pannu","given":"Harpreet K"},{"family":"Wahl","given":"Richard L"}],"issued":{"date-parts":[["2003",2]]},"PMID":"12571205"}},{"id":1421,"uris":["http://zotero.org/users/171999/items/MS3HKSG5"],"uri":["http://zotero.org/users/171999/items/MS3HKSG5"],"itemData":{"id":1421,"type":"article-journal","title":"Human brown adipose tissue","container-title":"Cell metabolism","page":"248-252","volume":"11","issue":"4","source":"NCBI PubMed","abstract":"The BAT organ is unique in that it has evolved to safely dissipate large amounts of chemical energy--a quality that might be harnessed to help humans deal with a dangerously hypercaloric environment and still remain in good health.","DOI":"10.1016/j.cmet.2010.03.008","ISSN":"1932-7420","note":"PMID: 20374955","journalAbbreviation":"Cell Metab.","language":"eng","author":[{"family":"Enerbäck","given":"Sven"}],"issued":{"date-parts":[["2010",4,7]]},"PMID":"20374955"}}],"schema":"https://github.com/citation-style-language/schema/raw/master/csl-citation.json"} </w:instrText>
      </w:r>
      <w:r>
        <w:fldChar w:fldCharType="separate"/>
      </w:r>
      <w:r w:rsidR="00636862" w:rsidRPr="00636862">
        <w:rPr>
          <w:vertAlign w:val="superscript"/>
        </w:rPr>
        <w:t>190–192</w:t>
      </w:r>
      <w:r>
        <w:fldChar w:fldCharType="end"/>
      </w:r>
      <w:r>
        <w:t xml:space="preserve">  Babies have additional stores between the shoulder blades and an overall larger total volume of BAT compared to adults</w:t>
      </w:r>
      <w:r w:rsidR="009F5812">
        <w:t xml:space="preserve"> as they rely on NST</w:t>
      </w:r>
      <w:r w:rsidR="00EE3662">
        <w:t xml:space="preserve"> for thermoregulation</w:t>
      </w:r>
      <w:r>
        <w:t xml:space="preserve"> (</w:t>
      </w:r>
      <w:r w:rsidRPr="00126839">
        <w:rPr>
          <w:color w:val="FF0000"/>
        </w:rPr>
        <w:t xml:space="preserve">Figure </w:t>
      </w:r>
      <w:r w:rsidR="00A2666C">
        <w:rPr>
          <w:color w:val="FF0000"/>
        </w:rPr>
        <w:t>6</w:t>
      </w:r>
      <w:r>
        <w:t>).</w:t>
      </w:r>
      <w:r>
        <w:fldChar w:fldCharType="begin"/>
      </w:r>
      <w:r w:rsidR="00636862">
        <w:instrText xml:space="preserve"> ADDIN ZOTERO_ITEM CSL_CITATION {"citationID":"o3n6s5k77","properties":{"formattedCitation":"{\\rtf \\super 192\\nosupersub{}}","plainCitation":"192"},"citationItems":[{"id":1421,"uris":["http://zotero.org/users/171999/items/MS3HKSG5"],"uri":["http://zotero.org/users/171999/items/MS3HKSG5"],"itemData":{"id":1421,"type":"article-journal","title":"Human brown adipose tissue","container-title":"Cell metabolism","page":"248-252","volume":"11","issue":"4","source":"NCBI PubMed","abstract":"The BAT organ is unique in that it has evolved to safely dissipate large amounts of chemical energy--a quality that might be harnessed to help humans deal with a dangerously hypercaloric environment and still remain in good health.","DOI":"10.1016/j.cmet.2010.03.008","ISSN":"1932-7420","note":"PMID: 20374955","journalAbbreviation":"Cell Metab.","language":"eng","author":[{"family":"Enerbäck","given":"Sven"}],"issued":{"date-parts":[["2010",4,7]]},"PMID":"20374955"}}],"schema":"https://github.com/citation-style-language/schema/raw/master/csl-citation.json"} </w:instrText>
      </w:r>
      <w:r>
        <w:fldChar w:fldCharType="separate"/>
      </w:r>
      <w:r w:rsidR="00636862" w:rsidRPr="00636862">
        <w:rPr>
          <w:vertAlign w:val="superscript"/>
        </w:rPr>
        <w:t>192</w:t>
      </w:r>
      <w:r>
        <w:fldChar w:fldCharType="end"/>
      </w:r>
      <w:r>
        <w:t xml:space="preserve"> </w:t>
      </w:r>
      <w:r w:rsidRPr="006B0AF5">
        <w:t xml:space="preserve"> </w:t>
      </w:r>
      <w:r>
        <w:t xml:space="preserve">In dogs, there is evidence BAT can be reactivated by either cold temperature or drug induction, but the author is unaware of similar </w:t>
      </w:r>
      <w:r>
        <w:rPr>
          <w:vertAlign w:val="superscript"/>
        </w:rPr>
        <w:t>18</w:t>
      </w:r>
      <w:r>
        <w:t>F-FDG data in dogs.</w:t>
      </w:r>
      <w:r>
        <w:fldChar w:fldCharType="begin"/>
      </w:r>
      <w:r w:rsidR="00636862">
        <w:instrText xml:space="preserve"> ADDIN ZOTERO_ITEM CSL_CITATION {"citationID":"aw5nq1KR","properties":{"formattedCitation":"{\\rtf \\super 193,194\\nosupersub{}}","plainCitation":"193,194"},"citationItems":[{"id":1431,"uris":["http://zotero.org/users/171999/items/5WICR3KP"],"uri":["http://zotero.org/users/171999/items/5WICR3KP"],"itemData":{"id":1431,"type":"article-journal","title":"The thermogenic role of adipose tissue in the dog","container-title":"International journal of obesity","page":"423-432","volume":"9","issue":"6","source":"NCBI PubMed","abstract":"Brown adipose tissue was clearly present in neonatal dogs. In the adult the tissue was superseded by a tissue with the gross characteristics of white adipose. However despite their appearance adult adipose tissue depots may contribute to non-shivering thermogenesis. Regional blood flow measurements using injected radioactive microspheres indicated large increases in blood flow to adipose depots during infusion of noradrenaline. Coupled with blood flow estimations, measurement of arteriovenous differences in dissolved oxygen across the bladder fat depot demonstrated a quantitative increase in oxygen extraction by the depot during noradrenaline infusion. Acute activation of non-shivering thermogenesis in the dog was not associated with increased mitochondrial GDP-binding in adipose tissue. However chronic treatment with a beta-stimulant (LY79730) which increased capacity for non-shivering thermogenesis was associated with increased mitochondrial GDP-binding and cytochrome oxidase activity in peri-renal adipose tissue.","ISSN":"0307-0565","note":"PMID: 3007382","journalAbbreviation":"Int J Obes","language":"eng","author":[{"family":"Holloway","given":"B R"},{"family":"Stribling","given":"D"},{"family":"Freeman","given":"S"},{"family":"Jamieson","given":"L"}],"issued":{"date-parts":[["1985"]]},"PMID":"3007382"}},{"id":1435,"uris":["http://zotero.org/users/171999/items/AP2K9XM8"],"uri":["http://zotero.org/users/171999/items/AP2K9XM8"],"itemData":{"id":1435,"type":"article-journal","title":"Comparison of adipose tissue changes following administration of rosiglitazone in the dog and rat","container-title":"Diabetes, obesity &amp; metabolism","page":"163-170","volume":"3","issue":"3","source":"NCBI PubMed","abstract":"Rosiglitazone (BRL-49653-C), a thiazolidinedione, is a potent agonist for the nuclear hormone receptor peroxisome proliferator-activated receptor gamma (PPARgamma). Thiazolidinediones have been reported to induce adipocyte differentiation in vitro and there is limited data on their effects in vivo. The objective of this study was to compare the effects of rosiglitazone on adipocyte differentiation between dogs and rats. Morphological (light and ultrastructural) and morphometric evaluations were conducted on perirenal adipose tissue from dogs that have been treated for 1 month with 0.4, 5, 60 mg/kg/day and rats treated for the same period with 80 mg/kg/day. There was a dose-related change in the phenotype of white adipose tissue in dogs, reflected by an increase in nuclear numerical density (up to threefold) and cytoplasmic area fraction (up to 2.1-fold). In addition, there was an enlargement of the nuclei and a reduction in the size of the white adipocyte lipid vacuoles. Ultrastructural changes included an increase in the number of mitochondria per adipocyte. In the rat, similar changes were seen in nuclear numerical density (1.5-fold increase) and cytoplasmic area fraction (2.2-fold increase). There were also increased numbers of mitochondria per cell in white adipocytes giving them similar numbers of mitochondria to brown adipocytes. In the brown adipocytes, there was a reduction in cytoplasmic area fraction with a corresponding increase in the size of the lipid filled vacuoles in other words there was a converging of the phenotypes of the white and brown adipose tissues.","ISSN":"1462-8902","note":"PMID: 11412280","journalAbbreviation":"Diabetes Obes Metab","language":"eng","author":[{"family":"Toseland","given":"C D"},{"family":"Campbell","given":"S"},{"family":"Francis","given":"I"},{"family":"Bugelski","given":"P J"},{"family":"Mehdi","given":"N"}],"issued":{"date-parts":[["2001",6]]},"PMID":"11412280"}}],"schema":"https://github.com/citation-style-language/schema/raw/master/csl-citation.json"} </w:instrText>
      </w:r>
      <w:r>
        <w:fldChar w:fldCharType="separate"/>
      </w:r>
      <w:r w:rsidR="00636862" w:rsidRPr="00636862">
        <w:rPr>
          <w:vertAlign w:val="superscript"/>
        </w:rPr>
        <w:t>193,194</w:t>
      </w:r>
      <w:r>
        <w:fldChar w:fldCharType="end"/>
      </w:r>
    </w:p>
    <w:p w:rsidR="0025277A" w:rsidRDefault="0025277A" w:rsidP="00132F0C">
      <w:pPr>
        <w:ind w:firstLine="720"/>
        <w:contextualSpacing/>
      </w:pPr>
      <w:r>
        <w:t>Diet-induced thermogenesis</w:t>
      </w:r>
      <w:r w:rsidR="00D943CE">
        <w:t xml:space="preserve"> can have a signifi</w:t>
      </w:r>
      <w:r w:rsidR="00EF1430">
        <w:t>cant effect on metabolic rate, accounted for by the difference in BMR and RFMR</w:t>
      </w:r>
      <w:r w:rsidR="002E1B48">
        <w:t xml:space="preserve"> and expressed as the heat increment</w:t>
      </w:r>
      <w:r w:rsidR="00EF1430">
        <w:t>.</w:t>
      </w:r>
      <w:r w:rsidR="00EF1430">
        <w:fldChar w:fldCharType="begin"/>
      </w:r>
      <w:r w:rsidR="00636862">
        <w:instrText xml:space="preserve"> ADDIN ZOTERO_ITEM CSL_CITATION {"citationID":"Q1TimoRX","properties":{"formattedCitation":"{\\rtf \\super 67,174\\nosupersub{}}","plainCitation":"67,174"},"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Nutrition","given":""}],"issued":{"year":2006},"page-first":"28"}},{"id":1389,"uris":["http://zotero.org/users/171999/items/IUQI8T68"],"uri":["http://zotero.org/users/171999/items/IUQI8T68"],"itemData":{"id":1389,"type":"book","title":"Energy metabolism in animals and man","publisher":"Cambridge University Press","publisher-place":"Cambridge England ; New York","number-of-pages":"336","source":"Primo","event-place":"Cambridge England ; New York","ISBN":"0521360943","call-number":"QP176","language":"eng","author":[{"family":"Blaxter","given":"Sir Kenneth Lyon"}],"issued":{"date-parts":[["1989"]]}}}],"schema":"https://github.com/citation-style-language/schema/raw/master/csl-citation.json"} </w:instrText>
      </w:r>
      <w:r w:rsidR="00EF1430">
        <w:fldChar w:fldCharType="separate"/>
      </w:r>
      <w:r w:rsidR="00636862" w:rsidRPr="00636862">
        <w:rPr>
          <w:vertAlign w:val="superscript"/>
        </w:rPr>
        <w:t>67,174</w:t>
      </w:r>
      <w:r w:rsidR="00EF1430">
        <w:fldChar w:fldCharType="end"/>
      </w:r>
      <w:r w:rsidR="002E1B48">
        <w:t xml:space="preserve">  </w:t>
      </w:r>
      <w:r w:rsidR="00FA3FBD">
        <w:t>Heat increme</w:t>
      </w:r>
      <w:r w:rsidR="00A57A19">
        <w:t>nt values for animals have been estimated as 2</w:t>
      </w:r>
      <w:r w:rsidR="00FA3FBD">
        <w:t xml:space="preserve">0 – 36 </w:t>
      </w:r>
      <w:r w:rsidR="00A57A19">
        <w:t xml:space="preserve">percent for protein, </w:t>
      </w:r>
      <w:r w:rsidR="00FA3FBD">
        <w:t xml:space="preserve">0 – 15 </w:t>
      </w:r>
      <w:r w:rsidR="00A57A19">
        <w:t xml:space="preserve">percent for fat, and </w:t>
      </w:r>
      <w:r w:rsidR="00FA3FBD">
        <w:t xml:space="preserve">5 – 22 </w:t>
      </w:r>
      <w:r w:rsidR="00A57A19">
        <w:t>percent for carbohydrate.</w:t>
      </w:r>
      <w:r w:rsidR="00A57A19">
        <w:fldChar w:fldCharType="begin"/>
      </w:r>
      <w:r w:rsidR="00636862">
        <w:instrText xml:space="preserve"> ADDIN ZOTERO_ITEM CSL_CITATION {"citationID":"M03C1SB2","properties":{"formattedCitation":"{\\rtf \\super 174,195\\nosupersub{}}","plainCitation":"174,195"},"citationItems":[{"id":1389,"uris":["http://zotero.org/users/171999/items/IUQI8T68"],"uri":["http://zotero.org/users/171999/items/IUQI8T68"],"itemData":{"id":1389,"type":"book","title":"Energy metabolism in animals and man","publisher":"Cambridge University Press","publisher-place":"Cambridge England ; New York","number-of-pages":"336","source":"Primo","event-place":"Cambridge England ; New York","ISBN":"0521360943","call-number":"QP176","language":"eng","author":[{"family":"Blaxter","given":"Sir Kenneth Lyon"}],"issued":{"date-parts":[["1989"]]}}},{"id":1455,"uris":["http://zotero.org/users/171999/items/484IH7BA"],"uri":["http://zotero.org/users/171999/items/484IH7BA"],"itemData":{"id":1455,"type":"article-journal","title":"Thermic effect of food and sympathetic nervous system activity in humans","container-title":"Reproduction, nutrition, development","page":"391-397","volume":"36","issue":"4","source":"NCBI PubMed","abstract":"The intake of nutrients is known to increase energy expenditure. Measured thermic effects of nutrient are 0-3% for fat, 5-10% for carbohydrates and 20-30% for proteins. Stimulation of adenosine triphosphate (ATP) hydrolysis during intestinal absorption, initial metabolic steps and nutrient storage are responsible for this food thermic effect. The autonomic nervous system modulates the thermic effect of nutrients. Parasympathetic muscarinic antagonists reduce the thermic effect of orally administered nutrients, most likely by delaying gastric emptying and decreasing the amount of nutrient storage. Antagonists of the beta-adrenoreceptors decrease the thermic effect of glucose. The part of glucose induced thermogenesis which is eliminated by beta-adrenergic antagonists has been called 'facultative thermogenesis' and takes place, at least in part, in skeletal muscle. Insulin-induced stimulation of muscle sympathetic nerve activity may be involved in this facultative thermogenesis. The thermic effect of food is reduced in obese, insulin-resistant patients. The effect of thermogenesis represents about 50-150 kcal/day in such patients, and can explain only a minor part of their excess body weight. Defective thermogenesis may, however, contribute to weight gain, or impair weight loss in such patients.","ISSN":"0926-5287","note":"PMID: 8878356","journalAbbreviation":"Reprod. Nutr. Dev.","language":"eng","author":[{"family":"Tappy","given":"L"}],"issued":{"date-parts":[["1996"]]},"PMID":"8878356"}}],"schema":"https://github.com/citation-style-language/schema/raw/master/csl-citation.json"} </w:instrText>
      </w:r>
      <w:r w:rsidR="00A57A19">
        <w:fldChar w:fldCharType="separate"/>
      </w:r>
      <w:r w:rsidR="00636862" w:rsidRPr="00636862">
        <w:rPr>
          <w:vertAlign w:val="superscript"/>
        </w:rPr>
        <w:t>174,195</w:t>
      </w:r>
      <w:r w:rsidR="00A57A19">
        <w:fldChar w:fldCharType="end"/>
      </w:r>
      <w:r w:rsidR="00A57A19">
        <w:t xml:space="preserve">  </w:t>
      </w:r>
      <w:r w:rsidR="002E1B48">
        <w:t>This</w:t>
      </w:r>
      <w:r w:rsidR="00F22136">
        <w:t xml:space="preserve"> effect of food</w:t>
      </w:r>
      <w:r w:rsidR="002E1B48">
        <w:t xml:space="preserve"> is most important at lower ambient temperatures when the animal needs to </w:t>
      </w:r>
      <w:r w:rsidR="00F22136">
        <w:t>compensate by increasing</w:t>
      </w:r>
      <w:r w:rsidR="002E1B48">
        <w:t xml:space="preserve"> core body temperature.  </w:t>
      </w:r>
      <w:r w:rsidR="00EE3662">
        <w:t>The NRC</w:t>
      </w:r>
      <w:r w:rsidR="007B6C1D">
        <w:t xml:space="preserve"> has determined that dietary thermogenesis accounts for 10 percent of daily energy expenditure in dogs, although this value is affected by the number of meals consumed</w:t>
      </w:r>
      <w:r w:rsidR="00A57A19">
        <w:t xml:space="preserve">, with higher values in those fed </w:t>
      </w:r>
      <w:r w:rsidR="001D43DE">
        <w:t>several</w:t>
      </w:r>
      <w:r w:rsidR="00A57A19">
        <w:t xml:space="preserve"> times a day</w:t>
      </w:r>
      <w:r w:rsidR="007B6C1D">
        <w:t>.</w:t>
      </w:r>
      <w:r w:rsidR="007B6C1D">
        <w:fldChar w:fldCharType="begin"/>
      </w:r>
      <w:r w:rsidR="004418F2">
        <w:instrText xml:space="preserve"> ADDIN ZOTERO_ITEM CSL_CITATION {"citationID":"9rwnriai","properties":{"formattedCitation":"{\\rtf \\super 67\\nosupersub{}}","plainCitation":"67"},"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rsidR="007B6C1D">
        <w:fldChar w:fldCharType="separate"/>
      </w:r>
      <w:r w:rsidR="004418F2" w:rsidRPr="004418F2">
        <w:rPr>
          <w:vertAlign w:val="superscript"/>
        </w:rPr>
        <w:t>67</w:t>
      </w:r>
      <w:r w:rsidR="007B6C1D">
        <w:fldChar w:fldCharType="end"/>
      </w:r>
      <w:r w:rsidR="00B27C1E">
        <w:t xml:space="preserve">  In people, nonexercise activity thermogenesis (NEAT; fidgeting, posture </w:t>
      </w:r>
      <w:r w:rsidR="001D43DE">
        <w:t>maintenance</w:t>
      </w:r>
      <w:r w:rsidR="00B27C1E">
        <w:t>, etc.) accounts for two-thirds of total daily energy expenditure, and contributes to resistance to fat gain with overfeeding.</w:t>
      </w:r>
      <w:r w:rsidR="00B27C1E">
        <w:fldChar w:fldCharType="begin"/>
      </w:r>
      <w:r w:rsidR="00636862">
        <w:instrText xml:space="preserve"> ADDIN ZOTERO_ITEM CSL_CITATION {"citationID":"1mtoflqjee","properties":{"formattedCitation":"{\\rtf \\super 196\\nosupersub{}}","plainCitation":"196"},"citationItems":[{"id":1449,"uris":["http://zotero.org/users/171999/items/VFCQ9CGK"],"uri":["http://zotero.org/users/171999/items/VFCQ9CGK"],"itemData":{"id":1449,"type":"article-journal","title":"Role of nonexercise activity thermogenesis in resistance to fat gain in humans","container-title":"Science (New York, N.Y.)","page":"212-214","volume":"283","issue":"5399","source":"NCBI PubMed","abstract":"Humans show considerable interindividual variation in susceptibility to weight gain in response to overeating. The physiological basis of this variation was investigated by measuring changes in energy storage and expenditure in 16 nonobese volunteers who were fed 1000 kilocalories per day in excess of weight-maintenance requirements for 8 weeks. Two-thirds of the increases in total daily energy expenditure was due to increased nonexercise activity thermogenesis (NEAT), which is associated with fidgeting, maintenance of posture, and other physical activities of daily life. Changes in NEAT accounted for the 10-fold differences in fat storage that occurred and directly predicted resistance to fat gain with overfeeding (correlation coefficient = 0.77, probability &lt; 0.001). These results suggest that as humans overeat, activation of NEAT dissipates excess energy to preserve leanness and that failure to activate NEAT may result in ready fat gain.","ISSN":"0036-8075","note":"PMID: 9880251","journalAbbreviation":"Science","language":"eng","author":[{"family":"Levine","given":"J A"},{"family":"Eberhardt","given":"N L"},{"family":"Jensen","given":"M D"}],"issued":{"date-parts":[["1999",1,8]]},"PMID":"9880251"}}],"schema":"https://github.com/citation-style-language/schema/raw/master/csl-citation.json"} </w:instrText>
      </w:r>
      <w:r w:rsidR="00B27C1E">
        <w:fldChar w:fldCharType="separate"/>
      </w:r>
      <w:r w:rsidR="00636862" w:rsidRPr="00636862">
        <w:rPr>
          <w:vertAlign w:val="superscript"/>
        </w:rPr>
        <w:t>196</w:t>
      </w:r>
      <w:r w:rsidR="00B27C1E">
        <w:fldChar w:fldCharType="end"/>
      </w:r>
      <w:r w:rsidR="00B27C1E">
        <w:t xml:space="preserve">  </w:t>
      </w:r>
      <w:r w:rsidR="00C05EAE">
        <w:t>In dogs, overfeeding in ambient temperature conditions causes weight gain without concurrent increases in energy expenditure as seen during cold-induced thermogenesis.</w:t>
      </w:r>
      <w:r w:rsidR="00C05EAE">
        <w:fldChar w:fldCharType="begin"/>
      </w:r>
      <w:r w:rsidR="00636862">
        <w:instrText xml:space="preserve"> ADDIN ZOTERO_ITEM CSL_CITATION {"citationID":"ocgetfvdo","properties":{"formattedCitation":"{\\rtf \\super 197\\nosupersub{}}","plainCitation":"197"},"citationItems":[{"id":1451,"uris":["http://zotero.org/users/171999/items/GVR4MWHU"],"uri":["http://zotero.org/users/171999/items/GVR4MWHU"],"itemData":{"id":1451,"type":"article-journal","title":"Evidence for cold-induced but not for diet-induced thermogenesis in adult dogs","container-title":"The Journal of nutrition","page":"1280-1286","volume":"117","issue":"7","source":"NCBI PubMed","abstract":"Rats often exhibit diet-induced thermogenesis when overfed, which has been linked to activation of the sympathetic nervous system. In the present study, adult dogs housed at 22 degrees C were fed 150 or 200% of maintenance intake for 4 wk or 6 d, respectively. The overfed dogs gained body weight without an increase in 24-h energy expenditure or activation of the sympathetic nervous system, as assessed by norepinephrine release to plasma and urinary norepinephrine excretion. Acclimation to cold (3 degrees C for 4 wk) increased energy expenditure 38%, norepinephrine apparent release to plasma 64% and urinary norepinephrine excretion 42%. This cold-induced thermogenesis did not, however, switch to diet-induced thermogenesis when dogs were removed from the cold and fed 150% of maintenance. In conclusion, no evidence was found for diet-induced thermogenesis in adult dogs.","ISSN":"0022-3166","note":"PMID: 3612306","journalAbbreviation":"J. Nutr.","language":"eng","author":[{"family":"Crist","given":"K A"},{"family":"Romsos","given":"D R"}],"issued":{"date-parts":[["1987",7]]},"PMID":"3612306"}}],"schema":"https://github.com/citation-style-language/schema/raw/master/csl-citation.json"} </w:instrText>
      </w:r>
      <w:r w:rsidR="00C05EAE">
        <w:fldChar w:fldCharType="separate"/>
      </w:r>
      <w:r w:rsidR="00636862" w:rsidRPr="00636862">
        <w:rPr>
          <w:vertAlign w:val="superscript"/>
        </w:rPr>
        <w:t>197</w:t>
      </w:r>
      <w:r w:rsidR="00C05EAE">
        <w:fldChar w:fldCharType="end"/>
      </w:r>
      <w:r w:rsidR="00C05EAE">
        <w:t xml:space="preserve">  It is not clear why this species difference exists, although it may be due to the </w:t>
      </w:r>
      <w:r w:rsidR="00F22136">
        <w:t xml:space="preserve">higher </w:t>
      </w:r>
      <w:r w:rsidR="00C05EAE">
        <w:t>level of excess calories provided</w:t>
      </w:r>
      <w:r w:rsidR="00A57A19">
        <w:t xml:space="preserve"> in the dog study, or it may be that adaptive thermogenesis as a response to overeating does not exist as argued by Westerterp</w:t>
      </w:r>
      <w:r w:rsidR="00C05EAE">
        <w:t>.</w:t>
      </w:r>
      <w:r w:rsidR="00A57A19">
        <w:fldChar w:fldCharType="begin"/>
      </w:r>
      <w:r w:rsidR="00636862">
        <w:instrText xml:space="preserve"> ADDIN ZOTERO_ITEM CSL_CITATION {"citationID":"2hfl8ri7co","properties":{"formattedCitation":"{\\rtf \\super 198\\nosupersub{}}","plainCitation":"198"},"citationItems":[{"id":1453,"uris":["http://zotero.org/users/171999/items/7AMX3PFE"],"uri":["http://zotero.org/users/171999/items/7AMX3PFE"],"itemData":{"id":1453,"type":"article-journal","title":"Perception, passive overfeeding and energy metabolism","container-title":"Physiology &amp; behavior","page":"62-65","volume":"89","issue":"1","source":"NCBI PubMed","abstract":"The palatability of a diet is an important determinant of energy intake. Due to a high palatability, a relatively high energy density, and a weak effect on satiation, the consumption of high-fat foods induces passive overfeeding. It is well known that a high-fat diet often leads to a loss of portion control of tasty foods. Here, studies are reviewed on the effect of overfeeding on substrate utilization and energy expenditure. It is often suggested that humans differ in the susceptibility to weight gain in response to overfeeding. Six years ago, non-exercise activity thermogenesis was presented as a new mechanism to explain differences in weight gain between subjects. Activation of non-exercise activity thermogenesis could dissipate excess energy to preserve leanness and only failure to activate non-exercise activity thermogenesis resulted in ready fat gain. However, there is still little evidence for this form of adaptive thermogenesis from additional studies. The conclusion is that the fat content has an effect on body fat as a function of the effect of dietary fat on energy intake.","DOI":"10.1016/j.physbeh.2005.12.014","ISSN":"0031-9384","note":"PMID: 16516250","journalAbbreviation":"Physiol. Behav.","language":"eng","author":[{"family":"Westerterp","given":"Klaas R"}],"issued":{"date-parts":[["2006",8,30]]},"PMID":"16516250"}}],"schema":"https://github.com/citation-style-language/schema/raw/master/csl-citation.json"} </w:instrText>
      </w:r>
      <w:r w:rsidR="00A57A19">
        <w:fldChar w:fldCharType="separate"/>
      </w:r>
      <w:r w:rsidR="00636862" w:rsidRPr="00636862">
        <w:rPr>
          <w:vertAlign w:val="superscript"/>
        </w:rPr>
        <w:t>198</w:t>
      </w:r>
      <w:r w:rsidR="00A57A19">
        <w:fldChar w:fldCharType="end"/>
      </w:r>
    </w:p>
    <w:p w:rsidR="00362A5B" w:rsidRDefault="00BB17A9" w:rsidP="00362A5B">
      <w:pPr>
        <w:pStyle w:val="Heading5"/>
      </w:pPr>
      <w:r>
        <w:t>Mitochondrial biogenesis genes</w:t>
      </w:r>
    </w:p>
    <w:p w:rsidR="00362A5B" w:rsidRDefault="003B015F" w:rsidP="00362A5B">
      <w:r>
        <w:t xml:space="preserve">Energy metabolism can also be affected at the cellular level via </w:t>
      </w:r>
      <w:r w:rsidR="00434FE1">
        <w:t>mitochondria</w:t>
      </w:r>
      <w:r w:rsidR="00226870">
        <w:t>l</w:t>
      </w:r>
      <w:r w:rsidR="00434FE1">
        <w:t xml:space="preserve"> biogenesis</w:t>
      </w:r>
      <w:r>
        <w:t>.</w:t>
      </w:r>
      <w:r w:rsidR="00434FE1">
        <w:t xml:space="preserve">  </w:t>
      </w:r>
      <w:r w:rsidR="00113734">
        <w:t>This growth and division of pre-existing mitochondria is influenced by ex</w:t>
      </w:r>
      <w:r w:rsidR="00226870">
        <w:t>ercise, caloric restriction, cold</w:t>
      </w:r>
      <w:r w:rsidR="00113734">
        <w:t xml:space="preserve"> temperature, oxidative stress, cell division, and </w:t>
      </w:r>
      <w:r w:rsidR="00BB17A9">
        <w:t xml:space="preserve">cell </w:t>
      </w:r>
      <w:r w:rsidR="00113734">
        <w:t>renewal and differentiation.</w:t>
      </w:r>
      <w:r w:rsidR="00226870">
        <w:t xml:space="preserve">  </w:t>
      </w:r>
      <w:r w:rsidR="00E34850">
        <w:t>It is regulated at the transcriptional and post-translational levels of gene expression and t</w:t>
      </w:r>
      <w:r w:rsidR="001C4A7E">
        <w:t>here are multiple factors regulating mitochond</w:t>
      </w:r>
      <w:r w:rsidR="00E34850">
        <w:t>rial biogenesis.</w:t>
      </w:r>
      <w:r w:rsidR="00E34850">
        <w:fldChar w:fldCharType="begin"/>
      </w:r>
      <w:r w:rsidR="00636862">
        <w:instrText xml:space="preserve"> ADDIN ZOTERO_ITEM CSL_CITATION {"citationID":"c636sc1ef","properties":{"formattedCitation":"{\\rtf \\super 199\\nosupersub{}}","plainCitation":"199"},"citationItems":[{"id":1457,"uris":["http://zotero.org/users/171999/items/X44WXMM4"],"uri":["http://zotero.org/users/171999/items/X44WXMM4"],"itemData":{"id":1457,"type":"article-journal","title":"Regulation of mitochondrial biogenesis","container-title":"Essays in biochemistry","page":"69-84","volume":"47","source":"NCBI PubMed","abstract":"Although it is well established that physical activity increases mitochondrial content in muscle, the molecular mechanisms underlying this process have only recently been elucidated. Mitochondrial dysfunction is an important component of different diseases associated with aging, such as Type 2 diabetes and Alzheimer's disease. PGC-1alpha (peroxisome-proliferator-activated receptor gamma co-activator-1alpha) is a co-transcriptional regulation factor that induces mitochondrial biogenesis by activating different transcription factors, including nuclear respiratory factor 1 and nuclear respiratory factor 2, which activate mitochondrial transcription factor A. The latter drives transcription and replication of mitochondrial DNA. PGC-1alpha itself is regulated by several different key factors involved in mitochondrial biogenesis, which will be reviewed in this chapter. Of those, AMPK (AMP-activated protein kinase) is of major importance. AMPK acts as an energy sensor of the cell and works as a key regulator of mitochondrial biogenesis. AMPK activity has been shown to decrease with age, which may contribute to decreased mitochondrial biogenesis and function with aging. Given the potentially important role of mitochondrial dysfunction in the pathogenesis of numerous diseases and in the process of aging, understanding the molecular mechanisms regulating mitochondrial biogenesis and function may provide potentially important novel therapeutic targets.","DOI":"10.1042/bse0470069","ISSN":"1744-1358","note":"PMID: 20533901","journalAbbreviation":"Essays Biochem.","language":"eng","author":[{"family":"Jornayvaz","given":"François R"},{"family":"Shulman","given":"Gerald I"}],"issued":{"date-parts":[["2010"]]},"PMID":"20533901"}}],"schema":"https://github.com/citation-style-language/schema/raw/master/csl-citation.json"} </w:instrText>
      </w:r>
      <w:r w:rsidR="00E34850">
        <w:fldChar w:fldCharType="separate"/>
      </w:r>
      <w:r w:rsidR="00636862" w:rsidRPr="00636862">
        <w:rPr>
          <w:vertAlign w:val="superscript"/>
        </w:rPr>
        <w:t>199</w:t>
      </w:r>
      <w:r w:rsidR="00E34850">
        <w:fldChar w:fldCharType="end"/>
      </w:r>
      <w:r w:rsidR="00E34850">
        <w:t xml:space="preserve">  P</w:t>
      </w:r>
      <w:r w:rsidR="001C4A7E">
        <w:t>eroxisome proliferator-activated receptor-γ (PPARγ) coactivator 1α (PGC1α)</w:t>
      </w:r>
      <w:r w:rsidR="00C67B80">
        <w:t xml:space="preserve"> is a transcriptional regulator originally named for its ability to activate PPARγ, a nuclear hormone receptor involved in cold induced adaptive thermogenesis.</w:t>
      </w:r>
      <w:r w:rsidR="00C67B80">
        <w:fldChar w:fldCharType="begin"/>
      </w:r>
      <w:r w:rsidR="00636862">
        <w:instrText xml:space="preserve"> ADDIN ZOTERO_ITEM CSL_CITATION {"citationID":"f01u4in3s","properties":{"formattedCitation":"{\\rtf \\super 200\\nosupersub{}}","plainCitation":"200"},"citationItems":[{"id":1477,"uris":["http://zotero.org/users/171999/items/J5UZSUCK"],"uri":["http://zotero.org/users/171999/items/J5UZSUCK"],"itemData":{"id":1477,"type":"article-journal","title":"A cold-inducible coactivator of nuclear receptors linked to adaptive thermogenesis","container-title":"Cell","page":"829-839","volume":"92","issue":"6","source":"NCBI PubMed","abstract":"Adaptive thermogenesis is an important component of energy homeostasis and a metabolic defense against obesity. We have cloned a novel transcriptional coactivator of nuclear receptors, termed PGC-1, from a brown fat cDNA library. PGC-1 mRNA expression is dramatically elevated upon cold exposure of mice in both brown fat and skeletal muscle, key thermogenic tissues. PGC-1 greatly increases the transcriptional activity of PPARgamma and the thyroid hormone receptor on the uncoupling protein (UCP-1) promoter. Ectopic expression of PGC-1 in white adipose cells activates expression of UCP-1 and key mitochondrial enzymes of the respiratory chain, and increases the cellular content of mitochondrial DNA. These results indicate that PGC-1 plays a key role in linking nuclear receptors to the transcriptional program of adaptive thermogenesis.","ISSN":"0092-8674","note":"PMID: 9529258","journalAbbreviation":"Cell","language":"eng","author":[{"family":"Puigserver","given":"P"},{"family":"Wu","given":"Z"},{"family":"Park","given":"C W"},{"family":"Graves","given":"R"},{"family":"Wright","given":"M"},{"family":"Spiegelman","given":"B M"}],"issued":{"date-parts":[["1998",3,20]]},"PMID":"9529258"}}],"schema":"https://github.com/citation-style-language/schema/raw/master/csl-citation.json"} </w:instrText>
      </w:r>
      <w:r w:rsidR="00C67B80">
        <w:fldChar w:fldCharType="separate"/>
      </w:r>
      <w:r w:rsidR="00636862" w:rsidRPr="00636862">
        <w:rPr>
          <w:vertAlign w:val="superscript"/>
        </w:rPr>
        <w:t>200</w:t>
      </w:r>
      <w:r w:rsidR="00C67B80">
        <w:fldChar w:fldCharType="end"/>
      </w:r>
      <w:r w:rsidR="00C67B80">
        <w:t xml:space="preserve">  It is now recognized to regulate lipid oxidation and mitochondrial metabolism gene expression as well as skeletal muscle fiber type expression.</w:t>
      </w:r>
      <w:r w:rsidR="00C67B80">
        <w:fldChar w:fldCharType="begin"/>
      </w:r>
      <w:r w:rsidR="00636862">
        <w:instrText xml:space="preserve"> ADDIN ZOTERO_ITEM CSL_CITATION {"citationID":"iKh20Wou","properties":{"formattedCitation":"{\\rtf \\super 142,201,202\\nosupersub{}}","plainCitation":"142,201,202"},"citationItems":[{"id":1489,"uris":["http://zotero.org/users/171999/items/4ERIQVE4"],"uri":["http://zotero.org/users/171999/items/4ERIQVE4"],"itemData":{"id":1489,"type":"article-journal","title":"PGC-1alpha, SIRT1 and AMPK, an energy sensing network that controls energy expenditure","container-title":"Current opinion in lipidology","page":"98-105","volume":"20","issue":"2","source":"NCBI PubMed","abstract":"PURPOSE OF REVIEW: Peroxisome proliferator-activated receptor gamma coactivator-1-alpha (PGC-1alpha) has been extensively described as a master regulator of mitochondrial biogenesis. However, PGC-1alpha activity is not constant and can be finely tuned in response to different metabolic situations. From this point of view, PGC-1alpha could be described as a mediator of the transcriptional outputs triggered by metabolic sensors, providing the idea that these sensors, together with PGC-1alpha, might be weaving a network controlling cellular energy expenditure. In this review, we will focus on how disorders such as type 2 diabetes and the metabolic syndrome might be related to an abnormal and improper function of this network.\nRECENT FINDINGS: Two metabolic sensors, AMP-activated protein kinase (AMPK) and SIRT1 have been described to directly affect PGC-1alpha activity through phosphorylation and deacetylation, respectively. Although the physiological relevance of these modifications and their molecular consequences are still largely unknown, recent insight from different in-vivo transgenic models clearly suggests that AMPK, SIRT1 and PGC-1alpha might act as an orchestrated network to improve metabolic fitness.\nSUMMARY: Metabolic sensors such as AMPK and SIRT1, gatekeepers of the activity of the master regulator of mitochondria, PGC-1alpha, are vital links in a regulatory network for metabolic homeostasis. Together, these players explain many of the beneficial effects of physical activity and dietary interventions in our battle against type 2 diabetes and related metabolic disorders. Hence, understanding the mechanisms by which they act could guide us to identify and improve preventive and therapeutic strategies for metabolic diseases.","DOI":"10.1097/MOL.0b013e328328d0a4","ISSN":"1473-6535","note":"PMID: 19276888","journalAbbreviation":"Curr. Opin. Lipidol.","language":"eng","author":[{"family":"Cantó","given":"Carles"},{"family":"Auwerx","given":"Johan"}],"issued":{"date-parts":[["2009",4]]},"PMID":"19276888"}},{"id":1465,"uris":["http://zotero.org/users/171999/items/2RBARG2M"],"uri":["http://zotero.org/users/171999/items/2RBARG2M"],"itemData":{"id":1465,"type":"article-journal","title":"Metabolic adaptations through the PGC-1 alpha and SIRT1 pathways","container-title":"FEBS letters","page":"46-53","volume":"582","issue":"1","source":"NCBI PubMed","abstract":"Energy homeostasis in mammals is achieved through tight regulation of tissue-specific metabolic pathways that become dysregulated in metabolic diseases including diabetes and obesity. At the molecular level, main nutrient and hormonal signaling pathways impinge on expression of genes encoding for metabolic enzymes. Among the major components of this transcriptional circuitry are the PGC-1 alpha transcriptional complexes. An important regulatory mechanism of this complex is through acetylation and SIRT1-mediated lysine de-acetylation under low nutrient conditions. Activation of SIRT1 can mimic several metabolic aspects of calorie restriction that target selective nutrient utilization and mitochondrial oxidative function to regulate energy balance. Thus, understanding the PGC-1 alpha and SIRT1 pathways might have important implications for comprehending metabolic and age-associated diseases.","DOI":"10.1016/j.febslet.2007.11.034","ISSN":"0014-5793","note":"PMID: 18036349","journalAbbreviation":"FEBS Lett.","language":"eng","author":[{"family":"Rodgers","given":"Joseph T"},{"family":"Lerin","given":"Carles"},{"family":"Gerhart-Hines","given":"Zachary"},{"family":"Puigserver","given":"Pere"}],"issued":{"date-parts":[["2008",1,9]]},"PMID":"18036349"}},{"id":1463,"uris":["http://zotero.org/users/171999/items/N6527D8J"],"uri":["http://zotero.org/users/171999/items/N6527D8J"],"itemData":{"id":1463,"type":"article-journal","title":"Sirtuins as regulators of metabolism and healthspan","container-title":"Nature reviews. Molecular cell biology","page":"225-238","volume":"13","issue":"4","source":"NCBI PubMed","abstract":"Since the beginning of the century, the mammalian sirtuin protein family (comprising SIRT1-SIRT7) has received much attention for its regulatory role, mainly in metabolism and ageing. Sirtuins act in different cellular compartments: they deacetylate histones and several transcriptional regulators in the nucleus, but also specific proteins in other cellular compartments, such as in the cytoplasm and in mitochondria. As a consequence, sirtuins regulate fat and glucose metabolism in response to physiological changes in energy levels, thereby acting as crucial regulators of the network that controls energy homeostasis and as such determines healthspan.","DOI":"10.1038/nrm3293","ISSN":"1471-0080","note":"PMID: 22395773","journalAbbreviation":"Nat. Rev. Mol. Cell Biol.","language":"eng","author":[{"family":"Houtkooper","given":"Riekelt H"},{"family":"Pirinen","given":"Eija"},{"family":"Auwerx","given":"Johan"}],"issued":{"date-parts":[["2012",4]]},"PMID":"22395773"}}],"schema":"https://github.com/citation-style-language/schema/raw/master/csl-citation.json"} </w:instrText>
      </w:r>
      <w:r w:rsidR="00C67B80">
        <w:fldChar w:fldCharType="separate"/>
      </w:r>
      <w:r w:rsidR="00636862" w:rsidRPr="00636862">
        <w:rPr>
          <w:vertAlign w:val="superscript"/>
        </w:rPr>
        <w:t>142,201,202</w:t>
      </w:r>
      <w:r w:rsidR="00C67B80">
        <w:fldChar w:fldCharType="end"/>
      </w:r>
      <w:r w:rsidR="00C67B80">
        <w:t xml:space="preserve">  As shown in </w:t>
      </w:r>
      <w:r w:rsidR="00C67B80">
        <w:rPr>
          <w:color w:val="FF0000"/>
        </w:rPr>
        <w:t xml:space="preserve">Figure </w:t>
      </w:r>
      <w:r w:rsidR="00DF2EAF">
        <w:rPr>
          <w:color w:val="FF0000"/>
        </w:rPr>
        <w:t>7</w:t>
      </w:r>
      <w:r w:rsidR="00C67B80">
        <w:t xml:space="preserve">, </w:t>
      </w:r>
      <w:r w:rsidR="00C67B80" w:rsidRPr="000104CB">
        <w:t>PGC1α</w:t>
      </w:r>
      <w:r w:rsidR="00C67B80">
        <w:t xml:space="preserve"> causes increased mitochondrial biogenesis and fatty acid oxidation.  With high </w:t>
      </w:r>
    </w:p>
    <w:p w:rsidR="00362A5B" w:rsidRDefault="00362A5B" w:rsidP="00362A5B">
      <w:pPr>
        <w:keepNext/>
      </w:pPr>
      <w:r>
        <w:rPr>
          <w:noProof/>
        </w:rPr>
        <w:lastRenderedPageBreak/>
        <w:drawing>
          <wp:inline distT="0" distB="0" distL="0" distR="0" wp14:anchorId="2B95535D" wp14:editId="1AABE9CF">
            <wp:extent cx="5478322" cy="4813300"/>
            <wp:effectExtent l="0" t="0" r="825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3462" t="23248" r="38034" b="8566"/>
                    <a:stretch/>
                  </pic:blipFill>
                  <pic:spPr bwMode="auto">
                    <a:xfrm>
                      <a:off x="0" y="0"/>
                      <a:ext cx="5492593" cy="4825839"/>
                    </a:xfrm>
                    <a:prstGeom prst="rect">
                      <a:avLst/>
                    </a:prstGeom>
                    <a:ln>
                      <a:noFill/>
                    </a:ln>
                    <a:extLst>
                      <a:ext uri="{53640926-AAD7-44D8-BBD7-CCE9431645EC}">
                        <a14:shadowObscured xmlns:a14="http://schemas.microsoft.com/office/drawing/2010/main"/>
                      </a:ext>
                    </a:extLst>
                  </pic:spPr>
                </pic:pic>
              </a:graphicData>
            </a:graphic>
          </wp:inline>
        </w:drawing>
      </w:r>
    </w:p>
    <w:p w:rsidR="00362A5B" w:rsidRDefault="00362A5B" w:rsidP="00362A5B">
      <w:pPr>
        <w:pStyle w:val="Caption"/>
      </w:pPr>
      <w:bookmarkStart w:id="16" w:name="_Toc376465866"/>
      <w:r>
        <w:t xml:space="preserve">Figure </w:t>
      </w:r>
      <w:fldSimple w:instr=" SEQ Figure \* ARABIC ">
        <w:r w:rsidR="00DE5561">
          <w:rPr>
            <w:noProof/>
          </w:rPr>
          <w:t>6</w:t>
        </w:r>
      </w:fldSimple>
      <w:r>
        <w:t xml:space="preserve"> Location of hBAT in Adults and Infants.</w:t>
      </w:r>
      <w:bookmarkEnd w:id="16"/>
    </w:p>
    <w:p w:rsidR="00362A5B" w:rsidRPr="00EE6B94" w:rsidRDefault="00362A5B" w:rsidP="00362A5B">
      <w:r>
        <w:t>The predominating locations are</w:t>
      </w:r>
      <w:r w:rsidRPr="00126839">
        <w:t xml:space="preserve"> based on results from postmortem and PET/CT studies: (A) thyroid/tracheal, (B), mediastinal, (C) paracervical/ supraclavicular, (D) parathoracical, (E) supra</w:t>
      </w:r>
      <w:r>
        <w:t xml:space="preserve"> </w:t>
      </w:r>
      <w:r w:rsidRPr="00126839">
        <w:t>and perirenal. In</w:t>
      </w:r>
      <w:r>
        <w:t xml:space="preserve"> the infant, an additional</w:t>
      </w:r>
      <w:r w:rsidRPr="00126839">
        <w:t xml:space="preserve"> kite-shaped thin layer of BAT has been described (in light </w:t>
      </w:r>
      <w:r w:rsidRPr="00EE6B94">
        <w:t>brown).</w:t>
      </w:r>
      <w:r w:rsidR="00136898" w:rsidRPr="00EE6B94">
        <w:t xml:space="preserve">  </w:t>
      </w:r>
      <w:commentRangeStart w:id="17"/>
      <w:r w:rsidR="00136898" w:rsidRPr="00EE6B94">
        <w:t>Reprinted from Cell Metabolism, Vol</w:t>
      </w:r>
      <w:r w:rsidR="00EE6B94" w:rsidRPr="00EE6B94">
        <w:t xml:space="preserve"> 11</w:t>
      </w:r>
      <w:r w:rsidR="00136898" w:rsidRPr="00EE6B94">
        <w:t xml:space="preserve">, </w:t>
      </w:r>
      <w:r w:rsidR="00EE6B94" w:rsidRPr="00EE6B94">
        <w:t>Enerbäck S</w:t>
      </w:r>
      <w:r w:rsidR="00136898" w:rsidRPr="00EE6B94">
        <w:t xml:space="preserve">, </w:t>
      </w:r>
      <w:r w:rsidR="00EE6B94" w:rsidRPr="00EE6B94">
        <w:t>Human brown adipose tissue</w:t>
      </w:r>
      <w:r w:rsidR="00136898" w:rsidRPr="00EE6B94">
        <w:t xml:space="preserve">, Pages </w:t>
      </w:r>
      <w:r w:rsidR="00EE6B94" w:rsidRPr="00EE6B94">
        <w:t>248–252, Copyright (2010</w:t>
      </w:r>
      <w:r w:rsidR="00136898" w:rsidRPr="00EE6B94">
        <w:t>), with permission from Elsevier</w:t>
      </w:r>
      <w:r w:rsidR="00EE6B94" w:rsidRPr="00EE6B94">
        <w:t>.</w:t>
      </w:r>
      <w:r w:rsidRPr="00EE6B94">
        <w:fldChar w:fldCharType="begin"/>
      </w:r>
      <w:r w:rsidRPr="00EE6B94">
        <w:instrText xml:space="preserve"> ADDIN ZOTERO_ITEM CSL_CITATION {"citationID":"TLmTEh7U","properties":{"formattedCitation":"{\\rtf \\super 192\\nosupersub{}}","plainCitation":"192"},"citationItems":[{"id":1421,"uris":["http://zotero.org/users/171999/items/MS3HKSG5"],"uri":["http://zotero.org/users/171999/items/MS3HKSG5"],"itemData":{"id":1421,"type":"article-journal","title":"Human brown adipose tissue","container-title":"Cell metabolism","page":"248-252","volume":"11","issue":"4","source":"NCBI PubMed","abstract":"The BAT organ is unique in that it has evolved to safely dissipate large amounts of chemical energy--a quality that might be harnessed to help humans deal with a dangerously hypercaloric environment and still remain in good health.","DOI":"10.1016/j.cmet.2010.03.008","ISSN":"1932-7420","note":"PMID: 20374955","journalAbbreviation":"Cell Metab.","language":"eng","author":[{"family":"Enerbäck","given":"Sven"}],"issued":{"date-parts":[["2010",4,7]]},"PMID":"20374955"}}],"schema":"https://github.com/citation-style-language/schema/raw/master/csl-citation.json"} </w:instrText>
      </w:r>
      <w:r w:rsidRPr="00EE6B94">
        <w:fldChar w:fldCharType="separate"/>
      </w:r>
      <w:r w:rsidRPr="00EE6B94">
        <w:rPr>
          <w:vertAlign w:val="superscript"/>
        </w:rPr>
        <w:t>192</w:t>
      </w:r>
      <w:r w:rsidRPr="00EE6B94">
        <w:fldChar w:fldCharType="end"/>
      </w:r>
      <w:commentRangeEnd w:id="17"/>
      <w:r w:rsidR="00EE6B94">
        <w:rPr>
          <w:rStyle w:val="CommentReference"/>
        </w:rPr>
        <w:commentReference w:id="17"/>
      </w:r>
    </w:p>
    <w:p w:rsidR="00362A5B" w:rsidRPr="00EE6B94"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Pr="00362A5B" w:rsidRDefault="00362A5B" w:rsidP="00362A5B"/>
    <w:p w:rsidR="00362A5B" w:rsidRDefault="00362A5B" w:rsidP="00362A5B">
      <w:pPr>
        <w:keepNext/>
      </w:pPr>
      <w:r>
        <w:rPr>
          <w:noProof/>
        </w:rPr>
        <w:lastRenderedPageBreak/>
        <w:drawing>
          <wp:inline distT="0" distB="0" distL="0" distR="0" wp14:anchorId="21240E1A" wp14:editId="7F3DBAFB">
            <wp:extent cx="5486400" cy="2735110"/>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3542" t="34490" r="28993" b="27315"/>
                    <a:stretch/>
                  </pic:blipFill>
                  <pic:spPr bwMode="auto">
                    <a:xfrm>
                      <a:off x="0" y="0"/>
                      <a:ext cx="5486400" cy="2735110"/>
                    </a:xfrm>
                    <a:prstGeom prst="rect">
                      <a:avLst/>
                    </a:prstGeom>
                    <a:ln>
                      <a:noFill/>
                    </a:ln>
                    <a:extLst>
                      <a:ext uri="{53640926-AAD7-44D8-BBD7-CCE9431645EC}">
                        <a14:shadowObscured xmlns:a14="http://schemas.microsoft.com/office/drawing/2010/main"/>
                      </a:ext>
                    </a:extLst>
                  </pic:spPr>
                </pic:pic>
              </a:graphicData>
            </a:graphic>
          </wp:inline>
        </w:drawing>
      </w:r>
    </w:p>
    <w:p w:rsidR="00362A5B" w:rsidRDefault="00362A5B" w:rsidP="00362A5B">
      <w:pPr>
        <w:pStyle w:val="Caption"/>
      </w:pPr>
      <w:bookmarkStart w:id="18" w:name="_Toc376465867"/>
      <w:proofErr w:type="gramStart"/>
      <w:r>
        <w:t xml:space="preserve">Figure </w:t>
      </w:r>
      <w:fldSimple w:instr=" SEQ Figure \* ARABIC ">
        <w:r w:rsidR="00DE5561">
          <w:rPr>
            <w:noProof/>
          </w:rPr>
          <w:t>7</w:t>
        </w:r>
      </w:fldSimple>
      <w:r>
        <w:t xml:space="preserve"> </w:t>
      </w:r>
      <w:r w:rsidRPr="00A36870">
        <w:t xml:space="preserve">Metabolic relationship of </w:t>
      </w:r>
      <w:r>
        <w:t>sirtuin 1 (</w:t>
      </w:r>
      <w:r w:rsidRPr="00A36870">
        <w:t>SIRT1</w:t>
      </w:r>
      <w:r>
        <w:t>)</w:t>
      </w:r>
      <w:r w:rsidRPr="00A36870">
        <w:t xml:space="preserve">, </w:t>
      </w:r>
      <w:r>
        <w:t>AMP-activated protein kinase (AMPK)</w:t>
      </w:r>
      <w:r w:rsidRPr="00A36870">
        <w:t xml:space="preserve">, and </w:t>
      </w:r>
      <w:r>
        <w:t>peroxisome proliferator-activated receptor-γ (PPARγ) coactivator 1α (PGC1α).</w:t>
      </w:r>
      <w:bookmarkEnd w:id="18"/>
      <w:proofErr w:type="gramEnd"/>
    </w:p>
    <w:p w:rsidR="00362A5B" w:rsidRDefault="00362A5B" w:rsidP="00362A5B">
      <w:pPr>
        <w:pStyle w:val="Caption"/>
      </w:pPr>
    </w:p>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362A5B" w:rsidRDefault="00362A5B" w:rsidP="00362A5B"/>
    <w:p w:rsidR="00C67B80" w:rsidRPr="003E479A" w:rsidRDefault="00C67B80" w:rsidP="00362A5B">
      <w:r>
        <w:lastRenderedPageBreak/>
        <w:t xml:space="preserve">expression levels in many tissues including hepatic, skeletal muscle, and BAT, </w:t>
      </w:r>
      <w:r w:rsidRPr="000104CB">
        <w:t>PGC1α</w:t>
      </w:r>
      <w:r>
        <w:t xml:space="preserve"> affects biogenesis and oxidation capacities where there is a high energy requirement.</w:t>
      </w:r>
      <w:r>
        <w:fldChar w:fldCharType="begin"/>
      </w:r>
      <w:r w:rsidR="00C13C7E">
        <w:instrText xml:space="preserve"> ADDIN ZOTERO_ITEM CSL_CITATION {"citationID":"2jj1ufvlln","properties":{"formattedCitation":"{\\rtf \\super 142\\nosupersub{}}","plainCitation":"142"},"citationItems":[{"id":1489,"uris":["http://zotero.org/users/171999/items/4ERIQVE4"],"uri":["http://zotero.org/users/171999/items/4ERIQVE4"],"itemData":{"id":1489,"type":"article-journal","title":"PGC-1alpha, SIRT1 and AMPK, an energy sensing network that controls energy expenditure","container-title":"Current opinion in lipidology","page":"98-105","volume":"20","issue":"2","source":"NCBI PubMed","abstract":"PURPOSE OF REVIEW: Peroxisome proliferator-activated receptor gamma coactivator-1-alpha (PGC-1alpha) has been extensively described as a master regulator of mitochondrial biogenesis. However, PGC-1alpha activity is not constant and can be finely tuned in response to different metabolic situations. From this point of view, PGC-1alpha could be described as a mediator of the transcriptional outputs triggered by metabolic sensors, providing the idea that these sensors, together with PGC-1alpha, might be weaving a network controlling cellular energy expenditure. In this review, we will focus on how disorders such as type 2 diabetes and the metabolic syndrome might be related to an abnormal and improper function of this network.\nRECENT FINDINGS: Two metabolic sensors, AMP-activated protein kinase (AMPK) and SIRT1 have been described to directly affect PGC-1alpha activity through phosphorylation and deacetylation, respectively. Although the physiological relevance of these modifications and their molecular consequences are still largely unknown, recent insight from different in-vivo transgenic models clearly suggests that AMPK, SIRT1 and PGC-1alpha might act as an orchestrated network to improve metabolic fitness.\nSUMMARY: Metabolic sensors such as AMPK and SIRT1, gatekeepers of the activity of the master regulator of mitochondria, PGC-1alpha, are vital links in a regulatory network for metabolic homeostasis. Together, these players explain many of the beneficial effects of physical activity and dietary interventions in our battle against type 2 diabetes and related metabolic disorders. Hence, understanding the mechanisms by which they act could guide us to identify and improve preventive and therapeutic strategies for metabolic diseases.","DOI":"10.1097/MOL.0b013e328328d0a4","ISSN":"1473-6535","note":"PMID: 19276888","journalAbbreviation":"Curr. Opin. Lipidol.","language":"eng","author":[{"family":"Cantó","given":"Carles"},{"family":"Auwerx","given":"Johan"}],"issued":{"date-parts":[["2009",4]]},"PMID":"19276888"}}],"schema":"https://github.com/citation-style-language/schema/raw/master/csl-citation.json"} </w:instrText>
      </w:r>
      <w:r>
        <w:fldChar w:fldCharType="separate"/>
      </w:r>
      <w:r w:rsidR="00C13C7E" w:rsidRPr="00C13C7E">
        <w:rPr>
          <w:vertAlign w:val="superscript"/>
        </w:rPr>
        <w:t>142</w:t>
      </w:r>
      <w:r>
        <w:fldChar w:fldCharType="end"/>
      </w:r>
      <w:r>
        <w:t xml:space="preserve">  It directly activates the production of nuclear respiratory factor 1 (NRF1), a transcription factor that promotes increased mitochondrial transcription factor A (mtTFA) activity.  mtTFA translocates from the nucleus to the mitochondria, binds mitochondrial DNA, and initiates replication and transcription with eventual additional mitochondria production.</w:t>
      </w:r>
      <w:r>
        <w:fldChar w:fldCharType="begin"/>
      </w:r>
      <w:r w:rsidR="00636862">
        <w:instrText xml:space="preserve"> ADDIN ZOTERO_ITEM CSL_CITATION {"citationID":"5bVkqiBf","properties":{"formattedCitation":"{\\rtf \\super 203\\uc0\\u8211{}207\\nosupersub{}}","plainCitation":"203–207"},"citationItems":[{"id":1493,"uris":["http://zotero.org/users/171999/items/28IB84R9"],"uri":["http://zotero.org/users/171999/items/28IB84R9"],"itemData":{"id":1493,"type":"article-journal","title":"Mitochondrial biogenesis in exercise and in ageing","container-title":"Advanced drug delivery reviews","page":"1369-1374","volume":"61","issue":"14","source":"NCBI PubMed","abstract":"Mitochondrial biogenesis is critical for the normal function of cells. It is well known that mitochondria are produced and eventually after normal functioning they are degraded. Thus, the actual level of mitochondria in cells is dependent both on the synthesis and the degradation. Ever since the proposal of the mitochondrial theory of ageing by Jaime Miquel in the 70's, it was appreciated that mitochondria, which are both a target and a source of radicals in cells, are most important organelles to understand ageing. Thus, a common feature between cell physiology of ageing and exercise is that in both situations mitochondria are critical for normal cell functioning. Mitochondrial synthesis is stimulated by the PGC-1alpha-NRF1-TFAM pathway. PGC-1alpha is the first stimulator of mitochondrial biogenesis. NRF1 is an intermediate transcription factor which stimulates the synthesis of TFAM which is a final effector activating the duplication of mitochondrial DNA molecules. This pathway is impaired in ageing. On the contrary, exercise, particularly aerobic exercise, activates mitochondriogenesis in the young animal but its effects on mitochondrial biogenesis in the old animal are doubtful. In this chapter we consider the interrelationship between mitochondrial biogenesis stimulated by exercise and the possible impairment of this pathway in ageing leading to mitochondrial deficiency and eventually muscle sarcopenia.","DOI":"10.1016/j.addr.2009.06.006","ISSN":"1872-8294","note":"PMID: 19716394","journalAbbreviation":"Adv. Drug Deliv. Rev.","language":"eng","author":[{"family":"Viña","given":"Jose"},{"family":"Gomez-Cabrera","given":"Mari Carmen"},{"family":"Borras","given":"Consuelo"},{"family":"Froio","given":"Teresa"},{"family":"Sanchis-Gomar","given":"Fabian"},{"family":"Martinez-Bello","given":"Vladimir E"},{"family":"Pallardo","given":"Federico V"}],"issued":{"date-parts":[["2009",11,30]]},"PMID":"19716394"}},{"id":1495,"uris":["http://zotero.org/users/171999/items/R5S58HV2"],"uri":["http://zotero.org/users/171999/items/R5S58HV2"],"itemData":{"id":1495,"type":"article-journal","title":"Mechanisms controlling mitochondrial biogenesis and respiration through the thermogenic coactivator PGC-1","container-title":"Cell","page":"115-124","volume":"98","issue":"1","source":"NCBI PubMed","abstract":"Mitochondrial number and function are altered in response to external stimuli in eukaryotes. While several transcription/replication factors directly regulate mitochondrial genes, the coordination of these factors into a program responsive to the environment is not understood. We show here that PGC-1, a cold-inducible coactivator of nuclear receptors, stimulates mitochondrial biogenesis and respiration in muscle cells through an induction of uncoupling protein 2 (UCP-2) and through regulation of the nuclear respiratory factors (NRFs). PGC-1 stimulates a powerful induction of NRF-1 and NRF-2 gene expression; in addition, PGC-1 binds to and coactivates the transcriptional function of NRF-1 on the promoter for mitochondrial transcription factor A (mtTFA), a direct regulator of mitochondrial DNA replication/transcription. These data elucidate a pathway that directly links external physiological stimuli to the regulation of mitochondrial biogenesis and function.","DOI":"10.1016/S0092-8674(00)80611-X","ISSN":"0092-8674","note":"PMID: 10412986","journalAbbreviation":"Cell","language":"eng","author":[{"family":"Wu","given":"Z"},{"family":"Puigserver","given":"P"},{"family":"Andersson","given":"U"},{"family":"Zhang","given":"C"},{"family":"Adelmant","given":"G"},{"family":"Mootha","given":"V"},{"family":"Troy","given":"A"},{"family":"Cinti","given":"S"},{"family":"Lowell","given":"B"},{"family":"Scarpulla","given":"R C"},{"family":"Spiegelman","given":"B M"}],"issued":{"date-parts":[["1999",7,9]]},"PMID":"10412986"}},{"id":1497,"uris":["http://zotero.org/users/171999/items/KMJVDTEN"],"uri":["http://zotero.org/users/171999/items/KMJVDTEN"],"itemData":{"id":1497,"type":"article-journal","title":"Transcription and replication of animal mitochondrial DNAs","container-title":"International review of cytology","page":"217-232","volume":"141","source":"NCBI PubMed","abstract":"The development of in vitro transcription and replication systems has allowed the identification of promoter sequences and origins of replication for several animal mtDNAs. As a consequence, the necessary reagents and basic information are available to permit the characterization of transacting factors that are required for transcription and replication. All of the animal trans-acting species purified at this time are known or reasoned to be nuclear gene products. There is now the opportunity to learn how these nuclear genes are regulated and the mechanisms that are utilized for the import of their products into the organelle. With regard to import, the human transcription factor mtTF1 appears to have an amino-terminal sequence characteristic of other imported mitochondrial proteins (Parisi and Clayton, 1991). An interesting issue is the degree to which fundamental features of mtDNA replication and transcription are conserved between species. With regard to animal mtDNAs, there is very little in the way of conservation of DNA sequence at the promoters and origins of replication. The exceptions to this are the presence of a characteristic stem-loop L-strand origin of replication sequence in vertebrates [except for chicken mtDNA (Desjardins and Morais, 1990)] and the general presence of CSBs II and III (and to a lesser extent CSB I) in most higher animal mtDNAs. Because mtDNA promoters are not highly conserved, it is perhaps not surprising that general cross-species transcription does not occur, except for very limited examples of closely related species and sequences (Chang et al., 1985b). Using crude mtRNA polymerase holoenzyme preparations, there is no specific transcriptional initiation when proteins from human mitochondria are used with mouse mtDNA promoter templates, and vice versa. However, in contrast to this overall observation, purified fractions of human or mouse mtTF1 can be exchanged and shown to function across species boundaries (Fisher et al., 1989). The ability of mitochondrial mtTF1-type proteins to operate across even greater evolutionary distances was suggested by the ability of human and yeast proteins to recognize some mitochondrial promoter sequences in common (Fisher et al., 1992). More recent studies suggest that human mtTF1 can substitute for its yeast homolog in vivo, and thereby perform at least the most critical functions required to maintain yeast mtDNA in the cell (M.A. Parisi, B. Xu, and D.A. Clayton, submitted for publication). The other sites of conserved macromolecular interactions are related to the two origins of DNA replication.(ABSTRACT TRUNCATED AT 400 WORDS)","ISSN":"0074-7696","note":"PMID: 1452432","journalAbbreviation":"Int. Rev. Cytol.","language":"eng","author":[{"family":"Clayton","given":"D A"}],"issued":{"date-parts":[["1992"]]},"PMID":"1452432"}},{"id":1499,"uris":["http://zotero.org/users/171999/items/AIPA4CVZ"],"uri":["http://zotero.org/users/171999/items/AIPA4CVZ"],"itemData":{"id":1499,"type":"article-journal","title":"Mitochondrial transcription initiation. Variation and conservation","container-title":"The Journal of biological chemistry","page":"16083-16086","volume":"268","issue":"22","source":"NCBI PubMed","ISSN":"0021-9258","note":"PMID: 8344889","journalAbbreviation":"J. Biol. Chem.","language":"eng","author":[{"family":"Shadel","given":"G S"},{"family":"Clayton","given":"D A"}],"issued":{"date-parts":[["1993",8,5]]},"PMID":"8344889"}},{"id":1501,"uris":["http://zotero.org/users/171999/items/H48N7T3U"],"uri":["http://zotero.org/users/171999/items/H48N7T3U"],"itemData":{"id":1501,"type":"article-journal","title":"Activation of the human mitochondrial transcription factor A gene by nuclear respiratory factors: a potential regulatory link between nuclear and mitochondrial gene expression in organelle biogenesis","container-title":"Proceedings of the National Academy of Sciences of the United States of America","page":"1309-1313","volume":"91","issue":"4","source":"NCBI PubMed","abstract":"Mitochondrial transcription factor A (mtTFA), the product of a nuclear gene, stimulates transcription from the two divergent mitochondrial promoters and is likely the principal activator of mitochondrial gene expression in vertebrates. Here we establish that the proximal promoter of the human mtTFA gene is highly dependent upon recognition sites for the nuclear respiratory factors, NRF-1 and NRF-2, for activity. These factors have been previously implicated in the activation of numerous nuclear genes that contribute to mitochondrial respiratory function. The affinity-purified factors from HeLa cells specifically bind to the mtTFA NRF-1 and NRF-2 sites through guanine nucleotide contacts that are characteristic for each site. Mutations in these contacts eliminate NRF-1 and NRF-2 binding and also dramatically reduce promoter activity in transfected cells. Although both factors contribute, NRF-1 binding appears to be the major determinant of promoter function. This dependence on NRF-1 activation is confirmed by in vitro transcription using highly purified recombinant proteins that display the same binding specificities as the HeLa cell factors. The activation of the mtTFA promoter by both NRF-1 and NRF-2 therefore provides a link between the expression of nuclear and mitochondrial genes and suggests a mechanism for their coordinate regulation during organelle biogenesis.","ISSN":"0027-8424","note":"PMID: 8108407","shortTitle":"Activation of the human mitochondrial transcription factor A gene by nuclear respiratory factors","journalAbbreviation":"Proc. Natl. Acad. Sci. U.S.A.","language":"eng","author":[{"family":"Virbasius","given":"J V"},{"family":"Scarpulla","given":"R C"}],"issued":{"date-parts":[["1994",2,15]]},"PMID":"8108407"}}],"schema":"https://github.com/citation-style-language/schema/raw/master/csl-citation.json"} </w:instrText>
      </w:r>
      <w:r>
        <w:fldChar w:fldCharType="separate"/>
      </w:r>
      <w:r w:rsidR="00636862" w:rsidRPr="00636862">
        <w:rPr>
          <w:vertAlign w:val="superscript"/>
        </w:rPr>
        <w:t>203–207</w:t>
      </w:r>
      <w:r>
        <w:fldChar w:fldCharType="end"/>
      </w:r>
    </w:p>
    <w:p w:rsidR="00E34850" w:rsidRDefault="00C67B80" w:rsidP="003E479A">
      <w:pPr>
        <w:ind w:firstLine="720"/>
        <w:contextualSpacing/>
      </w:pPr>
      <w:r>
        <w:t xml:space="preserve">AMP-activated protein kinase (AMPK) is able to activate </w:t>
      </w:r>
      <w:bookmarkStart w:id="19" w:name="OLE_LINK10"/>
      <w:bookmarkStart w:id="20" w:name="OLE_LINK11"/>
      <w:r>
        <w:t>PGC1α</w:t>
      </w:r>
      <w:bookmarkEnd w:id="19"/>
      <w:bookmarkEnd w:id="20"/>
      <w:r>
        <w:t xml:space="preserve"> via its involvement in signaling events leading to activation of the transcription cascade.</w:t>
      </w:r>
      <w:r>
        <w:fldChar w:fldCharType="begin"/>
      </w:r>
      <w:r w:rsidR="00636862">
        <w:instrText xml:space="preserve"> ADDIN ZOTERO_ITEM CSL_CITATION {"citationID":"20s3ho9o5n","properties":{"formattedCitation":"{\\rtf \\super 199\\nosupersub{}}","plainCitation":"199"},"citationItems":[{"id":1457,"uris":["http://zotero.org/users/171999/items/X44WXMM4"],"uri":["http://zotero.org/users/171999/items/X44WXMM4"],"itemData":{"id":1457,"type":"article-journal","title":"Regulation of mitochondrial biogenesis","container-title":"Essays in biochemistry","page":"69-84","volume":"47","source":"NCBI PubMed","abstract":"Although it is well established that physical activity increases mitochondrial content in muscle, the molecular mechanisms underlying this process have only recently been elucidated. Mitochondrial dysfunction is an important component of different diseases associated with aging, such as Type 2 diabetes and Alzheimer's disease. PGC-1alpha (peroxisome-proliferator-activated receptor gamma co-activator-1alpha) is a co-transcriptional regulation factor that induces mitochondrial biogenesis by activating different transcription factors, including nuclear respiratory factor 1 and nuclear respiratory factor 2, which activate mitochondrial transcription factor A. The latter drives transcription and replication of mitochondrial DNA. PGC-1alpha itself is regulated by several different key factors involved in mitochondrial biogenesis, which will be reviewed in this chapter. Of those, AMPK (AMP-activated protein kinase) is of major importance. AMPK acts as an energy sensor of the cell and works as a key regulator of mitochondrial biogenesis. AMPK activity has been shown to decrease with age, which may contribute to decreased mitochondrial biogenesis and function with aging. Given the potentially important role of mitochondrial dysfunction in the pathogenesis of numerous diseases and in the process of aging, understanding the molecular mechanisms regulating mitochondrial biogenesis and function may provide potentially important novel therapeutic targets.","DOI":"10.1042/bse0470069","ISSN":"1744-1358","note":"PMID: 20533901","journalAbbreviation":"Essays Biochem.","language":"eng","author":[{"family":"Jornayvaz","given":"François R"},{"family":"Shulman","given":"Gerald I"}],"issued":{"date-parts":[["2010"]]},"PMID":"20533901"}}],"schema":"https://github.com/citation-style-language/schema/raw/master/csl-citation.json"} </w:instrText>
      </w:r>
      <w:r>
        <w:fldChar w:fldCharType="separate"/>
      </w:r>
      <w:r w:rsidR="00636862" w:rsidRPr="00636862">
        <w:rPr>
          <w:vertAlign w:val="superscript"/>
        </w:rPr>
        <w:t>199</w:t>
      </w:r>
      <w:r>
        <w:fldChar w:fldCharType="end"/>
      </w:r>
      <w:r w:rsidR="00375CBA" w:rsidRPr="00375CBA">
        <w:t xml:space="preserve"> </w:t>
      </w:r>
      <w:r w:rsidR="00375CBA">
        <w:t xml:space="preserve"> Conditions that inhibit ATP production (hypoxia, hypoglycemia) and those that increase ATP consumption (muscle contraction) create an increase in the AMP:ATP ratio, with subsequent activation of AMPK.</w:t>
      </w:r>
      <w:r w:rsidR="00375CBA">
        <w:fldChar w:fldCharType="begin"/>
      </w:r>
      <w:r w:rsidR="00636862">
        <w:instrText xml:space="preserve"> ADDIN ZOTERO_ITEM CSL_CITATION {"citationID":"1tlit43lk1","properties":{"formattedCitation":"{\\rtf \\super 208\\nosupersub{}}","plainCitation":"208"},"citationItems":[{"id":1487,"uris":["http://zotero.org/users/171999/items/V5THA8NQ"],"uri":["http://zotero.org/users/171999/items/V5THA8NQ"],"itemData":{"id":1487,"type":"article-journal","title":"AMPK: a target for drugs and natural products with effects on both diabetes and cancer","container-title":"Diabetes","page":"2164-2172","volume":"62","issue":"7","source":"NCBI PubMed","abstract":"The AMP-activated protein kinase (AMPK) is a highly conserved sensor of cellular energy that appears to have arisen at an early stage during eukaryotic evolution. In 2001 it was shown to be activated by metformin, currently the major drug for treatment for type 2 diabetes. Although the known metabolic effects of AMPK activation are consistent with the idea that it mediates some of the therapeutic benefits of metformin, as discussed below it now appears unlikely that AMPK is the sole target of the drug. AMPK is also activated by several natural plant products derived from traditional medicines, and the mechanisms by which they activate AMPK are discussed. One of these is salicylate, probably the oldest medicinal agent known to humankind. The salicylate prodrug salsalate has been shown to improve metabolic parameters in subjects with insulin resistance and prediabetes, and whether this might be mediated in part by AMPK is discussed. Interestingly, there is evidence that both metformin and aspirin provide some protection against development of cancer in humans, and whether AMPK might be involved in these effects is also discussed.","DOI":"10.2337/db13-0368","ISSN":"1939-327X","note":"PMID: 23801715","shortTitle":"AMPK","journalAbbreviation":"Diabetes","language":"eng","author":[{"family":"Hardie","given":"D Grahame"}],"issued":{"date-parts":[["2013",7]]},"PMID":"23801715"}}],"schema":"https://github.com/citation-style-language/schema/raw/master/csl-citation.json"} </w:instrText>
      </w:r>
      <w:r w:rsidR="00375CBA">
        <w:fldChar w:fldCharType="separate"/>
      </w:r>
      <w:r w:rsidR="00636862" w:rsidRPr="00636862">
        <w:rPr>
          <w:vertAlign w:val="superscript"/>
        </w:rPr>
        <w:t>208</w:t>
      </w:r>
      <w:r w:rsidR="00375CBA">
        <w:fldChar w:fldCharType="end"/>
      </w:r>
      <w:r w:rsidR="00375CBA">
        <w:t xml:space="preserve">  The metabolic activity of AMPK is extensive, but especially relevant to the discussion of overweight and obesity is its ability to increase </w:t>
      </w:r>
      <w:r w:rsidR="00207083">
        <w:t>n</w:t>
      </w:r>
      <w:r w:rsidR="00207083" w:rsidRPr="00622D90">
        <w:t>icotinamide adenine dinucleotide</w:t>
      </w:r>
      <w:r w:rsidR="00207083">
        <w:t xml:space="preserve"> (NAD</w:t>
      </w:r>
      <w:r w:rsidR="00207083" w:rsidRPr="003E479A">
        <w:rPr>
          <w:vertAlign w:val="superscript"/>
        </w:rPr>
        <w:t>+</w:t>
      </w:r>
      <w:r w:rsidR="00207083">
        <w:t>)</w:t>
      </w:r>
      <w:r w:rsidR="00AF1447">
        <w:t xml:space="preserve"> and indirectly activate sirtuin 1 (SIRT1)</w:t>
      </w:r>
      <w:r w:rsidR="00375CBA">
        <w:t>.</w:t>
      </w:r>
      <w:r w:rsidR="00375CBA">
        <w:fldChar w:fldCharType="begin"/>
      </w:r>
      <w:r w:rsidR="00636862">
        <w:instrText xml:space="preserve"> ADDIN ZOTERO_ITEM CSL_CITATION {"citationID":"fgPi3AYC","properties":{"formattedCitation":"{\\rtf \\super 142,208\\nosupersub{}}","plainCitation":"142,208"},"citationItems":[{"id":1487,"uris":["http://zotero.org/users/171999/items/V5THA8NQ"],"uri":["http://zotero.org/users/171999/items/V5THA8NQ"],"itemData":{"id":1487,"type":"article-journal","title":"AMPK: a target for drugs and natural products with effects on both diabetes and cancer","container-title":"Diabetes","page":"2164-2172","volume":"62","issue":"7","source":"NCBI PubMed","abstract":"The AMP-activated protein kinase (AMPK) is a highly conserved sensor of cellular energy that appears to have arisen at an early stage during eukaryotic evolution. In 2001 it was shown to be activated by metformin, currently the major drug for treatment for type 2 diabetes. Although the known metabolic effects of AMPK activation are consistent with the idea that it mediates some of the therapeutic benefits of metformin, as discussed below it now appears unlikely that AMPK is the sole target of the drug. AMPK is also activated by several natural plant products derived from traditional medicines, and the mechanisms by which they activate AMPK are discussed. One of these is salicylate, probably the oldest medicinal agent known to humankind. The salicylate prodrug salsalate has been shown to improve metabolic parameters in subjects with insulin resistance and prediabetes, and whether this might be mediated in part by AMPK is discussed. Interestingly, there is evidence that both metformin and aspirin provide some protection against development of cancer in humans, and whether AMPK might be involved in these effects is also discussed.","DOI":"10.2337/db13-0368","ISSN":"1939-327X","note":"PMID: 23801715","shortTitle":"AMPK","journalAbbreviation":"Diabetes","language":"eng","author":[{"family":"Hardie","given":"D Grahame"}],"issued":{"date-parts":[["2013",7]]},"PMID":"23801715"}},{"id":1489,"uris":["http://zotero.org/users/171999/items/4ERIQVE4"],"uri":["http://zotero.org/users/171999/items/4ERIQVE4"],"itemData":{"id":1489,"type":"article-journal","title":"PGC-1alpha, SIRT1 and AMPK, an energy sensing network that controls energy expenditure","container-title":"Current opinion in lipidology","page":"98-105","volume":"20","issue":"2","source":"NCBI PubMed","abstract":"PURPOSE OF REVIEW: Peroxisome proliferator-activated receptor gamma coactivator-1-alpha (PGC-1alpha) has been extensively described as a master regulator of mitochondrial biogenesis. However, PGC-1alpha activity is not constant and can be finely tuned in response to different metabolic situations. From this point of view, PGC-1alpha could be described as a mediator of the transcriptional outputs triggered by metabolic sensors, providing the idea that these sensors, together with PGC-1alpha, might be weaving a network controlling cellular energy expenditure. In this review, we will focus on how disorders such as type 2 diabetes and the metabolic syndrome might be related to an abnormal and improper function of this network.\nRECENT FINDINGS: Two metabolic sensors, AMP-activated protein kinase (AMPK) and SIRT1 have been described to directly affect PGC-1alpha activity through phosphorylation and deacetylation, respectively. Although the physiological relevance of these modifications and their molecular consequences are still largely unknown, recent insight from different in-vivo transgenic models clearly suggests that AMPK, SIRT1 and PGC-1alpha might act as an orchestrated network to improve metabolic fitness.\nSUMMARY: Metabolic sensors such as AMPK and SIRT1, gatekeepers of the activity of the master regulator of mitochondria, PGC-1alpha, are vital links in a regulatory network for metabolic homeostasis. Together, these players explain many of the beneficial effects of physical activity and dietary interventions in our battle against type 2 diabetes and related metabolic disorders. Hence, understanding the mechanisms by which they act could guide us to identify and improve preventive and therapeutic strategies for metabolic diseases.","DOI":"10.1097/MOL.0b013e328328d0a4","ISSN":"1473-6535","note":"PMID: 19276888","journalAbbreviation":"Curr. Opin. Lipidol.","language":"eng","author":[{"family":"Cantó","given":"Carles"},{"family":"Auwerx","given":"Johan"}],"issued":{"date-parts":[["2009",4]]},"PMID":"19276888"}}],"schema":"https://github.com/citation-style-language/schema/raw/master/csl-citation.json"} </w:instrText>
      </w:r>
      <w:r w:rsidR="00375CBA">
        <w:fldChar w:fldCharType="separate"/>
      </w:r>
      <w:r w:rsidR="00636862" w:rsidRPr="00636862">
        <w:rPr>
          <w:vertAlign w:val="superscript"/>
        </w:rPr>
        <w:t>142,208</w:t>
      </w:r>
      <w:r w:rsidR="00375CBA">
        <w:fldChar w:fldCharType="end"/>
      </w:r>
      <w:r w:rsidR="00375CBA">
        <w:t xml:space="preserve">  </w:t>
      </w:r>
      <w:r w:rsidR="00AF1447">
        <w:t>Sirtuins are a class of NAD</w:t>
      </w:r>
      <w:r w:rsidR="00AF1447" w:rsidRPr="003E479A">
        <w:rPr>
          <w:vertAlign w:val="superscript"/>
        </w:rPr>
        <w:t>+</w:t>
      </w:r>
      <w:r w:rsidR="00AF1447">
        <w:t>-dependent protein deacylases acting to promote organism survival.</w:t>
      </w:r>
      <w:r w:rsidR="00AF1447">
        <w:fldChar w:fldCharType="begin"/>
      </w:r>
      <w:r w:rsidR="00636862">
        <w:instrText xml:space="preserve"> ADDIN ZOTERO_ITEM CSL_CITATION {"citationID":"zCp7S8Uo","properties":{"formattedCitation":"{\\rtf \\super 209,210\\nosupersub{}}","plainCitation":"209,210"},"citationItems":[{"id":1459,"uris":["http://zotero.org/users/171999/items/KEI3B3SC"],"uri":["http://zotero.org/users/171999/items/KEI3B3SC"],"itemData":{"id":1459,"type":"article-journal","title":"Mitochondrial biogenesis through activation of nuclear signaling proteins","container-title":"Cold Spring Harbor perspectives in biology","volume":"5","issue":"7","source":"NCBI PubMed","abstract":"The dynamics of mitochondrial biogenesis and function is a complex interplay of cellular and molecular processes that ultimately shape bioenergetics capacity. Mitochondrial mass, by itself, represents the net balance between rates of biogenesis and degradation. Mitochondrial biogenesis is dependent on different signaling cascades and transcriptional complexes that promote the formation and assembly of mitochondria--a process that is heavily dependent on timely and coordinated transcriptional control of genes encoding for mitochondrial proteins. In this article, we discuss the major signals and transcriptional complexes, programming mitochondrial biogenesis, and bioenergetic activity. This regulatory network represents a new therapeutic window into the treatment of the wide spectrum of mitochondrial and neurodegenerative diseases characterized by dysregulation of mitochondrial dynamics and bioenergetic deficiencies.","DOI":"10.1101/cshperspect.a015008","ISSN":"1943-0264","note":"PMID: 23818499","journalAbbreviation":"Cold Spring Harb Perspect Biol","language":"eng","author":[{"family":"Dominy","given":"John E"},{"family":"Puigserver","given":"Pere"}],"issued":{"date-parts":[["2013",7]]},"PMID":"23818499"}},{"id":1461,"uris":["http://zotero.org/users/171999/items/4J5QT7WT"],"uri":["http://zotero.org/users/171999/items/4J5QT7WT"],"itemData":{"id":1461,"type":"article-journal","title":"Mammalian sirtuins: biological insights and disease relevance","container-title":"Annual review of pathology","page":"253-295","volume":"5","source":"NCBI PubMed","abstract":"Aging is accompanied by a decline in the healthy function of multiple organ systems, leading to increased incidence and mortality from diseases such as type II diabetes mellitus, neurodegenerative diseases, cancer, and cardiovascular disease. Historically, researchers have focused on investigating individual pathways in isolated organs as a strategy to identify the root cause of a disease, with hopes of designing better drugs. Studies of aging in yeast led to the discovery of a family of conserved enzymes known as the sirtuins, which affect multiple pathways that increase the life span and the overall health of organisms. Since the discovery of the first known mammalian sirtuin, SIRT1, 10 years ago, there have been major advances in our understanding of the enzymology of sirtuins, their regulation, and their ability to broadly improve mammalian physiology and health span. This review summarizes and discusses the advances of the past decade and the challenges that will confront the field in the coming years.","DOI":"10.1146/annurev.pathol.4.110807.092250","ISSN":"1553-4014","note":"PMID: 20078221","shortTitle":"Mammalian sirtuins","journalAbbreviation":"Annu Rev Pathol","language":"eng","author":[{"family":"Haigis","given":"Marcia C"},{"family":"Sinclair","given":"David A"}],"issued":{"date-parts":[["2010"]]},"PMID":"20078221"}}],"schema":"https://github.com/citation-style-language/schema/raw/master/csl-citation.json"} </w:instrText>
      </w:r>
      <w:r w:rsidR="00AF1447">
        <w:fldChar w:fldCharType="separate"/>
      </w:r>
      <w:r w:rsidR="00636862" w:rsidRPr="00636862">
        <w:rPr>
          <w:vertAlign w:val="superscript"/>
        </w:rPr>
        <w:t>209,210</w:t>
      </w:r>
      <w:r w:rsidR="00AF1447">
        <w:fldChar w:fldCharType="end"/>
      </w:r>
      <w:r w:rsidR="00AF1447">
        <w:t xml:space="preserve">  There are seven mammalian sirtuins (SIRT1 – SIRT7) with various localization and functions.  SIRT1 is primarily a nuclear protein, with lesser levels present in cytosol.</w:t>
      </w:r>
      <w:r w:rsidR="00AF1447">
        <w:fldChar w:fldCharType="begin"/>
      </w:r>
      <w:r w:rsidR="00636862">
        <w:instrText xml:space="preserve"> ADDIN ZOTERO_ITEM CSL_CITATION {"citationID":"18o40jue43","properties":{"formattedCitation":"{\\rtf \\super 202\\nosupersub{}}","plainCitation":"202"},"citationItems":[{"id":1463,"uris":["http://zotero.org/users/171999/items/N6527D8J"],"uri":["http://zotero.org/users/171999/items/N6527D8J"],"itemData":{"id":1463,"type":"article-journal","title":"Sirtuins as regulators of metabolism and healthspan","container-title":"Nature reviews. Molecular cell biology","page":"225-238","volume":"13","issue":"4","source":"NCBI PubMed","abstract":"Since the beginning of the century, the mammalian sirtuin protein family (comprising SIRT1-SIRT7) has received much attention for its regulatory role, mainly in metabolism and ageing. Sirtuins act in different cellular compartments: they deacetylate histones and several transcriptional regulators in the nucleus, but also specific proteins in other cellular compartments, such as in the cytoplasm and in mitochondria. As a consequence, sirtuins regulate fat and glucose metabolism in response to physiological changes in energy levels, thereby acting as crucial regulators of the network that controls energy homeostasis and as such determines healthspan.","DOI":"10.1038/nrm3293","ISSN":"1471-0080","note":"PMID: 22395773","journalAbbreviation":"Nat. Rev. Mol. Cell Biol.","language":"eng","author":[{"family":"Houtkooper","given":"Riekelt H"},{"family":"Pirinen","given":"Eija"},{"family":"Auwerx","given":"Johan"}],"issued":{"date-parts":[["2012",4]]},"PMID":"22395773"}}],"schema":"https://github.com/citation-style-language/schema/raw/master/csl-citation.json"} </w:instrText>
      </w:r>
      <w:r w:rsidR="00AF1447">
        <w:fldChar w:fldCharType="separate"/>
      </w:r>
      <w:r w:rsidR="00636862" w:rsidRPr="00636862">
        <w:rPr>
          <w:vertAlign w:val="superscript"/>
        </w:rPr>
        <w:t>202</w:t>
      </w:r>
      <w:r w:rsidR="00AF1447">
        <w:fldChar w:fldCharType="end"/>
      </w:r>
      <w:r w:rsidR="00AF1447">
        <w:t xml:space="preserve">  It is a class I sirtuin, meaning it has high homology with yeast sirtuins, and has extensive deacetylase capabilities.</w:t>
      </w:r>
      <w:r w:rsidR="00AF1447">
        <w:fldChar w:fldCharType="begin"/>
      </w:r>
      <w:r w:rsidR="00636862">
        <w:instrText xml:space="preserve"> ADDIN ZOTERO_ITEM CSL_CITATION {"citationID":"oqko9pc3d","properties":{"formattedCitation":"{\\rtf \\super 211\\nosupersub{}}","plainCitation":"211"},"citationItems":[{"id":1467,"uris":["http://zotero.org/users/171999/items/NFIITDWI"],"uri":["http://zotero.org/users/171999/items/NFIITDWI"],"itemData":{"id":1467,"type":"article-journal","title":"Mitochondrial protein acetylation regulates metabolism","container-title":"Essays in biochemistry","page":"23-35","volume":"52","source":"NCBI PubMed","abstract":"Changes in cellular nutrient availability or energy status induce global changes in mitochondrial protein acetylation. Over one-third of all proteins in the mitochondria are acetylated, of which the majority are involved in some aspect of energy metabolism. Mitochondrial protein acetylation is regulated by SIRT3 (sirtuin 3), a member of the sirtuin family of NAD+-dependent protein deacetylases that has recently been identified as a key modulator of energy homoeostasis. In the absence of SIRT3, mitochondrial proteins become hyperacetylated, have altered function, and contribute to mitochondrial dysfunction. This chapter presents a review of the functional impact of mitochondrial protein acetylation, and its regulation by SIRT3.","DOI":"10.1042/bse0520023","ISSN":"1744-1358","note":"PMID: 22708561","journalAbbreviation":"Essays Biochem.","language":"eng","author":[{"family":"Anderson","given":"Kristin A"},{"family":"Hirschey","given":"Matthew D"}],"issued":{"date-parts":[["2012"]]},"PMID":"22708561"}}],"schema":"https://github.com/citation-style-language/schema/raw/master/csl-citation.json"} </w:instrText>
      </w:r>
      <w:r w:rsidR="00AF1447">
        <w:fldChar w:fldCharType="separate"/>
      </w:r>
      <w:r w:rsidR="00636862" w:rsidRPr="00636862">
        <w:rPr>
          <w:vertAlign w:val="superscript"/>
        </w:rPr>
        <w:t>211</w:t>
      </w:r>
      <w:r w:rsidR="00AF1447">
        <w:fldChar w:fldCharType="end"/>
      </w:r>
      <w:r w:rsidR="00AF1447">
        <w:t xml:space="preserve">  SIRT1 is activated by high NAD</w:t>
      </w:r>
      <w:r w:rsidR="00AF1447" w:rsidRPr="003E479A">
        <w:rPr>
          <w:vertAlign w:val="superscript"/>
        </w:rPr>
        <w:t>+</w:t>
      </w:r>
      <w:r w:rsidR="00AF1447">
        <w:t xml:space="preserve"> levels seen during times of high energy demand (e.g., caloric restriction, fasting, and exercise), leading to a general switch from a glycolytic state to one of oxidative phosphorylation.</w:t>
      </w:r>
      <w:r w:rsidR="00AF1447">
        <w:fldChar w:fldCharType="begin"/>
      </w:r>
      <w:r w:rsidR="00636862">
        <w:instrText xml:space="preserve"> ADDIN ZOTERO_ITEM CSL_CITATION {"citationID":"OPbxKeuJ","properties":{"formattedCitation":"{\\rtf \\super 212,213\\nosupersub{}}","plainCitation":"212,213"},"citationItems":[{"id":1485,"uris":["http://zotero.org/users/171999/items/9J6TRQMZ"],"uri":["http://zotero.org/users/171999/items/9J6TRQMZ"],"itemData":{"id":1485,"type":"article-journal","title":"Nutrient control of glucose homeostasis through a complex of PGC-1alpha and SIRT1","container-title":"Nature","page":"113-118","volume":"434","issue":"7029","source":"NCBI PubMed","abstract":"Homeostatic mechanisms in mammals respond to hormones and nutrients to maintain blood glucose levels within a narrow range. Caloric restriction causes many changes in glucose metabolism and extends lifespan; however, how this metabolism is connected to the ageing process is largely unknown. We show here that the Sir2 homologue, SIRT1--which modulates ageing in several species--controls the gluconeogenic/glycolytic pathways in liver in response to fasting signals through the transcriptional coactivator PGC-1alpha. A nutrient signalling response that is mediated by pyruvate induces SIRT1 protein in liver during fasting. We find that once SIRT1 is induced, it interacts with and deacetylates PGC-1alpha at specific lysine residues in an NAD(+)-dependent manner. SIRT1 induces gluconeogenic genes and hepatic glucose output through PGC-1alpha, but does not regulate the effects of PGC-1alpha on mitochondrial genes. In addition, SIRT1 modulates the effects of PGC-1alpha repression of glycolytic genes in response to fasting and pyruvate. Thus, we have identified a molecular mechanism whereby SIRT1 functions in glucose homeostasis as a modulator of PGC-1alpha. These findings have strong implications for the basic pathways of energy homeostasis, diabetes and lifespan.","DOI":"10.1038/nature03354","ISSN":"1476-4687","note":"PMID: 15744310","journalAbbreviation":"Nature","language":"eng","author":[{"family":"Rodgers","given":"Joseph T"},{"family":"Lerin","given":"Carlos"},{"family":"Haas","given":"Wilhelm"},{"family":"Gygi","given":"Steven P"},{"family":"Spiegelman","given":"Bruce M"},{"family":"Puigserver","given":"Pere"}],"issued":{"date-parts":[["2005",3,3]]},"PMID":"15744310"}},{"id":1483,"uris":["http://zotero.org/users/171999/items/DJVPQNEZ"],"uri":["http://zotero.org/users/171999/items/DJVPQNEZ"],"itemData":{"id":1483,"type":"article-journal","title":"Sirtuins mediate mammalian metabolic responses to nutrient availability","container-title":"Nature reviews. Endocrinology","page":"287-296","volume":"8","issue":"5","source":"NCBI PubMed","abstract":"Metabolic diseases are an increasing threat in developed countries. Dysregulation of metabolic pathways, caused by imbalances in energy homeostasis, leads to obesity, diabetes and cardiovascular disease with devastating results for both individuals and societies. Sirtuins, a conserved family of NAD(+)-dependent deacetylase enzymes found in many species, regulate various metabolic pathways and have emerged as important sensors of energy status in mammals. The nuclear sirtuins, SIRT1, SIRT6 and SIRT7, regulate the activity of key transcription factors and cofactors of numerous metabolic pathways in almost all tissues by linking nutrient signals with the cellular responses to energy demands. The mitochondrial sirtuins, SIRT3, SIRT4 and SIRT5, regulate the activity of important mitochondrial enzymes and drive metabolic cycles in response to fasting and calorie restriction. Accumulating evidence indicates that sirtuins can be beneficial in the prevention of metabolic and age-related diseases and suggests that they can be pharmacologically activated to ameliorate such diseases. This Review describes the latest advances in the understanding of the function of sirtuins as regulators of mammalian metabolism and focuses on the role of these enzymes as mediators of nutrient availability.","DOI":"10.1038/nrendo.2011.225","ISSN":"1759-5037","note":"PMID: 22249520","journalAbbreviation":"Nat Rev Endocrinol","language":"eng","author":[{"family":"Chalkiadaki","given":"Angeliki"},{"family":"Guarente","given":"Leonard"}],"issued":{"date-parts":[["2012",5]]},"PMID":"22249520"}}],"schema":"https://github.com/citation-style-language/schema/raw/master/csl-citation.json"} </w:instrText>
      </w:r>
      <w:r w:rsidR="00AF1447">
        <w:fldChar w:fldCharType="separate"/>
      </w:r>
      <w:r w:rsidR="00636862" w:rsidRPr="00636862">
        <w:rPr>
          <w:vertAlign w:val="superscript"/>
        </w:rPr>
        <w:t>212,213</w:t>
      </w:r>
      <w:r w:rsidR="00AF1447">
        <w:fldChar w:fldCharType="end"/>
      </w:r>
      <w:r w:rsidR="00AF1447">
        <w:t xml:space="preserve">  </w:t>
      </w:r>
      <w:r w:rsidR="00375CBA">
        <w:t xml:space="preserve">This cross-talk relationship between AMPK and SIRT1 is illustrated in </w:t>
      </w:r>
      <w:r w:rsidR="00DF2EAF">
        <w:rPr>
          <w:color w:val="FF0000"/>
        </w:rPr>
        <w:t>Figure 7</w:t>
      </w:r>
      <w:r w:rsidR="00375CBA">
        <w:rPr>
          <w:color w:val="FF0000"/>
        </w:rPr>
        <w:t>.</w:t>
      </w:r>
    </w:p>
    <w:p w:rsidR="000D5D0B" w:rsidRPr="008868AB" w:rsidRDefault="000D5D0B" w:rsidP="00AF1447">
      <w:pPr>
        <w:ind w:firstLine="720"/>
      </w:pPr>
      <w:r>
        <w:t>Sirtuin3 (SIRT3) is also a class I sirtuin, but is located within the mitochondrial matrix</w:t>
      </w:r>
      <w:r w:rsidR="007E5205">
        <w:t xml:space="preserve"> rather than the nucleus like SIRT1</w:t>
      </w:r>
      <w:r>
        <w:t>.</w:t>
      </w:r>
      <w:r>
        <w:fldChar w:fldCharType="begin"/>
      </w:r>
      <w:r w:rsidR="00636862">
        <w:instrText xml:space="preserve"> ADDIN ZOTERO_ITEM CSL_CITATION {"citationID":"1r8kplv4p4","properties":{"formattedCitation":"{\\rtf \\super 202,214\\nosupersub{}}","plainCitation":"202,214"},"citationItems":[{"id":1469,"uris":["http://zotero.org/users/171999/items/ETRZ7HD9"],"uri":["http://zotero.org/users/171999/items/ETRZ7HD9"],"itemData":{"id":1469,"type":"article-journal","title":"SIRT3 regulates mitochondrial fatty-acid oxidation by reversible enzyme deacetylation","container-title":"Nature","page":"121-125","volume":"464","issue":"7285","source":"NCBI PubMed","abstract":"Sirtuins are NAD(+)-dependent protein deacetylases. They mediate adaptive responses to a variety of stresses, including calorie restriction and metabolic stress. Sirtuin 3 (SIRT3) is localized in the mitochondrial matrix, where it regulates the acetylation levels of metabolic enzymes, including acetyl coenzyme A synthetase 2 (refs 1, 2). Mice lacking both Sirt3 alleles appear phenotypically normal under basal conditions, but show marked hyperacetylation of several mitochondrial proteins. Here we report that SIRT3 expression is upregulated during fasting in liver and brown adipose tissues. During fasting, livers from mice lacking SIRT3 had higher levels of fatty-acid oxidation intermediate products and triglycerides, associated with decreased levels of fatty-acid oxidation, compared to livers from wild-type mice. Mass spectrometry of mitochondrial proteins shows that long-chain acyl coenzyme A dehydrogenase (LCAD) is hyperacetylated at lysine 42 in the absence of SIRT3. LCAD is deacetylated in wild-type mice under fasted conditions and by SIRT3 in vitro and in vivo; and hyperacetylation of LCAD reduces its enzymatic activity. Mice lacking SIRT3 exhibit hallmarks of fatty-acid oxidation disorders during fasting, including reduced ATP levels and intolerance to cold exposure. These findings identify acetylation as a novel regulatory mechanism for mitochondrial fatty-acid oxidation and demonstrate that SIRT3 modulates mitochondrial intermediary metabolism and fatty-acid use during fasting.","DOI":"10.1038/nature08778","ISSN":"1476-4687","note":"PMID: 20203611","journalAbbreviation":"Nature","language":"eng","author":[{"family":"Hirschey","given":"Matthew D"},{"family":"Shimazu","given":"Tadahiro"},{"family":"Goetzman","given":"Eric"},{"family":"Jing","given":"Enxuan"},{"family":"Schwer","given":"Bjoern"},{"family":"Lombard","given":"David B"},{"family":"Grueter","given":"Carrie A"},{"family":"Harris","given":"Charles"},{"family":"Biddinger","given":"Sudha"},{"family":"Ilkayeva","given":"Olga R"},{"family":"Stevens","given":"Robert D"},{"family":"Li","given":"Yu"},{"family":"Saha","given":"Asish K"},{"family":"Ruderman","given":"Neil B"},{"family":"Bain","given":"James R"},{"family":"Newgard","given":"Christopher B"},{"family":"Farese","given":"Robert V, Jr"},{"family":"Alt","given":"Frederick W"},{"family":"Kahn","given":"C Ronald"},{"family":"Verdin","given":"Eric"}],"issued":{"date-parts":[["2010",3,4]]},"PMID":"20203611"}},{"id":1463,"uris":["http://zotero.org/users/171999/items/N6527D8J"],"uri":["http://zotero.org/users/171999/items/N6527D8J"],"itemData":{"id":1463,"type":"article-journal","title":"Sirtuins as regulators of metabolism and healthspan","container-title":"Nature reviews. Molecular cell biology","page":"225-238","volume":"13","issue":"4","source":"NCBI PubMed","abstract":"Since the beginning of the century, the mammalian sirtuin protein family (comprising SIRT1-SIRT7) has received much attention for its regulatory role, mainly in metabolism and ageing. Sirtuins act in different cellular compartments: they deacetylate histones and several transcriptional regulators in the nucleus, but also specific proteins in other cellular compartments, such as in the cytoplasm and in mitochondria. As a consequence, sirtuins regulate fat and glucose metabolism in response to physiological changes in energy levels, thereby acting as crucial regulators of the network that controls energy homeostasis and as such determines healthspan.","DOI":"10.1038/nrm3293","ISSN":"1471-0080","note":"PMID: 22395773","journalAbbreviation":"Nat. Rev. Mol. Cell Biol.","language":"eng","author":[{"family":"Houtkooper","given":"Riekelt H"},{"family":"Pirinen","given":"Eija"},{"family":"Auwerx","given":"Johan"}],"issued":{"date-parts":[["2012",4]]},"PMID":"22395773"}}],"schema":"https://github.com/citation-style-language/schema/raw/master/csl-citation.json"} </w:instrText>
      </w:r>
      <w:r>
        <w:fldChar w:fldCharType="separate"/>
      </w:r>
      <w:r w:rsidR="00636862" w:rsidRPr="00636862">
        <w:rPr>
          <w:vertAlign w:val="superscript"/>
        </w:rPr>
        <w:t>202,214</w:t>
      </w:r>
      <w:r>
        <w:fldChar w:fldCharType="end"/>
      </w:r>
      <w:r w:rsidR="002F34C3">
        <w:t xml:space="preserve">  SIRT3 activity increases in liver, kidney, and muscle during calorie restriction, when in a glucose-poor state.</w:t>
      </w:r>
      <w:r w:rsidR="002F34C3">
        <w:fldChar w:fldCharType="begin"/>
      </w:r>
      <w:r w:rsidR="00636862">
        <w:instrText xml:space="preserve"> ADDIN ZOTERO_ITEM CSL_CITATION {"citationID":"XC2pMSLe","properties":{"formattedCitation":"{\\rtf \\super 214\\uc0\\u8211{}217\\nosupersub{}}","plainCitation":"214–217"},"citationItems":[{"id":1471,"uris":["http://zotero.org/users/171999/items/7R587QG4"],"uri":["http://zotero.org/users/171999/items/7R587QG4"],"itemData":{"id":1471,"type":"article-journal","title":"Mitochondrial protein acylation and intermediary metabolism: regulation by sirtuins and implications for metabolic disease","container-title":"The Journal of biological chemistry","page":"42436-42443","volume":"287","issue":"51","source":"NCBI PubMed","abstract":"The sirtuins are a family of NAD(+)-dependent protein deacetylases that regulate cell survival, metabolism, and longevity. Three sirtuins, SIRT3-5, localize to mitochondria. Expression of SIRT3 is selectively activated during fasting and calorie restriction. SIRT3 regulates the acetylation level and enzymatic activity of key metabolic enzymes, such as acetyl-CoA synthetase, long-chain acyl-CoA dehydrogenase, and 3-hydroxy-3-methylglutaryl-CoA synthase 2, and enhances fat metabolism during fasting. SIRT5 exhibits demalonylase/desuccinylase activity, and lysine succinylation and malonylation are abundant mitochondrial protein modifications. No convincing enzymatic activity has been reported for SIRT4. Here, we review the emerging role of mitochondrial sirtuins as metabolic sensors that respond to changes in the energy status of the cell and modulate the activities of key metabolic enzymes via protein deacylation.","DOI":"10.1074/jbc.R112.404863","ISSN":"1083-351X","note":"PMID: 23086951","shortTitle":"Mitochondrial protein acylation and intermediary metabolism","journalAbbreviation":"J. Biol. Chem.","language":"eng","author":[{"family":"Newman","given":"John C"},{"family":"He","given":"Wenjuan"},{"family":"Verdin","given":"Eric"}],"issued":{"date-parts":[["2012",12,14]]},"PMID":"23086951"}},{"id":1469,"uris":["http://zotero.org/users/171999/items/ETRZ7HD9"],"uri":["http://zotero.org/users/171999/items/ETRZ7HD9"],"itemData":{"id":1469,"type":"article-journal","title":"SIRT3 regulates mitochondrial fatty-acid oxidation by reversible enzyme deacetylation","container-title":"Nature","page":"121-125","volume":"464","issue":"7285","source":"NCBI PubMed","abstract":"Sirtuins are NAD(+)-dependent protein deacetylases. They mediate adaptive responses to a variety of stresses, including calorie restriction and metabolic stress. Sirtuin 3 (SIRT3) is localized in the mitochondrial matrix, where it regulates the acetylation levels of metabolic enzymes, including acetyl coenzyme A synthetase 2 (refs 1, 2). Mice lacking both Sirt3 alleles appear phenotypically normal under basal conditions, but show marked hyperacetylation of several mitochondrial proteins. Here we report that SIRT3 expression is upregulated during fasting in liver and brown adipose tissues. During fasting, livers from mice lacking SIRT3 had higher levels of fatty-acid oxidation intermediate products and triglycerides, associated with decreased levels of fatty-acid oxidation, compared to livers from wild-type mice. Mass spectrometry of mitochondrial proteins shows that long-chain acyl coenzyme A dehydrogenase (LCAD) is hyperacetylated at lysine 42 in the absence of SIRT3. LCAD is deacetylated in wild-type mice under fasted conditions and by SIRT3 in vitro and in vivo; and hyperacetylation of LCAD reduces its enzymatic activity. Mice lacking SIRT3 exhibit hallmarks of fatty-acid oxidation disorders during fasting, including reduced ATP levels and intolerance to cold exposure. These findings identify acetylation as a novel regulatory mechanism for mitochondrial fatty-acid oxidation and demonstrate that SIRT3 modulates mitochondrial intermediary metabolism and fatty-acid use during fasting.","DOI":"10.1038/nature08778","ISSN":"1476-4687","note":"PMID: 20203611","journalAbbreviation":"Nature","language":"eng","author":[{"family":"Hirschey","given":"Matthew D"},{"family":"Shimazu","given":"Tadahiro"},{"family":"Goetzman","given":"Eric"},{"family":"Jing","given":"Enxuan"},{"family":"Schwer","given":"Bjoern"},{"family":"Lombard","given":"David B"},{"family":"Grueter","given":"Carrie A"},{"family":"Harris","given":"Charles"},{"family":"Biddinger","given":"Sudha"},{"family":"Ilkayeva","given":"Olga R"},{"family":"Stevens","given":"Robert D"},{"family":"Li","given":"Yu"},{"family":"Saha","given":"Asish K"},{"family":"Ruderman","given":"Neil B"},{"family":"Bain","given":"James R"},{"family":"Newgard","given":"Christopher B"},{"family":"Farese","given":"Robert V, Jr"},{"family":"Alt","given":"Frederick W"},{"family":"Kahn","given":"C Ronald"},{"family":"Verdin","given":"Eric"}],"issued":{"date-parts":[["2010",3,4]]},"PMID":"20203611"}},{"id":1473,"uris":["http://zotero.org/users/171999/items/E7XZ6BII"],"uri":["http://zotero.org/users/171999/items/E7XZ6BII"],"itemData":{"id":1473,"type":"article-journal","title":"Sirt3 promotes the urea cycle and fatty acid oxidation during dietary restriction","container-title":"Molecular cell","page":"139-149","volume":"41","issue":"2","source":"NCBI PubMed","abstract":"Emerging evidence suggests that protein acetylation is a broad-ranging regulatory mechanism. Here we utilize acetyl-peptide arrays and metabolomic analyses to identify substrates of mitochondrial deacetylase Sirt3. We identified ornithine transcarbamoylase (OTC) from the urea cycle, and enzymes involved in β-oxidation. Metabolomic analyses of fasted mice lacking Sirt3 (sirt3(-/-)) revealed alterations in β-oxidation and the urea cycle. Biochemical analysis demonstrated that Sirt3 directly deacetylates OTC and stimulates its activity. Mice under caloric restriction (CR) increased Sirt3 protein levels, leading to deacetylation and stimulation of OTC activity. In contrast, sirt3(-/-) mice failed to deacetylate OTC in response to CR. Inability to stimulate OTC under CR led to a failure to reduce orotic acid levels, a known outcome of OTC deficiency. Thus, Sirt3 directly regulates OTC activity and promotes the urea cycle during CR, and the results suggest that under low energy input, Sirt3 modulates mitochondria by promoting amino acid catabolism and β-oxidation.","DOI":"10.1016/j.molcel.2011.01.002","ISSN":"1097-4164","note":"PMID: 21255725","journalAbbreviation":"Mol. Cell","language":"eng","author":[{"family":"Hallows","given":"William C"},{"family":"Yu","given":"Wei"},{"family":"Smith","given":"Brian C"},{"family":"Devries","given":"Mark K"},{"family":"Devires","given":"Mark K"},{"family":"Ellinger","given":"James J"},{"family":"Someya","given":"Shinichi"},{"family":"Shortreed","given":"Michael R"},{"family":"Prolla","given":"Tomas"},{"family":"Markley","given":"John L"},{"family":"Smith","given":"Lloyd M"},{"family":"Zhao","given":"Shimin"},{"family":"Guan","given":"Kun-Liang"},{"family":"Denu","given":"John M"}],"issued":{"date-parts":[["2011",1,21]]},"PMID":"21255725"}},{"id":1475,"uris":["http://zotero.org/users/171999/items/UPX3N7QF"],"uri":["http://zotero.org/users/171999/items/UPX3N7QF"],"itemData":{"id":1475,"type":"article-journal","title":"Sirtuin-3 (Sirt3) regulates skeletal muscle metabolism and insulin signaling via altered mitochondrial oxidation and reactive oxygen species production","container-title":"Proceedings of the National Academy of Sciences of the United States of America","page":"14608-14613","volume":"108","issue":"35","source":"NCBI PubMed","abstract":"Sirt3 is a member of the sirtuin family of protein deacetylases that is localized in mitochondria and regulates mitochondrial function. Sirt3 expression in skeletal muscle is decreased in models of type 1 and type 2 diabetes and regulated by feeding, fasting, and caloric restriction. Sirt3 knockout mice exhibit decreased oxygen consumption and develop oxidative stress in skeletal muscle, leading to JNK activation and impaired insulin signaling. This effect is mimicked by knockdown of Sirt3 in cultured myoblasts, which exhibit reduced mitochondrial oxidation, increased reactive oxygen species, activation of JNK, increased serine and decreased tyrosine phosphorylation of IRS-1, and decreased insulin signaling. Thus, Sirt3 plays an important role in diabetes through regulation of mitochondrial oxidation, reactive oxygen species production, and insulin resistance in skeletal muscle.","DOI":"10.1073/pnas.1111308108","ISSN":"1091-6490","note":"PMID: 21873205","journalAbbreviation":"Proc. Natl. Acad. Sci. U.S.A.","language":"eng","author":[{"family":"Jing","given":"Enxuan"},{"family":"Emanuelli","given":"Brice"},{"family":"Hirschey","given":"Matthew D"},{"family":"Boucher","given":"Jeremie"},{"family":"Lee","given":"Kevin Y"},{"family":"Lombard","given":"David"},{"family":"Verdin","given":"Eric M"},{"family":"Kahn","given":"C Ronald"}],"issued":{"date-parts":[["2011",8,30]]},"PMID":"21873205"}}],"schema":"https://github.com/citation-style-language/schema/raw/master/csl-citation.json"} </w:instrText>
      </w:r>
      <w:r w:rsidR="002F34C3">
        <w:fldChar w:fldCharType="separate"/>
      </w:r>
      <w:r w:rsidR="00636862" w:rsidRPr="00636862">
        <w:rPr>
          <w:vertAlign w:val="superscript"/>
        </w:rPr>
        <w:t>214–217</w:t>
      </w:r>
      <w:r w:rsidR="002F34C3">
        <w:fldChar w:fldCharType="end"/>
      </w:r>
      <w:r w:rsidR="002F34C3">
        <w:t xml:space="preserve">  </w:t>
      </w:r>
      <w:proofErr w:type="gramStart"/>
      <w:r w:rsidR="002F34C3">
        <w:t>As</w:t>
      </w:r>
      <w:proofErr w:type="gramEnd"/>
      <w:r w:rsidR="002F34C3">
        <w:t xml:space="preserve"> the major mitochondrial deacetylase, i</w:t>
      </w:r>
      <w:r>
        <w:t xml:space="preserve">t has many targets, including </w:t>
      </w:r>
      <w:r w:rsidR="002F34C3">
        <w:t xml:space="preserve">genes involved in lipid metabolism.  </w:t>
      </w:r>
      <w:r w:rsidR="00CB5491">
        <w:t>L</w:t>
      </w:r>
      <w:r>
        <w:t>ong-chain acyl CoA dehydrogenase (LCAD)</w:t>
      </w:r>
      <w:r w:rsidR="00CB5491">
        <w:t xml:space="preserve"> is one such gene, which is responsible for the first dehydrogenation step in fatty acid β-oxidation</w:t>
      </w:r>
      <w:r>
        <w:t xml:space="preserve">.  During extended periods of fasting, SIRT3 activates LCAD, leading to </w:t>
      </w:r>
      <w:r w:rsidR="00CB5491">
        <w:t>increased oxidation of long-chain fatty acids into acetyl CoA</w:t>
      </w:r>
      <w:r>
        <w:t>.</w:t>
      </w:r>
      <w:r>
        <w:fldChar w:fldCharType="begin"/>
      </w:r>
      <w:r w:rsidR="00636862">
        <w:instrText xml:space="preserve"> ADDIN ZOTERO_ITEM CSL_CITATION {"citationID":"EiLL5QSI","properties":{"formattedCitation":"{\\rtf \\super 214\\nosupersub{}}","plainCitation":"214"},"citationItems":[{"id":1469,"uris":["http://zotero.org/users/171999/items/ETRZ7HD9"],"uri":["http://zotero.org/users/171999/items/ETRZ7HD9"],"itemData":{"id":1469,"type":"article-journal","title":"SIRT3 regulates mitochondrial fatty-acid oxidation by reversible enzyme deacetylation","container-title":"Nature","page":"121-125","volume":"464","issue":"7285","source":"NCBI PubMed","abstract":"Sirtuins are NAD(+)-dependent protein deacetylases. They mediate adaptive responses to a variety of stresses, including calorie restriction and metabolic stress. Sirtuin 3 (SIRT3) is localized in the mitochondrial matrix, where it regulates the acetylation levels of metabolic enzymes, including acetyl coenzyme A synthetase 2 (refs 1, 2). Mice lacking both Sirt3 alleles appear phenotypically normal under basal conditions, but show marked hyperacetylation of several mitochondrial proteins. Here we report that SIRT3 expression is upregulated during fasting in liver and brown adipose tissues. During fasting, livers from mice lacking SIRT3 had higher levels of fatty-acid oxidation intermediate products and triglycerides, associated with decreased levels of fatty-acid oxidation, compared to livers from wild-type mice. Mass spectrometry of mitochondrial proteins shows that long-chain acyl coenzyme A dehydrogenase (LCAD) is hyperacetylated at lysine 42 in the absence of SIRT3. LCAD is deacetylated in wild-type mice under fasted conditions and by SIRT3 in vitro and in vivo; and hyperacetylation of LCAD reduces its enzymatic activity. Mice lacking SIRT3 exhibit hallmarks of fatty-acid oxidation disorders during fasting, including reduced ATP levels and intolerance to cold exposure. These findings identify acetylation as a novel regulatory mechanism for mitochondrial fatty-acid oxidation and demonstrate that SIRT3 modulates mitochondrial intermediary metabolism and fatty-acid use during fasting.","DOI":"10.1038/nature08778","ISSN":"1476-4687","note":"PMID: 20203611","journalAbbreviation":"Nature","language":"eng","author":[{"family":"Hirschey","given":"Matthew D"},{"family":"Shimazu","given":"Tadahiro"},{"family":"Goetzman","given":"Eric"},{"family":"Jing","given":"Enxuan"},{"family":"Schwer","given":"Bjoern"},{"family":"Lombard","given":"David B"},{"family":"Grueter","given":"Carrie A"},{"family":"Harris","given":"Charles"},{"family":"Biddinger","given":"Sudha"},{"family":"Ilkayeva","given":"Olga R"},{"family":"Stevens","given":"Robert D"},{"family":"Li","given":"Yu"},{"family":"Saha","given":"Asish K"},{"family":"Ruderman","given":"Neil B"},{"family":"Bain","given":"James R"},{"family":"Newgard","given":"Christopher B"},{"family":"Farese","given":"Robert V, Jr"},{"family":"Alt","given":"Frederick W"},{"family":"Kahn","given":"C Ronald"},{"family":"Verdin","given":"Eric"}],"issued":{"date-parts":[["2010",3,4]]},"PMID":"20203611"}}],"schema":"https://github.com/citation-style-language/schema/raw/master/csl-citation.json"} </w:instrText>
      </w:r>
      <w:r>
        <w:fldChar w:fldCharType="separate"/>
      </w:r>
      <w:r w:rsidR="00636862" w:rsidRPr="00636862">
        <w:rPr>
          <w:vertAlign w:val="superscript"/>
        </w:rPr>
        <w:t>214</w:t>
      </w:r>
      <w:r>
        <w:fldChar w:fldCharType="end"/>
      </w:r>
    </w:p>
    <w:p w:rsidR="00BB17A9" w:rsidRDefault="00BB17A9" w:rsidP="00BB17A9">
      <w:pPr>
        <w:pStyle w:val="Heading5"/>
      </w:pPr>
      <w:r>
        <w:t>Mitochondrial component genes</w:t>
      </w:r>
    </w:p>
    <w:p w:rsidR="004E35A5" w:rsidRDefault="00C54DBD" w:rsidP="00B04DD0">
      <w:pPr>
        <w:ind w:firstLine="720"/>
        <w:contextualSpacing/>
        <w:rPr>
          <w:color w:val="FF0000"/>
        </w:rPr>
      </w:pPr>
      <w:r>
        <w:t>In addition to increasing the physical number of mitochondria, increasing the genes</w:t>
      </w:r>
      <w:r w:rsidR="00B04DD0">
        <w:t xml:space="preserve"> present</w:t>
      </w:r>
      <w:r>
        <w:t xml:space="preserve"> within mitochondria </w:t>
      </w:r>
      <w:r w:rsidR="00B04DD0">
        <w:t xml:space="preserve">also </w:t>
      </w:r>
      <w:r>
        <w:t>affect</w:t>
      </w:r>
      <w:r w:rsidR="00B04DD0">
        <w:t>s</w:t>
      </w:r>
      <w:r>
        <w:t xml:space="preserve"> energy metabolism.  </w:t>
      </w:r>
      <w:r w:rsidR="00116C97">
        <w:t xml:space="preserve">One such example is the family of uncoupling proteins, which are located within the mitochondrial inner membrane.  There are five homologues in mammals (UCP1 – UCP5) and the first three have high </w:t>
      </w:r>
      <w:r w:rsidR="009163DA">
        <w:t xml:space="preserve">genetic </w:t>
      </w:r>
      <w:r w:rsidR="00116C97">
        <w:t>sequence identity with each other.</w:t>
      </w:r>
      <w:r w:rsidR="00B04DD0">
        <w:fldChar w:fldCharType="begin"/>
      </w:r>
      <w:r w:rsidR="00636862">
        <w:instrText xml:space="preserve"> ADDIN ZOTERO_ITEM CSL_CITATION {"citationID":"8uowmpTU","properties":{"formattedCitation":"{\\rtf \\super 218\\uc0\\u8211{}220\\nosupersub{}}","plainCitation":"218–220"},"citationItems":[{"id":1505,"uris":["http://zotero.org/users/171999/items/RI9BNQCN"],"uri":["http://zotero.org/users/171999/items/RI9BNQCN"],"itemData":{"id":1505,"type":"article-journal","title":"Mitochondrial uncoupling proteins in mammals and plants","container-title":"Bioscience reports","page":"201-212","volume":"21","issue":"2","source":"NCBI PubMed","abstract":"Uncoupling proteins (UCPs) belong to a distinct cluster of the mitochondrial anion carrier family. Up to five different uncoupling protein types were found in mitochondria of mammals and plants, and recently in fishes, fungi and protozoa. They exhibit a significantly conserved structure with several motifs specific to either the whole cluster or protein type. Uncoupling proteins, as well as the whole mitochondrial anion carrier gene family, probably emerged in evolution before the separation of animal, fungi, and plant kingdoms and originate from an anion/nucleotide or anion/anion transporter ancestor. Mammalian UCP1, UCP2, UCP3, and plant uncoupling proteins pUCP1 and pUCP2 are similar and seem to form one subgroup, whereas UCP4 and BMCP1 belong to a different group. Molecular, biochemical, and phylogenic data suggest that UCP2 could be considered as an UCP-prototype. UCP1 plays its biological role mainly in the non-shivering thermogenesis while the role of the other types is unknown. However, hypotheses have suggested that they are involved in the general balance of basic energy expenditure, protection from reactive oxygen species, and, in plants, in fruit ripening and seed ontogeny.","ISSN":"0144-8463","note":"PMID: 11725869","journalAbbreviation":"Biosci. Rep.","language":"eng","author":[{"family":"Borecký","given":"J"},{"family":"Maia","given":"I G"},{"family":"Arruda","given":"P"}],"issued":{"date-parts":[["2001",4]]},"PMID":"11725869"}},{"id":1503,"uris":["http://zotero.org/users/171999/items/62JA4N3N"],"uri":["http://zotero.org/users/171999/items/62JA4N3N"],"itemData":{"id":1503,"type":"article-journal","title":"The mitochondrial uncoupling-protein homologues","container-title":"Nature reviews. Molecular cell biology","page":"248-261","volume":"6","issue":"3","source":"NCBI PubMed","abstract":"Uncoupling protein(UCP)1 is an integral membrane protein that is located in the mitochondrial inner membrane of brown adipocytes. Its physiological role is to mediate a regulated, thermogenic proton leak. UCP2 and UCP3 are recently identified UCP1 homologues. They also mediate regulated proton leak, and might function to control the production of superoxide and other downstream reactive oxygen species. However, their role in normal physiology remains unknown. Recent studies have shown that UCP2 has an important part in the pathogenesis of type-2 diabetes. The obscure roles of the UCP homologues in normal physiology, together with their emerging role in pathophysiology, provide exciting potential for further investigation.","DOI":"10.1038/nrm1572","ISSN":"1471-0072","note":"PMID: 15738989","journalAbbreviation":"Nat. Rev. Mol. Cell Biol.","language":"eng","author":[{"family":"Krauss","given":"Stefan"},{"family":"Zhang","given":"Chen-Yu"},{"family":"Lowell","given":"Bradford B"}],"issued":{"date-parts":[["2005",3]]},"PMID":"15738989"}},{"id":1507,"uris":["http://zotero.org/users/171999/items/I92QEQD5"],"uri":["http://zotero.org/users/171999/items/I92QEQD5"],"itemData":{"id":1507,"type":"article-journal","title":"The mitochondrial uncoupling proteins","container-title":"Genome biology","page":"REVIEWS3015","volume":"3","issue":"12","source":"NCBI PubMed","abstract":"The uncoupling proteins (UCPs) are transporters, present in the mitochondrial inner membrane, that mediate a regulated discharge of the proton gradient that is generated by the respiratory chain. This energy-dissipatory mechanism can serve functions such as thermogenesis, maintenance of the redox balance, or reduction in the production of reactive oxygen species. Some UCP homologs may not act as true uncouplers, however, and their activity has yet to be defined. The UCPs are integral membrane proteins, each with a molecular mass of 31-34 kDa and a tripartite structure in which a region of around 100 residues is repeated three times; each repeat codes for two transmembrane segments and a long hydrophilic loop. The functional carrier unit is a homodimer. So far, 45 genes encoding members of the UCP family have been described, and they can be grouped into six families. Most of the described genes are from mammals, but UCP genes have also been found in fish, birds and plants, and there is also functional evidence to suggest their presence in fungi and protozoa. UCPs are encoded in their mature form by nuclear genes and, unlike many nuclear-encoded mitochondrial proteins, they lack a cleavable mitochondrial import signal. The information for mitochondrial targeting resides in the first loop that protrudes into the mitochondrial matrix; the second matrix loop is essential for insertion of the protein into the inner mitochondrial membrane. UCPs are regulated at both the transcriptional level and by activation and inhibition in the mitochondrion.","ISSN":"1465-6914","note":"PMID: 12537581","journalAbbreviation":"Genome Biol.","language":"eng","author":[{"family":"Ledesma","given":"Amalia"},{"family":"de Lacoba","given":"Mario García"},{"family":"Rial","given":"Eduardo"}],"issued":{"date-parts":[["2002"]]},"PMID":"12537581"}}],"schema":"https://github.com/citation-style-language/schema/raw/master/csl-citation.json"} </w:instrText>
      </w:r>
      <w:r w:rsidR="00B04DD0">
        <w:fldChar w:fldCharType="separate"/>
      </w:r>
      <w:r w:rsidR="00636862" w:rsidRPr="00636862">
        <w:rPr>
          <w:vertAlign w:val="superscript"/>
        </w:rPr>
        <w:t>218–220</w:t>
      </w:r>
      <w:r w:rsidR="00B04DD0">
        <w:fldChar w:fldCharType="end"/>
      </w:r>
      <w:r w:rsidR="00116C97" w:rsidRPr="00116C97">
        <w:t xml:space="preserve"> </w:t>
      </w:r>
      <w:r w:rsidR="00116C97">
        <w:t xml:space="preserve"> As previously discussed, UCP1 is the mitochondrial protein contributing to the thermogenic function of BAT by uncoupling oxidative phosphorylation</w:t>
      </w:r>
      <w:r w:rsidR="00A517B5">
        <w:rPr>
          <w:color w:val="FF0000"/>
        </w:rPr>
        <w:t xml:space="preserve"> (Figure </w:t>
      </w:r>
      <w:r w:rsidR="00DF2EAF">
        <w:rPr>
          <w:color w:val="FF0000"/>
        </w:rPr>
        <w:t>5</w:t>
      </w:r>
      <w:r w:rsidR="00A517B5">
        <w:rPr>
          <w:color w:val="FF0000"/>
        </w:rPr>
        <w:t>)</w:t>
      </w:r>
      <w:r w:rsidR="00116C97">
        <w:t>.</w:t>
      </w:r>
      <w:r w:rsidR="00116C97">
        <w:fldChar w:fldCharType="begin"/>
      </w:r>
      <w:r w:rsidR="00636862">
        <w:instrText xml:space="preserve"> ADDIN ZOTERO_ITEM CSL_CITATION {"citationID":"uM0wVVgx","properties":{"formattedCitation":"{\\rtf \\super 180,181\\nosupersub{}}","plainCitation":"180,181"},"citationItems":[{"id":1401,"uris":["http://zotero.org/users/171999/items/MM96GUTG"],"uri":["http://zotero.org/users/171999/items/MM96GUTG"],"itemData":{"id":1401,"type":"article-journal","title":"Thermogenic mechanisms in brown fat","container-title":"Physiological reviews","page":"1-64","volume":"64","issue":"1","source":"NCBI PubMed","ISSN":"0031-9333","note":"PMID: 6320232","journalAbbreviation":"Physiol. Rev.","language":"eng","author":[{"family":"Nicholls","given":"D G"},{"family":"Locke","given":"R M"}],"issued":{"date-parts":[["1984",1]]},"PMID":"6320232"}},{"id":1403,"uris":["http://zotero.org/users/171999/items/B9X7USUG"],"uri":["http://zotero.org/users/171999/items/B9X7USUG"],"itemData":{"id":1403,"type":"article-journal","title":"Uncoupling proteins: functional characteristics and role in the pathogenesis of obesity and Type II diabetes","container-title":"Diabetologia","page":"946-965","volume":"44","issue":"8","source":"NCBI PubMed","abstract":"Uncoupling proteins are mitochondrial carrier proteins which are able to dissipate the proton gradient of the inner mitochondrial membrane. This uncoupling process reduces the amount of ATP generated through an oxidation of fuels. The hypothesis that uncoupling proteins (UCPs) are candidate genes for human obesity or Type II (non-insulin-dependent) diabetes mellitus is based on the finding that a chemical uncoupling of the mitochondrial membrane reduces body adiposity, and that lower metabolic rates predict weight gain. It is straightforward to hypothesize that common polymorphisms of UCP1, UCP2 and UCP3 genes lower metabolic rate by a more efficient energy coupling in the mitochondria. Furthermore, genetically engineered mice over expressing different UCP homologues are lean and resistant to diet-induced obesity. The three uncoupling protein homologue genes UCP1, UCP2, and UCP3 have been investigated for polymorphisms and mutations and their impact on Type II diabetes mellitus, obesity, and body weight gain or BMI. The main conclusion is that variation in the UCP1, UCP2 or UCP3 genes is not associated with major alterations of body weight gain. The contribution of UCP genes towards polygenic obesity and Type II diabetes is evaluated and discussed.","DOI":"10.1007/s001250100596","ISSN":"0012-186X","note":"PMID: 11484071","shortTitle":"Uncoupling proteins","journalAbbreviation":"Diabetologia","language":"eng","author":[{"family":"Dalgaard","given":"L T"},{"family":"Pedersen","given":"O"}],"issued":{"date-parts":[["2001",8]]},"PMID":"11484071"}}],"schema":"https://github.com/citation-style-language/schema/raw/master/csl-citation.json"} </w:instrText>
      </w:r>
      <w:r w:rsidR="00116C97">
        <w:fldChar w:fldCharType="separate"/>
      </w:r>
      <w:r w:rsidR="00636862" w:rsidRPr="00636862">
        <w:rPr>
          <w:vertAlign w:val="superscript"/>
        </w:rPr>
        <w:t>180,181</w:t>
      </w:r>
      <w:r w:rsidR="00116C97">
        <w:fldChar w:fldCharType="end"/>
      </w:r>
      <w:r w:rsidR="00116C97" w:rsidRPr="00B04DD0">
        <w:t xml:space="preserve"> </w:t>
      </w:r>
      <w:r w:rsidR="00116C97">
        <w:t xml:space="preserve"> </w:t>
      </w:r>
      <w:r w:rsidR="00D117B4">
        <w:t>It is only found in BAT, while</w:t>
      </w:r>
      <w:r w:rsidR="00116C97">
        <w:t xml:space="preserve"> UCP3</w:t>
      </w:r>
      <w:r w:rsidR="00D117B4">
        <w:t xml:space="preserve"> </w:t>
      </w:r>
      <w:r w:rsidR="009163DA">
        <w:t xml:space="preserve">is mainly </w:t>
      </w:r>
      <w:r w:rsidR="00561480">
        <w:t>expressed</w:t>
      </w:r>
      <w:r w:rsidR="009163DA">
        <w:t xml:space="preserve"> in skeletal muscle, but also has some activity in </w:t>
      </w:r>
      <w:r w:rsidR="00D117B4">
        <w:t>BAT</w:t>
      </w:r>
      <w:r w:rsidR="009163DA">
        <w:t xml:space="preserve"> and</w:t>
      </w:r>
      <w:r w:rsidR="00D117B4">
        <w:t xml:space="preserve"> cardiac tissue</w:t>
      </w:r>
      <w:r w:rsidR="009163DA">
        <w:t>.</w:t>
      </w:r>
      <w:r w:rsidR="009163DA">
        <w:fldChar w:fldCharType="begin"/>
      </w:r>
      <w:r w:rsidR="00636862">
        <w:instrText xml:space="preserve"> ADDIN ZOTERO_ITEM CSL_CITATION {"citationID":"Q4hdl6ax","properties":{"formattedCitation":"{\\rtf \\super 219,221\\uc0\\u8211{}224\\nosupersub{}}","plainCitation":"219,221–224"},"citationItems":[{"id":1515,"uris":["http://zotero.org/users/171999/items/3XKBW24P"],"uri":["http://zotero.org/users/171999/items/3XKBW24P"],"itemData":{"id":1515,"type":"article-journal","title":"Uncoupling protein-3: a new member of the mitochondrial carrier family with tissue-specific expression","container-title":"FEBS letters","page":"39-42","volume":"408","issue":"1","source":"NCBI PubMed","abstract":"Brown adipose tissue (BAT) and skeletal muscle are important sites of nonshivering thermogenesis. The uncoupling protein-1 (UCP1) is the main effector of nonshivering thermogenesis in BAT and the recently described ubiquitous UCP2 [1] has been implicated in energy balance. In an attempt to better understand the biochemical events underlying nonshivering thermogenesis in muscle, we screened a human skeletal muscle cDNA library and isolated three clones: UCP2, UCP3L and UCP3S. The novel UCP3 was 57% and 73% identical to human UCP1 and UCP2, respectively, highly skeletal muscle-specific and its expression was unaffected by cold acclimation. This new member of the UCP family is a candidate protein for the modulation of the respiratory control in skeletal muscle.","ISSN":"0014-5793","note":"PMID: 9180264","shortTitle":"Uncoupling protein-3","journalAbbreviation":"FEBS Lett.","language":"eng","author":[{"family":"Boss","given":"O"},{"family":"Samec","given":"S"},{"family":"Paoloni-Giacobino","given":"A"},{"family":"Rossier","given":"C"},{"family":"Dulloo","given":"A"},{"family":"Seydoux","given":"J"},{"family":"Muzzin","given":"P"},{"family":"Giacobino","given":"J P"}],"issued":{"date-parts":[["1997",5,12]]},"PMID":"9180264"}},{"id":1517,"uris":["http://zotero.org/users/171999/items/6FIEZ7G7"],"uri":["http://zotero.org/users/171999/items/6FIEZ7G7"],"itemData":{"id":1517,"type":"article-journal","title":"UCP3: an uncoupling protein homologue expressed preferentially and abundantly in skeletal muscle and brown adipose tissue","container-title":"Biochemical and biophysical research communications","page":"79-82","volume":"235","issue":"1","source":"NCBI PubMed","abstract":"Uncoupling proteins (UCPs) are inner mitochondrial membrane transporters which dissipate the proton gradient, releasing stored energy as heat. UCP1 is expressed exclusively in brown adipocytes while UCP2 is expressed widely. We now report the molecular cloning of a third uncoupling protein homologue, designated UCP3. At the amino acid level, hUCP3 is 71% identical to hUCP2 and 57% identical to hUCP1. UCP3 is distinguished from UCP1 and UCP2 by its abundant and preferential expression in skeletal muscle in humans, and brown adipose tissue and skeletal muscle in rodents. Since skeletal muscle and brown adipose tissue are believed to be important sites for regulated energy expenditure in humans and rodents, respectively, UCP3 may be an important mediator of adaptive thermogenesis. Since UCP3 is minimally expressed in human heart and other critical organs, it is a promising target for anti-obesity drug development aimed at increasing thermogenesis.","DOI":"10.1006/bbrc.1997.6740","ISSN":"0006-291X","note":"PMID: 9196039","shortTitle":"UCP3","journalAbbreviation":"Biochem. Biophys. Res. Commun.","language":"eng","author":[{"family":"Vidal-Puig","given":"A"},{"family":"Solanes","given":"G"},{"family":"Grujic","given":"D"},{"family":"Flier","given":"J S"},{"family":"Lowell","given":"B B"}],"issued":{"date-parts":[["1997",6,9]]},"PMID":"9196039"}},{"id":1519,"uris":["http://zotero.org/users/171999/items/C9GSZNX8"],"uri":["http://zotero.org/users/171999/items/C9GSZNX8"],"itemData":{"id":1519,"type":"article-journal","title":"Uncoupling protein-3 is a mediator of thermogenesis regulated by thyroid hormone, beta3-adrenergic agonists, and leptin","container-title":"The Journal of biological chemistry","page":"24129-24132","volume":"272","issue":"39","source":"NCBI PubMed","abstract":"Mitochondrial uncoupling proteins (UCPs) are transporters that are important for thermogenesis. The net result of their activity is the exothermic movement of protons through the inner mitochondrial membrane, uncoupled from ATP synthesis. We have cloned a third member of the UCP family, UCP3. UCP3 is expressed at high levels in muscle and rodent brown adipose tissue. Overexpression in yeast reduced the mitochondrial membrane potential, showing that UCP3 is a functional uncoupling protein. UCP3 RNA levels are regulated by hormonal and dietary manipulations. In contrast, levels of UCP2, a widely expressed UCP family member, showed little hormonal regulation. In particular, muscle UCP3 levels were decreased 3-fold in hypothyroid rats and increased 6-fold in hyperthyroid rats. Thus UCP3 is a strong candidate to explain the effects of thyroid hormone on thermogenesis. White adipose UCP3 levels were greatly increased by treatment with the beta3-adrenergic agonist, CL214613, suggesting another pathway for increasing thermogenesis. UCP3 mRNA levels were also regulated by dexamethasone, leptin, and starvation, albeit differently in muscle and brown adipose tissue. Starvation caused increased muscle and decreased BAT UCP3, suggesting that muscle assumes a larger role in thermoregulation during starvation. The UCP3 gene is located close to that encoding UCP2, in a chromosomal region implicated in previous linkage studies as contributing to obesity.","ISSN":"0021-9258","note":"PMID: 9305858","journalAbbreviation":"J. Biol. Chem.","language":"eng","author":[{"family":"Gong","given":"D W"},{"family":"He","given":"Y"},{"family":"Karas","given":"M"},{"family":"Reitman","given":"M"}],"issued":{"date-parts":[["1997",9,26]]},"PMID":"9305858"}},{"id":1503,"uris":["http://zotero.org/users/171999/items/62JA4N3N"],"uri":["http://zotero.org/users/171999/items/62JA4N3N"],"itemData":{"id":1503,"type":"article-journal","title":"The mitochondrial uncoupling-protein homologues","container-title":"Nature reviews. Molecular cell biology","page":"248-261","volume":"6","issue":"3","source":"NCBI PubMed","abstract":"Uncoupling protein(UCP)1 is an integral membrane protein that is located in the mitochondrial inner membrane of brown adipocytes. Its physiological role is to mediate a regulated, thermogenic proton leak. UCP2 and UCP3 are recently identified UCP1 homologues. They also mediate regulated proton leak, and might function to control the production of superoxide and other downstream reactive oxygen species. However, their role in normal physiology remains unknown. Recent studies have shown that UCP2 has an important part in the pathogenesis of type-2 diabetes. The obscure roles of the UCP homologues in normal physiology, together with their emerging role in pathophysiology, provide exciting potential for further investigation.","DOI":"10.1038/nrm1572","ISSN":"1471-0072","note":"PMID: 15738989","journalAbbreviation":"Nat. Rev. Mol. Cell Biol.","language":"eng","author":[{"family":"Krauss","given":"Stefan"},{"family":"Zhang","given":"Chen-Yu"},{"family":"Lowell","given":"Bradford B"}],"issued":{"date-parts":[["2005",3]]},"PMID":"15738989"}},{"id":1513,"uris":["http://zotero.org/users/171999/items/4ESKQKRV"],"uri":["http://zotero.org/users/171999/items/4ESKQKRV"],"itemData":{"id":1513,"type":"article-journal","title":"Canine mitochondrial uncoupling proteins: structure and mRNA expression of three isoforms in adult beagles","container-title":"Comparative biochemistry and physiology. Part B, Biochemistry &amp; molecular biology","page":"483-489","volume":"131","issue":"3","source":"NCBI PubMed","abstract":"Uncoupling proteins (UCPs) are members of the mitochondrial transporter family that dissipate the proton gradient as heat more than via ATP synthesis. In the present study, nucleotide and amino acid sequences of UCPs 1, 2 and 3 of a dog were determined, and their mRNA expression in various peripheral tissues was examined. The sequences were highly (76-97%) homologous to those of other species. Although lower homologies (60-74%) were found when compared among the three canine UCPs, their deduced amino acid sequences had some common domains, such as three mitochondrial carrier protein motifs, six transmembrane alpha-helix domains, and putative purine nucleotide binding domains. By Northern blot analyses, UCP1 mRNA was not detected in any tissues examined. UCP2 mRNA was expressed in most tissues, particularly abundantly in adipose tissue, spleen and lung. Two sizes of UCP3 mRNA were found exclusively in heart and skeletal muscle. These results suggest that canine UCPs have uncoupling activity, and are involved in the regulation of metabolic heat production and/or energy expenditure, as do those of other species.","ISSN":"1096-4959","note":"PMID: 11959030","shortTitle":"Canine mitochondrial uncoupling proteins","journalAbbreviation":"Comp. Biochem. Physiol. B, Biochem. Mol. Biol.","language":"eng","author":[{"family":"Ishioka","given":"Katsumi"},{"family":"Kanehira","given":"Katsushi"},{"family":"Sasaki","given":"Noriyasu"},{"family":"Kitamura","given":"Hiroshi"},{"family":"Kimura","given":"Kazuhiro"},{"family":"Saito","given":"Masayuki"}],"issued":{"date-parts":[["2002",3]]},"PMID":"11959030"}}],"schema":"https://github.com/citation-style-language/schema/raw/master/csl-citation.json"} </w:instrText>
      </w:r>
      <w:r w:rsidR="009163DA">
        <w:fldChar w:fldCharType="separate"/>
      </w:r>
      <w:r w:rsidR="00636862" w:rsidRPr="00636862">
        <w:rPr>
          <w:vertAlign w:val="superscript"/>
        </w:rPr>
        <w:t>219,221–224</w:t>
      </w:r>
      <w:r w:rsidR="009163DA">
        <w:fldChar w:fldCharType="end"/>
      </w:r>
      <w:r w:rsidR="007753EC">
        <w:t xml:space="preserve">  UCP2 is generally considered to be expressed in most tissues </w:t>
      </w:r>
      <w:r w:rsidR="007753EC">
        <w:lastRenderedPageBreak/>
        <w:t>and the highest levels of mRNA expression in dogs have been observed in adipose, spleen, and lung tissue.</w:t>
      </w:r>
      <w:r w:rsidR="007753EC">
        <w:fldChar w:fldCharType="begin"/>
      </w:r>
      <w:r w:rsidR="00636862">
        <w:instrText xml:space="preserve"> ADDIN ZOTERO_ITEM CSL_CITATION {"citationID":"Dcduw6Ii","properties":{"formattedCitation":"{\\rtf \\super 219,224\\nosupersub{}}","plainCitation":"219,224"},"citationItems":[{"id":1513,"uris":["http://zotero.org/users/171999/items/4ESKQKRV"],"uri":["http://zotero.org/users/171999/items/4ESKQKRV"],"itemData":{"id":1513,"type":"article-journal","title":"Canine mitochondrial uncoupling proteins: structure and mRNA expression of three isoforms in adult beagles","container-title":"Comparative biochemistry and physiology. Part B, Biochemistry &amp; molecular biology","page":"483-489","volume":"131","issue":"3","source":"NCBI PubMed","abstract":"Uncoupling proteins (UCPs) are members of the mitochondrial transporter family that dissipate the proton gradient as heat more than via ATP synthesis. In the present study, nucleotide and amino acid sequences of UCPs 1, 2 and 3 of a dog were determined, and their mRNA expression in various peripheral tissues was examined. The sequences were highly (76-97%) homologous to those of other species. Although lower homologies (60-74%) were found when compared among the three canine UCPs, their deduced amino acid sequences had some common domains, such as three mitochondrial carrier protein motifs, six transmembrane alpha-helix domains, and putative purine nucleotide binding domains. By Northern blot analyses, UCP1 mRNA was not detected in any tissues examined. UCP2 mRNA was expressed in most tissues, particularly abundantly in adipose tissue, spleen and lung. Two sizes of UCP3 mRNA were found exclusively in heart and skeletal muscle. These results suggest that canine UCPs have uncoupling activity, and are involved in the regulation of metabolic heat production and/or energy expenditure, as do those of other species.","ISSN":"1096-4959","note":"PMID: 11959030","shortTitle":"Canine mitochondrial uncoupling proteins","journalAbbreviation":"Comp. Biochem. Physiol. B, Biochem. Mol. Biol.","language":"eng","author":[{"family":"Ishioka","given":"Katsumi"},{"family":"Kanehira","given":"Katsushi"},{"family":"Sasaki","given":"Noriyasu"},{"family":"Kitamura","given":"Hiroshi"},{"family":"Kimura","given":"Kazuhiro"},{"family":"Saito","given":"Masayuki"}],"issued":{"date-parts":[["2002",3]]},"PMID":"11959030"}},{"id":1503,"uris":["http://zotero.org/users/171999/items/62JA4N3N"],"uri":["http://zotero.org/users/171999/items/62JA4N3N"],"itemData":{"id":1503,"type":"article-journal","title":"The mitochondrial uncoupling-protein homologues","container-title":"Nature reviews. Molecular cell biology","page":"248-261","volume":"6","issue":"3","source":"NCBI PubMed","abstract":"Uncoupling protein(UCP)1 is an integral membrane protein that is located in the mitochondrial inner membrane of brown adipocytes. Its physiological role is to mediate a regulated, thermogenic proton leak. UCP2 and UCP3 are recently identified UCP1 homologues. They also mediate regulated proton leak, and might function to control the production of superoxide and other downstream reactive oxygen species. However, their role in normal physiology remains unknown. Recent studies have shown that UCP2 has an important part in the pathogenesis of type-2 diabetes. The obscure roles of the UCP homologues in normal physiology, together with their emerging role in pathophysiology, provide exciting potential for further investigation.","DOI":"10.1038/nrm1572","ISSN":"1471-0072","note":"PMID: 15738989","journalAbbreviation":"Nat. Rev. Mol. Cell Biol.","language":"eng","author":[{"family":"Krauss","given":"Stefan"},{"family":"Zhang","given":"Chen-Yu"},{"family":"Lowell","given":"Bradford B"}],"issued":{"date-parts":[["2005",3]]},"PMID":"15738989"}}],"schema":"https://github.com/citation-style-language/schema/raw/master/csl-citation.json"} </w:instrText>
      </w:r>
      <w:r w:rsidR="007753EC">
        <w:fldChar w:fldCharType="separate"/>
      </w:r>
      <w:r w:rsidR="00636862" w:rsidRPr="00636862">
        <w:rPr>
          <w:vertAlign w:val="superscript"/>
        </w:rPr>
        <w:t>219,224</w:t>
      </w:r>
      <w:r w:rsidR="007753EC">
        <w:fldChar w:fldCharType="end"/>
      </w:r>
      <w:r w:rsidR="00561480">
        <w:t xml:space="preserve">  When activated, UCP1, UCP2, and UCP3 all cause uncoupling </w:t>
      </w:r>
      <w:r w:rsidR="00A517B5">
        <w:t>of oxidative phosphorylation in the mitochondria of the cells in which they are expressed.</w:t>
      </w:r>
      <w:r w:rsidR="00A517B5">
        <w:fldChar w:fldCharType="begin"/>
      </w:r>
      <w:r w:rsidR="00636862">
        <w:instrText xml:space="preserve"> ADDIN ZOTERO_ITEM CSL_CITATION {"citationID":"2ih2mu0t4c","properties":{"formattedCitation":"{\\rtf \\super 219\\nosupersub{}}","plainCitation":"219"},"citationItems":[{"id":1503,"uris":["http://zotero.org/users/171999/items/62JA4N3N"],"uri":["http://zotero.org/users/171999/items/62JA4N3N"],"itemData":{"id":1503,"type":"article-journal","title":"The mitochondrial uncoupling-protein homologues","container-title":"Nature reviews. Molecular cell biology","page":"248-261","volume":"6","issue":"3","source":"NCBI PubMed","abstract":"Uncoupling protein(UCP)1 is an integral membrane protein that is located in the mitochondrial inner membrane of brown adipocytes. Its physiological role is to mediate a regulated, thermogenic proton leak. UCP2 and UCP3 are recently identified UCP1 homologues. They also mediate regulated proton leak, and might function to control the production of superoxide and other downstream reactive oxygen species. However, their role in normal physiology remains unknown. Recent studies have shown that UCP2 has an important part in the pathogenesis of type-2 diabetes. The obscure roles of the UCP homologues in normal physiology, together with their emerging role in pathophysiology, provide exciting potential for further investigation.","DOI":"10.1038/nrm1572","ISSN":"1471-0072","note":"PMID: 15738989","journalAbbreviation":"Nat. Rev. Mol. Cell Biol.","language":"eng","author":[{"family":"Krauss","given":"Stefan"},{"family":"Zhang","given":"Chen-Yu"},{"family":"Lowell","given":"Bradford B"}],"issued":{"date-parts":[["2005",3]]},"PMID":"15738989"}}],"schema":"https://github.com/citation-style-language/schema/raw/master/csl-citation.json"} </w:instrText>
      </w:r>
      <w:r w:rsidR="00A517B5">
        <w:fldChar w:fldCharType="separate"/>
      </w:r>
      <w:r w:rsidR="00636862" w:rsidRPr="00636862">
        <w:rPr>
          <w:vertAlign w:val="superscript"/>
        </w:rPr>
        <w:t>219</w:t>
      </w:r>
      <w:r w:rsidR="00A517B5">
        <w:fldChar w:fldCharType="end"/>
      </w:r>
      <w:r w:rsidR="00DF2AFE">
        <w:t xml:space="preserve">  In these different tissues, the uncoupling proteins are able to redirect intermembrane protons </w:t>
      </w:r>
      <w:r w:rsidR="00A85689">
        <w:t>away from</w:t>
      </w:r>
      <w:r w:rsidR="00DF2AFE">
        <w:t xml:space="preserve"> ATP production.  </w:t>
      </w:r>
      <w:r w:rsidR="00A85689">
        <w:t>T</w:t>
      </w:r>
      <w:r w:rsidR="00DF2AFE">
        <w:t>his results in an increase in the AMP</w:t>
      </w:r>
      <w:proofErr w:type="gramStart"/>
      <w:r w:rsidR="00DF2AFE">
        <w:t>:ATP</w:t>
      </w:r>
      <w:proofErr w:type="gramEnd"/>
      <w:r w:rsidR="00DF2AFE">
        <w:t xml:space="preserve"> ratio and downstream activation of AMPK, SIRT1, and PGC1α (</w:t>
      </w:r>
      <w:r w:rsidR="00DF2EAF">
        <w:rPr>
          <w:color w:val="FF0000"/>
        </w:rPr>
        <w:t>Figure 7</w:t>
      </w:r>
      <w:r w:rsidR="00DF2AFE">
        <w:rPr>
          <w:color w:val="FF0000"/>
        </w:rPr>
        <w:t>).</w:t>
      </w:r>
    </w:p>
    <w:p w:rsidR="00C54DBD" w:rsidRDefault="001B274E" w:rsidP="004677E0">
      <w:r>
        <w:tab/>
      </w:r>
      <w:r w:rsidR="00477822">
        <w:t xml:space="preserve">Cytochrome </w:t>
      </w:r>
      <w:r w:rsidR="00477822" w:rsidRPr="00EA27CC">
        <w:rPr>
          <w:i/>
        </w:rPr>
        <w:t>c</w:t>
      </w:r>
      <w:r w:rsidR="00A372E6">
        <w:t xml:space="preserve"> o</w:t>
      </w:r>
      <w:r w:rsidR="00477822">
        <w:t>xidase (COX; complex IV)</w:t>
      </w:r>
      <w:r w:rsidR="000656DC">
        <w:t>, another mitochondrial component gene,</w:t>
      </w:r>
      <w:r w:rsidR="00477822">
        <w:t xml:space="preserve"> is the final </w:t>
      </w:r>
      <w:r w:rsidR="001D43DE">
        <w:t>enzyme</w:t>
      </w:r>
      <w:r w:rsidR="00477822">
        <w:t xml:space="preserve"> in the electron transport chain</w:t>
      </w:r>
      <w:r w:rsidR="00A12074">
        <w:t xml:space="preserve"> (</w:t>
      </w:r>
      <w:r w:rsidR="00DF2EAF">
        <w:rPr>
          <w:color w:val="FF0000"/>
        </w:rPr>
        <w:t>Figure 8</w:t>
      </w:r>
      <w:r w:rsidR="00ED644B">
        <w:rPr>
          <w:color w:val="FF0000"/>
        </w:rPr>
        <w:t>)</w:t>
      </w:r>
      <w:r w:rsidR="00477822">
        <w:t xml:space="preserve">.  </w:t>
      </w:r>
      <w:r w:rsidR="00EA27CC">
        <w:t xml:space="preserve">It catalyzes the transfer of electrons from </w:t>
      </w:r>
      <w:r w:rsidR="00381042">
        <w:t>cytochrome</w:t>
      </w:r>
      <w:r w:rsidR="00EA27CC">
        <w:t xml:space="preserve"> </w:t>
      </w:r>
      <w:r w:rsidR="00EA27CC">
        <w:rPr>
          <w:i/>
        </w:rPr>
        <w:t>c</w:t>
      </w:r>
      <w:r w:rsidR="00EA27CC">
        <w:t xml:space="preserve"> with resulting proton movement into the intermembrane space, leaving H</w:t>
      </w:r>
      <w:r w:rsidR="00EA27CC">
        <w:rPr>
          <w:vertAlign w:val="subscript"/>
        </w:rPr>
        <w:t>2</w:t>
      </w:r>
      <w:r w:rsidR="00EA27CC">
        <w:t>O behind in the mitochondrial matrix.</w:t>
      </w:r>
      <w:r w:rsidR="00FB10C5">
        <w:t xml:space="preserve">  </w:t>
      </w:r>
      <w:r w:rsidR="00716204">
        <w:t xml:space="preserve">COX also generates </w:t>
      </w:r>
      <w:r w:rsidR="009D3819">
        <w:t>moves protons</w:t>
      </w:r>
      <w:r w:rsidR="00716204">
        <w:t xml:space="preserve"> across the</w:t>
      </w:r>
      <w:r w:rsidR="009D3819">
        <w:t xml:space="preserve"> inner mitochondrial </w:t>
      </w:r>
      <w:proofErr w:type="gramStart"/>
      <w:r w:rsidR="009D3819">
        <w:t>membrane, which are</w:t>
      </w:r>
      <w:proofErr w:type="gramEnd"/>
      <w:r w:rsidR="009D3819">
        <w:t xml:space="preserve"> then used to produce ATP.</w:t>
      </w:r>
      <w:r w:rsidR="00716204">
        <w:t xml:space="preserve"> </w:t>
      </w:r>
      <w:r w:rsidR="009D3819">
        <w:t xml:space="preserve"> </w:t>
      </w:r>
      <w:r w:rsidR="00716204">
        <w:t xml:space="preserve">It is considered the pacesetter for mitochondrial oxidative metabolism and ATP synthesis </w:t>
      </w:r>
      <w:r w:rsidR="009D3819">
        <w:t>and</w:t>
      </w:r>
      <w:r w:rsidR="00716204">
        <w:t xml:space="preserve"> d</w:t>
      </w:r>
      <w:r w:rsidR="00FB10C5">
        <w:t>ysfunction of this enzyme may result in impaired ATP generation and impaired mitochondrial function.</w:t>
      </w:r>
      <w:r w:rsidR="00FB10C5">
        <w:fldChar w:fldCharType="begin"/>
      </w:r>
      <w:r w:rsidR="00636862">
        <w:instrText xml:space="preserve"> ADDIN ZOTERO_ITEM CSL_CITATION {"citationID":"18seug4hh9","properties":{"formattedCitation":"{\\rtf \\super 225\\nosupersub{}}","plainCitation":"225"},"citationItems":[{"id":1525,"uris":["http://zotero.org/users/171999/items/SGVRN7JP"],"uri":["http://zotero.org/users/171999/items/SGVRN7JP"],"itemData":{"id":1525,"type":"article-journal","title":"Cytochrome c oxidase dysfunction in oxidative stress","container-title":"Free radical biology &amp; medicine","page":"1252-1263","volume":"53","issue":"6","source":"NCBI PubMed","abstract":"Cytochrome c oxidase (CcO) is the terminal oxidase of the mitochondrial electron transport chain. This bigenomic enzyme in mammals contains 13 subunits of which the 3 catalytic subunits are encoded by the mitochondrial genes. The remaining 10 subunits with suspected roles in the regulation, and/or assembly, are coded by the nuclear genome. The enzyme contains two heme groups (heme a and a3) and two Cu(2+) centers (Cu(2+) A and Cu(2+) B) as catalytic centers and handles more than 90% of molecular O(2) respired by the mammalian cells and tissues. CcO is a highly regulated enzyme which is believed to be the pacesetter for mitochondrial oxidative metabolism and ATP synthesis. The structure and function of the enzyme are affected in a wide variety of diseases including cancer, neurodegenerative diseases, myocardial ischemia/reperfusion, bone and skeletal diseases, and diabetes. Despite handling a high O(2) load the role of CcO in the production of reactive oxygen species still remains a subject of debate. However, a volume of evidence suggests that CcO dysfunction is invariably associated with increased mitochondrial reactive oxygen species production and cellular toxicity. In this paper we review the literature on mechanisms of multimodal regulation of CcO activity by a wide spectrum of physiological and pathological factors. We also review an array of literature on the direct or indirect roles of CcO in reactive oxygen species production.","DOI":"10.1016/j.freeradbiomed.2012.07.021","ISSN":"1873-4596","note":"PMID: 22841758","journalAbbreviation":"Free Radic. Biol. Med.","language":"eng","author":[{"family":"Srinivasan","given":"Satish"},{"family":"Avadhani","given":"Narayan G"}],"issued":{"date-parts":[["2012",9,15]]},"PMID":"22841758"}}],"schema":"https://github.com/citation-style-language/schema/raw/master/csl-citation.json"} </w:instrText>
      </w:r>
      <w:r w:rsidR="00FB10C5">
        <w:fldChar w:fldCharType="separate"/>
      </w:r>
      <w:r w:rsidR="00636862" w:rsidRPr="00636862">
        <w:rPr>
          <w:vertAlign w:val="superscript"/>
        </w:rPr>
        <w:t>225</w:t>
      </w:r>
      <w:r w:rsidR="00FB10C5">
        <w:fldChar w:fldCharType="end"/>
      </w:r>
      <w:r w:rsidR="002010D0">
        <w:t xml:space="preserve">  COX activity is </w:t>
      </w:r>
      <w:r w:rsidR="00FC311C">
        <w:t>experimentally</w:t>
      </w:r>
      <w:r w:rsidR="002010D0">
        <w:t xml:space="preserve"> used as an indicator of mitochondrial content has been shown to have a direct relationship with PGC1α</w:t>
      </w:r>
      <w:r w:rsidR="00716204">
        <w:t xml:space="preserve"> activity.</w:t>
      </w:r>
      <w:r w:rsidR="00716204">
        <w:fldChar w:fldCharType="begin"/>
      </w:r>
      <w:r w:rsidR="00636862">
        <w:instrText xml:space="preserve"> ADDIN ZOTERO_ITEM CSL_CITATION {"citationID":"5d05f721t","properties":{"formattedCitation":"{\\rtf \\super 226\\nosupersub{}}","plainCitation":"226"},"citationItems":[{"id":313,"uris":["http://zotero.org/users/171999/items/U877JCE2"],"uri":["http://zotero.org/users/171999/items/U877JCE2"],"itemData":{"id":313,"type":"article-journal","title":"PPARgamma coactivator-1alpha expression during thyroid hormone- and contractile activity-induced mitochondrial adaptations","container-title":"American journal of physiology. Cell physiology","page":"C1669-1677","volume":"284","issue":"6","source":"NCBI PubMed","abstract":"The transcriptional coactivator the peroxisome proliferator-activated receptor gamma coactivator-1alpha (PGC-1alpha) has been identified as an important mediator of mitochondrial biogenesis based on its ability to interact with transcription factors that activate nuclear genes encoding mitochondrial proteins. The induction of PGC-1alpha protein expression under conditions that provoke mitochondrial biogenesis, such as contractile activity or thyroid hormone (T(3)) treatment, is not fully characterized. Thus we related PGC-1alpha protein expression to cytochrome c oxidase (COX) activity in 1) tissues of varying oxidative capacities, 2) tissues from animals treated with T(3), and 3) skeletal muscle subject to contractile activity both in cell culture and in vivo. Our results demonstrate a strong positive correlation (r = 0.74; P &lt; 0.05) between changes in PGC-1alpha and COX activity, used as an index of mitochondrial adaptations. The highest constitutive levels of PGC-1alpha were found in the heart, whereas the lowest were measured in fast-twitch white muscle and liver. T(3) increased PGC-1alpha content similarly in both fast- and slow-twitch muscle, as well as in the liver, but not in heart. T(3) also induced early (6 h) increases in AMP-activated protein kinase (AMPKalpha) activity, as well as later (5 day) increases in p38 MAP kinase activity in slow-twitch, but not in fast-twitch, muscle. Contractile activity provoked early increases in PGC-1alpha, coincident with increases in mitochondrial transcription factor A (Tfam), and nuclear respiratory factor-1 (NRF-1) protein expression, suggesting that PGC-1alpha is physiologically important in coordinating the expression of the nuclear and mitochondrial genomes. Ca(2+) ionophore treatment of muscle cells led to an approximately threefold increase in PGC-1alpha protein, and contractile activity induced rapid and marked increases in both p38 MAP kinase and AMPKalpha activities. 5-Aminoimidazole-4-carboxamide-1-beta-d-ribofuranoside (AICAR) treatment of muscle cells also led to parallel increases in AMPKalpha activity and PGC-1alpha protein levels. These data are consistent with observations that indicate that increases in PGC-1alpha protein are affected by Ca(2+) signaling mechanisms, AMPKalpha activity, as well as posttranslational phosphorylation events that increase PGC-1alpha protein stability. Our data support a role for PGC-1alpha in the physiological regulation of mitochondrial content in a variety of tissues and suggest that increases in PGC-1alpha expression form part of a unifying pathway that promotes both T(3)- and contractile activity-induced mitochondrial adaptations.","DOI":"10.1152/ajpcell.00409.2002","ISSN":"0363-6143","note":"PMID: 12734114","journalAbbreviation":"Am. J. Physiol., Cell Physiol.","language":"eng","author":[{"family":"Irrcher","given":"Isabella"},{"family":"Adhihetty","given":"Peter J"},{"family":"Sheehan","given":"Treacey"},{"family":"Joseph","given":"Anna-Maria"},{"family":"Hood","given":"David A"}],"issued":{"date-parts":[["2003",6]]},"PMID":"12734114"}}],"schema":"https://github.com/citation-style-language/schema/raw/master/csl-citation.json"} </w:instrText>
      </w:r>
      <w:r w:rsidR="00716204">
        <w:fldChar w:fldCharType="separate"/>
      </w:r>
      <w:r w:rsidR="00636862" w:rsidRPr="00636862">
        <w:rPr>
          <w:vertAlign w:val="superscript"/>
        </w:rPr>
        <w:t>226</w:t>
      </w:r>
      <w:r w:rsidR="00716204">
        <w:fldChar w:fldCharType="end"/>
      </w:r>
    </w:p>
    <w:p w:rsidR="00207083" w:rsidRPr="009E0F28" w:rsidRDefault="00207083" w:rsidP="004677E0">
      <w:r>
        <w:tab/>
        <w:t>NAD</w:t>
      </w:r>
      <w:r>
        <w:rPr>
          <w:vertAlign w:val="superscript"/>
        </w:rPr>
        <w:t>+</w:t>
      </w:r>
      <w:r>
        <w:t xml:space="preserve"> and NADH are the oxidized and reduced forms of the universal </w:t>
      </w:r>
      <w:r w:rsidR="00B83D35">
        <w:t xml:space="preserve">NAD </w:t>
      </w:r>
      <w:r>
        <w:t xml:space="preserve">coenzyme, </w:t>
      </w:r>
      <w:r w:rsidR="00B83D35">
        <w:t xml:space="preserve">which has very high levels in mitochondria.  In fact, </w:t>
      </w:r>
      <w:r>
        <w:t>up to 72% of the total cellular pool is contained within mitochondria</w:t>
      </w:r>
      <w:r w:rsidR="00B83D35">
        <w:t>, depending on tissue and cell type</w:t>
      </w:r>
      <w:r>
        <w:t>.</w:t>
      </w:r>
      <w:r w:rsidR="00B83D35">
        <w:fldChar w:fldCharType="begin"/>
      </w:r>
      <w:r w:rsidR="00636862">
        <w:instrText xml:space="preserve"> ADDIN ZOTERO_ITEM CSL_CITATION {"citationID":"N6ZDzqlP","properties":{"formattedCitation":"{\\rtf \\super 227,228\\nosupersub{}}","plainCitation":"227,228"},"citationItems":[{"id":321,"uris":["http://zotero.org/users/171999/items/95DANQR8"],"uri":["http://zotero.org/users/171999/items/95DANQR8"],"itemData":{"id":321,"type":"article-journal","title":"Opening of the mitochondrial permeability transition pore causes depletion of mitochondrial and cytosolic NAD+ and is a causative event in the death of myocytes in postischemic reperfusion of the heart","container-title":"The Journal of biological chemistry","page":"2571-2575","volume":"276","issue":"4","source":"NCBI PubMed","abstract":"The opening of the mitochondrial permeability transition pore (PTP) has been suggested to play a key role in various forms of cell death, but direct evidence in intact tissues is still lacking. We found that in the rat heart, 92% of NAD(+) glycohydrolase activity is associated with mitochondria. This activity was not modified by the addition of Triton X-100, although it was abolished by mild treatment with the protease Nagarse, a condition that did not affect the energy-linked properties of mitochondria. The addition of Ca(2+) to isolated rat heart mitochondria resulted in a profound decrease in their NAD(+) content, which followed mitochondrial swelling. Cyclosporin A(CsA), a PTP inhibitor, completely prevented NAD(+) depletion but had no effect on the glycohydrolase activity. Thus, in isolated mitochondria PTP opening makes NAD(+) available for its enzymatic hydrolysis. Perfused rat hearts subjected to global ischemia for 30 min displayed a 30% decrease in tissue NAD(+) content, which was not modified by extending the duration of ischemia. Reperfusion resulted in a more severe reduction of both total and mitochondrial contents of NAD(+), which could be measured in the coronary effluent together with lactate dehydrogenase. The addition of 0.2 microm CsA or of its analogue MeVal-4-Cs (which does not inhibit calcineurin) maintained higher NAD(+) contents, especially in mitochondria, and significantly protected the heart from reperfusion damage, as shown by the reduction in lactate dehydrogenase release. Thus, upon reperfusion after prolonged ischemia, PTP opening in the heart can be documented as a CsA-sensitive release of NAD(+), which is then partly degraded by glycohydrolase and partly released when sarcolemmal integrity is compromised. These results demonstrate that PTP opening is a causative event in reperfusion damage of the heart.","DOI":"10.1074/jbc.M006825200","ISSN":"0021-9258","note":"PMID: 11073947","journalAbbreviation":"J. Biol. Chem.","language":"eng","author":[{"family":"Di Lisa","given":"F"},{"family":"Menabò","given":"R"},{"family":"Canton","given":"M"},{"family":"Barile","given":"M"},{"family":"Bernardi","given":"P"}],"issued":{"date-parts":[["2001",1,26]]},"PMID":"11073947"}},{"id":323,"uris":["http://zotero.org/users/171999/items/TC8JMPUX"],"uri":["http://zotero.org/users/171999/items/TC8JMPUX"],"itemData":{"id":323,"type":"article-journal","title":"The dynamic regulation of NAD metabolism in mitochondria","container-title":"Trends in endocrinology and metabolism: TEM","page":"420-428","volume":"23","issue":"9","source":"NCBI PubMed","abstract":"Mitochondria are intracellular powerhouses that produce ATP and carry out diverse functions for cellular energy metabolism. Although the maintenance of an optimal NAD/NADH ratio is essential for mitochondrial function, it has recently become apparent that the maintenance of the mitochondrial NAD pool is also of crucial importance. The biosynthesis, transport, and catabolism of NAD and its key intermediates play an important role in the regulation of NAD-consuming mediators, such as sirtuins, poly-ADP-ribose polymerases, and CD38/157 ectoenzymes, in intra- and extracellular compartments. Mitochondrial NAD biosynthesis is also modulated in response to nutritional and environmental stimuli. In this article, we discuss this dynamic regulation of NAD metabolism in mitochondria to shed light on the intimate connection between NAD and mitochondrial function.","DOI":"10.1016/j.tem.2012.06.005","ISSN":"1879-3061","note":"PMID: 22819213","journalAbbreviation":"Trends Endocrinol. Metab.","language":"eng","author":[{"family":"Stein","given":"Liana Roberts"},{"family":"Imai","given":"Shin-ichiro"}],"issued":{"date-parts":[["2012",9]]},"PMID":"22819213"}}],"schema":"https://github.com/citation-style-language/schema/raw/master/csl-citation.json"} </w:instrText>
      </w:r>
      <w:r w:rsidR="00B83D35">
        <w:fldChar w:fldCharType="separate"/>
      </w:r>
      <w:r w:rsidR="00636862" w:rsidRPr="00636862">
        <w:rPr>
          <w:vertAlign w:val="superscript"/>
        </w:rPr>
        <w:t>227,228</w:t>
      </w:r>
      <w:r w:rsidR="00B83D35">
        <w:fldChar w:fldCharType="end"/>
      </w:r>
      <w:r w:rsidR="00B83D35">
        <w:t xml:space="preserve">  </w:t>
      </w:r>
      <w:r w:rsidR="00BF3BE3">
        <w:t>While m</w:t>
      </w:r>
      <w:r w:rsidR="000907E8">
        <w:t>itochondria</w:t>
      </w:r>
      <w:r w:rsidR="00BF3BE3">
        <w:t xml:space="preserve"> have a larger proportion of the total NAD pool, they actually</w:t>
      </w:r>
      <w:r w:rsidR="000907E8">
        <w:t xml:space="preserve"> have a</w:t>
      </w:r>
      <w:r w:rsidR="00BF3BE3">
        <w:t xml:space="preserve"> much lower NAD</w:t>
      </w:r>
      <w:r w:rsidR="00BF3BE3">
        <w:rPr>
          <w:vertAlign w:val="superscript"/>
        </w:rPr>
        <w:t>+</w:t>
      </w:r>
      <w:r w:rsidR="00BF3BE3">
        <w:t>:NADH</w:t>
      </w:r>
      <w:r w:rsidR="000907E8">
        <w:t xml:space="preserve"> ratio of approximately 7 – 8</w:t>
      </w:r>
      <w:r w:rsidR="00BF3BE3">
        <w:t>:</w:t>
      </w:r>
      <w:r w:rsidR="00182DFC">
        <w:t>1</w:t>
      </w:r>
      <w:r w:rsidR="00BF3BE3">
        <w:t xml:space="preserve"> compared to cytoplasmic ratios of</w:t>
      </w:r>
      <w:r w:rsidR="00182DFC">
        <w:t xml:space="preserve"> 60 – 700:1.</w:t>
      </w:r>
      <w:r w:rsidR="00182DFC">
        <w:fldChar w:fldCharType="begin"/>
      </w:r>
      <w:r w:rsidR="00636862">
        <w:instrText xml:space="preserve"> ADDIN ZOTERO_ITEM CSL_CITATION {"citationID":"ltq9comoa","properties":{"formattedCitation":"{\\rtf \\super 228\\nosupersub{}}","plainCitation":"228"},"citationItems":[{"id":323,"uris":["http://zotero.org/users/171999/items/TC8JMPUX"],"uri":["http://zotero.org/users/171999/items/TC8JMPUX"],"itemData":{"id":323,"type":"article-journal","title":"The dynamic regulation of NAD metabolism in mitochondria","container-title":"Trends in endocrinology and metabolism: TEM","page":"420-428","volume":"23","issue":"9","source":"NCBI PubMed","abstract":"Mitochondria are intracellular powerhouses that produce ATP and carry out diverse functions for cellular energy metabolism. Although the maintenance of an optimal NAD/NADH ratio is essential for mitochondrial function, it has recently become apparent that the maintenance of the mitochondrial NAD pool is also of crucial importance. The biosynthesis, transport, and catabolism of NAD and its key intermediates play an important role in the regulation of NAD-consuming mediators, such as sirtuins, poly-ADP-ribose polymerases, and CD38/157 ectoenzymes, in intra- and extracellular compartments. Mitochondrial NAD biosynthesis is also modulated in response to nutritional and environmental stimuli. In this article, we discuss this dynamic regulation of NAD metabolism in mitochondria to shed light on the intimate connection between NAD and mitochondrial function.","DOI":"10.1016/j.tem.2012.06.005","ISSN":"1879-3061","note":"PMID: 22819213","journalAbbreviation":"Trends Endocrinol. Metab.","language":"eng","author":[{"family":"Stein","given":"Liana Roberts"},{"family":"Imai","given":"Shin-ichiro"}],"issued":{"date-parts":[["2012",9]]},"PMID":"22819213"}}],"schema":"https://github.com/citation-style-language/schema/raw/master/csl-citation.json"} </w:instrText>
      </w:r>
      <w:r w:rsidR="00182DFC">
        <w:fldChar w:fldCharType="separate"/>
      </w:r>
      <w:r w:rsidR="00636862" w:rsidRPr="00636862">
        <w:rPr>
          <w:vertAlign w:val="superscript"/>
        </w:rPr>
        <w:t>228</w:t>
      </w:r>
      <w:r w:rsidR="00182DFC">
        <w:fldChar w:fldCharType="end"/>
      </w:r>
      <w:r w:rsidR="00BF3BE3">
        <w:t xml:space="preserve">  This ratio difference is due to the extensive oxidative metabolism that occurs in mitochondria.  NAD</w:t>
      </w:r>
      <w:r w:rsidR="00BF3BE3">
        <w:rPr>
          <w:vertAlign w:val="superscript"/>
        </w:rPr>
        <w:t>+</w:t>
      </w:r>
      <w:r w:rsidR="00BF3BE3">
        <w:t xml:space="preserve">-dependent deacetylation of mitochondrial </w:t>
      </w:r>
      <w:r w:rsidR="009E0F28">
        <w:t>enzymes (as carried out by SIRT3</w:t>
      </w:r>
      <w:r w:rsidR="00BF3BE3">
        <w:t xml:space="preserve">) acts to activate mitochondrial processes such as the TCA cycle, fatty acid metabolism, </w:t>
      </w:r>
      <w:r w:rsidR="009E0F28">
        <w:t>and oxidative phosphorylation.</w:t>
      </w:r>
      <w:r w:rsidR="009E0F28">
        <w:fldChar w:fldCharType="begin"/>
      </w:r>
      <w:r w:rsidR="00636862">
        <w:instrText xml:space="preserve"> ADDIN ZOTERO_ITEM CSL_CITATION {"citationID":"23agp27osf","properties":{"formattedCitation":"{\\rtf \\super 229\\nosupersub{}}","plainCitation":"229"},"citationItems":[{"id":317,"uris":["http://zotero.org/users/171999/items/3K58Q853"],"uri":["http://zotero.org/users/171999/items/3K58Q853"],"itemData":{"id":317,"type":"article-journal","title":"NAD and ADP-ribose metabolism in mitochondria","container-title":"The FEBS journal","page":"3530-3541","volume":"280","issue":"15","source":"NCBI PubMed","abstract":"Mitochondrial metabolism is intimately connected to the universal coenzyme NAD. In addition to its role in redox reactions of energy transduction, NAD serves as substrate in regulatory reactions that lead to its degradation. Importantly, all types of the known NAD-consuming signalling reactions have been reported to take place in mitochondria. These reactions include the generation of second messengers, as well as post-translational protein modifications such as ADP-ribosylation and protein deacetylation. Therefore, the availability and redox state of NAD emerged as important factors in the regulation of mitochondrial metabolism. Molecular mechanisms and targets of mitochondrial NAD-dependent protein deacetylation and mono-ADP-ribosylation have been established, whereas poly-ADP-ribosylation and NAD-derived messenger generation in the organelles await in-depth characterization. In this review, we highlight the major NAD-dependent reactions occurring within mitochondria and describe their metabolic and regulatory functions. We also discuss the metabolic fates of the NAD-degradation products, nicotinamide and ADP-ribose, and how the mitochondrial NAD pool is restored.","DOI":"10.1111/febs.12304","ISSN":"1742-4658","note":"PMID: 23617329","journalAbbreviation":"FEBS J.","language":"eng","author":[{"family":"Dölle","given":"Christian"},{"family":"Rack","given":"Johannes G M"},{"family":"Ziegler","given":"Mathias"}],"issued":{"date-parts":[["2013",8]]},"PMID":"23617329"}}],"schema":"https://github.com/citation-style-language/schema/raw/master/csl-citation.json"} </w:instrText>
      </w:r>
      <w:r w:rsidR="009E0F28">
        <w:fldChar w:fldCharType="separate"/>
      </w:r>
      <w:r w:rsidR="00636862" w:rsidRPr="00636862">
        <w:rPr>
          <w:vertAlign w:val="superscript"/>
        </w:rPr>
        <w:t>229</w:t>
      </w:r>
      <w:r w:rsidR="009E0F28">
        <w:fldChar w:fldCharType="end"/>
      </w:r>
      <w:r w:rsidR="009E0F28">
        <w:t xml:space="preserve">  To help drive SIRT3 activation, it has been suggested to stimulate NADH dehydrogenase and subsequently increase in the NAD</w:t>
      </w:r>
      <w:r w:rsidR="009E0F28">
        <w:rPr>
          <w:vertAlign w:val="superscript"/>
        </w:rPr>
        <w:t>+</w:t>
      </w:r>
      <w:r w:rsidR="009E0F28">
        <w:t>/NADH ratio.  The increased availability of NAD</w:t>
      </w:r>
      <w:r w:rsidR="009E0F28">
        <w:rPr>
          <w:vertAlign w:val="superscript"/>
        </w:rPr>
        <w:t>+</w:t>
      </w:r>
      <w:r w:rsidR="00DD3D34">
        <w:t xml:space="preserve"> allows SIRT3 to activate oxidative metabolism pathways such as fatty acid oxidation.</w:t>
      </w:r>
      <w:r w:rsidR="00DD3D34">
        <w:fldChar w:fldCharType="begin"/>
      </w:r>
      <w:r w:rsidR="00636862">
        <w:instrText xml:space="preserve"> ADDIN ZOTERO_ITEM CSL_CITATION {"citationID":"q5h44c01h","properties":{"formattedCitation":"{\\rtf \\super 230\\nosupersub{}}","plainCitation":"230"},"citationItems":[{"id":325,"uris":["http://zotero.org/users/171999/items/XG85D69K"],"uri":["http://zotero.org/users/171999/items/XG85D69K"],"itemData":{"id":325,"type":"article-journal","title":"Resveratrol Induces a Mitochondrial Complex I Dependent Increase in NADH Oxidation Responsible for Sirtuin Activation in Liver Cells","container-title":"The Journal of biological chemistry","source":"NCBI PubMed","abstract":"Resveratrol (RSV) has been involved in the regulation of energetic metabolism, generating increasing interest for therapeutic use. SIRT1 is described as the main target of RSV. However, recent reports have challenged the hypothesis of its direct activation by RSV and the signaling pathways remain elusive. Here, the effects of RSV on mitochondrial metabolism were detailed both in vivo and in vitro using murine and cellular models and isolated enzymes. We demonstrate that low RSV doses (1-5 μM) directly stimulate NADH dehydrogenases, and more specifically mitochondrial complex I activity (EC50 1 μM). In HepG2 cells, this complex I activation increases the mitochondrial NAD+/NADH ratio. This higher NAD+ level initiates a SIRT3-dependent increase in the mitochondrial substrate supply pathways, i.e. the tricarboxylic acid cycle and fatty acid oxidation. This effect is also seen in liver mitochondria of RSV fed animals (50 mg/kg/day). We conclude that the increase in NADH oxidation by complex I is a crucial event for SIRT3 activation by RSV. Our results open up new perspectives in the understanding of the RSV signaling pathway, and highlight the critical importance of RSV doses used for future clinical trials.","DOI":"10.1074/jbc.M113.466490","ISSN":"1083-351X","note":"PMID: 24178296","journalAbbreviation":"J. Biol. Chem.","language":"ENG","author":[{"family":"Desquiret-Dumas","given":"Valerie"},{"family":"Gueguen","given":"Naig"},{"family":"Leman","given":"Geraldine"},{"family":"Baron","given":"Stephanie"},{"family":"Nivet-Antoine","given":"Valerie"},{"family":"Chupin","given":"Stephanie"},{"family":"Chevrollier","given":"Arnaud"},{"family":"Vessieres","given":"Emilie"},{"family":"Ayer","given":"Audrey"},{"family":"Ferre","given":"Marc"},{"family":"Bonneau","given":"Dominique"},{"family":"Henrion","given":"Daniel"},{"family":"Reynier","given":"Pascal"},{"family":"Procaccio","given":"Vincent"}],"issued":{"date-parts":[["2013",10,31]]},"PMID":"24178296"}}],"schema":"https://github.com/citation-style-language/schema/raw/master/csl-citation.json"} </w:instrText>
      </w:r>
      <w:r w:rsidR="00DD3D34">
        <w:fldChar w:fldCharType="separate"/>
      </w:r>
      <w:r w:rsidR="00636862" w:rsidRPr="00636862">
        <w:rPr>
          <w:vertAlign w:val="superscript"/>
        </w:rPr>
        <w:t>230</w:t>
      </w:r>
      <w:r w:rsidR="00DD3D34">
        <w:fldChar w:fldCharType="end"/>
      </w:r>
    </w:p>
    <w:p w:rsidR="001D43DE" w:rsidRPr="003A0EF9" w:rsidRDefault="00790143" w:rsidP="00790143">
      <w:pPr>
        <w:pStyle w:val="Heading4"/>
      </w:pPr>
      <w:r>
        <w:t>E</w:t>
      </w:r>
      <w:r w:rsidR="001D43DE">
        <w:t>ndocrine factors</w:t>
      </w:r>
    </w:p>
    <w:p w:rsidR="00362A5B" w:rsidRDefault="001D43DE" w:rsidP="006A7BEE">
      <w:pPr>
        <w:contextualSpacing/>
      </w:pPr>
      <w:r>
        <w:tab/>
        <w:t>The endocrine system is responsible for maintaining homeostasis via hormone secretion</w:t>
      </w:r>
      <w:r w:rsidR="00F47082">
        <w:t xml:space="preserve"> and venous circulation</w:t>
      </w:r>
      <w:r>
        <w:t xml:space="preserve">.  </w:t>
      </w:r>
      <w:r w:rsidR="00C741CE">
        <w:t xml:space="preserve">Thyroid hormone is an endocrine hormone secreted by the thyroid gland </w:t>
      </w:r>
      <w:r w:rsidR="00F47082">
        <w:t xml:space="preserve">mainly </w:t>
      </w:r>
      <w:r w:rsidR="00C741CE">
        <w:t>as triiodothyronine (T</w:t>
      </w:r>
      <w:r w:rsidR="00C741CE">
        <w:rPr>
          <w:vertAlign w:val="subscript"/>
        </w:rPr>
        <w:t>3</w:t>
      </w:r>
      <w:r w:rsidR="00C741CE">
        <w:t>) or thyroxine (T</w:t>
      </w:r>
      <w:r w:rsidR="00C741CE">
        <w:rPr>
          <w:vertAlign w:val="subscript"/>
        </w:rPr>
        <w:t>4</w:t>
      </w:r>
      <w:r w:rsidR="00C741CE">
        <w:t>).  T</w:t>
      </w:r>
      <w:r w:rsidR="00C741CE">
        <w:rPr>
          <w:vertAlign w:val="subscript"/>
        </w:rPr>
        <w:t>4</w:t>
      </w:r>
      <w:r w:rsidR="00C741CE">
        <w:t xml:space="preserve"> is a prohormone that must be activated via deiodination into T</w:t>
      </w:r>
      <w:r w:rsidR="00C741CE">
        <w:rPr>
          <w:vertAlign w:val="subscript"/>
        </w:rPr>
        <w:t>3</w:t>
      </w:r>
      <w:r w:rsidR="00C741CE">
        <w:t>, the active form of the hormone.</w:t>
      </w:r>
      <w:r w:rsidR="00C741CE">
        <w:fldChar w:fldCharType="begin"/>
      </w:r>
      <w:r w:rsidR="00636862">
        <w:instrText xml:space="preserve"> ADDIN ZOTERO_ITEM CSL_CITATION {"citationID":"77lkv767n","properties":{"formattedCitation":"{\\rtf \\super 231\\nosupersub{}}","plainCitation":"231"},"citationItems":[{"id":1527,"uris":["http://zotero.org/users/171999/items/R9ZIM7VK"],"uri":["http://zotero.org/users/171999/items/R9ZIM7VK"],"itemData":{"id":1527,"type":"article-journal","title":"Thyroid hormone and the central control of homeostasis","container-title":"Journal of molecular endocrinology","page":"R29-35","volume":"49","issue":"1","source":"NCBI PubMed","abstract":"It has long been known that thyroid hormone has profound direct effects on metabolism and cardiovascular function. More recently, it was shown that the hormone also modulates these systems by actions on the central autonomic control. Recent studies that either manipulated thyroid hormone signalling in anatomical areas of the brain or analysed seasonal models with an endogenous fluctuation in hypothalamic thyroid hormone levels revealed that the hormone controls energy turnover. However, most of these studies did not progress beyond the level of anatomical nuclei; thus, the neuronal substrates as well as the molecular mechanisms remain largely enigmatic. This review summarises the evidence for a role of thyroid hormone in the central autonomic control of peripheral homeostasis and advocates novel strategies to address thyroid hormone action in the brain on a cellular level.","DOI":"10.1530/JME-12-0068","ISSN":"1479-6813","note":"PMID: 22586142","journalAbbreviation":"J. Mol. Endocrinol.","language":"eng","author":[{"family":"Warner","given":"Amy"},{"family":"Mittag","given":"Jens"}],"issued":{"date-parts":[["2012",8]]},"PMID":"22586142"}}],"schema":"https://github.com/citation-style-language/schema/raw/master/csl-citation.json"} </w:instrText>
      </w:r>
      <w:r w:rsidR="00C741CE">
        <w:fldChar w:fldCharType="separate"/>
      </w:r>
      <w:r w:rsidR="00636862" w:rsidRPr="00636862">
        <w:rPr>
          <w:vertAlign w:val="superscript"/>
        </w:rPr>
        <w:t>231</w:t>
      </w:r>
      <w:r w:rsidR="00C741CE">
        <w:fldChar w:fldCharType="end"/>
      </w:r>
      <w:r w:rsidR="00C741CE">
        <w:t xml:space="preserve">  </w:t>
      </w:r>
      <w:r w:rsidR="00F47082">
        <w:t>There are three levels of cellular thyroid hormone signaling regulation: (1) deiodinase expression; (2) target cell/organ uptake; (3) nuclear thyroid hormone receptor expression.</w:t>
      </w:r>
      <w:r w:rsidR="00F47082">
        <w:fldChar w:fldCharType="begin"/>
      </w:r>
      <w:r w:rsidR="00636862">
        <w:instrText xml:space="preserve"> ADDIN ZOTERO_ITEM CSL_CITATION {"citationID":"1m4ecgbckf","properties":{"formattedCitation":"{\\rtf \\super 231\\nosupersub{}}","plainCitation":"231"},"citationItems":[{"id":1527,"uris":["http://zotero.org/users/171999/items/R9ZIM7VK"],"uri":["http://zotero.org/users/171999/items/R9ZIM7VK"],"itemData":{"id":1527,"type":"article-journal","title":"Thyroid hormone and the central control of homeostasis","container-title":"Journal of molecular endocrinology","page":"R29-35","volume":"49","issue":"1","source":"NCBI PubMed","abstract":"It has long been known that thyroid hormone has profound direct effects on metabolism and cardiovascular function. More recently, it was shown that the hormone also modulates these systems by actions on the central autonomic control. Recent studies that either manipulated thyroid hormone signalling in anatomical areas of the brain or analysed seasonal models with an endogenous fluctuation in hypothalamic thyroid hormone levels revealed that the hormone controls energy turnover. However, most of these studies did not progress beyond the level of anatomical nuclei; thus, the neuronal substrates as well as the molecular mechanisms remain largely enigmatic. This review summarises the evidence for a role of thyroid hormone in the central autonomic control of peripheral homeostasis and advocates novel strategies to address thyroid hormone action in the brain on a cellular level.","DOI":"10.1530/JME-12-0068","ISSN":"1479-6813","note":"PMID: 22586142","journalAbbreviation":"J. Mol. Endocrinol.","language":"eng","author":[{"family":"Warner","given":"Amy"},{"family":"Mittag","given":"Jens"}],"issued":{"date-parts":[["2012",8]]},"PMID":"22586142"}}],"schema":"https://github.com/citation-style-language/schema/raw/master/csl-citation.json"} </w:instrText>
      </w:r>
      <w:r w:rsidR="00F47082">
        <w:fldChar w:fldCharType="separate"/>
      </w:r>
      <w:r w:rsidR="00636862" w:rsidRPr="00636862">
        <w:rPr>
          <w:vertAlign w:val="superscript"/>
        </w:rPr>
        <w:t>231</w:t>
      </w:r>
      <w:r w:rsidR="00F47082">
        <w:fldChar w:fldCharType="end"/>
      </w:r>
      <w:r w:rsidR="00F47082">
        <w:t xml:space="preserve">  This interrelationship of hormone signaling allows the body to </w:t>
      </w:r>
      <w:r w:rsidR="00DE688D">
        <w:t>adjust</w:t>
      </w:r>
      <w:r w:rsidR="00F47082">
        <w:t xml:space="preserve"> its response to more than just absolute level of circulating thyroid hormone. </w:t>
      </w:r>
      <w:r w:rsidR="00EC394F">
        <w:t xml:space="preserve"> </w:t>
      </w:r>
      <w:r w:rsidR="00DE688D">
        <w:t>T</w:t>
      </w:r>
      <w:r w:rsidR="000B2F3C">
        <w:t>hyroid hormone is involved in controlling weight change via both energy expenditure and uptake.</w:t>
      </w:r>
      <w:r w:rsidR="000B2F3C">
        <w:fldChar w:fldCharType="begin"/>
      </w:r>
      <w:r w:rsidR="00636862">
        <w:instrText xml:space="preserve"> ADDIN ZOTERO_ITEM CSL_CITATION {"citationID":"fibke7pck","properties":{"formattedCitation":"{\\rtf \\super 231\\nosupersub{}}","plainCitation":"231"},"citationItems":[{"id":1527,"uris":["http://zotero.org/users/171999/items/R9ZIM7VK"],"uri":["http://zotero.org/users/171999/items/R9ZIM7VK"],"itemData":{"id":1527,"type":"article-journal","title":"Thyroid hormone and the central control of homeostasis","container-title":"Journal of molecular endocrinology","page":"R29-35","volume":"49","issue":"1","source":"NCBI PubMed","abstract":"It has long been known that thyroid hormone has profound direct effects on metabolism and cardiovascular function. More recently, it was shown that the hormone also modulates these systems by actions on the central autonomic control. Recent studies that either manipulated thyroid hormone signalling in anatomical areas of the brain or analysed seasonal models with an endogenous fluctuation in hypothalamic thyroid hormone levels revealed that the hormone controls energy turnover. However, most of these studies did not progress beyond the level of anatomical nuclei; thus, the neuronal substrates as well as the molecular mechanisms remain largely enigmatic. This review summarises the evidence for a role of thyroid hormone in the central autonomic control of peripheral homeostasis and advocates novel strategies to address thyroid hormone action in the brain on a cellular level.","DOI":"10.1530/JME-12-0068","ISSN":"1479-6813","note":"PMID: 22586142","journalAbbreviation":"J. Mol. Endocrinol.","language":"eng","author":[{"family":"Warner","given":"Amy"},{"family":"Mittag","given":"Jens"}],"issued":{"date-parts":[["2012",8]]},"PMID":"22586142"}}],"schema":"https://github.com/citation-style-language/schema/raw/master/csl-citation.json"} </w:instrText>
      </w:r>
      <w:r w:rsidR="000B2F3C">
        <w:fldChar w:fldCharType="separate"/>
      </w:r>
      <w:r w:rsidR="00636862" w:rsidRPr="00636862">
        <w:rPr>
          <w:vertAlign w:val="superscript"/>
        </w:rPr>
        <w:t>231</w:t>
      </w:r>
      <w:r w:rsidR="000B2F3C">
        <w:fldChar w:fldCharType="end"/>
      </w:r>
      <w:r w:rsidR="000B2F3C">
        <w:t xml:space="preserve">  It acts to stimulate BAT thermogenesis and hepatic gluconeogenesis with an </w:t>
      </w:r>
    </w:p>
    <w:p w:rsidR="00362A5B" w:rsidRDefault="00362A5B" w:rsidP="006A7BEE">
      <w:pPr>
        <w:contextualSpacing/>
      </w:pPr>
    </w:p>
    <w:p w:rsidR="00362A5B" w:rsidRDefault="00362A5B" w:rsidP="00362A5B">
      <w:pPr>
        <w:keepNext/>
        <w:contextualSpacing/>
      </w:pPr>
      <w:r>
        <w:rPr>
          <w:noProof/>
        </w:rPr>
        <w:lastRenderedPageBreak/>
        <w:drawing>
          <wp:inline distT="0" distB="0" distL="0" distR="0" wp14:anchorId="7E3B3095" wp14:editId="3FC3B8A5">
            <wp:extent cx="5486400" cy="2438121"/>
            <wp:effectExtent l="0" t="0" r="0" b="635"/>
            <wp:docPr id="24" name="Picture 24" descr="Cytochrome c: functions beyond respi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ytochrome c: functions beyond respiration"/>
                    <pic:cNvPicPr>
                      <a:picLocks noChangeAspect="1" noChangeArrowheads="1"/>
                    </pic:cNvPicPr>
                  </pic:nvPicPr>
                  <pic:blipFill rotWithShape="1">
                    <a:blip r:embed="rId18">
                      <a:extLst>
                        <a:ext uri="{28A0092B-C50C-407E-A947-70E740481C1C}">
                          <a14:useLocalDpi xmlns:a14="http://schemas.microsoft.com/office/drawing/2010/main" val="0"/>
                        </a:ext>
                      </a:extLst>
                    </a:blip>
                    <a:srcRect b="12897"/>
                    <a:stretch/>
                  </pic:blipFill>
                  <pic:spPr bwMode="auto">
                    <a:xfrm>
                      <a:off x="0" y="0"/>
                      <a:ext cx="5486400" cy="2438121"/>
                    </a:xfrm>
                    <a:prstGeom prst="rect">
                      <a:avLst/>
                    </a:prstGeom>
                    <a:noFill/>
                    <a:ln>
                      <a:noFill/>
                    </a:ln>
                    <a:extLst>
                      <a:ext uri="{53640926-AAD7-44D8-BBD7-CCE9431645EC}">
                        <a14:shadowObscured xmlns:a14="http://schemas.microsoft.com/office/drawing/2010/main"/>
                      </a:ext>
                    </a:extLst>
                  </pic:spPr>
                </pic:pic>
              </a:graphicData>
            </a:graphic>
          </wp:inline>
        </w:drawing>
      </w:r>
    </w:p>
    <w:p w:rsidR="00362A5B" w:rsidRDefault="00362A5B" w:rsidP="00362A5B">
      <w:pPr>
        <w:pStyle w:val="Caption"/>
      </w:pPr>
      <w:bookmarkStart w:id="21" w:name="_Toc376465868"/>
      <w:r>
        <w:t xml:space="preserve">Figure </w:t>
      </w:r>
      <w:r>
        <w:fldChar w:fldCharType="begin"/>
      </w:r>
      <w:r>
        <w:instrText xml:space="preserve"> SEQ Figure \* ARABIC </w:instrText>
      </w:r>
      <w:r>
        <w:fldChar w:fldCharType="separate"/>
      </w:r>
      <w:proofErr w:type="gramStart"/>
      <w:r w:rsidR="00DE5561">
        <w:rPr>
          <w:noProof/>
        </w:rPr>
        <w:t>8</w:t>
      </w:r>
      <w:r>
        <w:fldChar w:fldCharType="end"/>
      </w:r>
      <w:r>
        <w:t xml:space="preserve"> Electron transport chain</w:t>
      </w:r>
      <w:proofErr w:type="gramEnd"/>
      <w:r>
        <w:t>.</w:t>
      </w:r>
      <w:bookmarkEnd w:id="21"/>
    </w:p>
    <w:p w:rsidR="00362A5B" w:rsidRPr="005B6D9C" w:rsidRDefault="00362A5B" w:rsidP="00362A5B">
      <w:r w:rsidRPr="005B6D9C">
        <w:t xml:space="preserve">Oxidative phosphorylation begins with </w:t>
      </w:r>
      <w:r>
        <w:t xml:space="preserve">the entry of electrons into the </w:t>
      </w:r>
      <w:r w:rsidRPr="005B6D9C">
        <w:t>electron-transport chain on the inne</w:t>
      </w:r>
      <w:r>
        <w:t>r mitochondrial membrane (IMM)</w:t>
      </w:r>
      <w:r w:rsidRPr="005B6D9C">
        <w:t>. There are four</w:t>
      </w:r>
      <w:r>
        <w:t xml:space="preserve"> </w:t>
      </w:r>
      <w:r w:rsidRPr="005B6D9C">
        <w:t>membrane-bound protein complexes (complex I–IV) in the electron transport</w:t>
      </w:r>
      <w:r>
        <w:t xml:space="preserve"> </w:t>
      </w:r>
      <w:r w:rsidRPr="005B6D9C">
        <w:t>chain, and the electrons pass through them (black arrows) with the aid of</w:t>
      </w:r>
      <w:r>
        <w:t xml:space="preserve"> </w:t>
      </w:r>
      <w:r w:rsidRPr="005B6D9C">
        <w:t xml:space="preserve">the electron carriers, namely ubiquinone (Q), cytochromes and iron-sulphur proteins. </w:t>
      </w:r>
      <w:r>
        <w:t>A</w:t>
      </w:r>
      <w:r w:rsidRPr="005B6D9C">
        <w:t>n electrochem</w:t>
      </w:r>
      <w:r>
        <w:t>ical gradient is created</w:t>
      </w:r>
      <w:r w:rsidRPr="005B6D9C">
        <w:t xml:space="preserve"> across the inner mitochondrial membrane. Protons then flow through complex V (ATP synthase), which utilizes the energy to synthesize ATP from ADP</w:t>
      </w:r>
      <w:r>
        <w:t xml:space="preserve">. </w:t>
      </w:r>
      <w:r w:rsidRPr="005B6D9C">
        <w:t xml:space="preserve"> One of the essential molecules of the electron-transp</w:t>
      </w:r>
      <w:r>
        <w:t xml:space="preserve">ort chain is cytochrome c (grey </w:t>
      </w:r>
      <w:r w:rsidRPr="005B6D9C">
        <w:t>circle). Cytochrome c accepts electrons from Complex III and diffuses to Complex IV</w:t>
      </w:r>
      <w:r>
        <w:t xml:space="preserve"> </w:t>
      </w:r>
      <w:r w:rsidRPr="005B6D9C">
        <w:t>(cytochrome oxidase), where it donates the electrons to O2, converting O2 to H2O.</w:t>
      </w:r>
      <w:r>
        <w:t xml:space="preserve">  </w:t>
      </w:r>
      <w:r w:rsidR="00EE6B94">
        <w:t>Reprinted by permission from Macmillan Publishers Ltd: [NATURE REVIEWS MOLECULAR CELL BIOLOGY</w:t>
      </w:r>
      <w:r w:rsidR="00EE6B94" w:rsidRPr="000A2582">
        <w:t>] (</w:t>
      </w:r>
      <w:r w:rsidR="00EE6B94" w:rsidRPr="00EE6B94">
        <w:t>Ow Y-LP, Green DR, Hao Z, et al. Cytochrome c: functions beyond respiration. Nat Rev Mol Cell Biol 2008;9:532–542</w:t>
      </w:r>
      <w:r w:rsidR="00EE6B94">
        <w:t>), Copyright © 2008</w:t>
      </w:r>
      <w:r>
        <w:rPr>
          <w:color w:val="FF0000"/>
        </w:rPr>
        <w:t>.</w:t>
      </w:r>
      <w:r>
        <w:rPr>
          <w:color w:val="FF0000"/>
        </w:rPr>
        <w:fldChar w:fldCharType="begin"/>
      </w:r>
      <w:r w:rsidR="000A492A">
        <w:rPr>
          <w:color w:val="FF0000"/>
        </w:rPr>
        <w:instrText xml:space="preserve"> ADDIN ZOTERO_ITEM CSL_CITATION {"citationID":"1vcfr0ramg","properties":{"formattedCitation":"{\\rtf \\super 232\\nosupersub{}}","plainCitation":"232"},"citationItems":[{"id":1521,"uris":["http://zotero.org/users/171999/items/RPEEUEAS"],"uri":["http://zotero.org/users/171999/items/RPEEUEAS"],"itemData":{"id":1521,"type":"article-journal","title":"Cytochrome c: functions beyond respiration","container-title":"Nature reviews. Molecular cell biology","page":"532-542","volume":"9","issue":"7","source":"NCBI PubMed","abstract":"Cytochrome c is primarily known for its function in the mitochondria as a key participant in the life-supporting function of ATP synthesis. However, when a cell receives an apoptotic stimulus, cytochrome c is released into the cytosol and triggers programmed cell death through apoptosis. The release of cytochrome c and cytochrome-c-mediated apoptosis are controlled by multiple layers of regulation, the most prominent players being members of the B-cell lymphoma protein-2 (BCL2) family. As well as its role in canonical intrinsic apoptosis, cytochrome c amplifies signals that are generated by other apoptotic pathways and participates in certain non-apoptotic functions.","DOI":"10.1038/nrm2434","ISSN":"1471-0080","note":"PMID: 18568041","shortTitle":"Cytochrome c","journalAbbreviation":"Nat. Rev. Mol. Cell Biol.","language":"eng","author":[{"family":"Ow","given":"Yong-Ling P"},{"family":"Green","given":"Douglas R"},{"family":"Hao","given":"Zhenyue"},{"family":"Mak","given":"Tak W"}],"issued":{"date-parts":[["2008",7]]},"PMID":"18568041"}}],"schema":"https://github.com/citation-style-language/schema/raw/master/csl-citation.json"} </w:instrText>
      </w:r>
      <w:r>
        <w:rPr>
          <w:color w:val="FF0000"/>
        </w:rPr>
        <w:fldChar w:fldCharType="separate"/>
      </w:r>
      <w:r w:rsidR="000A492A" w:rsidRPr="000A492A">
        <w:rPr>
          <w:vertAlign w:val="superscript"/>
        </w:rPr>
        <w:t>232</w:t>
      </w:r>
      <w:r>
        <w:rPr>
          <w:color w:val="FF0000"/>
        </w:rPr>
        <w:fldChar w:fldCharType="end"/>
      </w: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362A5B" w:rsidRDefault="00362A5B" w:rsidP="006A7BEE">
      <w:pPr>
        <w:contextualSpacing/>
      </w:pPr>
    </w:p>
    <w:p w:rsidR="006C5A24" w:rsidRDefault="000B2F3C" w:rsidP="006A7BEE">
      <w:pPr>
        <w:contextualSpacing/>
      </w:pPr>
      <w:r>
        <w:lastRenderedPageBreak/>
        <w:t>overall increase in energy expenditure.</w:t>
      </w:r>
      <w:r>
        <w:fldChar w:fldCharType="begin"/>
      </w:r>
      <w:r w:rsidR="000A492A">
        <w:instrText xml:space="preserve"> ADDIN ZOTERO_ITEM CSL_CITATION {"citationID":"R0kFs2yz","properties":{"formattedCitation":"{\\rtf \\super 231,233\\nosupersub{}}","plainCitation":"231,233"},"citationItems":[{"id":1527,"uris":["http://zotero.org/users/171999/items/R9ZIM7VK"],"uri":["http://zotero.org/users/171999/items/R9ZIM7VK"],"itemData":{"id":1527,"type":"article-journal","title":"Thyroid hormone and the central control of homeostasis","container-title":"Journal of molecular endocrinology","page":"R29-35","volume":"49","issue":"1","source":"NCBI PubMed","abstract":"It has long been known that thyroid hormone has profound direct effects on metabolism and cardiovascular function. More recently, it was shown that the hormone also modulates these systems by actions on the central autonomic control. Recent studies that either manipulated thyroid hormone signalling in anatomical areas of the brain or analysed seasonal models with an endogenous fluctuation in hypothalamic thyroid hormone levels revealed that the hormone controls energy turnover. However, most of these studies did not progress beyond the level of anatomical nuclei; thus, the neuronal substrates as well as the molecular mechanisms remain largely enigmatic. This review summarises the evidence for a role of thyroid hormone in the central autonomic control of peripheral homeostasis and advocates novel strategies to address thyroid hormone action in the brain on a cellular level.","DOI":"10.1530/JME-12-0068","ISSN":"1479-6813","note":"PMID: 22586142","journalAbbreviation":"J. Mol. Endocrinol.","language":"eng","author":[{"family":"Warner","given":"Amy"},{"family":"Mittag","given":"Jens"}],"issued":{"date-parts":[["2012",8]]},"PMID":"22586142"}},{"id":1529,"uris":["http://zotero.org/users/171999/items/UPHMT28I"],"uri":["http://zotero.org/users/171999/items/UPHMT28I"],"itemData":{"id":1529,"type":"article-journal","title":"Hypermetabolism in mice caused by the central action of an unliganded thyroid hormone receptor alpha1","container-title":"The EMBO journal","page":"4535-4545","volume":"26","issue":"21","source":"NCBI PubMed","abstract":"Thyroid hormone, via its nuclear receptors TRalpha and TRbeta, controls metabolism by acting locally in peripheral tissues and centrally by regulating sympathetic signaling. We have defined aporeceptor regulation of metabolism by using mice heterozygous for a mutant TRalpha1 with low affinity to T3. The animals were hypermetabolic, showing strongly reduced fat depots, hyperphagia and resistance to diet-induced obesity accompanied by induction of genes involved in glucose handling and fatty acid metabolism in liver and adipose tissues. Increased lipid mobilization and beta-oxidation occurred in adipose tissues, whereas blockade of sympathetic signaling to brown adipose tissue normalized the metabolic phenotype despite a continued perturbed hormone signaling in this cell type. The results define a novel and important role for the TRalpha1 aporeceptor in governing metabolic homeostasis. Furthermore, the data demonstrate that a nuclear hormone receptor affecting sympathetic signaling can override its autonomous effects in peripheral tissues.","DOI":"10.1038/sj.emboj.7601882","ISSN":"1460-2075","note":"PMID: 17932484","journalAbbreviation":"EMBO J.","language":"eng","author":[{"family":"Sjögren","given":"Maria"},{"family":"Alkemade","given":"Anneke"},{"family":"Mittag","given":"Jens"},{"family":"Nordström","given":"Kristina"},{"family":"Katz","given":"Abram"},{"family":"Rozell","given":"Björn"},{"family":"Westerblad","given":"Håkan"},{"family":"Arner","given":"Anders"},{"family":"Vennström","given":"Björn"}],"issued":{"date-parts":[["2007",10,31]]},"PMID":"17932484"}}],"schema":"https://github.com/citation-style-language/schema/raw/master/csl-citation.json"} </w:instrText>
      </w:r>
      <w:r>
        <w:fldChar w:fldCharType="separate"/>
      </w:r>
      <w:r w:rsidR="000A492A" w:rsidRPr="000A492A">
        <w:rPr>
          <w:vertAlign w:val="superscript"/>
        </w:rPr>
        <w:t>231,233</w:t>
      </w:r>
      <w:r>
        <w:fldChar w:fldCharType="end"/>
      </w:r>
      <w:r>
        <w:t xml:space="preserve">  It also has an acute effect on increasing food intake via hypothalamic signaling.</w:t>
      </w:r>
      <w:r>
        <w:fldChar w:fldCharType="begin"/>
      </w:r>
      <w:r w:rsidR="000A492A">
        <w:instrText xml:space="preserve"> ADDIN ZOTERO_ITEM CSL_CITATION {"citationID":"qgInFCce","properties":{"formattedCitation":"{\\rtf \\super 231,234\\nosupersub{}}","plainCitation":"231,234"},"citationItems":[{"id":1527,"uris":["http://zotero.org/users/171999/items/R9ZIM7VK"],"uri":["http://zotero.org/users/171999/items/R9ZIM7VK"],"itemData":{"id":1527,"type":"article-journal","title":"Thyroid hormone and the central control of homeostasis","container-title":"Journal of molecular endocrinology","page":"R29-35","volume":"49","issue":"1","source":"NCBI PubMed","abstract":"It has long been known that thyroid hormone has profound direct effects on metabolism and cardiovascular function. More recently, it was shown that the hormone also modulates these systems by actions on the central autonomic control. Recent studies that either manipulated thyroid hormone signalling in anatomical areas of the brain or analysed seasonal models with an endogenous fluctuation in hypothalamic thyroid hormone levels revealed that the hormone controls energy turnover. However, most of these studies did not progress beyond the level of anatomical nuclei; thus, the neuronal substrates as well as the molecular mechanisms remain largely enigmatic. This review summarises the evidence for a role of thyroid hormone in the central autonomic control of peripheral homeostasis and advocates novel strategies to address thyroid hormone action in the brain on a cellular level.","DOI":"10.1530/JME-12-0068","ISSN":"1479-6813","note":"PMID: 22586142","journalAbbreviation":"J. Mol. Endocrinol.","language":"eng","author":[{"family":"Warner","given":"Amy"},{"family":"Mittag","given":"Jens"}],"issued":{"date-parts":[["2012",8]]},"PMID":"22586142"}},{"id":1531,"uris":["http://zotero.org/users/171999/items/D4Q28RNE"],"uri":["http://zotero.org/users/171999/items/D4Q28RNE"],"itemData":{"id":1531,"type":"article-journal","title":"Hypothalamic AMPK and fatty acid metabolism mediate thyroid regulation of energy balance","container-title":"Nature medicine","page":"1001-1008","volume":"16","issue":"9","source":"NCBI PubMed","abstract":"Thyroid hormones have widespread cellular effects; however it is unclear whether their effects on the central nervous system (CNS) contribute to global energy balance. Here we demonstrate that either whole-body hyperthyroidism or central administration of triiodothyronine (T3) decreases the activity of hypothalamic AMP-activated protein kinase (AMPK), increases sympathetic nervous system (SNS) activity and upregulates thermogenic markers in brown adipose tissue (BAT). Inhibition of the lipogenic pathway in the ventromedial nucleus of the hypothalamus (VMH) prevents CNS-mediated activation of BAT by thyroid hormone and reverses the weight loss associated with hyperthyroidism. Similarly, inhibition of thyroid hormone receptors in the VMH reverses the weight loss associated with hyperthyroidism. This regulatory mechanism depends on AMPK inactivation, as genetic inhibition of this enzyme in the VMH of euthyroid rats induces feeding-independent weight loss and increases expression of thermogenic markers in BAT. These effects are reversed by pharmacological blockade of the SNS. Thus, thyroid hormone-induced modulation of AMPK activity and lipid metabolism in the hypothalamus is a major regulator of whole-body energy homeostasis.","DOI":"10.1038/nm.2207","ISSN":"1546-170X","note":"PMID: 20802499","journalAbbreviation":"Nat. Med.","language":"eng","author":[{"family":"López","given":"Miguel"},{"family":"Varela","given":"Luis"},{"family":"Vázquez","given":"María J"},{"family":"Rodríguez-Cuenca","given":"Sergio"},{"family":"González","given":"Carmen R"},{"family":"Velagapudi","given":"Vidya R"},{"family":"Morgan","given":"Donald A"},{"family":"Schoenmakers","given":"Erik"},{"family":"Agassandian","given":"Khristofor"},{"family":"Lage","given":"Ricardo"},{"family":"Martínez de Morentin","given":"Pablo Blanco"},{"family":"Tovar","given":"Sulay"},{"family":"Nogueiras","given":"Rubén"},{"family":"Carling","given":"David"},{"family":"Lelliott","given":"Christopher"},{"family":"Gallego","given":"Rosalía"},{"family":"Oresic","given":"Matej"},{"family":"Chatterjee","given":"Krishna"},{"family":"Saha","given":"Asish K"},{"family":"Rahmouni","given":"Kamal"},{"family":"Diéguez","given":"Carlos"},{"family":"Vidal-Puig","given":"Antonio"}],"issued":{"date-parts":[["2010",9]]},"PMID":"20802499"}}],"schema":"https://github.com/citation-style-language/schema/raw/master/csl-citation.json"} </w:instrText>
      </w:r>
      <w:r>
        <w:fldChar w:fldCharType="separate"/>
      </w:r>
      <w:r w:rsidR="000A492A" w:rsidRPr="000A492A">
        <w:rPr>
          <w:vertAlign w:val="superscript"/>
        </w:rPr>
        <w:t>231,234</w:t>
      </w:r>
      <w:r>
        <w:fldChar w:fldCharType="end"/>
      </w:r>
    </w:p>
    <w:p w:rsidR="006B0C70" w:rsidRDefault="000E674C" w:rsidP="006A7BEE">
      <w:pPr>
        <w:contextualSpacing/>
      </w:pPr>
      <w:r>
        <w:tab/>
        <w:t xml:space="preserve">The metabolic effects of thyroid hormone are most apparent in a state of thyroid hormone derangement.  The naturally occurring disease process of hyperthyroidism is associated with </w:t>
      </w:r>
      <w:r w:rsidR="002928C6">
        <w:t xml:space="preserve">hyperphagia, </w:t>
      </w:r>
      <w:r>
        <w:t>hyperactivity, increased en</w:t>
      </w:r>
      <w:r w:rsidR="00DF2EAF">
        <w:t>e</w:t>
      </w:r>
      <w:r>
        <w:t xml:space="preserve">rgy expenditure and weight loss, while hypothyroidism </w:t>
      </w:r>
      <w:r w:rsidR="00FC311C">
        <w:t>exhibits</w:t>
      </w:r>
      <w:r>
        <w:t xml:space="preserve"> opposite manifestations.  </w:t>
      </w:r>
      <w:r w:rsidR="00E03B8B">
        <w:t>C</w:t>
      </w:r>
      <w:r w:rsidR="002928C6">
        <w:t>entral injection of T</w:t>
      </w:r>
      <w:r w:rsidR="002928C6">
        <w:rPr>
          <w:vertAlign w:val="subscript"/>
        </w:rPr>
        <w:t>3</w:t>
      </w:r>
      <w:r w:rsidR="00E03B8B">
        <w:t xml:space="preserve"> is associated with decreased body weight and hypothalamic AMPK activity and increased SNS activity and BAT UCP1</w:t>
      </w:r>
      <w:r w:rsidR="00302745">
        <w:t>, UCP3,</w:t>
      </w:r>
      <w:r w:rsidR="00E03B8B">
        <w:t xml:space="preserve"> and PGC1α expression.  Increasing AMPK activity via central injection attenuates these effects, but neither central injection affects food intake.</w:t>
      </w:r>
      <w:r w:rsidR="00E03B8B">
        <w:fldChar w:fldCharType="begin"/>
      </w:r>
      <w:r w:rsidR="000A492A">
        <w:instrText xml:space="preserve"> ADDIN ZOTERO_ITEM CSL_CITATION {"citationID":"1lb297e6li","properties":{"formattedCitation":"{\\rtf \\super 234\\nosupersub{}}","plainCitation":"234"},"citationItems":[{"id":1531,"uris":["http://zotero.org/users/171999/items/D4Q28RNE"],"uri":["http://zotero.org/users/171999/items/D4Q28RNE"],"itemData":{"id":1531,"type":"article-journal","title":"Hypothalamic AMPK and fatty acid metabolism mediate thyroid regulation of energy balance","container-title":"Nature medicine","page":"1001-1008","volume":"16","issue":"9","source":"NCBI PubMed","abstract":"Thyroid hormones have widespread cellular effects; however it is unclear whether their effects on the central nervous system (CNS) contribute to global energy balance. Here we demonstrate that either whole-body hyperthyroidism or central administration of triiodothyronine (T3) decreases the activity of hypothalamic AMP-activated protein kinase (AMPK), increases sympathetic nervous system (SNS) activity and upregulates thermogenic markers in brown adipose tissue (BAT). Inhibition of the lipogenic pathway in the ventromedial nucleus of the hypothalamus (VMH) prevents CNS-mediated activation of BAT by thyroid hormone and reverses the weight loss associated with hyperthyroidism. Similarly, inhibition of thyroid hormone receptors in the VMH reverses the weight loss associated with hyperthyroidism. This regulatory mechanism depends on AMPK inactivation, as genetic inhibition of this enzyme in the VMH of euthyroid rats induces feeding-independent weight loss and increases expression of thermogenic markers in BAT. These effects are reversed by pharmacological blockade of the SNS. Thus, thyroid hormone-induced modulation of AMPK activity and lipid metabolism in the hypothalamus is a major regulator of whole-body energy homeostasis.","DOI":"10.1038/nm.2207","ISSN":"1546-170X","note":"PMID: 20802499","journalAbbreviation":"Nat. Med.","language":"eng","author":[{"family":"López","given":"Miguel"},{"family":"Varela","given":"Luis"},{"family":"Vázquez","given":"María J"},{"family":"Rodríguez-Cuenca","given":"Sergio"},{"family":"González","given":"Carmen R"},{"family":"Velagapudi","given":"Vidya R"},{"family":"Morgan","given":"Donald A"},{"family":"Schoenmakers","given":"Erik"},{"family":"Agassandian","given":"Khristofor"},{"family":"Lage","given":"Ricardo"},{"family":"Martínez de Morentin","given":"Pablo Blanco"},{"family":"Tovar","given":"Sulay"},{"family":"Nogueiras","given":"Rubén"},{"family":"Carling","given":"David"},{"family":"Lelliott","given":"Christopher"},{"family":"Gallego","given":"Rosalía"},{"family":"Oresic","given":"Matej"},{"family":"Chatterjee","given":"Krishna"},{"family":"Saha","given":"Asish K"},{"family":"Rahmouni","given":"Kamal"},{"family":"Diéguez","given":"Carlos"},{"family":"Vidal-Puig","given":"Antonio"}],"issued":{"date-parts":[["2010",9]]},"PMID":"20802499"}}],"schema":"https://github.com/citation-style-language/schema/raw/master/csl-citation.json"} </w:instrText>
      </w:r>
      <w:r w:rsidR="00E03B8B">
        <w:fldChar w:fldCharType="separate"/>
      </w:r>
      <w:r w:rsidR="000A492A" w:rsidRPr="000A492A">
        <w:rPr>
          <w:vertAlign w:val="superscript"/>
        </w:rPr>
        <w:t>234</w:t>
      </w:r>
      <w:r w:rsidR="00E03B8B">
        <w:fldChar w:fldCharType="end"/>
      </w:r>
      <w:r w:rsidR="00E938BC">
        <w:t xml:space="preserve">  In rats treated with T</w:t>
      </w:r>
      <w:r w:rsidR="00E938BC">
        <w:rPr>
          <w:vertAlign w:val="subscript"/>
        </w:rPr>
        <w:t>4</w:t>
      </w:r>
      <w:r w:rsidR="00E938BC">
        <w:t xml:space="preserve"> to induce whole body hyperthyroidism, reduced weight gain in the face of hyperphagia</w:t>
      </w:r>
      <w:r w:rsidR="00201F7D">
        <w:t xml:space="preserve"> and</w:t>
      </w:r>
      <w:r w:rsidR="00E938BC">
        <w:t xml:space="preserve"> </w:t>
      </w:r>
      <w:r w:rsidR="00201F7D">
        <w:t xml:space="preserve">hypothalamic </w:t>
      </w:r>
      <w:r w:rsidR="00E938BC">
        <w:t>AMPK inhibition, fatty</w:t>
      </w:r>
      <w:r w:rsidR="00201F7D">
        <w:t xml:space="preserve"> acid synthase (FASN) activation, increased malonyl CoA concentration, and decreased carnitine palmitoyltransferase-1 (CPT1) activity.  </w:t>
      </w:r>
      <w:r w:rsidR="00302745">
        <w:t xml:space="preserve">FASN is integral to fat production by catalyzing palmitate production from acetyl CoA and malonyl CoA.  CPT1, the rate limiting enzyme of the </w:t>
      </w:r>
      <w:r w:rsidR="00FC311C">
        <w:t>carnitine</w:t>
      </w:r>
      <w:r w:rsidR="00302745">
        <w:t xml:space="preserve"> shuttle, functions to activate carnitine and move long chain fatty acids from the cytosol into the mitochondrial matrix for oxidation.  </w:t>
      </w:r>
      <w:r w:rsidR="00201F7D">
        <w:t xml:space="preserve">Even after central inhibition of FASN and subsequent </w:t>
      </w:r>
      <w:r w:rsidR="00302745">
        <w:t xml:space="preserve">further </w:t>
      </w:r>
      <w:r w:rsidR="00201F7D">
        <w:t>increase in malonyl CoA, food intake did not decrease as would be expected in euthyroid animals.</w:t>
      </w:r>
      <w:r w:rsidR="00592A61">
        <w:fldChar w:fldCharType="begin"/>
      </w:r>
      <w:r w:rsidR="000A492A">
        <w:instrText xml:space="preserve"> ADDIN ZOTERO_ITEM CSL_CITATION {"citationID":"1998dmuav","properties":{"formattedCitation":"{\\rtf \\super 234\\nosupersub{}}","plainCitation":"234"},"citationItems":[{"id":1531,"uris":["http://zotero.org/users/171999/items/D4Q28RNE"],"uri":["http://zotero.org/users/171999/items/D4Q28RNE"],"itemData":{"id":1531,"type":"article-journal","title":"Hypothalamic AMPK and fatty acid metabolism mediate thyroid regulation of energy balance","container-title":"Nature medicine","page":"1001-1008","volume":"16","issue":"9","source":"NCBI PubMed","abstract":"Thyroid hormones have widespread cellular effects; however it is unclear whether their effects on the central nervous system (CNS) contribute to global energy balance. Here we demonstrate that either whole-body hyperthyroidism or central administration of triiodothyronine (T3) decreases the activity of hypothalamic AMP-activated protein kinase (AMPK), increases sympathetic nervous system (SNS) activity and upregulates thermogenic markers in brown adipose tissue (BAT). Inhibition of the lipogenic pathway in the ventromedial nucleus of the hypothalamus (VMH) prevents CNS-mediated activation of BAT by thyroid hormone and reverses the weight loss associated with hyperthyroidism. Similarly, inhibition of thyroid hormone receptors in the VMH reverses the weight loss associated with hyperthyroidism. This regulatory mechanism depends on AMPK inactivation, as genetic inhibition of this enzyme in the VMH of euthyroid rats induces feeding-independent weight loss and increases expression of thermogenic markers in BAT. These effects are reversed by pharmacological blockade of the SNS. Thus, thyroid hormone-induced modulation of AMPK activity and lipid metabolism in the hypothalamus is a major regulator of whole-body energy homeostasis.","DOI":"10.1038/nm.2207","ISSN":"1546-170X","note":"PMID: 20802499","journalAbbreviation":"Nat. Med.","language":"eng","author":[{"family":"López","given":"Miguel"},{"family":"Varela","given":"Luis"},{"family":"Vázquez","given":"María J"},{"family":"Rodríguez-Cuenca","given":"Sergio"},{"family":"González","given":"Carmen R"},{"family":"Velagapudi","given":"Vidya R"},{"family":"Morgan","given":"Donald A"},{"family":"Schoenmakers","given":"Erik"},{"family":"Agassandian","given":"Khristofor"},{"family":"Lage","given":"Ricardo"},{"family":"Martínez de Morentin","given":"Pablo Blanco"},{"family":"Tovar","given":"Sulay"},{"family":"Nogueiras","given":"Rubén"},{"family":"Carling","given":"David"},{"family":"Lelliott","given":"Christopher"},{"family":"Gallego","given":"Rosalía"},{"family":"Oresic","given":"Matej"},{"family":"Chatterjee","given":"Krishna"},{"family":"Saha","given":"Asish K"},{"family":"Rahmouni","given":"Kamal"},{"family":"Diéguez","given":"Carlos"},{"family":"Vidal-Puig","given":"Antonio"}],"issued":{"date-parts":[["2010",9]]},"PMID":"20802499"}}],"schema":"https://github.com/citation-style-language/schema/raw/master/csl-citation.json"} </w:instrText>
      </w:r>
      <w:r w:rsidR="00592A61">
        <w:fldChar w:fldCharType="separate"/>
      </w:r>
      <w:r w:rsidR="000A492A" w:rsidRPr="000A492A">
        <w:rPr>
          <w:vertAlign w:val="superscript"/>
        </w:rPr>
        <w:t>234</w:t>
      </w:r>
      <w:r w:rsidR="00592A61">
        <w:fldChar w:fldCharType="end"/>
      </w:r>
      <w:r w:rsidR="00592A61">
        <w:t xml:space="preserve">  These data point toward distinct central and peripheral actions of thyroid hormone.  In the hypothalamus, thyroid hormone affects AMPK activity, lipid metabolism, and body weight, but does not change energy intake levels.</w:t>
      </w:r>
    </w:p>
    <w:p w:rsidR="00D66849" w:rsidRPr="009F43B4" w:rsidRDefault="00D66849" w:rsidP="006A7BEE">
      <w:pPr>
        <w:contextualSpacing/>
      </w:pPr>
      <w:r>
        <w:tab/>
      </w:r>
      <w:r w:rsidR="00544146">
        <w:t xml:space="preserve">Another faction of the endocrine control of energy metabolism </w:t>
      </w:r>
      <w:proofErr w:type="gramStart"/>
      <w:r w:rsidR="00544146">
        <w:t>are</w:t>
      </w:r>
      <w:proofErr w:type="gramEnd"/>
      <w:r w:rsidR="00544146">
        <w:t xml:space="preserve"> t</w:t>
      </w:r>
      <w:r w:rsidR="009B73B8">
        <w:t>he c</w:t>
      </w:r>
      <w:r>
        <w:t>atecholamine</w:t>
      </w:r>
      <w:r w:rsidR="009B73B8">
        <w:t>s, dopamine, norepinephrine</w:t>
      </w:r>
      <w:r w:rsidR="00544146">
        <w:t xml:space="preserve"> (noradrenaline)</w:t>
      </w:r>
      <w:r w:rsidR="009B73B8">
        <w:t>, and epinephrine</w:t>
      </w:r>
      <w:r w:rsidR="00544146">
        <w:t xml:space="preserve"> (adrenaline).  They</w:t>
      </w:r>
      <w:r w:rsidR="009B73B8">
        <w:t xml:space="preserve"> </w:t>
      </w:r>
      <w:r w:rsidR="000C5CD5">
        <w:t xml:space="preserve">are </w:t>
      </w:r>
      <w:r w:rsidR="002B0DEE">
        <w:t xml:space="preserve">actually </w:t>
      </w:r>
      <w:r w:rsidR="000C5CD5">
        <w:t xml:space="preserve">members of the sympathoadrenal </w:t>
      </w:r>
      <w:r w:rsidR="00E95739">
        <w:t>system</w:t>
      </w:r>
      <w:r w:rsidR="009C0DBB">
        <w:t xml:space="preserve"> (the sympathetic nervous system </w:t>
      </w:r>
      <w:r w:rsidR="003C7BBD">
        <w:t xml:space="preserve">(SNS) </w:t>
      </w:r>
      <w:r w:rsidR="009C0DBB">
        <w:t>and the adrenal medulla)</w:t>
      </w:r>
      <w:r w:rsidR="000C5CD5">
        <w:t xml:space="preserve">, but work in close coordination with the endocrine system to maintain energy homeostasis.  </w:t>
      </w:r>
      <w:r w:rsidR="009C0DBB">
        <w:t xml:space="preserve">Cold ambient temperatures, hypoglycemia, and changes in posture </w:t>
      </w:r>
      <w:r w:rsidR="00E95739">
        <w:t>primarily</w:t>
      </w:r>
      <w:r w:rsidR="009C0DBB">
        <w:t xml:space="preserve"> activate the </w:t>
      </w:r>
      <w:r w:rsidR="003C7BBD">
        <w:t>SNS</w:t>
      </w:r>
      <w:r w:rsidR="009C0DBB">
        <w:t xml:space="preserve">. </w:t>
      </w:r>
      <w:r w:rsidR="002B5E74">
        <w:t xml:space="preserve"> </w:t>
      </w:r>
      <w:r w:rsidR="009C0DBB">
        <w:t xml:space="preserve">The adrenal medulla, as the primary source of epinephrine, is generally activated by hypoglycemia, caffeine, and mental </w:t>
      </w:r>
      <w:r w:rsidR="000A5D8C">
        <w:t>acuity.</w:t>
      </w:r>
      <w:r w:rsidR="000A5D8C">
        <w:fldChar w:fldCharType="begin"/>
      </w:r>
      <w:r w:rsidR="000A492A">
        <w:instrText xml:space="preserve"> ADDIN ZOTERO_ITEM CSL_CITATION {"citationID":"1kut5g4oao","properties":{"formattedCitation":"{\\rtf \\super 235\\nosupersub{}}","plainCitation":"235"},"citationItems":[{"id":1533,"uris":["http://zotero.org/users/171999/items/MK5M2KU9"],"uri":["http://zotero.org/users/171999/items/MK5M2KU9"],"itemData":{"id":1533,"type":"article-journal","title":"Sympathetic system activity in obesity and metabolic syndrome","container-title":"Annals of the New York Academy of Sciences","page":"129-152","volume":"1083","source":"NCBI PubMed","abstract":"Obesity is a very common disease worldwide, resulting from a disturbance in the energy balance. The metabolic syndrome is also a cluster of abnormalities with basic characteristics being insulin resistance and visceral obesity. The major concerns of obesity and metabolic syndrome are the comorbidities, such as type 2 diabetes, cardiovascular disease, stroke, and certain types of cancers. Sympathetic nervous system (SNS) activity is associated with both energy balance and metabolic syndrome. Sympathomimetic medications decrease food intake, increase resting metabolic rate (RMR), and thermogenic responses, whereas blockage of the SNS exerts opposite effects. The contribution of the SNS to the daily energy expenditure, however, is small ( approximately 5%) in normal subjects consuming a weight maintenance diet. Fasting suppresses, whereas meal ingestion induces SNS activity. Most of the data agree that obesity is characterized by SNS predominance in the basal state and reduced SNS responsiveness after various sympathetic stimuli. Weight loss reduces SNS overactivity in obesity. Metabolic syndrome is characterized by enhanced SNS activity. Most of the indices used for the assessment of its activity are better associated with visceral fat than with total fat mass. Visceral fat is prone to lipolysis: this effect is mediated by catecholamine action on the sensitive beta(3)-adrenoceptors found in the intraabdominal fat. In addition, central fat distribution is associated with disturbances in the hypothalamo-pituitary-adrenal axis, suggesting that a disturbed axis may be implicated in the development of the metabolic syndrome. Furthermore, SNS activity induces a proinflammatory state by IL-6 production, which in turn results in an acute phase response. The increased levels of inflammatory markers seen in the metabolic syndrome may be elicited, at least in part, by SNS overactivity. Intervention studies showed that the disturbances of the autonomic nervous system seen in the metabolic syndrome are reversible.","DOI":"10.1196/annals.1367.010","ISSN":"0077-8923","note":"PMID: 17148737","journalAbbreviation":"Ann. N. Y. Acad. Sci.","language":"eng","author":[{"family":"Tentolouris","given":"N"},{"family":"Liatis","given":"S"},{"family":"Katsilambros","given":"N"}],"issued":{"date-parts":[["2006",11]]},"PMID":"17148737"}}],"schema":"https://github.com/citation-style-language/schema/raw/master/csl-citation.json"} </w:instrText>
      </w:r>
      <w:r w:rsidR="000A5D8C">
        <w:fldChar w:fldCharType="separate"/>
      </w:r>
      <w:r w:rsidR="000A492A" w:rsidRPr="000A492A">
        <w:rPr>
          <w:vertAlign w:val="superscript"/>
        </w:rPr>
        <w:t>235</w:t>
      </w:r>
      <w:r w:rsidR="000A5D8C">
        <w:fldChar w:fldCharType="end"/>
      </w:r>
      <w:r w:rsidR="00544146">
        <w:t xml:space="preserve">  </w:t>
      </w:r>
      <w:r w:rsidR="003C7BBD">
        <w:t>Cold exposure, necessitating a thermogenic response, activates the SNS.  The SNS innervation of BAT and skeletal muscle causes increased catecholamine production in these tissues and further downstream effects.</w:t>
      </w:r>
      <w:r w:rsidR="003C7BBD">
        <w:fldChar w:fldCharType="begin"/>
      </w:r>
      <w:r w:rsidR="00636862">
        <w:instrText xml:space="preserve"> ADDIN ZOTERO_ITEM CSL_CITATION {"citationID":"2q5o2tccpp","properties":{"formattedCitation":"{\\rtf \\super 179\\nosupersub{}}","plainCitation":"179"},"citationItems":[{"id":1407,"uris":["http://zotero.org/users/171999/items/68QVIZE8"],"uri":["http://zotero.org/users/171999/items/68QVIZE8"],"itemData":{"id":1407,"type":"article-journal","title":"Towards a molecular understanding of adaptive thermogenesis","container-title":"Nature","page":"652-660","volume":"404","issue":"6778","source":"NCBI PubMed","abstract":"Obesity results when energy intake exceeds energy expenditure. Naturally occurring genetic mutations, as well as ablative lesions, have shown that the brain regulates both aspects of energy balance and that abnormalities in energy expenditure contribute to the development of obesity. Energy can be expended by performing work or producing heat (thermogenesis). Adaptive thermogenesis, or the regulated production of heat, is influenced by environmental temperature and diet. Mitochondria, the organelles that convert food to carbon dioxide, water and ATP, are fundamental in mediating effects on energy dissipation. Recently, there have been significant advances in understanding the molecular regulation of energy expenditure in mitochondria and the mechanisms of transcriptional control of mitochondrial genes. Here we explore these developments in relation to classical physiological views of adaptive thermogenesis.","DOI":"10.1038/35007527","ISSN":"0028-0836","note":"PMID: 10766252","journalAbbreviation":"Nature","language":"eng","author":[{"family":"Lowell","given":"B B"},{"family":"Spiegelman","given":"B M"}],"issued":{"date-parts":[["2000",4,6]]},"PMID":"10766252"}}],"schema":"https://github.com/citation-style-language/schema/raw/master/csl-citation.json"} </w:instrText>
      </w:r>
      <w:r w:rsidR="003C7BBD">
        <w:fldChar w:fldCharType="separate"/>
      </w:r>
      <w:r w:rsidR="00636862" w:rsidRPr="00636862">
        <w:rPr>
          <w:vertAlign w:val="superscript"/>
        </w:rPr>
        <w:t>179</w:t>
      </w:r>
      <w:r w:rsidR="003C7BBD">
        <w:fldChar w:fldCharType="end"/>
      </w:r>
      <w:r w:rsidR="003C7BBD">
        <w:t xml:space="preserve">  </w:t>
      </w:r>
      <w:r w:rsidR="00544146">
        <w:t xml:space="preserve">BAT </w:t>
      </w:r>
      <w:r w:rsidR="00FC311C">
        <w:t>predominantly</w:t>
      </w:r>
      <w:r w:rsidR="009F43B4">
        <w:t xml:space="preserve"> </w:t>
      </w:r>
      <w:r w:rsidR="00544146">
        <w:t>produces α</w:t>
      </w:r>
      <w:r w:rsidR="00544146">
        <w:rPr>
          <w:vertAlign w:val="subscript"/>
        </w:rPr>
        <w:t>1</w:t>
      </w:r>
      <w:r w:rsidR="009F43B4">
        <w:t>-, β</w:t>
      </w:r>
      <w:r w:rsidR="009F43B4">
        <w:rPr>
          <w:vertAlign w:val="subscript"/>
        </w:rPr>
        <w:t>1</w:t>
      </w:r>
      <w:r w:rsidR="009F43B4">
        <w:t>-, and</w:t>
      </w:r>
      <w:r w:rsidR="00544146">
        <w:t xml:space="preserve"> β</w:t>
      </w:r>
      <w:r w:rsidR="009F43B4">
        <w:rPr>
          <w:vertAlign w:val="subscript"/>
        </w:rPr>
        <w:t>3</w:t>
      </w:r>
      <w:r w:rsidR="009F43B4" w:rsidRPr="009F43B4">
        <w:t xml:space="preserve">-adrenoreceptor </w:t>
      </w:r>
      <w:r w:rsidR="009F43B4">
        <w:t xml:space="preserve">subtypes and the β-adenoreceptors (βAR) are responsible for mediating </w:t>
      </w:r>
      <w:r w:rsidR="002B5E74">
        <w:t>thermogenic effects</w:t>
      </w:r>
      <w:r w:rsidR="00C918B0">
        <w:t>.</w:t>
      </w:r>
      <w:r w:rsidR="009F43B4">
        <w:fldChar w:fldCharType="begin"/>
      </w:r>
      <w:r w:rsidR="000A492A">
        <w:instrText xml:space="preserve"> ADDIN ZOTERO_ITEM CSL_CITATION {"citationID":"PIjx7oeI","properties":{"formattedCitation":"{\\rtf \\super 236,237\\nosupersub{}}","plainCitation":"236,237"},"citationItems":[{"id":340,"uris":["http://zotero.org/users/171999/items/N6JN4RUR"],"uri":["http://zotero.org/users/171999/items/N6JN4RUR"],"itemData":{"id":340,"type":"article-journal","title":"Alpha1- and beta1-adrenoceptor signaling fully compensates for beta3-adrenoceptor deficiency in brown adipocyte norepinephrine-stimulated glucose uptake","container-title":"Endocrinology","page":"2271-2284","volume":"146","issue":"5","source":"NCBI PubMed","abstract":"To assess the relative roles and potential contribution of adrenergic receptor subtypes other than the beta3-adrenergic receptor in norepinephrine-mediated glucose uptake in brown adipocytes, we have here analyzed adrenergic activation of glucose uptake in primary cultures of brown adipocytes from wild-type and beta3-adrenergic receptor knockout (KO) mice. In control cells in addition to high levels of beta3-adrenergic receptor mRNA, there were relatively low alpha1A-, alpha1D-, and moderate beta1-adrenergic receptor mRNA levels with no apparent expression of other adrenergic receptors. The levels of alpha1A-, alpha1D-, and beta1-adrenergic receptor mRNA were not changed in the beta3-KO brown adipocytes, indicating that the beta3-adrenergic receptor ablation does not influence adrenergic gene expression in brown adipocytes in culture. As expected, the beta3-adrenergic receptor agonists BRL-37344 and CL-316 243 did not induce 2-deoxy-d-glucose uptake in beta3-KO brown adipocytes. Surprisingly, the endogenous adrenergic neurotransmitter norepinephrine induced the same concentration-dependent 2-deoxy-D-glucose uptake in wild-type and beta3-KO brown adipocytes. This study demonstrates that beta1-adrenergic receptors, and to a smaller degree alpha1-adrenergic receptors, functionally compensate for the lack of beta3-adrenergic receptors in glucose uptake. Beta1-adrenergic receptors activate glucose uptake through a cAMP/protein kinase A/phosphatidylinositol 3-kinase pathway, stimulating conventional and novel protein kinase Cs. The alpha1-adrenergic receptor component (that is not evident in wild-type cells) stimulates glucose uptake through a phosphatidylinositol 3-kinase and protein kinase C pathway in the beta3-KO cells.","DOI":"10.1210/en.2004-1104","ISSN":"0013-7227","note":"PMID: 15665039","journalAbbreviation":"Endocrinology","language":"eng","author":[{"family":"Chernogubova","given":"Ekaterina"},{"family":"Hutchinson","given":"Dana S"},{"family":"Nedergaard","given":"Jan"},{"family":"Bengtsson","given":"Tore"}],"issued":{"date-parts":[["2005",5]]},"PMID":"15665039"}},{"id":344,"uris":["http://zotero.org/users/171999/items/UP2NTDWF"],"uri":["http://zotero.org/users/171999/items/UP2NTDWF"],"itemData":{"id":344,"type":"article-journal","title":"Beta-adrenoceptors, but not alpha-adrenoceptors, stimulate AMP-activated protein kinase in brown adipocytes independently of uncoupling protein-1","container-title":"Diabetologia","page":"2386-2395","volume":"48","issue":"11","source":"NCBI PubMed","abstract":"AIMS/HYPOTHESIS: Brown adipocytes provide a potentially important model system for understanding AMP-activated protein kinase (AMPK) regulation, where adrenergic stimulation leads to mitochondrial uncoupling through uncoupling protein-1 (UCP1) activity. AMPK is a sensor of energy homeostasis and has been implicated in glucose and lipid metabolism in several insulin-sensitive tissues. The aim of this study was to characterise the potential role of AMPK in adrenergically mediated glucose uptake and to find out whether UCP1 is involved in the adrenergic activation of AMPK.\nMETHODS: We used primary brown adipocytes differentiated in culture and measured AMPK phosphorylation and glucose uptake following adrenergic activation.\nRESULTS: Treatment of adipocytes with noradrenaline (norepinephrine) caused phosphorylation of AMPK via beta-adrenoceptors and not alpha(1)- or alpha(2)-adrenoceptors. This effect was not beta(3)-adrenoceptor specific, since responses remained intact in adipocytes from beta(3)-adrenoceptor knock-out mice. These effects were also mimicked by forskolin and cAMP analogues. Treatment of cells with adenine 8-beta-D-arabinofuranoside, an AMPK inhibitor, partially blocked beta-adrenoceptor-mediated increases in glucose uptake. Brown adipocytes are characterised by the production of UCP1, which can uncouple the mitochondria. Using adipocytes from Ucp1(+/+) and Ucp1(-/-) mice, we showed that noradrenaline-mediated phosphorylation of AMPK does not require the presence or activity of UCP1.\nCONCLUSIONS/INTERPRETATION: These results suggest a pathway where increases in cAMP mediated by beta-adrenoceptors leads to activation of AMPK in brown adipocytes, which contributes in part to beta-adrenoceptor-mediated increases in glucose uptake, an effect independent of the presence or function of UCP1.","DOI":"10.1007/s00125-005-1936-7","ISSN":"0012-186X","note":"PMID: 16160864","journalAbbreviation":"Diabetologia","language":"eng","author":[{"family":"Hutchinson","given":"D S"},{"family":"Chernogubova","given":"E"},{"family":"Dallner","given":"O S"},{"family":"Cannon","given":"B"},{"family":"Bengtsson","given":"T"}],"issued":{"date-parts":[["2005",11]]},"PMID":"16160864"}}],"schema":"https://github.com/citation-style-language/schema/raw/master/csl-citation.json"} </w:instrText>
      </w:r>
      <w:r w:rsidR="009F43B4">
        <w:fldChar w:fldCharType="separate"/>
      </w:r>
      <w:r w:rsidR="000A492A" w:rsidRPr="000A492A">
        <w:rPr>
          <w:vertAlign w:val="superscript"/>
        </w:rPr>
        <w:t>236,237</w:t>
      </w:r>
      <w:r w:rsidR="009F43B4">
        <w:fldChar w:fldCharType="end"/>
      </w:r>
      <w:r w:rsidR="00C918B0">
        <w:t xml:space="preserve">  βAR are activated via phosphorylation</w:t>
      </w:r>
      <w:r w:rsidR="003C7BBD">
        <w:t xml:space="preserve"> after catecholamine binding.  </w:t>
      </w:r>
      <w:r w:rsidR="002B318A">
        <w:t xml:space="preserve">cAMP is produced, binds </w:t>
      </w:r>
      <w:r w:rsidR="002B5E74">
        <w:t>PKA</w:t>
      </w:r>
      <w:r w:rsidR="002B318A">
        <w:t xml:space="preserve">, </w:t>
      </w:r>
      <w:r w:rsidR="002B0DEE">
        <w:t>leading to an acute increase in lipolysis and UCP1 activity and chronic increases in UCP1 transcription, mitochondrial biogenesis, BAT hyperplasia, and BAT recruitment within WAT as previously discussed (</w:t>
      </w:r>
      <w:r w:rsidR="002B0DEE" w:rsidRPr="00126839">
        <w:rPr>
          <w:color w:val="FF0000"/>
        </w:rPr>
        <w:t xml:space="preserve">Figure </w:t>
      </w:r>
      <w:r w:rsidR="00DF2EAF">
        <w:rPr>
          <w:color w:val="FF0000"/>
        </w:rPr>
        <w:t>4</w:t>
      </w:r>
      <w:r w:rsidR="002B0DEE">
        <w:t>).</w:t>
      </w:r>
      <w:r w:rsidR="002B0DEE">
        <w:fldChar w:fldCharType="begin"/>
      </w:r>
      <w:r w:rsidR="00636862">
        <w:instrText xml:space="preserve"> ADDIN ZOTERO_ITEM CSL_CITATION {"citationID":"nzz06yxI","properties":{"formattedCitation":"{\\rtf \\super 179\\nosupersub{}}","plainCitation":"179"},"citationItems":[{"id":1407,"uris":["http://zotero.org/users/171999/items/68QVIZE8"],"uri":["http://zotero.org/users/171999/items/68QVIZE8"],"itemData":{"id":1407,"type":"article-journal","title":"Towards a molecular understanding of adaptive thermogenesis","container-title":"Nature","page":"652-660","volume":"404","issue":"6778","source":"NCBI PubMed","abstract":"Obesity results when energy intake exceeds energy expenditure. Naturally occurring genetic mutations, as well as ablative lesions, have shown that the brain regulates both aspects of energy balance and that abnormalities in energy expenditure contribute to the development of obesity. Energy can be expended by performing work or producing heat (thermogenesis). Adaptive thermogenesis, or the regulated production of heat, is influenced by environmental temperature and diet. Mitochondria, the organelles that convert food to carbon dioxide, water and ATP, are fundamental in mediating effects on energy dissipation. Recently, there have been significant advances in understanding the molecular regulation of energy expenditure in mitochondria and the mechanisms of transcriptional control of mitochondrial genes. Here we explore these developments in relation to classical physiological views of adaptive thermogenesis.","DOI":"10.1038/35007527","ISSN":"0028-0836","note":"PMID: 10766252","journalAbbreviation":"Nature","language":"eng","author":[{"family":"Lowell","given":"B B"},{"family":"Spiegelman","given":"B M"}],"issued":{"date-parts":[["2000",4,6]]},"PMID":"10766252"}}],"schema":"https://github.com/citation-style-language/schema/raw/master/csl-citation.json"} </w:instrText>
      </w:r>
      <w:r w:rsidR="002B0DEE">
        <w:fldChar w:fldCharType="separate"/>
      </w:r>
      <w:r w:rsidR="00636862" w:rsidRPr="00636862">
        <w:rPr>
          <w:vertAlign w:val="superscript"/>
        </w:rPr>
        <w:t>179</w:t>
      </w:r>
      <w:r w:rsidR="002B0DEE">
        <w:fldChar w:fldCharType="end"/>
      </w:r>
    </w:p>
    <w:p w:rsidR="002B5E74" w:rsidRDefault="004C387F" w:rsidP="00197D02">
      <w:pPr>
        <w:contextualSpacing/>
      </w:pPr>
      <w:r>
        <w:tab/>
      </w:r>
      <w:r w:rsidR="002B5E74">
        <w:t xml:space="preserve">The final aspect of endocrine control involves adipokines, </w:t>
      </w:r>
      <w:r>
        <w:t xml:space="preserve">cell signaling proteins secreted by adipocytes.  </w:t>
      </w:r>
      <w:r w:rsidR="00970588">
        <w:t>While t</w:t>
      </w:r>
      <w:r>
        <w:t xml:space="preserve">here are </w:t>
      </w:r>
      <w:r w:rsidR="00CB3C25">
        <w:t>many members of this family</w:t>
      </w:r>
      <w:r w:rsidR="00970588">
        <w:t>,</w:t>
      </w:r>
      <w:r w:rsidR="006B0C70">
        <w:t xml:space="preserve"> leptin </w:t>
      </w:r>
      <w:r w:rsidR="002B5E74">
        <w:t xml:space="preserve">(previously discussed) </w:t>
      </w:r>
      <w:r w:rsidR="006B0C70">
        <w:t xml:space="preserve">and </w:t>
      </w:r>
      <w:r w:rsidR="00CB3C25">
        <w:t>adip</w:t>
      </w:r>
      <w:r w:rsidR="006B0C70">
        <w:t xml:space="preserve">onectin are two key adipokines involved in </w:t>
      </w:r>
      <w:r w:rsidR="006B0C70">
        <w:lastRenderedPageBreak/>
        <w:t>energy metabolism</w:t>
      </w:r>
      <w:r w:rsidR="00CB3C25">
        <w:t xml:space="preserve">.  </w:t>
      </w:r>
      <w:r w:rsidRPr="003A0EF9">
        <w:t>Adiponectin is secreted by adipocytes in negative proportion to the level of fat mass.</w:t>
      </w:r>
      <w:r w:rsidRPr="003A0EF9">
        <w:fldChar w:fldCharType="begin"/>
      </w:r>
      <w:r w:rsidR="000A492A">
        <w:instrText xml:space="preserve"> ADDIN ZOTERO_ITEM CSL_CITATION {"citationID":"rco4lofgv","properties":{"formattedCitation":"{\\rtf \\super 238\\nosupersub{}}","plainCitation":"238"},"citationItems":[{"id":567,"uris":["http://zotero.org/users/171999/items/C9SE7NGS"],"uri":["http://zotero.org/users/171999/items/C9SE7NGS"],"itemData":{"id":567,"type":"article-journal","title":"Paradoxical decrease of an adipose-specific protein, adiponectin, in obesity","container-title":"Biochemical and biophysical research communications","page":"79-83","volume":"257","issue":"1","source":"NCBI PubMed","abstract":"We isolated the human adipose-specific and most abundant gene transcript, apM1 (Maeda, K., et al., Biochem. Biophys. Res. Commun. 221, 286-289, 1996). The apM1 gene product was a kind of soluble matrix protein, which we named adiponectin. To quantitate the plasma adiponectin concentration, we have produced monoclonal and polyclonal antibodies for human adiponectin and developed an enzyme-linked immunosorbent assay (ELISA) system. Adiponectin was abundantly present in the plasma of healthy volunteers in the range from 1.9 to 17.0 mg/ml. Plasma concentrations of adiponectin in obese subjects were significantly lower than those in non-obese subjects, although adiponectin is secreted only from adipose tissue. The ELISA system developed in this study will be useful for elucidating the physiological and pathophysiological role of adiponectin in humans.","ISSN":"0006-291X","note":"PMID: 10092513","journalAbbreviation":"Biochem. Biophys. Res. Commun.","language":"eng","author":[{"family":"Arita","given":"Y"},{"family":"Kihara","given":"S"},{"family":"Ouchi","given":"N"},{"family":"Takahashi","given":"M"},{"family":"Maeda","given":"K"},{"family":"Miyagawa","given":"J"},{"family":"Hotta","given":"K"},{"family":"Shimomura","given":"I"},{"family":"Nakamura","given":"T"},{"family":"Miyaoka","given":"K"},{"family":"Kuriyama","given":"H"},{"family":"Nishida","given":"M"},{"family":"Yamashita","given":"S"},{"family":"Okubo","given":"K"},{"family":"Matsubara","given":"K"},{"family":"Muraguchi","given":"M"},{"family":"Ohmoto","given":"Y"},{"family":"Funahashi","given":"T"},{"family":"Matsuzawa","given":"Y"}],"issued":{"date-parts":[["1999",4,2]]},"PMID":"10092513"}}],"schema":"https://github.com/citation-style-language/schema/raw/master/csl-citation.json"} </w:instrText>
      </w:r>
      <w:r w:rsidRPr="003A0EF9">
        <w:fldChar w:fldCharType="separate"/>
      </w:r>
      <w:r w:rsidR="000A492A" w:rsidRPr="000A492A">
        <w:rPr>
          <w:vertAlign w:val="superscript"/>
        </w:rPr>
        <w:t>238</w:t>
      </w:r>
      <w:r w:rsidRPr="003A0EF9">
        <w:fldChar w:fldCharType="end"/>
      </w:r>
      <w:r w:rsidRPr="003A0EF9">
        <w:t xml:space="preserve">  It has many mechanisms that allow it to have an impact on both insulin sensitivity and metabolism</w:t>
      </w:r>
      <w:r w:rsidR="00585C2D">
        <w:t>.  It promotes pancreatic β-cell survival and decreases hepatic glucose output and lipogenesis.  Within fat tissue, adiponectin upregulates lipid metabolism genes, reduces inflammatory mediators, and increases adipocyte numbers.  Adiponectin also has central brain effects on energy expenditure.</w:t>
      </w:r>
      <w:r w:rsidRPr="003A0EF9">
        <w:fldChar w:fldCharType="begin"/>
      </w:r>
      <w:r w:rsidR="000A492A">
        <w:instrText xml:space="preserve"> ADDIN ZOTERO_ITEM CSL_CITATION {"citationID":"db6FmsWe","properties":{"formattedCitation":"{\\rtf \\super 239\\nosupersub{}}","plainCitation":"239"},"citationItems":[{"id":"OzdjOHfW/Rx2m9LMx","uris":["http://zotero.org/users/local/Ry4zHLbn/items/AQW5Z2WT"],"uri":["http://zotero.org/users/local/Ry4zHLbn/items/AQW5Z2WT"],"itemData":{"id":"OzdjOHfW/Rx2m9LMx","type":"article-journal","title":"Adiponectin: mechanistic insights and clinical implications","container-title":"Diabetologia","page":"2319-2326","volume":"55","issue":"9","source":"NCBI PubMed","abstract":"Adiponectin is an adipocyte-derived secretory protein that has been very widely studied over the past 15 years. A multitude of different functions have been attributed to this adipokine. It has been characterised in vitro at the level of tissue culture systems and in vivo through genetic manipulation of rodent models. It is also widely accepted as a biomarker in clinical studies. Originating in adipose tissue, generally positive metabolic effects have been attributed to adiponectin. In this review, we briefly discuss the key characteristics of this interesting but very complex molecule, highlight recent results in the context of its mechanism of action and summarise some of the key epidemiological data that helped establish adiponectin as a robust biomarker for insulin sensitivity, cardiovascular disease and many additional disease phenomena.","DOI":"10.1007/s00125-012-2598-x","ISSN":"1432-0428","note":"PMID: 22688349","shortTitle":"Adiponectin","journalAbbreviation":"Diabetologia","language":"eng","author":[{"family":"Turer","given":"A T"},{"family":"Scherer","given":"P E"}],"issued":{"year":2012,"month":9},"PMID":"22688349","page-first":"2319","title-short":"Adiponectin","container-title-short":"Diabetologia"}}],"schema":"https://github.com/citation-style-language/schema/raw/master/csl-citation.json"} </w:instrText>
      </w:r>
      <w:r w:rsidRPr="003A0EF9">
        <w:fldChar w:fldCharType="separate"/>
      </w:r>
      <w:r w:rsidR="000A492A" w:rsidRPr="000A492A">
        <w:rPr>
          <w:vertAlign w:val="superscript"/>
        </w:rPr>
        <w:t>239</w:t>
      </w:r>
      <w:r w:rsidRPr="003A0EF9">
        <w:fldChar w:fldCharType="end"/>
      </w:r>
      <w:r w:rsidRPr="003A0EF9">
        <w:t xml:space="preserve">  Adipon</w:t>
      </w:r>
      <w:r>
        <w:t xml:space="preserve">ectin receptors 1 and 2 are </w:t>
      </w:r>
      <w:r w:rsidRPr="003A0EF9">
        <w:t>distributed throughout the body, allowing for the wide range of tissue effects for this adipokine.</w:t>
      </w:r>
      <w:r w:rsidRPr="003A0EF9">
        <w:fldChar w:fldCharType="begin"/>
      </w:r>
      <w:r w:rsidR="000A492A">
        <w:instrText xml:space="preserve"> ADDIN ZOTERO_ITEM CSL_CITATION {"citationID":"ibMzwLTX","properties":{"formattedCitation":"{\\rtf \\super 239,240\\nosupersub{}}","plainCitation":"239,240"},"citationItems":[{"id":303,"uris":["http://zotero.org/users/local/Ry4zHLbn/items/FB96DGNA"],"uri":["http://zotero.org/users/local/Ry4zHLbn/items/FB96DGNA"],"itemData":{"id":303,"type":"article-journal","title":"Cloning of adiponectin receptors that mediate antidiabetic metabolic effects","container-title":"Nature","page":"762-769","volume":"423","issue":"6941","source":"NCBI PubMed","abstract":"Adiponectin (also known as 30-kDa adipocyte complement-related protein; Acrp30) is a hormone secreted by adipocytes that acts as an antidiabetic and anti-atherogenic adipokine. Levels of adiponectin in the blood are decreased under conditions of obesity, insulin resistance and type 2 diabetes. Administration of adiponectin causes glucose-lowering effects and ameliorates insulin resistance in mice. Conversely, adiponectin-deficient mice exhibit insulin resistance and diabetes. This insulin-sensitizing effect of adiponectin seems to be mediated by an increase in fatty-acid oxidation through activation of AMP kinase and PPAR-alpha. Here we report the cloning of complementary DNAs encoding adiponectin receptors 1 and 2 (AdipoR1 and AdipoR2) by expression cloning. AdipoR1 is abundantly expressed in skeletal muscle, whereas AdipoR2 is predominantly expressed in the liver. These two adiponectin receptors are predicted to contain seven transmembrane domains, but to be structurally and functionally distinct from G-protein-coupled receptors. Expression of AdipoR1/R2 or suppression of AdipoR1/R2 expression by small-interfering RNA supports our conclusion that they serve as receptors for globular and full-length adiponectin, and that they mediate increased AMP kinase and PPAR-alpha ligand activities, as well as fatty-acid oxidation and glucose uptake by adiponectin.","DOI":"10.1038/nature01705","ISSN":"0028-0836","note":"PMID: 12802337","journalAbbreviation":"Nature","language":"eng","author":[{"family":"Yamauchi","given":"Toshimasa"},{"family":"Kamon","given":"Junji"},{"family":"Ito","given":"Yusuke"},{"family":"Tsuchida","given":"Atsushi"},{"family":"Yokomizo","given":"Takehiko"},{"family":"Kita","given":"Shunbun"},{"family":"Sugiyama","given":"Takuya"},{"family":"Miyagishi","given":"Makoto"},{"family":"Hara","given":"Kazuo"},{"family":"Tsunoda","given":"Masaki"},{"family":"Murakami","given":"Koji"},{"family":"Ohteki","given":"Toshiaki"},{"family":"Uchida","given":"Shoko"},{"family":"Takekawa","given":"Sato"},{"family":"Waki","given":"Hironori"},{"family":"Tsuno","given":"Nelson H"},{"family":"Shibata","given":"Yoichi"},{"family":"Terauchi","given":"Yasuo"},{"family":"Froguel","given":"Philippe"},{"family":"Tobe","given":"Kazuyuki"},{"family":"Koyasu","given":"Shigeo"},{"family":"Taira","given":"Kazunari"},{"family":"Kitamura","given":"Toshio"},{"family":"Shimizu","given":"Takao"},{"family":"Nagai","given":"Ryozo"},{"family":"Kadowaki","given":"Takashi"}],"issued":{"date-parts":[["2003",6,12]]},"PMID":"12802337"}},{"id":305,"uris":["http://zotero.org/users/local/Ry4zHLbn/items/AQW5Z2WT"],"uri":["http://zotero.org/users/local/Ry4zHLbn/items/AQW5Z2WT"],"itemData":{"id":305,"type":"article-journal","title":"Adiponectin: mechanistic insights and clinical implications","container-title":"Diabetologia","page":"2319-2326","volume":"55","issue":"9","source":"NCBI PubMed","abstract":"Adiponectin is an adipocyte-derived secretory protein that has been very widely studied over the past 15 years. A multitude of different functions have been attributed to this adipokine. It has been characterised in vitro at the level of tissue culture systems and in vivo through genetic manipulation of rodent models. It is also widely accepted as a biomarker in clinical studies. Originating in adipose tissue, generally positive metabolic effects have been attributed to adiponectin. In this review, we briefly discuss the key characteristics of this interesting but very complex molecule, highlight recent results in the context of its mechanism of action and summarise some of the key epidemiological data that helped establish adiponectin as a robust biomarker for insulin sensitivity, cardiovascular disease and many additional disease phenomena.","DOI":"10.1007/s00125-012-2598-x","ISSN":"1432-0428","note":"PMID: 22688349","shortTitle":"Adiponectin","journalAbbreviation":"Diabetologia","language":"eng","author":[{"family":"Turer","given":"A T"},{"family":"Scherer","given":"P E"}],"issued":{"date-parts":[["2012",9]]},"PMID":"22688349"}}],"schema":"https://github.com/citation-style-language/schema/raw/master/csl-citation.json"} </w:instrText>
      </w:r>
      <w:r w:rsidRPr="003A0EF9">
        <w:fldChar w:fldCharType="separate"/>
      </w:r>
      <w:r w:rsidR="000A492A" w:rsidRPr="000A492A">
        <w:rPr>
          <w:vertAlign w:val="superscript"/>
        </w:rPr>
        <w:t>239,240</w:t>
      </w:r>
      <w:r w:rsidRPr="003A0EF9">
        <w:fldChar w:fldCharType="end"/>
      </w:r>
      <w:r w:rsidRPr="003A0EF9">
        <w:t xml:space="preserve">  There are three forms of adiponectin  in circulation: trimers, hexamers [low molecular weight oligomer (LMW)], and high-molecular weight multimers (HMW), with LMW and HMW being the predominant forms in human plasma.</w:t>
      </w:r>
      <w:r w:rsidRPr="003A0EF9">
        <w:fldChar w:fldCharType="begin"/>
      </w:r>
      <w:r w:rsidR="000A492A">
        <w:instrText xml:space="preserve"> ADDIN ZOTERO_ITEM CSL_CITATION {"citationID":"8rn2xy2p","properties":{"formattedCitation":"{\\rtf \\super 241\\nosupersub{}}","plainCitation":"241"},"citationItems":[{"id":301,"uris":["http://zotero.org/users/local/Ry4zHLbn/items/2RXA6NFE"],"uri":["http://zotero.org/users/local/Ry4zHLbn/items/2RXA6NFE"],"itemData":{"id":301,"type":"article-journal","title":"Adiponectin--journey from an adipocyte secretory protein to biomarker of the metabolic syndrome","container-title":"Journal of internal medicine","page":"167-175","volume":"257","issue":"2","source":"NCBI PubMed","abstract":"Adiponectin is an adipocyte-derived hormone that was discovered in 1995. Unlike leptin, which was identified around the same time, the clinical relevance of adiponectin remained obscure for a number of years. However, starting in 2001, several studies were published from different laboratories that highlighted the potential antidiabetic, antiatherosclerotic and anti-inflammatory properties of this protein complex. Methods to measure the protein with high throughput assays in clinical samples were developed shortly thereafter, and as a result hundreds of clinical studies have been published over the past 3 years describing the role of adiponectin in endocrine and metabolic dysfunction. Furthermore, adiponectin research has expanded to include a role for adiponectin in cancer and other disease areas. Although it is an impossible task to summarize the findings from all these studies in a single review, we aim to demonstrate the utility of circulating adiponectin as a biomarker of the metabolic syndrome. Evidence for this relationship will include how decreased levels of plasma adiponectin ('hypoadiponectinaemia') are associated with increased body mass index (BMI), decreased insulin sensitivity, less favourable plasma lipid profiles, increased levels of inflammatory markers and increased risk for the development of cardiovascular disease. Therefore, adiponectin levels hold great promise for use in clinical application serving as a potent indicator of underlying metabolic complications.","DOI":"10.1111/j.1365-2796.2004.01426.x","ISSN":"0954-6820","note":"PMID: 15656875","journalAbbreviation":"J. Intern. Med.","language":"eng","author":[{"family":"Trujillo","given":"M E"},{"family":"Scherer","given":"P E"}],"issued":{"date-parts":[["2005",2]]},"PMID":"15656875"}}],"schema":"https://github.com/citation-style-language/schema/raw/master/csl-citation.json"} </w:instrText>
      </w:r>
      <w:r w:rsidRPr="003A0EF9">
        <w:fldChar w:fldCharType="separate"/>
      </w:r>
      <w:r w:rsidR="000A492A" w:rsidRPr="000A492A">
        <w:rPr>
          <w:vertAlign w:val="superscript"/>
        </w:rPr>
        <w:t>241</w:t>
      </w:r>
      <w:r w:rsidRPr="003A0EF9">
        <w:fldChar w:fldCharType="end"/>
      </w:r>
      <w:r w:rsidRPr="003A0EF9">
        <w:t xml:space="preserve">  LMW and HMW adiponectin are able to bind to T-cadherin, another receptor located in endothelial and smooth muscle cells.</w:t>
      </w:r>
      <w:r w:rsidRPr="003A0EF9">
        <w:fldChar w:fldCharType="begin"/>
      </w:r>
      <w:r w:rsidR="000A492A">
        <w:instrText xml:space="preserve"> ADDIN ZOTERO_ITEM CSL_CITATION {"citationID":"M5aXws1R","properties":{"formattedCitation":"{\\rtf \\super 242\\nosupersub{}}","plainCitation":"242"},"citationItems":[{"id":307,"uris":["http://zotero.org/users/local/Ry4zHLbn/items/MJBVQ57M"],"uri":["http://zotero.org/users/local/Ry4zHLbn/items/MJBVQ57M"],"itemData":{"id":307,"type":"article-journal","title":"T-cadherin is a receptor for hexameric and high-molecular-weight forms of Acrp30/adiponectin","container-title":"Proceedings of the National Academy of Sciences of the United States of America","page":"10308-10313","volume":"101","issue":"28","source":"NCBI PubMed","abstract":"Acrp30/adiponectin is reduced in the serum of obese and diabetic individuals, and the genetic locus of adiponectin is linked to the metabolic syndrome. Recombinant adiponectin, administered to diet-induced obese mice, induced weight loss and improved insulin sensitivity. In muscle and liver, adiponectin stimulates AMP-activated protein kinase activation and fatty acid oxidation. To expression-clone molecules capable of binding adiponectin, we transduced a C2C12 myoblast cDNA retroviral expression library into Ba/F3 cells and panned infected cells on recombinant adiponectin linked to magnetic beads. We identified T-cadherin as a receptor for the hexameric and high-molecular-weight species of adiponectin but not for the trimeric or globular species. Only eukaryotically expressed adiponectin bound to T-cadherin, implying that posttranslational modifications of adiponectin are critical for binding. An adiponectin mutant lacking a conserved N-terminal cysteine residue required for formation of hexamer and high-molecular-weight species did not bind T-cadherin in coimmunoprecipitation studies. Although lacking known cellular functions, T-cadherin is expressed in endothelial and smooth muscle cells, where it is positioned to interact with adiponectin. Because T-cadherin is a glycosylphosphatidylinositol-anchored extracellular protein, it may act as a coreceptor for an as-yet-unidentified signaling receptor through which adiponectin transmits metabolic signals.","DOI":"10.1073/pnas.0403382101","ISSN":"0027-8424","note":"PMID: 15210937","journalAbbreviation":"Proc. Natl. Acad. Sci. U.S.A.","language":"eng","author":[{"family":"Hug","given":"Christopher"},{"family":"Wang","given":"Jin"},{"family":"Ahmad","given":"Naina Shehzeen"},{"family":"Bogan","given":"Jonathan S"},{"family":"Tsao","given":"Tsu-Shuen"},{"family":"Lodish","given":"Harvey F"}],"issued":{"date-parts":[["2004",7,13]]},"PMID":"15210937"}}],"schema":"https://github.com/citation-style-language/schema/raw/master/csl-citation.json"} </w:instrText>
      </w:r>
      <w:r w:rsidRPr="003A0EF9">
        <w:fldChar w:fldCharType="separate"/>
      </w:r>
      <w:r w:rsidR="000A492A" w:rsidRPr="000A492A">
        <w:rPr>
          <w:vertAlign w:val="superscript"/>
        </w:rPr>
        <w:t>242</w:t>
      </w:r>
      <w:r w:rsidRPr="003A0EF9">
        <w:fldChar w:fldCharType="end"/>
      </w:r>
      <w:r w:rsidRPr="003A0EF9">
        <w:t xml:space="preserve">  There is also speculation that other adiponectin receptors exist, </w:t>
      </w:r>
      <w:r>
        <w:t xml:space="preserve">although firm evidence is </w:t>
      </w:r>
      <w:r w:rsidRPr="003A0EF9">
        <w:t>pending.</w:t>
      </w:r>
      <w:r w:rsidRPr="003A0EF9">
        <w:fldChar w:fldCharType="begin"/>
      </w:r>
      <w:r w:rsidR="000A492A">
        <w:instrText xml:space="preserve"> ADDIN ZOTERO_ITEM CSL_CITATION {"citationID":"CE0mmKmD","properties":{"formattedCitation":"{\\rtf \\super 243\\uc0\\u8211{}245\\nosupersub{}}","plainCitation":"243–245"},"citationItems":[{"id":309,"uris":["http://zotero.org/users/local/Ry4zHLbn/items/PAT4C7UG"],"uri":["http://zotero.org/users/local/Ry4zHLbn/items/PAT4C7UG"],"itemData":{"id":309,"type":"article-journal","title":"Adiponectin enhances insulin sensitivity by increasing hepatic IRS-2 expression via a macrophage-derived IL-6-dependent pathway","container-title":"Cell metabolism","page":"401-412","volume":"13","issue":"4","source":"NCBI PubMed","abstract":"Insulin resistance is often associated with impeded insulin signaling due either to decreased concentrations or functional modifications of crucial signaling molecules including insulin receptor substrates (IRS) in the liver. Many actions of adiponectin, a well-recognized antidiabetic adipokine, are currently attributed to the activation of two critical molecules downstream of AdipoR1 and R2: AMP-activated kinase (AMPK) and peroxisome proliferator-activated receptor α (PPARα). However, the direct effects of adiponectin on insulin signaling molecules remain poorly understood. We show here that adiponectin upregulates IRS-2 through activation of signal transducer and activator of transcription-3 (STAT3). Surprisingly, this activation is associated with IL-6 production from macrophages induced by adiponectin through NFκB activation independent of its authentic receptors, AdipoR1 and AdipoR2. These data have unraveled an insulin-sensitizing action initiated by adiponectin leading to upregulation of hepatic IRS-2 via an IL-6 dependent pathway through a still unidentified adiponectin receptor.","DOI":"10.1016/j.cmet.2011.02.010","ISSN":"1932-7420","note":"PMID: 21459325","journalAbbreviation":"Cell Metab.","language":"eng","author":[{"family":"Awazawa","given":"Motoharu"},{"family":"Ueki","given":"Kohjiro"},{"family":"Inabe","given":"Kazunori"},{"family":"Yamauchi","given":"Toshimasa"},{"family":"Kubota","given":"Naoto"},{"family":"Kaneko","given":"Kazuma"},{"family":"Kobayashi","given":"Masatoshi"},{"family":"Iwane","given":"Aya"},{"family":"Sasako","given":"Takayoshi"},{"family":"Okazaki","given":"Yukiko"},{"family":"Ohsugi","given":"Mitsuru"},{"family":"Takamoto","given":"Iseki"},{"family":"Yamashita","given":"Satoshi"},{"family":"Asahara","given":"Hiroshi"},{"family":"Akira","given":"Shizuo"},{"family":"Kasuga","given":"Masato"},{"family":"Kadowaki","given":"Takashi"}],"issued":{"date-parts":[["2011",4,6]]},"PMID":"21459325"}},{"id":311,"uris":["http://zotero.org/users/local/Ry4zHLbn/items/PEGGJ36F"],"uri":["http://zotero.org/users/local/Ry4zHLbn/items/PEGGJ36F"],"itemData":{"id":311,"type":"article-journal","title":"APPL1 binds to adiponectin receptors and mediates adiponectin signalling and function","container-title":"Nature cell biology","page":"516-523","volume":"8","issue":"5","source":"NCBI PubMed","abstract":"Adiponectin, also known as Acrp30, is an adipose tissue-derived hormone with anti-atherogenic, anti-diabetic and insulin sensitizing properties. Two seven-transmembrane domain-containing proteins, AdipoR1 and AdipoR2, have recently been identified as adiponectin receptors, yet signalling events downstream of these receptors remain poorly defined. By using the cytoplasmic domain of AdipoR1 as bait, we screened a yeast two-hybrid cDNA library derived from human fetal brain. This screening led to the identification of a phosphotyrosine binding domain and a pleckstrin homology domain-containing adaptor protein, APPL1 (adaptor protein containing pleckstrin homology domain, phosphotyrosine binding (PTB) domain and leucine zipper motif). APPL1 interacts with adiponectin receptors in mammalian cells and the interaction is stimulated by adiponectin. Overexpression of APPL1 increases, and suppression of APPL1 level reduces, adiponectin signalling and adiponectin-mediated downstream events (such as lipid oxidation, glucose uptake and the membrane translocation of glucose transport 4 (GLUT4)). Adiponectin stimulates the interaction between APPL1 and Rab5 (a small GTPase) interaction, leading to increased GLUT4 membrane translocation. APPL1 also acts as a critical regulator of the crosstalk between adiponectin signalling and insulin signalling pathways. These results demonstrate a key function for APPL1 in adiponectin signalling and provide a molecular mechanism for the insulin sensitizing function of adiponectin.","DOI":"10.1038/ncb1404","ISSN":"1465-7392","note":"PMID: 16622416","journalAbbreviation":"Nat. Cell Biol.","language":"eng","author":[{"family":"Mao","given":"Xuming"},{"family":"Kikani","given":"Chintan K"},{"family":"Riojas","given":"Ramon A"},{"family":"Langlais","given":"Paul"},{"family":"Wang","given":"Lixin"},{"family":"Ramos","given":"Fresnida J"},{"family":"Fang","given":"Qichen"},{"family":"Christ-Roberts","given":"Christine Y"},{"family":"Hong","given":"Jenny Y"},{"family":"Kim","given":"Ryang-Yeo"},{"family":"Liu","given":"Feng"},{"family":"Dong","given":"Lily Q"}],"issued":{"date-parts":[["2006",5]]},"PMID":"16622416"}},{"id":313,"uris":["http://zotero.org/users/local/Ry4zHLbn/items/GBD3KHV7"],"uri":["http://zotero.org/users/local/Ry4zHLbn/items/GBD3KHV7"],"itemData":{"id":313,"type":"article-journal","title":"Adiponectin receptor binding proteins--recent advances in elucidating adiponectin signalling pathways","container-title":"FEBS letters","page":"4280-4286","volume":"584","issue":"20","source":"NCBI PubMed","abstract":"Adiponectin whose systemic levels are reduced in obesity-related diseases ameliorates insulin sensitivity and regulates biological processes like apoptosis, proliferation, migration and inflammation. Adiponectin binds to adiponectin receptors, AdipoR1 and AdipoR2, which are ubiquitously expressed. Clathrin-dependent endocytosis of AdipoR1 and adiponectin has been demonstrated to modulate adiponectin bioactivity. Recently, APPL1 has been identified as an AdipoR1 and AdipoR2 binding protein. Furthermore, activated protein kinase C1, endoplasmic reticulum protein 46 and protein kinase CK2β subunit form a complex with AdipoR1. This review summarizes recent studies exploiting heterologous expression of adiponectin receptors in yeast, and the type and function of the recently described adiponectin receptor associated proteins.","DOI":"10.1016/j.febslet.2010.09.035","ISSN":"1873-3468","note":"PMID: 20875820","journalAbbreviation":"FEBS Lett.","language":"eng","author":[{"family":"Buechler","given":"Christa"},{"family":"Wanninger","given":"Josef"},{"family":"Neumeier","given":"Markus"}],"issued":{"date-parts":[["2010",10,22]]},"PMID":"20875820"}}],"schema":"https://github.com/citation-style-language/schema/raw/master/csl-citation.json"} </w:instrText>
      </w:r>
      <w:r w:rsidRPr="003A0EF9">
        <w:fldChar w:fldCharType="separate"/>
      </w:r>
      <w:r w:rsidR="000A492A" w:rsidRPr="000A492A">
        <w:rPr>
          <w:vertAlign w:val="superscript"/>
        </w:rPr>
        <w:t>243–245</w:t>
      </w:r>
      <w:r w:rsidRPr="003A0EF9">
        <w:fldChar w:fldCharType="end"/>
      </w:r>
      <w:r w:rsidRPr="003A0EF9">
        <w:t xml:space="preserve">  HMW adiponectin is suspected to be the active form of the adipokine in people, as low levels are associated with upper body fat distribution, insulin resistance, impaired lipid oxidation, and dyslipidemia.</w:t>
      </w:r>
      <w:r w:rsidRPr="003A0EF9">
        <w:fldChar w:fldCharType="begin"/>
      </w:r>
      <w:r w:rsidR="000A492A">
        <w:instrText xml:space="preserve"> ADDIN ZOTERO_ITEM CSL_CITATION {"citationID":"RTTteNGD","properties":{"formattedCitation":"{\\rtf \\super 246,247\\nosupersub{}}","plainCitation":"246,247"},"citationItems":[{"id":315,"uris":["http://zotero.org/users/local/Ry4zHLbn/items/PXKRDFJ2"],"uri":["http://zotero.org/users/local/Ry4zHLbn/items/PXKRDFJ2"],"itemData":{"id":315,"type":"article-journal","title":"Adiponectin multimeric complexes and the metabolic syndrome trait cluster","container-title":"Diabetes","page":"249-259","volume":"55","issue":"1","source":"NCBI PubMed","abstract":"Adiponectin circulates in human plasma mainly as a 180-kDa low molecular weight (LMW) hexamer and a high molecular weight (HMW) multimer of approximately 360 kDa. We comprehensively examined the relationships between circulating levels of total adiponectin, adiponectin multimers, and the relative distribution (i.e., ratio) of multimeric forms with key features of the metabolic syndrome. Total adiponectin (r = 0.45), HMW (r = 0.47), LMW (r = 0.31), and HMW-to-total adiponectin ratio (r = 0.29) were significantly correlated with insulin-stimulated glucose disposal rate. Similarly, total (r = -0.30), HMW (r = -0.38), and HMW-to-total adiponectin ratio (r = -0.34) were correlated with central fat distribution but not with total fat mass or BMI. Regarding energy metabolism, although there were no effects on resting metabolic rate, total (r = 0.41) and HMW (r = 0.44) were associated with increasing rates of fat oxidation. HMW-to-total adiponectin ratio increased as a function of total adiponectin, and it was HMW quantity (not total or HMW-to-total adiponectin ratio or LMW) that was primarily responsible for all of these relationships. Impact on nuclear magnetic resonance lipoprotein subclasses was assessed. HMW and total adiponectin were correlated with decreases in large VLDL (r = -0.44 and -0.41); decreases in small LDL (r = -0.41 and -0.36) and increases in large LDL (r = 0.36 and 0.30) particle concentrations accompanied by increased LDL particle size (r = 0.47 and 0.39); and increases in large HDL (r = 0.45 and 0.37) and HDL particle size (r = 0.53 and 0.47). Most of these correlations persisted after adjustment for metabolic covariables. In conclusion, first, serum adiponectin is associated with increased insulin sensitivity, reduced abdominal fat, and high basal lipid oxidation; however, it is HMW quantity, not total or HMW-to-total adiponectin ratio, that is primarily responsible for these relationships. Second, reduced quantities of HMW independently recapitulate the lipoprotein subclass profile associated with insulin resistance after correcting for glucose disposal rate and BMI. Finally, HMW adiponectin is an important factor in explaining the metabolic syndrome.","ISSN":"0012-1797","note":"PMID: 16380500","journalAbbreviation":"Diabetes","language":"eng","author":[{"family":"Lara-Castro","given":"Cristina"},{"family":"Luo","given":"Nanlan"},{"family":"Wallace","given":"Penny"},{"family":"Klein","given":"Richard L"},{"family":"Garvey","given":"W Timothy"}],"issued":{"date-parts":[["2006",1]]},"PMID":"16380500"}},{"id":317,"uris":["http://zotero.org/users/local/Ry4zHLbn/items/NQGKKVWX"],"uri":["http://zotero.org/users/local/Ry4zHLbn/items/NQGKKVWX"],"itemData":{"id":317,"type":"article-journal","title":"Complex distribution, not absolute amount of adiponectin, correlates with thiazolidinedione-mediated improvement in insulin sensitivity","container-title":"The Journal of biological chemistry","page":"12152-12162","volume":"279","issue":"13","source":"NCBI PubMed","abstract":"Adiponectin is an adipocyte-specific secretory protein that circulates in serum as a hexamer of relatively low molecular weight (LMW) and a larger multimeric structure of high molecular weight (HMW). Serum levels of the protein correlate with systemic insulin sensitivity. The full-length protein affects hepatic gluconeogenesis through improved insulin sensitivity, and a proteolytic fragment of adiponectin stimulates beta oxidation in muscle. Here, we show that the ratio, and not the absolute amounts, between these two oligomeric forms (HMW to LMW) is critical in determining insulin sensitivity. We define a new index, S(A), that can be calculated as the ratio of HMW/(HMW + LMW). db/db mice, despite similar total adiponectin levels, display decreased S(A) values compared with wild type littermates, as do type II diabetic patients compared with insulin-sensitive individuals. Furthermore, S(A) improves with peroxisome proliferator-activated receptor-gamma agonist treatment (thiazolidinedione; TZD) in mice and humans. We demonstrate that changes in S(A) in a number of type 2 diabetic cohorts serve as a quantitative indicator of improvements in insulin sensitivity obtained during TZD treatment, whereas changes in total serum adiponectin levels do not correlate well at the individual level. Acute alterations in S(A) (DeltaS(A)) are strongly correlated with improvements in hepatic insulin sensitivity and are less relevant as an indicator of improved muscle insulin sensitivity in response to TZD treatment, further underscoring the conclusions from previous clamp studies that suggested that the liver is the primary site of action for the full-length protein. These observations suggest that the HMW adiponectin complex is the active form of this protein, which we directly demonstrate in vivo by its ability to depress serum glucose levels in a dose-dependent manner.","DOI":"10.1074/jbc.M311113200","ISSN":"0021-9258","note":"PMID: 14699128","journalAbbreviation":"J. Biol. Chem.","language":"eng","author":[{"family":"Pajvani","given":"Utpal B"},{"family":"Hawkins","given":"Meredith"},{"family":"Combs","given":"Terry P"},{"family":"Rajala","given":"Michael W"},{"family":"Doebber","given":"Tom"},{"family":"Berger","given":"Joel P"},{"family":"Wagner","given":"John A"},{"family":"Wu","given":"Margaret"},{"family":"Knopps","given":"Annemie"},{"family":"Xiang","given":"Anny H"},{"family":"Utzschneider","given":"Kristina M"},{"family":"Kahn","given":"Steven E"},{"family":"Olefsky","given":"Jerrold M"},{"family":"Buchanan","given":"Thomas A"},{"family":"Scherer","given":"Philipp E"}],"issued":{"date-parts":[["2004",3,26]]},"PMID":"14699128"}}],"schema":"https://github.com/citation-style-language/schema/raw/master/csl-citation.json"} </w:instrText>
      </w:r>
      <w:r w:rsidRPr="003A0EF9">
        <w:fldChar w:fldCharType="separate"/>
      </w:r>
      <w:r w:rsidR="000A492A" w:rsidRPr="000A492A">
        <w:rPr>
          <w:vertAlign w:val="superscript"/>
        </w:rPr>
        <w:t>246,247</w:t>
      </w:r>
      <w:r w:rsidRPr="003A0EF9">
        <w:fldChar w:fldCharType="end"/>
      </w:r>
    </w:p>
    <w:p w:rsidR="00521704" w:rsidRPr="00481607" w:rsidRDefault="004C387F" w:rsidP="00481607">
      <w:pPr>
        <w:ind w:firstLine="720"/>
        <w:contextualSpacing/>
      </w:pPr>
      <w:r w:rsidRPr="003A0EF9">
        <w:t>In dogs, total adiponectin, HMW adiponectin, and the ratio of NMW to total adiponectin have not been associated with insulin sensitivity as they are in people.</w:t>
      </w:r>
      <w:r w:rsidRPr="003A0EF9">
        <w:fldChar w:fldCharType="begin"/>
      </w:r>
      <w:r w:rsidR="000A492A">
        <w:instrText xml:space="preserve"> ADDIN ZOTERO_ITEM CSL_CITATION {"citationID":"FSpLqgvo","properties":{"formattedCitation":"{\\rtf \\super 248\\nosupersub{}}","plainCitation":"248"},"citationItems":[{"id":319,"uris":["http://zotero.org/users/local/Ry4zHLbn/items/RBZIFQW7"],"uri":["http://zotero.org/users/local/Ry4zHLbn/items/RBZIFQW7"],"itemData":{"id":319,"type":"article-journal","title":"Distinct adiponectin profiles might contribute to differences in susceptibility to type 2 diabetes in dogs and humans","container-title":"Domestic animal endocrinology","page":"67-73","volume":"41","issue":"2","source":"NCBI PubMed","abstract":"Dogs develop obesity-associated insulin resistance but not type 2 diabetes mellitus. Low adiponectin is associated with progression to type 2 diabetes in obese humans. The aims of this study were to compare total and high molecular weight (HMW) adiponectin and the ratio of HMW to total adiponectin (S(A)) between dogs and humans and to examine whether total or HMW adiponectin or both are associated with insulin resistance in naturally occurring obese dogs. We compared adiponectin profiles between 10 lean dogs and 10 lean humans and between 6 lean dogs and 6 age- and sex-matched, client-owned obese dogs. Total adiponectin was measured with assays validated in each species. We measured S(A) with velocity centrifugation on sucrose gradients. The effect of total and HMW adiponectin concentrations on MINMOD-estimated insulin sensitivity was assessed with linear regression. Lean dogs had total and HMW adiponectin concentrations three to four times higher than lean humans (total: dogs 32 ± 5.6 mg/L, humans 10 ± 1.3 mg/L, P&lt;0.001; HMW: dogs 25 ± 4.5 mg/L, humans 6 ± 1.3 mg/L, P&lt;0.001) and a higher S(A) (dogs: 0.78 ± 0.05; humans: 0.54 ± 0.08, P = 0.002). Adiponectin concentrations and S(A) were not lower in obese dogs (0.76 ± 0.05 in both groups; P=1). Total adiponectin, HMW adiponectin, and S(A) were not associated with insulin sensitivity in dogs. We propose that differences in adiponectin profiles between humans and dogs might contribute to the propensity of humans but not dogs to develop type 2 diabetes. Dogs with chronic, naturally occurring obesity do not have selectively reduced HMW adiponectin, and adiponectin does not appear to be important in the development of canine obesity-associated insulin resistance.","DOI":"10.1016/j.domaniend.2011.03.003","ISSN":"1879-0054","note":"PMID: 21600725","journalAbbreviation":"Domest. Anim. Endocrinol.","language":"eng","author":[{"family":"Verkest","given":"K R"},{"family":"Rand","given":"J S"},{"family":"Fleeman","given":"L M"},{"family":"Morton","given":"J M"},{"family":"Richards","given":"A A"},{"family":"Rose","given":"F J"},{"family":"Whitehead","given":"J P"}],"issued":{"date-parts":[["2011",8]]},"PMID":"21600725"}}],"schema":"https://github.com/citation-style-language/schema/raw/master/csl-citation.json"} </w:instrText>
      </w:r>
      <w:r w:rsidRPr="003A0EF9">
        <w:fldChar w:fldCharType="separate"/>
      </w:r>
      <w:r w:rsidR="000A492A" w:rsidRPr="000A492A">
        <w:rPr>
          <w:vertAlign w:val="superscript"/>
        </w:rPr>
        <w:t>248</w:t>
      </w:r>
      <w:r w:rsidRPr="003A0EF9">
        <w:fldChar w:fldCharType="end"/>
      </w:r>
      <w:r w:rsidRPr="003A0EF9">
        <w:t xml:space="preserve">  There is conflicting evidence regarding total adiponectin levels in obese dogs.  Some have found obese levels to be similar to levels seen in lean dogs</w:t>
      </w:r>
      <w:r w:rsidR="001266A9">
        <w:t>,</w:t>
      </w:r>
      <w:r w:rsidR="00CC7369">
        <w:fldChar w:fldCharType="begin"/>
      </w:r>
      <w:r w:rsidR="000A492A">
        <w:instrText xml:space="preserve"> ADDIN ZOTERO_ITEM CSL_CITATION {"citationID":"tK1sazmw","properties":{"formattedCitation":"{\\rtf \\super 145,248,249\\nosupersub{}}","plainCitation":"145,248,249"},"citationItems":[{"id":"sfRcBkgw/imMslKgT","uris":["http://zotero.org/users/local/Ry4zHLbn/items/QCR9RKRK"],"uri":["http://zotero.org/users/local/Ry4zHLbn/items/QCR9RKRK"],"itemData":{"id":"sfRcBkgw/imMslKgT","type":"article-journal","title":"The effects of weight loss on adipokines and markers of inflammation in dogs","container-title":"The British journal of nutrition","page":"S11-14","volume":"106 Suppl 1","source":"NCBI PubMed","abstract":"Evidence suggests that adipose tissue-derived adipokines induce mild inflammation and may play a role in insulin resistance associated with diabetes. The present study was designed to examine a series of adipokines and markers of inflammation in dogs before and after a successful weight loss. The study included fasting serum samples from twenty-five dogs before and after a weight-loss programme. Serum C-reactive protein (CRP) and monocyte chemoattractant protein-1 (MCP-1) were measured as indicators of chronic inflammation, while serum adipokines including total adiponectin, high-molecular-weight (HMW) adiponectin, resistin and leptin were also examined. Medians for CRP (before, 10.0 (interquartile range 5.4-15.0) μg/ml; after, 5.6 (interquartile range 3.8-7.0) μg/ml) and MCP-1 (before, 212 (interquartile range 157-288) ng/ml; after, 185 (interquartile range 143-215) ng/ml) decreased significantly after weight loss. Medians for resistin showed a mild, yet significant reduction (before, 67.1 (interquartile range 44.4-88.5) pg/ml; after, 60.5 (interquartile range 32.3-67.1) pg/ml), while leptin showed a dramatic decrease after weight loss (before, 18.9 (interquartile range 10.8-35.4) ng/ml; after, 6.6 (interquartile range 3.9-10.2) ng/ml). Serum total adiponectin and HMW adiponectin were unchanged on all analyses performed. These data suggest that weight loss can decrease chronic inflammation; however, the clinical implications of this decrease are not well elucidated in dogs. Surprisingly, there was no increase in total or HMW serum adiponectin after weight loss, as observed previously in human subjects. The lack of change in total and HMW adiponectin might explain why insulin resistance and type 2 diabetes are less prevalent in obese dogs when compared with humans and cats.","DOI":"10.1017/S0007114511000560","ISSN":"1475-2662","note":"PMID: 22005402","journalAbbreviation":"Br. J. Nutr.","language":"eng","author":[{"family":"Wakshlag","given":"Joseph J"},{"family":"Struble","given":"Angela M"},{"family":"Levine","given":"Corri B"},{"family":"Bushey","given":"Jennifer J"},{"family":"Laflamme","given":"Dorothy P"},{"family":"Long","given":"Grace M"}],"issued":{"year":2011,"month":10},"PMID":"22005402","page-first":"S11","container-title-short":"Br. J. Nutr."}},{"id":"sfRcBkgw/0fwnw5vE","uris":["http://zotero.org/users/local/Ry4zHLbn/items/RBZIFQW7"],"uri":["http://zotero.org/users/local/Ry4zHLbn/items/RBZIFQW7"],"itemData":{"id":"sfRcBkgw/0fwnw5vE","type":"article-journal","title":"Distinct adiponectin profiles might contribute to differences in susceptibility to type 2 diabetes in dogs and humans","container-title":"Domestic animal endocrinology","page":"67-73","volume":"41","issue":"2","source":"NCBI PubMed","abstract":"Dogs develop obesity-associated insulin resistance but not type 2 diabetes mellitus. Low adiponectin is associated with progression to type 2 diabetes in obese humans. The aims of this study were to compare total and high molecular weight (HMW) adiponectin and the ratio of HMW to total adiponectin (S(A)) between dogs and humans and to examine whether total or HMW adiponectin or both are associated with insulin resistance in naturally occurring obese dogs. We compared adiponectin profiles between 10 lean dogs and 10 lean humans and between 6 lean dogs and 6 age- and sex-matched, client-owned obese dogs. Total adiponectin was measured with assays validated in each species. We measured S(A) with velocity centrifugation on sucrose gradients. The effect of total and HMW adiponectin concentrations on MINMOD-estimated insulin sensitivity was assessed with linear regression. Lean dogs had total and HMW adiponectin concentrations three to four times higher than lean humans (total: dogs 32 ± 5.6 mg/L, humans 10 ± 1.3 mg/L, P&lt;0.001; HMW: dogs 25 ± 4.5 mg/L, humans 6 ± 1.3 mg/L, P&lt;0.001) and a higher S(A) (dogs: 0.78 ± 0.05; humans: 0.54 ± 0.08, P = 0.002). Adiponectin concentrations and S(A) were not lower in obese dogs (0.76 ± 0.05 in both groups; P=1). Total adiponectin, HMW adiponectin, and S(A) were not associated with insulin sensitivity in dogs. We propose that differences in adiponectin profiles between humans and dogs might contribute to the propensity of humans but not dogs to develop type 2 diabetes. Dogs with chronic, naturally occurring obesity do not have selectively reduced HMW adiponectin, and adiponectin does not appear to be important in the development of canine obesity-associated insulin resistance.","DOI":"10.1016/j.domaniend.2011.03.003","ISSN":"1879-0054","note":"PMID: 21600725","journalAbbreviation":"Domest. Anim. Endocrinol.","language":"eng","author":[{"family":"Verkest","given":"K R"},{"family":"Rand","given":"J S"},{"family":"Fleeman","given":"L M"},{"family":"Morton","given":"J M"},{"family":"Richards","given":"A A"},{"family":"Rose","given":"F J"},{"family":"Whitehead","given":"J P"}],"issued":{"year":2011,"month":8},"PMID":"21600725","page-first":"67","container-title-short":"Domest. Anim. Endocrinol."}},{"id":"sfRcBkgw/Mv2E0of4","uris":["http://zotero.org/users/local/Ry4zHLbn/items/T3HJ3BEN"],"uri":["http://zotero.org/users/local/Ry4zHLbn/items/T3HJ3BEN"],"itemData":{"id":"sfRcBkgw/Mv2E0of4","type":"article-journal","title":"Improvement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Endocrinol."}}],"schema":"https://github.com/citation-style-language/schema/raw/master/csl-citation.json"} </w:instrText>
      </w:r>
      <w:r w:rsidR="00CC7369">
        <w:fldChar w:fldCharType="separate"/>
      </w:r>
      <w:r w:rsidR="000A492A" w:rsidRPr="000A492A">
        <w:rPr>
          <w:vertAlign w:val="superscript"/>
        </w:rPr>
        <w:t>145,248,249</w:t>
      </w:r>
      <w:r w:rsidR="00CC7369">
        <w:fldChar w:fldCharType="end"/>
      </w:r>
      <w:r w:rsidRPr="003A0EF9">
        <w:t xml:space="preserve"> while others have found lower levels in obese versus lean dogs.</w:t>
      </w:r>
      <w:r w:rsidRPr="003A0EF9">
        <w:fldChar w:fldCharType="begin"/>
      </w:r>
      <w:r w:rsidR="000A492A">
        <w:instrText xml:space="preserve"> ADDIN ZOTERO_ITEM CSL_CITATION {"citationID":"b50ElJko","properties":{"formattedCitation":"{\\rtf \\super 250\\uc0\\u8211{}252\\nosupersub{}}","plainCitation":"250–252"},"citationItems":[{"id":321,"uris":["http://zotero.org/users/local/Ry4zHLbn/items/SAVEQ6DH"],"uri":["http://zotero.org/users/local/Ry4zHLbn/items/SAVEQ6DH"],"itemData":{"id":321,"type":"article-journal","title":"Canine adiponectin: cDNA structure, mRNA expression in adipose tissues and reduced plasma levels in obesity","container-title":"Research in veterinary science","page":"127-132","volume":"80","issue":"2","source":"NCBI PubMed","abstract":"Adiponectin is a protein synthesized and secreted by adipocytes. Decreased adiponectin is responsible for insulin resistance and atherosclerosis associated with human obesity. We obtained a cDNA clone corresponding to canine adiponectin, whose nucleotide and deduced amino acid sequences were highly identical to those of other species. Adiponectin mRNA was detected in adipose tissues, but not in other tissues, of dogs. When 22 adult beagles were given a high-energy diet for 14 weeks, they became obese, showing heavier body weights, higher plasma leptin concentrations, but lower plasma adiponectin concentrations. The adiponectin concentrations of plasma samples collected from 71 dogs visiting veterinary practices were negatively correlated to plasma leptin concentrations, being lower in obese than non-obese dogs. These results are compatible with those reported in other species, and suggest that adiponectin is an index of adiposity and a target molecule for studies on diseases associated with obesity in dogs.","DOI":"10.1016/j.rvsc.2005.05.011","ISSN":"0034-5288","note":"PMID: 16051287","shortTitle":"Canine adiponectin","journalAbbreviation":"Res. Vet. Sci.","language":"eng","author":[{"family":"Ishioka","given":"K"},{"family":"Omachi","given":"A"},{"family":"Sagawa","given":"M"},{"family":"Shibata","given":"H"},{"family":"Honjoh","given":"T"},{"family":"Kimura","given":"K"},{"family":"Saito","given":"M"}],"issued":{"date-parts":[["2006",4]]},"PMID":"16051287"}},{"id":384,"uris":["http://zotero.org/users/171999/items/26SKV3UZ"],"uri":["http://zotero.org/users/171999/items/26SKV3UZ"],"itemData":{"id":384,"type":"article-journal","title":"Effect of weight loss on inflammatory biomarkers in obese dogs","container-title":"Veterinary journal (London, England: 1997)","page":"570-572","volume":"193","issue":"2","source":"NCBI PubMed","abstract":"The objective of this study was to evaluate the effects of weight loss on selected serum inflammatory biomarkers in obese dogs. An experimentally induced bodyweight reduction of approximately 2.5%/week was accompanied by significant decreases in metabolic markers of obesity (lipidic profile, fructosamine, and insulin-like growth factor-1). The concentrations of acute phase proteins and of selected cytokines remained within reference ranges in obese dogs during weight loss, suggesting that significant inflammation was not a major component of this experimental model. However, adiponectin concentrations increased following the period of weight loss suggesting reduced susceptibility of these animals to obesity-related inflammation.","DOI":"10.1016/j.tvjl.2012.02.015","ISSN":"1532-2971","note":"PMID: 22464400","journalAbbreviation":"Vet. J.","language":"eng","author":[{"family":"Tvarijonaviciute","given":"Asta"},{"family":"Tecles","given":"Fernando"},{"family":"Martínez-Subiela","given":"Silvia"},{"family":"Cerón","given":"José J"}],"issued":{"date-parts":[["2012",8]]},"PMID":"22464400"}},{"id":428,"uris":["http://zotero.org/users/171999/items/NVGTTF9T"],"uri":["http://zotero.org/users/171999/items/NVGTTF9T"],"itemData":{"id":428,"type":"article-journal","title":"Comparison of Adipokine Concentrations and Markers of Inflammation in Obese Versus Lean Dogs","container-title":"International Journal of Applied Research in Veterinary Medicine","page":"196-205","volume":"7","issue":"4","source":"ISI Web of Knowledge","abstract":"The purpose of this study was to compare the concentrations of key adipokines and markers of inflammation associated with obesity in a population of healthy lean versus obese pet dogs. Dogs were determined to be in good health based on medical history, physical examination, complete blood count, serum biochemistry profile, and urinalysis. Adult dogs between 2 and 7 years of age were assigned to either the lean group [body condition score (BCS) = 4-5/9; n=39] or the obese group [BCS= 7-9/9; n=37]. Sampling before daily feeding circulating concentrations of C-reactive protein (CRP), adiponectin, resistin, insulin, leptin, interleukin-6 (IL-6) and tumor necrosis factor-alpha (TNT were measured. Groups were compared using Chi-Square and Mann-Whitney U tests. No significant differences between groups were detected in age (p=0.16) or gender (p=0.34). Median CRP concentration was significantly higher in the obese group [median 0.94 ug/ml (0.47-6.22 ug/ml)], versus the lean group [median 0.72 ug/ml (0.45-6.04 ug/ml); p=0.03]. The lean group had higher median adiponectin concentration [median 21.84 ug/ml (3.08-79.14 ug/ml)] compared to the obese group [median 15.27 ug/ml (1.97-42.76 ug/ml); p=0.004]. Statistical analysis for IL-6 and TNF was not performed because &gt; 50% of samples either failed due to methodological issues or were below the level of detection. Differences between groups in insulin, glucose, insulin:glucose ratio, and leptin concentrations were not detected in this study.Additional studies in dogs are warranted to further evaluate mechanisms and clinical significance of adipokines and inflammatory mediators associated with obesity.","ISSN":"1542-2666","note":"WOS:000284802600008","journalAbbreviation":"Int. J. Appl. Res. Vet. Med.","language":"English","author":[{"family":"Eirmann","given":"Laura A."},{"family":"Freeman","given":"Lisa M."},{"family":"Laflamme","given":"Dorothy P."},{"family":"Michel","given":"Kathryn E."},{"family":"Satyaraj","given":"Ebenezer"}],"issued":{"date-parts":[["2009"]]}}}],"schema":"https://github.com/citation-style-language/schema/raw/master/csl-citation.json"} </w:instrText>
      </w:r>
      <w:r w:rsidRPr="003A0EF9">
        <w:fldChar w:fldCharType="separate"/>
      </w:r>
      <w:r w:rsidR="000A492A" w:rsidRPr="000A492A">
        <w:rPr>
          <w:vertAlign w:val="superscript"/>
        </w:rPr>
        <w:t>250–252</w:t>
      </w:r>
      <w:r w:rsidRPr="003A0EF9">
        <w:fldChar w:fldCharType="end"/>
      </w:r>
      <w:r w:rsidRPr="003A0EF9">
        <w:t xml:space="preserve">  Verkest and colleagues compared the two largest studies of the relationship between adiposity and adiponectin levels in dogs</w:t>
      </w:r>
      <w:r>
        <w:t xml:space="preserve"> in order</w:t>
      </w:r>
      <w:r w:rsidRPr="003A0EF9">
        <w:t xml:space="preserve"> to determine if the lack of agreement could be explained.</w:t>
      </w:r>
      <w:r w:rsidRPr="003A0EF9">
        <w:fldChar w:fldCharType="begin"/>
      </w:r>
      <w:r w:rsidR="000A492A">
        <w:instrText xml:space="preserve"> ADDIN ZOTERO_ITEM CSL_CITATION {"citationID":"TVtHcWHb","properties":{"formattedCitation":"{\\rtf \\super 132,250,253\\nosupersub{}}","plainCitation":"132,250,253"},"citationItems":[{"id":321,"uris":["http://zotero.org/users/local/Ry4zHLbn/items/SAVEQ6DH"],"uri":["http://zotero.org/users/local/Ry4zHLbn/items/SAVEQ6DH"],"itemData":{"id":321,"type":"article-journal","title":"Canine adiponectin: cDNA structure, mRNA expression in adipose tissues and reduced plasma levels in obesity","container-title":"Research in veterinary science","page":"127-132","volume":"80","issue":"2","source":"NCBI PubMed","abstract":"Adiponectin is a protein synthesized and secreted by adipocytes. Decreased adiponectin is responsible for insulin resistance and atherosclerosis associated with human obesity. We obtained a cDNA clone corresponding to canine adiponectin, whose nucleotide and deduced amino acid sequences were highly identical to those of other species. Adiponectin mRNA was detected in adipose tissues, but not in other tissues, of dogs. When 22 adult beagles were given a high-energy diet for 14 weeks, they became obese, showing heavier body weights, higher plasma leptin concentrations, but lower plasma adiponectin concentrations. The adiponectin concentrations of plasma samples collected from 71 dogs visiting veterinary practices were negatively correlated to plasma leptin concentrations, being lower in obese than non-obese dogs. These results are compatible with those reported in other species, and suggest that adiponectin is an index of adiposity and a target molecule for studies on diseases associated with obesity in dogs.","DOI":"10.1016/j.rvsc.2005.05.011","ISSN":"0034-5288","note":"PMID: 16051287","shortTitle":"Canine adiponectin","journalAbbreviation":"Res. Vet. Sci.","language":"eng","author":[{"family":"Ishioka","given":"K"},{"family":"Omachi","given":"A"},{"family":"Sagawa","given":"M"},{"family":"Shibata","given":"H"},{"family":"Honjoh","given":"T"},{"family":"Kimura","given":"K"},{"family":"Saito","given":"M"}],"issued":{"date-parts":[["2006",4]]},"PMID":"16051287"}},{"id":325,"uris":["http://zotero.org/users/local/Ry4zHLbn/items/IV9PNVC8"],"uri":["http://zotero.org/users/local/Ry4zHLbn/items/IV9PNVC8"],"itemData":{"id":325,"type":"article-journal","title":"Compensation for obesity-induced insulin resistance in dogs: assessment of the effects of leptin, adiponectin, and glucagon-like peptide-1 using path analysis","container-title":"Domestic animal endocrinology","page":"24-34","volume":"41","issue":"1","source":"NCBI PubMed","abstract":"The hormonal mediators of obesity-induced insulin resistance and compensatory hyperinsulinemia in dogs have not been identified. Plasma samples were obtained after a 24-h fast from 104 client-owned lean, overweight, and obese dogs. Plasma glucose and insulin concentrations were used to calculate insulin sensitivity and β-cell function with the use of the homeostasis model assessment (HOMA(insulin sensitivity) and HOMA(β-cell function), respectively). Path analysis with multivariable linear regression was used to identify whether fasting plasma leptin, adiponectin, or glucagon-like peptide-1 concentrations were associated with adiposity, insulin sensitivity, and basal insulin secretion. None of the dogs were hyperglycemic. In the final path model, adiposity was positively associated with leptin (P &lt; 0.01) and glucagon-like peptide-1 (P = 0.04) concentrations. No significant total effect of adiposity on adiponectin in dogs (P = 0.24) was observed. If there is a direct effect of leptin on adiponectin, then our results indicate that this is a positive relationship, which at least partly counters a negative direct relationship between adiposity and adiponectin. Fasting plasma leptin concentration was directly negatively associated with fasting insulin sensitivity (P = 0.01) and positively associated with β-cell function (P &lt; 0.01), but no direct association was observed between adiponectin concentration and either insulin sensitivity or β-cell function (P = 0.42 and 0.11, respectively). We conclude that dogs compensate effectively for obesity-induced insulin resistance. Fasting plasma leptin concentrations appear to be associated with obesity-associated changes in insulin sensitivity and compensatory hyperinsulinemia in naturally occurring obese dogs. Adiponectin does not appear to be involved in the pathophysiology of obesity-associated changes in insulin sensitivity.","DOI":"10.1016/j.domaniend.2011.02.001","ISSN":"1879-0054","note":"PMID: 21474268","shortTitle":"Compensation for obesity-induced insulin resistance in dogs","journalAbbreviation":"Domest. Anim. Endocrinol.","language":"eng","author":[{"family":"Verkest","given":"K R"},{"family":"Fleeman","given":"L M"},{"family":"Morton","given":"J M"},{"family":"Ishioka","given":"K"},{"family":"Rand","given":"J S"}],"issued":{"date-parts":[["2011",7]]},"PMID":"21474268"}},{"id":329,"uris":["http://zotero.org/users/local/Ry4zHLbn/items/94U8UI9Z"],"uri":["http://zotero.org/users/local/Ry4zHLbn/items/94U8UI9Z"],"itemData":{"id":329,"type":"article-journal","title":"Adiposity and adiponectin in dogs: investigation of causes of discrepant results between two studies","container-title":"Domestic animal endocrinology","page":"35-41","volume":"41","issue":"1","source":"NCBI PubMed","abstract":"Although one study showed lower adiponectin concentrations in obese dogs, other recent studies indicate that adiponectin might not be decreased in obese dogs, raising the possibility that the physiology of adiponectin is different in dogs than in humans. The aim of this study was to investigate possible causes of the discrepancy between the two largest studies to date that assessed the association between adiposity and adiponectin concentration in dogs, including the validity of the assay, laboratory error, and the effects of breed, sex, and neuter status on the relationship between adiposity and adiponectin concentrations. Adiponectin concentrations measured with a previously validated adiponectin ELISA were compared with those estimated by Western blotting analysis of reduced and denatured plasma samples. The possibility of laboratory error and the effect of EDTA anticoagulant and aprotinin were tested. Adiponectin concentration was measured by ELISA in 20 lean dogs (10 male and 10 female, 5 neutered in each sex). There was close correlation between adiponectin concentrations measured by ELISA and those estimated by Western blotting analysis (r = 0.90; P &lt; 0.001). There was no substantial effect of EDTA, aprotinin, or laboratory error on the results. There was confounding by neuter status of the relationship between adiposity and adiponectin concentrations, but adiponectin concentrations were not significantly lower in male than in female lean dogs (females, 36 mg/L; males, 26 mg/L; P &gt; 0.20) and were not significantly lower in intact than in neutered lean male dogs (intact, 28 mg/L; neutered, 23 mg/L; P = 0.49). We conclude that the adiponectin ELISA previously validated for use in dogs appears to be suitable for determination of canine adiponectin concentrations and that testosterone does not appear to have a strong effect on plasma adiponectin concentrations in dogs. Obesity might decrease adiponectin concentrations in intact but not in neutered dogs.","DOI":"10.1016/j.domaniend.2011.03.004","ISSN":"1879-0054","note":"PMID: 21645805","shortTitle":"Adiposity and adiponectin in dogs","journalAbbreviation":"Domest. Anim. Endocrinol.","language":"eng","author":[{"family":"Verkest","given":"K R"},{"family":"Rose","given":"F J"},{"family":"Fleeman","given":"L M"},{"family":"Rand","given":"J S"},{"family":"Morton","given":"J M"},{"family":"Richards","given":"A A"},{"family":"Ishioka","given":"K"},{"family":"Whitehead","given":"J P"}],"issued":{"date-parts":[["2011",7]]},"PMID":"21645805"}}],"schema":"https://github.com/citation-style-language/schema/raw/master/csl-citation.json"} </w:instrText>
      </w:r>
      <w:r w:rsidRPr="003A0EF9">
        <w:fldChar w:fldCharType="separate"/>
      </w:r>
      <w:r w:rsidR="000A492A" w:rsidRPr="000A492A">
        <w:rPr>
          <w:vertAlign w:val="superscript"/>
        </w:rPr>
        <w:t>132,250,253</w:t>
      </w:r>
      <w:r w:rsidRPr="003A0EF9">
        <w:fldChar w:fldCharType="end"/>
      </w:r>
      <w:r w:rsidRPr="003A0EF9">
        <w:t xml:space="preserve">  </w:t>
      </w:r>
      <w:r w:rsidR="008E7AF8">
        <w:t>Both studies utilized the same assay and l</w:t>
      </w:r>
      <w:r w:rsidRPr="003A0EF9">
        <w:t>aboratory error was ruled out and assay results were confirmed</w:t>
      </w:r>
      <w:r w:rsidR="008E7AF8">
        <w:t>.</w:t>
      </w:r>
      <w:r w:rsidRPr="003A0EF9">
        <w:t xml:space="preserve">  The earlier </w:t>
      </w:r>
      <w:r w:rsidR="002B5E74">
        <w:t>Ishioka</w:t>
      </w:r>
      <w:r w:rsidRPr="003A0EF9">
        <w:t xml:space="preserve"> study, which found obese levels to be lower than lean levels of adiponectin, had a higher population of intact</w:t>
      </w:r>
      <w:r w:rsidR="002B5E74">
        <w:t xml:space="preserve"> dogs compared to the Verkest</w:t>
      </w:r>
      <w:r w:rsidRPr="003A0EF9">
        <w:t xml:space="preserve"> study (80% versus 18%).  There was no significant interaction between BCS and neuter status on adiponectin level when approached as individual studies or when the data was combined.  Both studies revealed confounding of BCS on adiponectin concentration because of age,</w:t>
      </w:r>
      <w:r w:rsidR="002B5E74">
        <w:t xml:space="preserve"> while only Verkest</w:t>
      </w:r>
      <w:r w:rsidR="00065688">
        <w:t>’s data</w:t>
      </w:r>
      <w:r w:rsidRPr="003A0EF9">
        <w:t xml:space="preserve"> </w:t>
      </w:r>
      <w:r w:rsidR="00065688">
        <w:t>showed</w:t>
      </w:r>
      <w:r w:rsidRPr="003A0EF9">
        <w:t xml:space="preserve"> confounding due to neuter status.</w:t>
      </w:r>
      <w:r w:rsidRPr="003A0EF9">
        <w:fldChar w:fldCharType="begin"/>
      </w:r>
      <w:r w:rsidR="000A492A">
        <w:instrText xml:space="preserve"> ADDIN ZOTERO_ITEM CSL_CITATION {"citationID":"BNRvzOoK","properties":{"formattedCitation":"{\\rtf \\super 253\\nosupersub{}}","plainCitation":"253"},"citationItems":[{"id":329,"uris":["http://zotero.org/users/local/Ry4zHLbn/items/94U8UI9Z"],"uri":["http://zotero.org/users/local/Ry4zHLbn/items/94U8UI9Z"],"itemData":{"id":329,"type":"article-journal","title":"Adiposity and adiponectin in dogs: investigation of causes of discrepant results between two studies","container-title":"Domestic animal endocrinology","page":"35-41","volume":"41","issue":"1","source":"NCBI PubMed","abstract":"Although one study showed lower adiponectin concentrations in obese dogs, other recent studies indicate that adiponectin might not be decreased in obese dogs, raising the possibility that the physiology of adiponectin is different in dogs than in humans. The aim of this study was to investigate possible causes of the discrepancy between the two largest studies to date that assessed the association between adiposity and adiponectin concentration in dogs, including the validity of the assay, laboratory error, and the effects of breed, sex, and neuter status on the relationship between adiposity and adiponectin concentrations. Adiponectin concentrations measured with a previously validated adiponectin ELISA were compared with those estimated by Western blotting analysis of reduced and denatured plasma samples. The possibility of laboratory error and the effect of EDTA anticoagulant and aprotinin were tested. Adiponectin concentration was measured by ELISA in 20 lean dogs (10 male and 10 female, 5 neutered in each sex). There was close correlation between adiponectin concentrations measured by ELISA and those estimated by Western blotting analysis (r = 0.90; P &lt; 0.001). There was no substantial effect of EDTA, aprotinin, or laboratory error on the results. There was confounding by neuter status of the relationship between adiposity and adiponectin concentrations, but adiponectin concentrations were not significantly lower in male than in female lean dogs (females, 36 mg/L; males, 26 mg/L; P &gt; 0.20) and were not significantly lower in intact than in neutered lean male dogs (intact, 28 mg/L; neutered, 23 mg/L; P = 0.49). We conclude that the adiponectin ELISA previously validated for use in dogs appears to be suitable for determination of canine adiponectin concentrations and that testosterone does not appear to have a strong effect on plasma adiponectin concentrations in dogs. Obesity might decrease adiponectin concentrations in intact but not in neutered dogs.","DOI":"10.1016/j.domaniend.2011.03.004","ISSN":"1879-0054","note":"PMID: 21645805","shortTitle":"Adiposity and adiponectin in dogs","journalAbbreviation":"Domest. Anim. Endocrinol.","language":"eng","author":[{"family":"Verkest","given":"K R"},{"family":"Rose","given":"F J"},{"family":"Fleeman","given":"L M"},{"family":"Rand","given":"J S"},{"family":"Morton","given":"J M"},{"family":"Richards","given":"A A"},{"family":"Ishioka","given":"K"},{"family":"Whitehead","given":"J P"}],"issued":{"date-parts":[["2011",7]]},"PMID":"21645805"}}],"schema":"https://github.com/citation-style-language/schema/raw/master/csl-citation.json"} </w:instrText>
      </w:r>
      <w:r w:rsidRPr="003A0EF9">
        <w:fldChar w:fldCharType="separate"/>
      </w:r>
      <w:r w:rsidR="000A492A" w:rsidRPr="000A492A">
        <w:rPr>
          <w:vertAlign w:val="superscript"/>
        </w:rPr>
        <w:t>253</w:t>
      </w:r>
      <w:r w:rsidRPr="003A0EF9">
        <w:fldChar w:fldCharType="end"/>
      </w:r>
      <w:r w:rsidRPr="003A0EF9">
        <w:t xml:space="preserve">  The authors conclude there does not appear to be a sex-related difference in total adiponectin concentrations as there is in people and rodents, and they noted intact males actually had a higher mean level versus neutered male dogs.</w:t>
      </w:r>
      <w:r w:rsidRPr="003A0EF9">
        <w:fldChar w:fldCharType="begin"/>
      </w:r>
      <w:r w:rsidR="000A492A">
        <w:instrText xml:space="preserve"> ADDIN ZOTERO_ITEM CSL_CITATION {"citationID":"Of1CReHA","properties":{"formattedCitation":"{\\rtf \\super 253\\nosupersub{}}","plainCitation":"253"},"citationItems":[{"id":329,"uris":["http://zotero.org/users/local/Ry4zHLbn/items/94U8UI9Z"],"uri":["http://zotero.org/users/local/Ry4zHLbn/items/94U8UI9Z"],"itemData":{"id":329,"type":"article-journal","title":"Adiposity and adiponectin in dogs: investigation of causes of discrepant results between two studies","container-title":"Domestic animal endocrinology","page":"35-41","volume":"41","issue":"1","source":"NCBI PubMed","abstract":"Although one study showed lower adiponectin concentrations in obese dogs, other recent studies indicate that adiponectin might not be decreased in obese dogs, raising the possibility that the physiology of adiponectin is different in dogs than in humans. The aim of this study was to investigate possible causes of the discrepancy between the two largest studies to date that assessed the association between adiposity and adiponectin concentration in dogs, including the validity of the assay, laboratory error, and the effects of breed, sex, and neuter status on the relationship between adiposity and adiponectin concentrations. Adiponectin concentrations measured with a previously validated adiponectin ELISA were compared with those estimated by Western blotting analysis of reduced and denatured plasma samples. The possibility of laboratory error and the effect of EDTA anticoagulant and aprotinin were tested. Adiponectin concentration was measured by ELISA in 20 lean dogs (10 male and 10 female, 5 neutered in each sex). There was close correlation between adiponectin concentrations measured by ELISA and those estimated by Western blotting analysis (r = 0.90; P &lt; 0.001). There was no substantial effect of EDTA, aprotinin, or laboratory error on the results. There was confounding by neuter status of the relationship between adiposity and adiponectin concentrations, but adiponectin concentrations were not significantly lower in male than in female lean dogs (females, 36 mg/L; males, 26 mg/L; P &gt; 0.20) and were not significantly lower in intact than in neutered lean male dogs (intact, 28 mg/L; neutered, 23 mg/L; P = 0.49). We conclude that the adiponectin ELISA previously validated for use in dogs appears to be suitable for determination of canine adiponectin concentrations and that testosterone does not appear to have a strong effect on plasma adiponectin concentrations in dogs. Obesity might decrease adiponectin concentrations in intact but not in neutered dogs.","DOI":"10.1016/j.domaniend.2011.03.004","ISSN":"1879-0054","note":"PMID: 21645805","shortTitle":"Adiposity and adiponectin in dogs","journalAbbreviation":"Domest. Anim. Endocrinol.","language":"eng","author":[{"family":"Verkest","given":"K R"},{"family":"Rose","given":"F J"},{"family":"Fleeman","given":"L M"},{"family":"Rand","given":"J S"},{"family":"Morton","given":"J M"},{"family":"Richards","given":"A A"},{"family":"Ishioka","given":"K"},{"family":"Whitehead","given":"J P"}],"issued":{"date-parts":[["2011",7]]},"PMID":"21645805"}}],"schema":"https://github.com/citation-style-language/schema/raw/master/csl-citation.json"} </w:instrText>
      </w:r>
      <w:r w:rsidRPr="003A0EF9">
        <w:fldChar w:fldCharType="separate"/>
      </w:r>
      <w:r w:rsidR="000A492A" w:rsidRPr="000A492A">
        <w:rPr>
          <w:vertAlign w:val="superscript"/>
        </w:rPr>
        <w:t>253</w:t>
      </w:r>
      <w:r w:rsidRPr="003A0EF9">
        <w:fldChar w:fldCharType="end"/>
      </w:r>
      <w:r w:rsidRPr="003A0EF9">
        <w:t xml:space="preserve">  They also conclude obesity may decrease adiponectin concentrations in intact but not in neutered dogs</w:t>
      </w:r>
      <w:r w:rsidR="00065688">
        <w:t xml:space="preserve">, which seems to be supported by the use of a higher proportion of intact dogs in </w:t>
      </w:r>
      <w:r w:rsidR="00636862">
        <w:t xml:space="preserve">two of </w:t>
      </w:r>
      <w:r w:rsidR="00065688">
        <w:t xml:space="preserve">the studies supporting </w:t>
      </w:r>
      <w:r w:rsidR="00026DB4">
        <w:t>this hypothesis</w:t>
      </w:r>
      <w:r w:rsidRPr="003A0EF9">
        <w:t>.</w:t>
      </w:r>
      <w:r w:rsidRPr="003A0EF9">
        <w:fldChar w:fldCharType="begin"/>
      </w:r>
      <w:r w:rsidR="000A492A">
        <w:instrText xml:space="preserve"> ADDIN ZOTERO_ITEM CSL_CITATION {"citationID":"OHu0C217","properties":{"formattedCitation":"{\\rtf \\super 250,251,253\\nosupersub{}}","plainCitation":"250,251,253"},"citationItems":[{"id":329,"uris":["http://zotero.org/users/local/Ry4zHLbn/items/94U8UI9Z"],"uri":["http://zotero.org/users/local/Ry4zHLbn/items/94U8UI9Z"],"itemData":{"id":329,"type":"article-journal","title":"Adiposity and adiponectin in dogs: investigation of causes of discrepant results between two studies","container-title":"Domestic animal endocrinology","page":"35-41","volume":"41","issue":"1","source":"NCBI PubMed","abstract":"Although one study showed lower adiponectin concentrations in obese dogs, other recent studies indicate that adiponectin might not be decreased in obese dogs, raising the possibility that the physiology of adiponectin is different in dogs than in humans. The aim of this study was to investigate possible causes of the discrepancy between the two largest studies to date that assessed the association between adiposity and adiponectin concentration in dogs, including the validity of the assay, laboratory error, and the effects of breed, sex, and neuter status on the relationship between adiposity and adiponectin concentrations. Adiponectin concentrations measured with a previously validated adiponectin ELISA were compared with those estimated by Western blotting analysis of reduced and denatured plasma samples. The possibility of laboratory error and the effect of EDTA anticoagulant and aprotinin were tested. Adiponectin concentration was measured by ELISA in 20 lean dogs (10 male and 10 female, 5 neutered in each sex). There was close correlation between adiponectin concentrations measured by ELISA and those estimated by Western blotting analysis (r = 0.90; P &lt; 0.001). There was no substantial effect of EDTA, aprotinin, or laboratory error on the results. There was confounding by neuter status of the relationship between adiposity and adiponectin concentrations, but adiponectin concentrations were not significantly lower in male than in female lean dogs (females, 36 mg/L; males, 26 mg/L; P &gt; 0.20) and were not significantly lower in intact than in neutered lean male dogs (intact, 28 mg/L; neutered, 23 mg/L; P = 0.49). We conclude that the adiponectin ELISA previously validated for use in dogs appears to be suitable for determination of canine adiponectin concentrations and that testosterone does not appear to have a strong effect on plasma adiponectin concentrations in dogs. Obesity might decrease adiponectin concentrations in intact but not in neutered dogs.","DOI":"10.1016/j.domaniend.2011.03.004","ISSN":"1879-0054","note":"PMID: 21645805","shortTitle":"Adiposity and adiponectin in dogs","journalAbbreviation":"Domest. Anim. Endocrinol.","language":"eng","author":[{"family":"Verkest","given":"K R"},{"family":"Rose","given":"F J"},{"family":"Fleeman","given":"L M"},{"family":"Rand","given":"J S"},{"family":"Morton","given":"J M"},{"family":"Richards","given":"A A"},{"family":"Ishioka","given":"K"},{"family":"Whitehead","given":"J P"}],"issued":{"date-parts":[["2011",7]]},"PMID":"21645805"}},{"id":"sfRcBkgw/poLJESJo","uris":["http://zotero.org/users/local/Ry4zHLbn/items/SAVEQ6DH"],"uri":["http://zotero.org/users/local/Ry4zHLbn/items/SAVEQ6DH"],"itemData":{"id":"sfRcBkgw/poLJESJo","type":"article-journal","title":"Canine adiponectin: cDNA structure, mRNA expression in adipose tissues and reduced plasma levels in obesity","container-title":"Research in veterinary science","page":"127-132","volume":"80","issue":"2","source":"NCBI PubMed","abstract":"Adiponectin is a protein synthesized and secreted by adipocytes. Decreased adiponectin is responsible for insulin resistance and atherosclerosis associated with human obesity. We obtained a cDNA clone corresponding to canine adiponectin, whose nucleotide and deduced amino acid sequences were highly identical to those of other species. Adiponectin mRNA was detected in adipose tissues, but not in other tissues, of dogs. When 22 adult beagles were given a high-energy diet for 14 weeks, they became obese, showing heavier body weights, higher plasma leptin concentrations, but lower plasma adiponectin concentrations. The adiponectin concentrations of plasma samples collected from 71 dogs visiting veterinary practices were negatively correlated to plasma leptin concentrations, being lower in obese than non-obese dogs. These results are compatible with those reported in other species, and suggest that adiponectin is an index of adiposity and a target molecule for studies on diseases associated with obesity in dogs.","DOI":"10.1016/j.rvsc.2005.05.011","ISSN":"0034-5288","note":"PMID: 16051287","shortTitle":"Canine adiponectin","journalAbbreviation":"Res. Vet. Sci.","language":"eng","author":[{"family":"Ishioka","given":"K"},{"family":"Omachi","given":"A"},{"family":"Sagawa","given":"M"},{"family":"Shibata","given":"H"},{"family":"Honjoh","given":"T"},{"family":"Kimura","given":"K"},{"family":"Saito","given":"M"}],"issued":{"year":2006,"month":4},"PMID":"16051287","page-first":"127","title-short":"Canine adiponectin","container-title-short":"Res. Vet. Sci."}},{"id":384,"uris":["http://zotero.org/users/171999/items/26SKV3UZ"],"uri":["http://zotero.org/users/171999/items/26SKV3UZ"],"itemData":{"id":384,"type":"article-journal","title":"Effect of weight loss on inflammatory biomarkers in obese dogs","container-title":"Veterinary journal (London, England: 1997)","page":"570-572","volume":"193","issue":"2","source":"NCBI PubMed","abstract":"The objective of this study was to evaluate the effects of weight loss on selected serum inflammatory biomarkers in obese dogs. An experimentally induced bodyweight reduction of approximately 2.5%/week was accompanied by significant decreases in metabolic markers of obesity (lipidic profile, fructosamine, and insulin-like growth factor-1). The concentrations of acute phase proteins and of selected cytokines remained within reference ranges in obese dogs during weight loss, suggesting that significant inflammation was not a major component of this experimental model. However, adiponectin concentrations increased following the period of weight loss suggesting reduced susceptibility of these animals to obesity-related inflammation.","DOI":"10.1016/j.tvjl.2012.02.015","ISSN":"1532-2971","note":"PMID: 22464400","journalAbbreviation":"Vet. J.","language":"eng","author":[{"family":"Tvarijonaviciute","given":"Asta"},{"family":"Tecles","given":"Fernando"},{"family":"Martínez-Subiela","given":"Silvia"},{"family":"Cerón","given":"José J"}],"issued":{"date-parts":[["2012",8]]},"PMID":"22464400"}}],"schema":"https://github.com/citation-style-language/schema/raw/master/csl-citation.json"} </w:instrText>
      </w:r>
      <w:r w:rsidRPr="003A0EF9">
        <w:fldChar w:fldCharType="separate"/>
      </w:r>
      <w:r w:rsidR="000A492A" w:rsidRPr="000A492A">
        <w:rPr>
          <w:vertAlign w:val="superscript"/>
        </w:rPr>
        <w:t>250,251,253</w:t>
      </w:r>
      <w:r w:rsidRPr="003A0EF9">
        <w:fldChar w:fldCharType="end"/>
      </w:r>
      <w:r w:rsidRPr="003A0EF9">
        <w:t xml:space="preserve">  Further research is needed to confirm the relationship between the level of adiposity and adiponectin status in intact versus neutered overweight or obese dogs.</w:t>
      </w:r>
    </w:p>
    <w:p w:rsidR="00410E7D" w:rsidRDefault="00410E7D" w:rsidP="00410E7D">
      <w:pPr>
        <w:ind w:firstLine="720"/>
        <w:contextualSpacing/>
      </w:pPr>
      <w:r>
        <w:t>While not an adipokine, interleukin-15 (IL15) is a proinflammatory cytokine produced by mononuclear, epithelial, and fibrob</w:t>
      </w:r>
      <w:r w:rsidR="00D806DE">
        <w:t>last cells and has high</w:t>
      </w:r>
      <w:r w:rsidR="00A65E45">
        <w:t xml:space="preserve"> expression in skeletal muscle, heart, lung, and kidney tissues.</w:t>
      </w:r>
      <w:r>
        <w:fldChar w:fldCharType="begin"/>
      </w:r>
      <w:r w:rsidR="000A492A">
        <w:instrText xml:space="preserve"> ADDIN ZOTERO_ITEM CSL_CITATION {"citationID":"2c2eph43h7","properties":{"formattedCitation":"{\\rtf \\super 254\\nosupersub{}}","plainCitation":"254"},"citationItems":[{"id":279,"uris":["http://zotero.org/users/171999/items/IWE7WJ72"],"uri":["http://zotero.org/users/171999/items/IWE7WJ72"],"itemData":{"id":279,"type":"article-journal","title":"Cloning of a T cell growth factor that interacts with the beta chain of the interleukin-2 receptor","container-title":"Science (New York, N.Y.)","page":"965-968","volume":"264","issue":"5161","source":"NCBI PubMed","abstract":"A cytokine was identified that stimulated the proliferation of T lymphocytes, and a complementary DNA clone encoding this new T cell growth factor was isolated. The cytokine, designated interleukin-15 (IL-15), is produced by a wide variety of cells and tissues and shares many biological properties with IL-2. Monoclonal antibodies to the beta chain of the IL-2 receptor inhibited the biological activity of IL-15, and IL-15 competed for binding with IL-2, indicating that IL-15 uses components of the IL-2 receptor.","ISSN":"0036-8075","note":"PMID: 8178155","journalAbbreviation":"Science","language":"eng","author":[{"family":"Grabstein","given":"K H"},{"family":"Eisenman","given":"J"},{"family":"Shanebeck","given":"K"},{"family":"Rauch","given":"C"},{"family":"Srinivasan","given":"S"},{"family":"Fung","given":"V"},{"family":"Beers","given":"C"},{"family":"Richardson","given":"J"},{"family":"Schoenborn","given":"M A"},{"family":"Ahdieh","given":"M"}],"issued":{"date-parts":[["1994",5,13]]},"PMID":"8178155"}}],"schema":"https://github.com/citation-style-language/schema/raw/master/csl-citation.json"} </w:instrText>
      </w:r>
      <w:r>
        <w:fldChar w:fldCharType="separate"/>
      </w:r>
      <w:r w:rsidR="000A492A" w:rsidRPr="000A492A">
        <w:rPr>
          <w:vertAlign w:val="superscript"/>
        </w:rPr>
        <w:t>254</w:t>
      </w:r>
      <w:r>
        <w:fldChar w:fldCharType="end"/>
      </w:r>
      <w:r w:rsidR="003B1CDB">
        <w:t xml:space="preserve">  </w:t>
      </w:r>
      <w:r w:rsidR="00984425">
        <w:t xml:space="preserve">It is considered </w:t>
      </w:r>
      <w:r w:rsidR="00984425">
        <w:lastRenderedPageBreak/>
        <w:t>antiadipogenic because r</w:t>
      </w:r>
      <w:r w:rsidR="003B1CDB">
        <w:t>ats exposed to IL15 exhibited a decrease in WAT mass, circulating triglycerides, and hepatic lipogenesis.</w:t>
      </w:r>
      <w:r w:rsidR="003B1CDB">
        <w:fldChar w:fldCharType="begin"/>
      </w:r>
      <w:r w:rsidR="000A492A">
        <w:instrText xml:space="preserve"> ADDIN ZOTERO_ITEM CSL_CITATION {"citationID":"xz7Dk08K","properties":{"formattedCitation":"{\\rtf \\super 255,256\\nosupersub{}}","plainCitation":"255,256"},"citationItems":[{"id":283,"uris":["http://zotero.org/users/171999/items/RVZJ4G7J"],"uri":["http://zotero.org/users/171999/items/RVZJ4G7J"],"itemData":{"id":283,"type":"article-journal","title":"Interleukin-15 mediates reciprocal regulation of adipose and muscle mass: a potential role in body weight control","container-title":"Biochimica et biophysica acta","page":"17-24","volume":"1526","issue":"1","source":"NCBI PubMed","abstract":"Interleukin (IL)-15 is a cytokine which is highly expressed in skeletal muscle. Cell culture studies have indicated that IL-15 may have an important role in muscle fiber growth and anabolism. However, data concerning the metabolic effects of this cytokine in vivo are lacking. In the present study, IL-15 was administered to adult rats for 7 days. While IL-15 did not cause changes in either muscle mass or muscle protein content, it induced significant changes in the fractional rates of both muscle protein synthesis and degradation, with no net changes in protein accumulation. Additionally, IL-15 administration resulted in a 33% decrease in white adipose tissue mass and a 20% decrease in circulating triacylglycerols; this was associated with a 47% lower hepatic lipogenic rate and a 36% lower plasma VLDL triacylglycerol content. The decrease in white fat induced by IL-15 was in adipose tissue. No changes were observed in the rate of lipolysis as a result of cytokine administration. These findings indicate that IL-15 has significant effects on both protein and lipid metabolism, and suggest that this cytokine may participate in reciprocal regulation of muscle and adipose tissue mass.","ISSN":"0006-3002","note":"PMID: 11287118","shortTitle":"Interleukin-15 mediates reciprocal regulation of adipose and muscle mass","journalAbbreviation":"Biochim. Biophys. Acta","language":"eng","author":[{"family":"Carbó","given":"N"},{"family":"López-Soriano","given":"J"},{"family":"Costelli","given":"P"},{"family":"Alvarez","given":"B"},{"family":"Busquets","given":"S"},{"family":"Baccino","given":"F M"},{"family":"Quinn","given":"L S"},{"family":"López-Soriano","given":"F J"},{"family":"Argilés","given":"J M"}],"issued":{"date-parts":[["2001",4,3]]},"PMID":"11287118"}},{"id":289,"uris":["http://zotero.org/users/171999/items/AEPD6DCA"],"uri":["http://zotero.org/users/171999/items/AEPD6DCA"],"itemData":{"id":289,"type":"article-journal","title":"Therapeutic potential of interleukin-15: a myokine involved in muscle wasting and adiposity","container-title":"Drug discovery today","page":"208-213","volume":"14","issue":"3-4","source":"NCBI PubMed","abstract":"Since the discovery of IL-15 and its role in T-cell proliferation in 1994, different studies on the effects of the cytokine on metabolic effects have been performed. These studies have mainly been involved with the metabolic pathways involved in lipid and protein metabolism. The present review summarises the metabolic effects of IL-15 at different target tissues and the possibilities and potential for therapeutic interventions based on the cytokine's roles in obesity and wasting.","DOI":"10.1016/j.drudis.2008.10.010","ISSN":"1878-5832","note":"PMID: 19041416","shortTitle":"Therapeutic potential of interleukin-15","journalAbbreviation":"Drug Discov. Today","language":"eng","author":[{"family":"Argilés","given":"Josep M"},{"family":"López-Soriano","given":"Francisco J"},{"family":"Busquets","given":"Sílvia"}],"issued":{"date-parts":[["2009",2]]},"PMID":"19041416"}}],"schema":"https://github.com/citation-style-language/schema/raw/master/csl-citation.json"} </w:instrText>
      </w:r>
      <w:r w:rsidR="003B1CDB">
        <w:fldChar w:fldCharType="separate"/>
      </w:r>
      <w:r w:rsidR="000A492A" w:rsidRPr="000A492A">
        <w:rPr>
          <w:vertAlign w:val="superscript"/>
        </w:rPr>
        <w:t>255,256</w:t>
      </w:r>
      <w:r w:rsidR="003B1CDB">
        <w:fldChar w:fldCharType="end"/>
      </w:r>
      <w:r w:rsidR="008E7FF9">
        <w:t xml:space="preserve">  </w:t>
      </w:r>
      <w:r w:rsidR="00B4036E" w:rsidRPr="00D806DE">
        <w:t>The</w:t>
      </w:r>
      <w:r w:rsidR="00B4036E">
        <w:t xml:space="preserve"> effect of IL15 on adipocyte lipolysis has not been fully elucidated as there are conflicting reports of no effect in rats, but increased lipolysis in pig adipocytes.</w:t>
      </w:r>
      <w:r w:rsidR="00B4036E">
        <w:fldChar w:fldCharType="begin"/>
      </w:r>
      <w:r w:rsidR="000A492A">
        <w:instrText xml:space="preserve"> ADDIN ZOTERO_ITEM CSL_CITATION {"citationID":"JNtuzemX","properties":{"formattedCitation":"{\\rtf \\super 255,257\\nosupersub{}}","plainCitation":"255,257"},"citationItems":[{"id":287,"uris":["http://zotero.org/users/171999/items/3XXE9CTK"],"uri":["http://zotero.org/users/171999/items/3XXE9CTK"],"itemData":{"id":287,"type":"article-journal","title":"Direct regulation of lipolysis by interleukin-15 in primary pig adipocytes","container-title":"American journal of physiology. Regulatory, integrative and comparative physiology","page":"R608-611","volume":"287","issue":"3","source":"NCBI PubMed","abstract":"We recently provided evidence that interleukin-15 (IL-15) is expressed lowly in the pig adipocyte and that interferon-gamma (IFN-gamma) markedly increases this expression through a pathway regulated in part by protein kinase C. In the present study, we tested the hypothesis that IL-15 acts directly on the adipocyte to regulate lipid accretion by enhancing lipolysis or suppressing lipogenesis. Using recombinant porcine IL-15, we determined that this cytokine stimulates lipolysis in a dose-dependent manner (P &lt; 0.001). Furthermore, comparative studies with other cytokines showed that IL-15 is more potent in its acute stimulation of lipolysis than either TNF-alpha, IL-6, or LPS (P &lt; 0.001). When specific inhibitors of protein kinase A or Janus kinase are present, the lipolytic effect of IL-15 is attenuated (P &lt; 0.01). These data indicate that, in addition to its regulation of muscle protein accretion and T-cell growth and development, IL-15 also targets the adipocyte directly to alter stimulate lipolysis. Thus, when induced by IFN-gamma or other inflammatory mediators, IL-15 may be a significant homeorhetic factor that mobilizes and directs energy away from the adipocyte to other cells during the acute phase of the inflammatory response.","DOI":"10.1152/ajpregu.00192.2004","ISSN":"0363-6119","note":"PMID: 15155279","journalAbbreviation":"Am. J. Physiol. Regul. Integr. Comp. Physiol.","language":"eng","author":[{"family":"Ajuwon","given":"Kolapo M"},{"family":"Spurlock","given":"Michael E"}],"issued":{"date-parts":[["2004",9]]},"PMID":"15155279"}},{"id":283,"uris":["http://zotero.org/users/171999/items/RVZJ4G7J"],"uri":["http://zotero.org/users/171999/items/RVZJ4G7J"],"itemData":{"id":283,"type":"article-journal","title":"Interleukin-15 mediates reciprocal regulation of adipose and muscle mass: a potential role in body weight control","container-title":"Biochimica et biophysica acta","page":"17-24","volume":"1526","issue":"1","source":"NCBI PubMed","abstract":"Interleukin (IL)-15 is a cytokine which is highly expressed in skeletal muscle. Cell culture studies have indicated that IL-15 may have an important role in muscle fiber growth and anabolism. However, data concerning the metabolic effects of this cytokine in vivo are lacking. In the present study, IL-15 was administered to adult rats for 7 days. While IL-15 did not cause changes in either muscle mass or muscle protein content, it induced significant changes in the fractional rates of both muscle protein synthesis and degradation, with no net changes in protein accumulation. Additionally, IL-15 administration resulted in a 33% decrease in white adipose tissue mass and a 20% decrease in circulating triacylglycerols; this was associated with a 47% lower hepatic lipogenic rate and a 36% lower plasma VLDL triacylglycerol content. The decrease in white fat induced by IL-15 was in adipose tissue. No changes were observed in the rate of lipolysis as a result of cytokine administration. These findings indicate that IL-15 has significant effects on both protein and lipid metabolism, and suggest that this cytokine may participate in reciprocal regulation of muscle and adipose tissue mass.","ISSN":"0006-3002","note":"PMID: 11287118","shortTitle":"Interleukin-15 mediates reciprocal regulation of adipose and muscle mass","journalAbbreviation":"Biochim. Biophys. Acta","language":"eng","author":[{"family":"Carbó","given":"N"},{"family":"López-Soriano","given":"J"},{"family":"Costelli","given":"P"},{"family":"Alvarez","given":"B"},{"family":"Busquets","given":"S"},{"family":"Baccino","given":"F M"},{"family":"Quinn","given":"L S"},{"family":"López-Soriano","given":"F J"},{"family":"Argilés","given":"J M"}],"issued":{"date-parts":[["2001",4,3]]},"PMID":"11287118"}}],"schema":"https://github.com/citation-style-language/schema/raw/master/csl-citation.json"} </w:instrText>
      </w:r>
      <w:r w:rsidR="00B4036E">
        <w:fldChar w:fldCharType="separate"/>
      </w:r>
      <w:r w:rsidR="000A492A" w:rsidRPr="000A492A">
        <w:rPr>
          <w:vertAlign w:val="superscript"/>
        </w:rPr>
        <w:t>255,257</w:t>
      </w:r>
      <w:r w:rsidR="00B4036E">
        <w:fldChar w:fldCharType="end"/>
      </w:r>
      <w:r w:rsidR="00B4036E">
        <w:t xml:space="preserve">  </w:t>
      </w:r>
      <w:r w:rsidR="0028764B">
        <w:t xml:space="preserve">Leptin deficient and lean leptin receptor negative mice also respond to IL15 treatment by decreasing WAT mass and lipoprotein lipase (LPL) </w:t>
      </w:r>
      <w:r w:rsidR="00FC311C">
        <w:t>activity</w:t>
      </w:r>
      <w:r w:rsidR="0028764B">
        <w:t>, but obese leptin receptor deficient mice did not respond.</w:t>
      </w:r>
      <w:r w:rsidR="0028764B">
        <w:fldChar w:fldCharType="begin"/>
      </w:r>
      <w:r w:rsidR="000A492A">
        <w:instrText xml:space="preserve"> ADDIN ZOTERO_ITEM CSL_CITATION {"citationID":"b4fb6a5f6","properties":{"formattedCitation":"{\\rtf \\super 258\\nosupersub{}}","plainCitation":"258"},"citationItems":[{"id":297,"uris":["http://zotero.org/users/171999/items/CUZ2SJHK"],"uri":["http://zotero.org/users/171999/items/CUZ2SJHK"],"itemData":{"id":297,"type":"article-journal","title":"Effects of interleukin-15 (IL-15) on adipose tissue mass in rodent obesity models: evidence for direct IL-15 action on adipose tissue","container-title":"Biochimica et biophysica acta","page":"33-37","volume":"1570","issue":"1","source":"NCBI PubMed","abstract":"Interleukin-15 (IL-15) is a proinflammatory cytokine with multifunctional effects outside the immune system. Previous studies have indicated that treatment of normal rats with IL-15 reduces white adipose tissue (WAT) mass, but it was unclear if these effects were direct or indirect. In the present study, the effects of IL-15 on WAT mass and lipid metabolism were studied in two genetic models of obesity: the leptin receptor-negative fa/fa Zucker rat and the leptin-deficient ob/ob mouse. Lean Zucker rats, lean (+/+), and obese mice (ob/ob) responded to IL-15 with reductions in WAT mass and lipoprotein lipase activity (LPL), with no decreases in food intake. In contrast, fa/fa Zucker rats did not respond to IL-15 administration by any of the above measures of fat mass or lipid metabolism. In addition, ribonuclease protection assays (RPAs) were used to demonstrate that all three subunits (gamma(c), beta and alpha) of the IL-15 receptor complex are expressed by rat and mouse WAT, suggesting that the effects of IL-15 on adipose tissue metabolism could be direct. Additionally, the fa/fa rats expressed 84% lower levels of the gamma(c) signaling receptor subunit than lean Zucker rats, suggesting this decrease may play a role in the lack of adipose tissue response to IL-15 in the fa/fa genotype and lending further support for a direct action of IL-15 on adipose tissue.","ISSN":"0006-3002","note":"PMID: 11960686","shortTitle":"Effects of interleukin-15 (IL-15) on adipose tissue mass in rodent obesity models","journalAbbreviation":"Biochim. Biophys. Acta","language":"eng","author":[{"family":"Alvarez","given":"Belén"},{"family":"Carbó","given":"Neus"},{"family":"López-Soriano","given":"Joaquín"},{"family":"Drivdahl","given":"Rolf H"},{"family":"Busquets","given":"Sílvia"},{"family":"López-Soriano","given":"Francisco J"},{"family":"Argilés","given":"Josep M"},{"family":"Quinn","given":"LeBris S"}],"issued":{"date-parts":[["2002",2,15]]},"PMID":"11960686"}}],"schema":"https://github.com/citation-style-language/schema/raw/master/csl-citation.json"} </w:instrText>
      </w:r>
      <w:r w:rsidR="0028764B">
        <w:fldChar w:fldCharType="separate"/>
      </w:r>
      <w:r w:rsidR="000A492A" w:rsidRPr="000A492A">
        <w:rPr>
          <w:vertAlign w:val="superscript"/>
        </w:rPr>
        <w:t>258</w:t>
      </w:r>
      <w:r w:rsidR="0028764B">
        <w:fldChar w:fldCharType="end"/>
      </w:r>
      <w:r w:rsidR="0028764B">
        <w:t xml:space="preserve">  </w:t>
      </w:r>
      <w:r w:rsidR="00B4036E" w:rsidRPr="00B4036E">
        <w:rPr>
          <w:i/>
        </w:rPr>
        <w:t>I</w:t>
      </w:r>
      <w:r w:rsidR="00D806DE" w:rsidRPr="00B4036E">
        <w:rPr>
          <w:i/>
        </w:rPr>
        <w:t>n</w:t>
      </w:r>
      <w:r w:rsidR="00D806DE" w:rsidRPr="00D806DE">
        <w:rPr>
          <w:i/>
        </w:rPr>
        <w:t xml:space="preserve"> vitro</w:t>
      </w:r>
      <w:r w:rsidR="00D806DE">
        <w:t xml:space="preserve"> adipocyte work found IL15 caused</w:t>
      </w:r>
      <w:r w:rsidR="00B4036E">
        <w:t xml:space="preserve"> decreased le</w:t>
      </w:r>
      <w:r w:rsidR="00D806DE">
        <w:t>ptin expression and lipid accumulation.</w:t>
      </w:r>
      <w:r w:rsidR="00D806DE">
        <w:fldChar w:fldCharType="begin"/>
      </w:r>
      <w:r w:rsidR="000A492A">
        <w:instrText xml:space="preserve"> ADDIN ZOTERO_ITEM CSL_CITATION {"citationID":"1j17nu20hk","properties":{"formattedCitation":"{\\rtf \\super 259\\nosupersub{}}","plainCitation":"259"},"citationItems":[{"id":305,"uris":["http://zotero.org/users/171999/items/JZRH49VJ"],"uri":["http://zotero.org/users/171999/items/JZRH49VJ"],"itemData":{"id":305,"type":"article-journal","title":"Interleukin-15 increases calcineurin expression in 3T3-L1 cells: possible involvement on in vivo adipocyte differentiation","container-title":"International journal of molecular medicine","page":"453-458","volume":"24","issue":"4","source":"NCBI PubMed","abstract":"Different studies have revealed that the Ca2+-dependent serine/threonine phosphatase calcineurin is involved in the regulation of adipocyte differentiation. Calcineurin acts as a Ca2+-dependent molecular switch that negatively regulates the ability of 3T3-L1 cells to undergo adipocyte differentiation by preventing the expression of critical proadipogenic transcription factors. In this study we investigated the role of interleukin-15 (IL-15), a cytokine previously known to be involved in the control of fat accretion by adipose cells, in the differentiation of the 3T3-L1 preadipose cell line. We found that IL-15 is able to increase alpha-calcineurin mRNA content in white adipose tissue of rats chronically treated with the cytokine and also in the 3T3-L1 preadipose cell line. Moreover, IL-15 promoted a decrease in both leptin mRNA expression and lipid accumulation, as estimated by Red Oil O staining. Cotreatment with IL-15 and FK506 (a calcineurin inhibitor) resulted in no changes in lipid content compared with the non-treated group. These data suggest that IL-15 directly inhibits adipogenesis, possibly by upregulating alpha-calcineurin and preventing the induction of adipocyte differentiation.","ISSN":"1791-244X","note":"PMID: 19724884","shortTitle":"Interleukin-15 increases calcineurin expression in 3T3-L1 cells","journalAbbreviation":"Int. J. Mol. Med.","language":"eng","author":[{"family":"Almendro","given":"Vanessa"},{"family":"Fuster","given":"Gemma"},{"family":"Ametller","given":"Elisabet"},{"family":"Costelli","given":"Paola"},{"family":"Pilla","given":"Federica"},{"family":"Busquets","given":"Sílvia"},{"family":"Figueras","given":"Maite"},{"family":"Argilés","given":"Josep M"},{"family":"López-Soriano","given":"Francisco J"}],"issued":{"date-parts":[["2009",10]]},"PMID":"19724884"}}],"schema":"https://github.com/citation-style-language/schema/raw/master/csl-citation.json"} </w:instrText>
      </w:r>
      <w:r w:rsidR="00D806DE">
        <w:fldChar w:fldCharType="separate"/>
      </w:r>
      <w:r w:rsidR="000A492A" w:rsidRPr="000A492A">
        <w:rPr>
          <w:vertAlign w:val="superscript"/>
        </w:rPr>
        <w:t>259</w:t>
      </w:r>
      <w:r w:rsidR="00D806DE">
        <w:fldChar w:fldCharType="end"/>
      </w:r>
      <w:r w:rsidR="00D806DE">
        <w:t xml:space="preserve">  </w:t>
      </w:r>
      <w:r w:rsidR="00984425">
        <w:t xml:space="preserve">  </w:t>
      </w:r>
      <w:r w:rsidR="00B4036E">
        <w:t>Adipocyte cultures treated with IL15 limited lipid accumulation in differentiating preadipocytes and stimulated adiponectin release from mature adipocytes.</w:t>
      </w:r>
      <w:r w:rsidR="00B4036E">
        <w:fldChar w:fldCharType="begin"/>
      </w:r>
      <w:r w:rsidR="000A492A">
        <w:instrText xml:space="preserve"> ADDIN ZOTERO_ITEM CSL_CITATION {"citationID":"paaca7kvr","properties":{"formattedCitation":"{\\rtf \\super 260\\nosupersub{}}","plainCitation":"260"},"citationItems":[{"id":301,"uris":["http://zotero.org/users/171999/items/GNRD7ZVE"],"uri":["http://zotero.org/users/171999/items/GNRD7ZVE"],"itemData":{"id":301,"type":"article-journal","title":"Interleukin-15 stimulates adiponectin secretion by 3T3-L1 adipocytes: evidence for a skeletal muscle-to-fat signaling pathway","container-title":"Cell biology international","page":"449-457","volume":"29","issue":"6","source":"NCBI PubMed","abstract":"Interleukin-15 (IL-15) is a cytokine which is highly expressed in skeletal muscle tissue, and which has anabolic effects on skeletal muscle protein dynamics both in vivo and in vitro. Additionally, administration of IL-15 to rats and mice inhibits white adipose tissue deposition. To determine if the action of IL-15 on adipose tissue is direct, the capacity of cultured murine 3T3-L1 preadipocytes and adipocytes to respond to IL-15 was examined. IL-15 administration inhibited lipid accumulation in differentiating 3T3-L1 preadipocytes, and stimulated secretion of the adipocyte-specific hormone adiponectin by differentiated 3T3-L1 adipocytes. The latter observation constitutes the first report of a cytokine or growth factor which stimulates adiponectin production. IL-15 mRNA expression by cultured 3T3-L1 adipogenic cells and C2C12 murine skeletal myogenic cells was also examined. Quantitative real-time PCR indicated IL-15 mRNA was expressed by C2C12 skeletal myogenic cells, and was upregulated more than 10-fold in differentiated skeletal myotubes compared to undifferentiated myoblasts. In contrast, 3T3-L1 cells expressed little or no IL-15 mRNA at either the undifferentiated preadipocyte or differentiated adipocyte stages. These findings provide support for the hypothesis that IL-15 functions in a muscle-to-fat endocrine axis which modulates fat:lean body composition and insulin sensitivity.","DOI":"10.1016/j.cellbi.2005.02.005","ISSN":"1065-6995","note":"PMID: 15951205","shortTitle":"Interleukin-15 stimulates adiponectin secretion by 3T3-L1 adipocytes","journalAbbreviation":"Cell Biol. Int.","language":"eng","author":[{"family":"Quinn","given":"Lebris S"},{"family":"Strait-Bodey","given":"Lena"},{"family":"Anderson","given":"Barbara G"},{"family":"Argilés","given":"Josep M"},{"family":"Havel","given":"Peter J"}],"issued":{"date-parts":[["2005",6]]},"PMID":"15951205"}}],"schema":"https://github.com/citation-style-language/schema/raw/master/csl-citation.json"} </w:instrText>
      </w:r>
      <w:r w:rsidR="00B4036E">
        <w:fldChar w:fldCharType="separate"/>
      </w:r>
      <w:r w:rsidR="000A492A" w:rsidRPr="000A492A">
        <w:rPr>
          <w:vertAlign w:val="superscript"/>
        </w:rPr>
        <w:t>260</w:t>
      </w:r>
      <w:r w:rsidR="00B4036E">
        <w:fldChar w:fldCharType="end"/>
      </w:r>
      <w:r w:rsidR="00B4036E">
        <w:t xml:space="preserve">  It also reduces adipocyte proliferation, partially stops differentiation, and induces apoptosis of cultured preadipocytes.</w:t>
      </w:r>
      <w:r w:rsidR="00B4036E">
        <w:fldChar w:fldCharType="begin"/>
      </w:r>
      <w:r w:rsidR="000A492A">
        <w:instrText xml:space="preserve"> ADDIN ZOTERO_ITEM CSL_CITATION {"citationID":"hpivmf84v","properties":{"formattedCitation":"{\\rtf \\super 261\\nosupersub{}}","plainCitation":"261"},"citationItems":[{"id":309,"uris":["http://zotero.org/users/171999/items/W9I4N6QI"],"uri":["http://zotero.org/users/171999/items/W9I4N6QI"],"itemData":{"id":309,"type":"article-journal","title":"Interleukin-15 affects differentiation and apoptosis in adipocytes: implications in obesity","container-title":"Lipids","page":"1033-1042","volume":"46","issue":"11","source":"NCBI PubMed","abstract":"Interleukin-15 (IL-15) is an anabolic factor for skeletal muscle and several reports have described its important role as a regulator of energy homeostasis. In this study, we analyzed the effects of IL-15 on adipocyte differentiation using the 3T3-L1 preadipose cell line. The data show that IL-15 tends to reduce the rate of adipocyte proliferation, induces apoptosis, and partially stops differentiation. The signaling molecules behind these actions of the cytokine on adipose cells are: p42/p44 MAPK (which seem to be associated with the reduced rate of proliferation induced by the cytokine), STAT5 (which is related to the actions of IL-15 on differentiation), and SAPK/JNK (which are related to the increased apoptosis induced by IL-15). In conclusion, using the 3T3-L1 adipocyte cell line, the results presented here show that IL-15 exerts important effects on differentiation, proliferation and apoptosis. Altogether, the results presented here reinforce the idea that IL-15 is an important mediator that regulates adipose size and, therefore, the role of the cytokine in affecting body weight and obesity deserves additional studies.","DOI":"10.1007/s11745-011-3594-5","ISSN":"1558-9307","note":"PMID: 21894465","shortTitle":"Interleukin-15 affects differentiation and apoptosis in adipocytes","journalAbbreviation":"Lipids","language":"eng","author":[{"family":"Fuster","given":"Gemma"},{"family":"Almendro","given":"Vanessa"},{"family":"Fontes-Oliveira","given":"Cibely Cristine"},{"family":"Toledo","given":"Míriam"},{"family":"Costelli","given":"Paola"},{"family":"Busquets","given":"Sílvia"},{"family":"López-Soriano","given":"Francisco J"},{"family":"Argilés","given":"Josep M"}],"issued":{"date-parts":[["2011",11]]},"PMID":"21894465"}}],"schema":"https://github.com/citation-style-language/schema/raw/master/csl-citation.json"} </w:instrText>
      </w:r>
      <w:r w:rsidR="00B4036E">
        <w:fldChar w:fldCharType="separate"/>
      </w:r>
      <w:r w:rsidR="000A492A" w:rsidRPr="000A492A">
        <w:rPr>
          <w:vertAlign w:val="superscript"/>
        </w:rPr>
        <w:t>261</w:t>
      </w:r>
      <w:r w:rsidR="00B4036E">
        <w:fldChar w:fldCharType="end"/>
      </w:r>
      <w:r w:rsidR="00B4036E">
        <w:t xml:space="preserve">  </w:t>
      </w:r>
      <w:r w:rsidR="00984425">
        <w:t xml:space="preserve">Chronic administration of this cytokine in rats </w:t>
      </w:r>
      <w:r w:rsidR="00B4036E">
        <w:t>i</w:t>
      </w:r>
      <w:r w:rsidR="00984425">
        <w:t>ncreased myocyte lipid oxidation and limited adipocyte lipid uptake, which the authors suggest indicates the ability of IL15 to alter exogenous lipid partitioning.</w:t>
      </w:r>
      <w:r w:rsidR="00984425">
        <w:fldChar w:fldCharType="begin"/>
      </w:r>
      <w:r w:rsidR="000A492A">
        <w:instrText xml:space="preserve"> ADDIN ZOTERO_ITEM CSL_CITATION {"citationID":"s164bg0kc","properties":{"formattedCitation":"{\\rtf \\super 262\\nosupersub{}}","plainCitation":"262"},"citationItems":[{"id":293,"uris":["http://zotero.org/users/171999/items/2IF2VR7T"],"uri":["http://zotero.org/users/171999/items/2IF2VR7T"],"itemData":{"id":293,"type":"article-journal","title":"Effects of interleukin-15 on lipid oxidation: disposal of an oral [(14)C]-triolein load","container-title":"Biochimica et biophysica acta","page":"37-42","volume":"1761","issue":"1","source":"NCBI PubMed","abstract":"Interleukin 15 (IL-15) has previously been shown to have important effects on lipid metabolism in adipose tissue, particularly influencing the rate of the de novo fatty acid synthesis. The results presented here show that chronic administration to rats (100 microg/kg body weight) has important effects on the metabolic fate of an exogenous [(14)C]-triolein load, decreasing the incorporation of lipid into adipose tissue and significantly increasing the total (14)CO(2) formation from [(14)C]-triolein. Skeletal muscle and possibly liver seem to be the main organs involved in the action of IL-15 on lipid oxidation, since the presence of the cytokine in incubated EDL muscle with [(14)C]-palmitic acid increased (14)CO(2) formation by 39%. Concerning the mechanism, the results suggest that the transport of fatty acids into mitochondria could be involved in the action of IL-15 since the cytokine clearly increases the presence of L-CPT-I and CPT-II in liver tissue. In addition, IL-15 treatment resulted in a significant increment in the gene expression of PPARdelta, a transcription factor clearly related with lipid catabolism in many tissues. Altogether, the results presented here suggest that IL-15 alters exogenous lipid partitioning, limiting adipose tissue uptake and favouring oxidation.","DOI":"10.1016/j.bbalip.2005.12.006","ISSN":"0006-3002","note":"PMID: 16458591","shortTitle":"Effects of interleukin-15 on lipid oxidation","journalAbbreviation":"Biochim. Biophys. Acta","language":"eng","author":[{"family":"Almendro","given":"Vanessa"},{"family":"Busquets","given":"Sílvia"},{"family":"Ametller","given":"Elisabet"},{"family":"Carbó","given":"Neus"},{"family":"Figueras","given":"Maite"},{"family":"Fuster","given":"Gemma"},{"family":"Argilés","given":"Josep M"},{"family":"López-Soriano","given":"Francisco J"}],"issued":{"date-parts":[["2006",1]]},"PMID":"16458591"}}],"schema":"https://github.com/citation-style-language/schema/raw/master/csl-citation.json"} </w:instrText>
      </w:r>
      <w:r w:rsidR="00984425">
        <w:fldChar w:fldCharType="separate"/>
      </w:r>
      <w:r w:rsidR="000A492A" w:rsidRPr="000A492A">
        <w:rPr>
          <w:vertAlign w:val="superscript"/>
        </w:rPr>
        <w:t>262</w:t>
      </w:r>
      <w:r w:rsidR="00984425">
        <w:fldChar w:fldCharType="end"/>
      </w:r>
      <w:r w:rsidR="00D806DE">
        <w:t xml:space="preserve">  </w:t>
      </w:r>
      <w:r w:rsidR="00AC2D54">
        <w:t>Considered together, these data indicate IL15 inhibits adipocyte lipogenesis, LPL activity, proliferation, and differentiation while encouraging adipocyte apoptosis.</w:t>
      </w:r>
      <w:r w:rsidR="00AC2D54">
        <w:fldChar w:fldCharType="begin"/>
      </w:r>
      <w:r w:rsidR="000A492A">
        <w:instrText xml:space="preserve"> ADDIN ZOTERO_ITEM CSL_CITATION {"citationID":"27vo7ot2je","properties":{"formattedCitation":"{\\rtf \\super 256\\nosupersub{}}","plainCitation":"256"},"citationItems":[{"id":289,"uris":["http://zotero.org/users/171999/items/AEPD6DCA"],"uri":["http://zotero.org/users/171999/items/AEPD6DCA"],"itemData":{"id":289,"type":"article-journal","title":"Therapeutic potential of interleukin-15: a myokine involved in muscle wasting and adiposity","container-title":"Drug discovery today","page":"208-213","volume":"14","issue":"3-4","source":"NCBI PubMed","abstract":"Since the discovery of IL-15 and its role in T-cell proliferation in 1994, different studies on the effects of the cytokine on metabolic effects have been performed. These studies have mainly been involved with the metabolic pathways involved in lipid and protein metabolism. The present review summarises the metabolic effects of IL-15 at different target tissues and the possibilities and potential for therapeutic interventions based on the cytokine's roles in obesity and wasting.","DOI":"10.1016/j.drudis.2008.10.010","ISSN":"1878-5832","note":"PMID: 19041416","shortTitle":"Therapeutic potential of interleukin-15","journalAbbreviation":"Drug Discov. Today","language":"eng","author":[{"family":"Argilés","given":"Josep M"},{"family":"López-Soriano","given":"Francisco J"},{"family":"Busquets","given":"Sílvia"}],"issued":{"date-parts":[["2009",2]]},"PMID":"19041416"}}],"schema":"https://github.com/citation-style-language/schema/raw/master/csl-citation.json"} </w:instrText>
      </w:r>
      <w:r w:rsidR="00AC2D54">
        <w:fldChar w:fldCharType="separate"/>
      </w:r>
      <w:r w:rsidR="000A492A" w:rsidRPr="000A492A">
        <w:rPr>
          <w:vertAlign w:val="superscript"/>
        </w:rPr>
        <w:t>256</w:t>
      </w:r>
      <w:r w:rsidR="00AC2D54">
        <w:fldChar w:fldCharType="end"/>
      </w:r>
    </w:p>
    <w:p w:rsidR="00521704" w:rsidRPr="003A0EF9" w:rsidRDefault="00521704" w:rsidP="00410E7D">
      <w:pPr>
        <w:ind w:firstLine="720"/>
        <w:contextualSpacing/>
      </w:pPr>
      <w:r>
        <w:t xml:space="preserve">IL15 also affects skeletal muscle by stimulating muscle-specific myosin accumulation </w:t>
      </w:r>
      <w:r w:rsidR="008A7532">
        <w:t xml:space="preserve">and increases levels of contractile proteins </w:t>
      </w:r>
      <w:r>
        <w:t>in culture.</w:t>
      </w:r>
      <w:r w:rsidR="008A7532">
        <w:fldChar w:fldCharType="begin"/>
      </w:r>
      <w:r w:rsidR="000A492A">
        <w:instrText xml:space="preserve"> ADDIN ZOTERO_ITEM CSL_CITATION {"citationID":"aFwCVP1F","properties":{"formattedCitation":"{\\rtf \\super 263,264\\nosupersub{}}","plainCitation":"263,264"},"citationItems":[{"id":348,"uris":["http://zotero.org/users/171999/items/Q2X8SSQR"],"uri":["http://zotero.org/users/171999/items/Q2X8SSQR"],"itemData":{"id":348,"type":"article-journal","title":"Interleukin-15: a novel anabolic cytokine for skeletal muscle","container-title":"Endocrinology","page":"3669-3672","volume":"136","issue":"8","source":"NCBI PubMed","abstract":"Interleukin-15 (IL-15) is a recently discovered growth factor which is highly expressed in skeletal muscle. In order to determine a functional role for IL-15 in skeletal myogenesis, the effects of IL-15 on myoblast proliferation and muscle-specific myosin heavy chain (MHC) expression were analyzed using the mouse C2 skeletal myogenic cell line and primary fetal bovine skeletal myogenic cultures. IL-15 had no effect on [3H]thymidine incorporation, nor on the rate of myoblast differentiation, assessed by anti-MHC immunocytochemical staining, in either type of culture. However, Western blot analyses revealed that IL-15 used at concentrations of 10 or 100 ng/ml increased MHC accumulation five-fold in C2 myoblast cultures and 2.5-fold in primary bovine myogenic cultures. Moreover, C2 myotubes formed in the presence of IL-15 appeared larger than controls. These findings indicate IL-15 can stimulate differentiated myocytes and muscle fibers to accumulate increased amounts of contractile proteins. Well-fused primary bovine myogenic cultures treated with the mitotic inhibitor aphidicolin, then administered IL-15 and/or the anabolic growth factor insulin-like growth factor-I (IGF-I), were analyzed for MHC accumulation using Western blots. IL-15 used at 10 ng/ml doubled MHC accumulation and was as effective as IGF-I used at 10 or 100 ng/ml. IL-15 and IGF-I used together increased MHC accumulation close to five-fold, indicating these two factors can act additively on muscle fibers. These findings indicate IL-15 affects parameters associated with skeletal muscle fiber hypertrophy, and suggest that IL-15 may be a novel anabolic agent to increase skeletal muscle mass.","ISSN":"0013-7227","note":"PMID: 7628408","shortTitle":"Interleukin-15","journalAbbreviation":"Endocrinology","language":"eng","author":[{"family":"Quinn","given":"L S"},{"family":"Haugk","given":"K L"},{"family":"Grabstein","given":"K H"}],"issued":{"date-parts":[["1995",8]]},"PMID":"7628408"}},{"id":356,"uris":["http://zotero.org/users/171999/items/4IVRMXMT"],"uri":["http://zotero.org/users/171999/items/4IVRMXMT"],"itemData":{"id":356,"type":"article-journal","title":"Interleukin-15 increases myosin accretion in human skeletal myogenic cultures","container-title":"Cell biology international","page":"845-851","volume":"27","issue":"10","source":"NCBI PubMed","abstract":"Interleukin-15 (IL-15) has been shown to have anabolic effects on skeletal muscle in rodent studies conducted in vitro and in vivo. The mechanism of IL-15 action on muscle appears to be distinct from that of the well-characterized muscle anabolic factor insulin-like growth factor-I (IGF-I). IL-15 action has not been investigated in a human culture system nor in detail in primary skeletal myogenic cells. The purpose of this study was to compare the effects of IL-15 and IGF-I in primary human skeletal myogenic cells. Accretion of a major myofibrillar protein, myosin heavy chain (MHC), was used as a measure of muscle anabolism. We found that both growth factors induced increases in MHC accretion in primary human skeletal myogenic cultures; however, IL-15 and IGF-I actions were temporally distinct. IL-15 was more effective at stimulating MHC accretion when added to cultures after differentiation of myoblasts had occurred. In contrast, IGF-I was more effective at stimulating MHC accretion when added to cultures prior to differentiation of myoblasts. These results using a human system support recent findings from rodent models which indicate that the primary mode of IGF-I action on skeletal muscle anabolism is through stimulation of myogenic precursor cells, whereas the primary target of IL-15 action is the differentiated muscle fiber. Further, since clinical and experimental studies have shown IGF-I is not effective in preventing skeletal muscle wasting, the distinct mode of action of IL-15 suggests it may be of potential usefulness in the treatment of muscle wasting disorders.","ISSN":"1065-6995","note":"PMID: 14499665","journalAbbreviation":"Cell Biol. Int.","language":"eng","author":[{"family":"Furmanczyk","given":"Paul S"},{"family":"Quinn","given":"LeBris S"}],"issued":{"date-parts":[["2003"]]},"PMID":"14499665"}}],"schema":"https://github.com/citation-style-language/schema/raw/master/csl-citation.json"} </w:instrText>
      </w:r>
      <w:r w:rsidR="008A7532">
        <w:fldChar w:fldCharType="separate"/>
      </w:r>
      <w:r w:rsidR="000A492A" w:rsidRPr="000A492A">
        <w:rPr>
          <w:vertAlign w:val="superscript"/>
        </w:rPr>
        <w:t>263,264</w:t>
      </w:r>
      <w:r w:rsidR="008A7532">
        <w:fldChar w:fldCharType="end"/>
      </w:r>
      <w:r w:rsidR="008A7532">
        <w:t xml:space="preserve">  The same group further showed increased muscle hypertrophy with myotube hypertrophy, stimulation of protein synthesis and inhibition of protein </w:t>
      </w:r>
      <w:r w:rsidR="00FC311C">
        <w:t>degradation</w:t>
      </w:r>
      <w:r w:rsidR="008A7532">
        <w:t xml:space="preserve"> with </w:t>
      </w:r>
      <w:r w:rsidR="008A7532">
        <w:rPr>
          <w:i/>
        </w:rPr>
        <w:t>in vitro</w:t>
      </w:r>
      <w:r w:rsidR="008A7532">
        <w:t xml:space="preserve"> IL15 exposure.</w:t>
      </w:r>
      <w:r w:rsidR="008A7532">
        <w:fldChar w:fldCharType="begin"/>
      </w:r>
      <w:r w:rsidR="000A492A">
        <w:instrText xml:space="preserve"> ADDIN ZOTERO_ITEM CSL_CITATION {"citationID":"vaahttkp2","properties":{"formattedCitation":"{\\rtf \\super 265\\nosupersub{}}","plainCitation":"265"},"citationItems":[{"id":352,"uris":["http://zotero.org/users/171999/items/NKBHXPX8"],"uri":["http://zotero.org/users/171999/items/NKBHXPX8"],"itemData":{"id":352,"type":"article-journal","title":"Overexpression of interleukin-15 induces skeletal muscle hypertrophy in vitro: implications for treatment of muscle wasting disorders","container-title":"Experimental cell research","page":"55-63","volume":"280","issue":"1","source":"NCBI PubMed","abstract":"Interleukin-15 (IL-15) is a novel anabolic factor for skeletal muscle which inhibits muscle wasting associated with cancer (cachexia) in a rat model. To develop a cell culture system in which the mechanism of the anabolic action of IL-15 on skeletal muscle could be examined, the mouse C2 skeletal myogenic cell line was transduced with a retroviral expression vector for IL-15 and compared to sister cells transduced with a control vector. Overexpression of IL-15 induced fivefold higher levels of sarcomeric myosin heavy chain and alpha-actin accumulation in differentiated myotubes. Secreted factors from IL-15-overexpressing myogenic cells, but not from control cells, induced increased myofibrillar protein accumulation in cocultured control myotubes. IL-15 overexpression induced a hypertrophic myotube morphology similar to that described for cultured myotubes which overexpressed the well-characterized anabolic factor insulin-like growth factor-I (IGF-I). However, in contrast to IGF-I, the hypertrophic action of IL-15 on skeletal myogenic cells did not involve stimulation of skeletal myoblast proliferation or differentiation. IL-15 induced myotube hypertrophy at both low and high IGF-I concentrations. Furthermore, in contrast to IGF-I, which stimulated only protein synthesis under these culture conditions, IL-15 both stimulated protein synthesis and inhibited protein degradation in cultured skeletal myotubes. These findings indicate that IL-15 action on skeletal myogenic cells is distinct from that of IGF-I. Due to the ability of IGF-I to stimulate cell division and its association with several forms of cancer, controversy exists concerning the advisability of treating cachexia or age-associated muscle wasting with IGF-I. Administration of IL-15 or modulation of the IL-15 signaling pathway may represent an alternative strategy for maintaining skeletal muscle mass under these conditions.","ISSN":"0014-4827","note":"PMID: 12372339","shortTitle":"Overexpression of interleukin-15 induces skeletal muscle hypertrophy in vitro","journalAbbreviation":"Exp. Cell Res.","language":"eng","author":[{"family":"Quinn","given":"LeBris S"},{"family":"Anderson","given":"Barbara G"},{"family":"Drivdahl","given":"Rolf H"},{"family":"Alvarez","given":"Belén"},{"family":"Argilés","given":"Josep M"}],"issued":{"date-parts":[["2002",10,15]]},"PMID":"12372339"}}],"schema":"https://github.com/citation-style-language/schema/raw/master/csl-citation.json"} </w:instrText>
      </w:r>
      <w:r w:rsidR="008A7532">
        <w:fldChar w:fldCharType="separate"/>
      </w:r>
      <w:r w:rsidR="000A492A" w:rsidRPr="000A492A">
        <w:rPr>
          <w:vertAlign w:val="superscript"/>
        </w:rPr>
        <w:t>265</w:t>
      </w:r>
      <w:r w:rsidR="008A7532">
        <w:fldChar w:fldCharType="end"/>
      </w:r>
      <w:r w:rsidR="008A7532">
        <w:t xml:space="preserve">  </w:t>
      </w:r>
      <w:r w:rsidR="00856898">
        <w:t>Effects on lipid oxidation as described for adiposity above are also seen, with a greater magnitude, in cultured myocytes.</w:t>
      </w:r>
      <w:r w:rsidR="00A76678">
        <w:t xml:space="preserve">  IL15 exposure</w:t>
      </w:r>
      <w:r w:rsidR="00856898">
        <w:t xml:space="preserve"> increases expression of PPARδ</w:t>
      </w:r>
      <w:r w:rsidR="00A76678">
        <w:t>, a nuclear receptor involved in lipid oxidation, that causes increased type I, slow twitch, fiber expression in muscle.</w:t>
      </w:r>
      <w:r w:rsidR="00856898">
        <w:fldChar w:fldCharType="begin"/>
      </w:r>
      <w:r w:rsidR="000A492A">
        <w:instrText xml:space="preserve"> ADDIN ZOTERO_ITEM CSL_CITATION {"citationID":"308H3n8d","properties":{"formattedCitation":"{\\rtf \\super 262,266\\nosupersub{}}","plainCitation":"262,266"},"citationItems":[{"id":293,"uris":["http://zotero.org/users/171999/items/2IF2VR7T"],"uri":["http://zotero.org/users/171999/items/2IF2VR7T"],"itemData":{"id":293,"type":"article-journal","title":"Effects of interleukin-15 on lipid oxidation: disposal of an oral [(14)C]-triolein load","container-title":"Biochimica et biophysica acta","page":"37-42","volume":"1761","issue":"1","source":"NCBI PubMed","abstract":"Interleukin 15 (IL-15) has previously been shown to have important effects on lipid metabolism in adipose tissue, particularly influencing the rate of the de novo fatty acid synthesis. The results presented here show that chronic administration to rats (100 microg/kg body weight) has important effects on the metabolic fate of an exogenous [(14)C]-triolein load, decreasing the incorporation of lipid into adipose tissue and significantly increasing the total (14)CO(2) formation from [(14)C]-triolein. Skeletal muscle and possibly liver seem to be the main organs involved in the action of IL-15 on lipid oxidation, since the presence of the cytokine in incubated EDL muscle with [(14)C]-palmitic acid increased (14)CO(2) formation by 39%. Concerning the mechanism, the results suggest that the transport of fatty acids into mitochondria could be involved in the action of IL-15 since the cytokine clearly increases the presence of L-CPT-I and CPT-II in liver tissue. In addition, IL-15 treatment resulted in a significant increment in the gene expression of PPARdelta, a transcription factor clearly related with lipid catabolism in many tissues. Altogether, the results presented here suggest that IL-15 alters exogenous lipid partitioning, limiting adipose tissue uptake and favouring oxidation.","DOI":"10.1016/j.bbalip.2005.12.006","ISSN":"0006-3002","note":"PMID: 16458591","shortTitle":"Effects of interleukin-15 on lipid oxidation","journalAbbreviation":"Biochim. Biophys. Acta","language":"eng","author":[{"family":"Almendro","given":"Vanessa"},{"family":"Busquets","given":"Sílvia"},{"family":"Ametller","given":"Elisabet"},{"family":"Carbó","given":"Neus"},{"family":"Figueras","given":"Maite"},{"family":"Fuster","given":"Gemma"},{"family":"Argilés","given":"Josep M"},{"family":"López-Soriano","given":"Francisco J"}],"issued":{"date-parts":[["2006",1]]},"PMID":"16458591"}},{"id":360,"uris":["http://zotero.org/users/171999/items/PM27SDA5"],"uri":["http://zotero.org/users/171999/items/PM27SDA5"],"itemData":{"id":360,"type":"article-journal","title":"Regulation of muscle fiber type and running endurance by PPARdelta","container-title":"PLoS biology","page":"e294","volume":"2","issue":"10","source":"NCBI PubMed","abstract":"Endurance exercise training can promote an adaptive muscle fiber transformation and an increase of mitochondrial biogenesis by triggering scripted changes in gene expression. However, no transcription factor has yet been identified that can direct this process. We describe the engineering of a mouse capable of continuous running of up to twice the distance of a wild-type littermate. This was achieved by targeted expression of an activated form of peroxisome proliferator-activated receptor delta (PPARdelta) in skeletal muscle, which induces a switch to form increased numbers of type I muscle fibers. Treatment of wild-type mice with PPARdelta agonist elicits a similar type I fiber gene expression profile in muscle. Moreover, these genetically generated fibers confer resistance to obesity with improved metabolic profiles, even in the absence of exercise. These results demonstrate that complex physiologic properties such as fatigue, endurance, and running capacity can be molecularly analyzed and manipulated.","DOI":"10.1371/journal.pbio.0020294","ISSN":"1545-7885","note":"PMID: 15328533","journalAbbreviation":"PLoS Biol.","language":"eng","author":[{"family":"Wang","given":"Yong-Xu"},{"family":"Zhang","given":"Chun-Li"},{"family":"Yu","given":"Ruth T"},{"family":"Cho","given":"Helen K"},{"family":"Nelson","given":"Michael C"},{"family":"Bayuga-Ocampo","given":"Corinne R"},{"family":"Ham","given":"Jungyeob"},{"family":"Kang","given":"Heonjoong"},{"family":"Evans","given":"Ronald M"}],"issued":{"date-parts":[["2004",10]]},"PMID":"15328533"}}],"schema":"https://github.com/citation-style-language/schema/raw/master/csl-citation.json"} </w:instrText>
      </w:r>
      <w:r w:rsidR="00856898">
        <w:fldChar w:fldCharType="separate"/>
      </w:r>
      <w:r w:rsidR="000A492A" w:rsidRPr="000A492A">
        <w:rPr>
          <w:vertAlign w:val="superscript"/>
        </w:rPr>
        <w:t>262,266</w:t>
      </w:r>
      <w:r w:rsidR="00856898">
        <w:fldChar w:fldCharType="end"/>
      </w:r>
      <w:r w:rsidR="00A76678">
        <w:t xml:space="preserve">  An additional action of IL15 in muscle is to stimulate glucose uptake</w:t>
      </w:r>
      <w:r w:rsidR="00481607">
        <w:t xml:space="preserve"> </w:t>
      </w:r>
      <w:r w:rsidR="00481607">
        <w:rPr>
          <w:i/>
        </w:rPr>
        <w:t>in vivo</w:t>
      </w:r>
      <w:r w:rsidR="00481607">
        <w:t xml:space="preserve"> with an associated increase in GLUT4 expression </w:t>
      </w:r>
      <w:r w:rsidR="00481607">
        <w:rPr>
          <w:i/>
        </w:rPr>
        <w:t>in vitro</w:t>
      </w:r>
      <w:r w:rsidR="00481607">
        <w:t>.</w:t>
      </w:r>
      <w:r w:rsidR="00481607">
        <w:fldChar w:fldCharType="begin"/>
      </w:r>
      <w:r w:rsidR="000A492A">
        <w:instrText xml:space="preserve"> ADDIN ZOTERO_ITEM CSL_CITATION {"citationID":"1qdlvs6gua","properties":{"formattedCitation":"{\\rtf \\super 267\\nosupersub{}}","plainCitation":"267"},"citationItems":[{"id":371,"uris":["http://zotero.org/users/171999/items/EBR6QRV6"],"uri":["http://zotero.org/users/171999/items/EBR6QRV6"],"itemData":{"id":371,"type":"article-journal","title":"Interleukin-15 increases glucose uptake in skeletal muscle. An antidiabetogenic effect of the cytokine","container-title":"Biochimica et biophysica acta","page":"1613-1617","volume":"1760","issue":"11","source":"NCBI PubMed","abstract":"Previous studies have demonstrated that interleukin-15 (IL-15) has important anabolic effects on muscle protein metabolism. In the present investigation we have analysed the effects of IL-15 on glucose metabolism in skeletal muscle. Administration of a single dose of the cytokine (100 microg/kg body weight) resulted in a 32% increase on glucose uptake (as measured by the uptake of 2-deoxyglucose) in skeletal muscle. The effects observed on glucose uptake were direct since in vitro incubations of rat EDL muscles in the presence of the cytokine resulted in a 30% increase in glucose uptake. Similarly, IL-15 increased glucose uptake in C2C12 cell cultures, this being related with an increase in both glucose oxidation to CO2 and the incorporation into muscle lipid. The effects of the cytokine were associated with an increase in GLUT-4 mRNA, suggesting a higher effect in insulin sensitivity. In conclusion, the data presented here indicate that IL-15 facilitates glucose metabolism in skeletal muscle and, therefore, a possible role of the cytokine as an antidiabetogenic drug merits future investigations.","DOI":"10.1016/j.bbagen.2006.09.001","ISSN":"0006-3002","note":"PMID: 17056184","journalAbbreviation":"Biochim. Biophys. Acta","language":"eng","author":[{"family":"Busquets","given":"Sílvia"},{"family":"Figueras","given":"Maite"},{"family":"Almendro","given":"Vanessa"},{"family":"López-Soriano","given":"Francisco J"},{"family":"Argilés","given":"Josep M"}],"issued":{"date-parts":[["2006",11]]},"PMID":"17056184"}}],"schema":"https://github.com/citation-style-language/schema/raw/master/csl-citation.json"} </w:instrText>
      </w:r>
      <w:r w:rsidR="00481607">
        <w:fldChar w:fldCharType="separate"/>
      </w:r>
      <w:r w:rsidR="000A492A" w:rsidRPr="000A492A">
        <w:rPr>
          <w:vertAlign w:val="superscript"/>
        </w:rPr>
        <w:t>267</w:t>
      </w:r>
      <w:r w:rsidR="00481607">
        <w:fldChar w:fldCharType="end"/>
      </w:r>
      <w:r w:rsidR="00481607">
        <w:t xml:space="preserve">  Collectively, IL15 leads to an anabolic state in muscle, with increased glucose and lipid oxidation and concurrent increased muscle mass.</w:t>
      </w:r>
    </w:p>
    <w:p w:rsidR="00A60A69" w:rsidRDefault="00A60A69" w:rsidP="00A60A69">
      <w:pPr>
        <w:pStyle w:val="Heading2"/>
      </w:pPr>
      <w:bookmarkStart w:id="22" w:name="_Toc376465755"/>
      <w:r>
        <w:t>Animal models of obesity</w:t>
      </w:r>
      <w:bookmarkEnd w:id="22"/>
    </w:p>
    <w:p w:rsidR="00A60A69" w:rsidRDefault="003C26F1" w:rsidP="003C26F1">
      <w:r>
        <w:tab/>
      </w:r>
      <w:r w:rsidR="00716A0A">
        <w:t>A</w:t>
      </w:r>
      <w:r>
        <w:t xml:space="preserve">nimals may be used in </w:t>
      </w:r>
      <w:r w:rsidR="00716A0A">
        <w:t xml:space="preserve">obesity </w:t>
      </w:r>
      <w:r>
        <w:t xml:space="preserve">research to develop prevention and treatment recommendations purely for their own species benefit.  Animals are also often used to study obesity with the goal of translating research findings into clinical recommendations for people.  Small rodents, specifically rats and mice, are used most commonly for this </w:t>
      </w:r>
      <w:r w:rsidR="00E95739">
        <w:t>purpose</w:t>
      </w:r>
      <w:r>
        <w:t xml:space="preserve"> due to their short </w:t>
      </w:r>
      <w:r w:rsidR="00716A0A">
        <w:t>gestation period</w:t>
      </w:r>
      <w:r>
        <w:t xml:space="preserve"> and life spans</w:t>
      </w:r>
      <w:r w:rsidR="00716A0A">
        <w:t xml:space="preserve"> as well as the ability to house large numbers in relatively small spaces.  There animal model chosen is highly dependent on the research goals and </w:t>
      </w:r>
      <w:r w:rsidR="00B43989">
        <w:t>will frequently</w:t>
      </w:r>
      <w:r w:rsidR="00851B77">
        <w:t xml:space="preserve"> utilize wild type animals </w:t>
      </w:r>
      <w:r w:rsidR="00A402C9">
        <w:t>with diet induced obesity or animals with specific genetic muta</w:t>
      </w:r>
      <w:r w:rsidR="00851B77">
        <w:t>tions.</w:t>
      </w:r>
      <w:r w:rsidR="00851B77">
        <w:fldChar w:fldCharType="begin"/>
      </w:r>
      <w:r w:rsidR="000A492A">
        <w:instrText xml:space="preserve"> ADDIN ZOTERO_ITEM CSL_CITATION {"citationID":"28c4nbpr10","properties":{"formattedCitation":"{\\rtf \\super 268\\nosupersub{}}","plainCitation":"268"},"citationItems":[{"id":1535,"uris":["http://zotero.org/users/171999/items/CGRZEUIW"],"uri":["http://zotero.org/users/171999/items/CGRZEUIW"],"itemData":{"id":1535,"type":"article-journal","title":"Overview of animal models of obesity","container-title":"Current protocols in pharmacology / editorial board, S.J. Enna (editor-in-chief) ... [et al.]","page":"Unit5.61","volume":"Chapter 5","source":"NCBI PubMed","abstract":"The focus of this overview is on the animal models of obesity most commonly utilized in research. The models include monogenic models in the leptin pathway, polygenic diet-dependent models, and, in particular for their historical perspective, surgical and chemical models of obesity. However, there are far too many models to consider all of them comprehensively, especially those caused by selective molecular genetic approaches modifying one or more genes in specific populations of cells. Further, the generation and use of inducible transgenic animals (induced knock-out or knock-in) is not covered, even though they often carry significant advantages compared to traditional transgenic animals, e.g., influences of the genetic modification during the development of the animals can be minimized. The number of these animal models is simply too large to be covered in this unit.","DOI":"10.1002/0471141755.ph0561s58","ISSN":"1934-8290","note":"PMID: 22948848","journalAbbreviation":"Curr Protoc Pharmacol","language":"eng","author":[{"family":"Lutz","given":"Thomas A"},{"family":"Woods","given":"Stephen C"}],"issued":{"date-parts":[["2012",9]]},"PMID":"22948848"}}],"schema":"https://github.com/citation-style-language/schema/raw/master/csl-citation.json"} </w:instrText>
      </w:r>
      <w:r w:rsidR="00851B77">
        <w:fldChar w:fldCharType="separate"/>
      </w:r>
      <w:r w:rsidR="000A492A" w:rsidRPr="000A492A">
        <w:rPr>
          <w:vertAlign w:val="superscript"/>
        </w:rPr>
        <w:t>268</w:t>
      </w:r>
      <w:r w:rsidR="00851B77">
        <w:fldChar w:fldCharType="end"/>
      </w:r>
    </w:p>
    <w:p w:rsidR="00851B77" w:rsidRDefault="00851B77" w:rsidP="003C26F1">
      <w:r>
        <w:tab/>
        <w:t xml:space="preserve">Monogenic models, in which a single gene has been </w:t>
      </w:r>
      <w:r w:rsidR="00BC02B4">
        <w:t xml:space="preserve">spontaneously or deliberately </w:t>
      </w:r>
      <w:r>
        <w:t>altered</w:t>
      </w:r>
      <w:r w:rsidR="00BC02B4">
        <w:t>,</w:t>
      </w:r>
      <w:r>
        <w:t xml:space="preserve"> </w:t>
      </w:r>
      <w:r w:rsidR="00BC02B4">
        <w:t>are</w:t>
      </w:r>
      <w:r w:rsidR="00556D8F">
        <w:t xml:space="preserve"> arguably the most common animal model</w:t>
      </w:r>
      <w:r w:rsidR="00BC02B4">
        <w:t>s</w:t>
      </w:r>
      <w:r w:rsidR="00556D8F">
        <w:t xml:space="preserve"> in place.</w:t>
      </w:r>
      <w:r w:rsidR="00973594">
        <w:t xml:space="preserve">  Well known monogenic obesity models </w:t>
      </w:r>
      <w:r w:rsidR="0046340B">
        <w:t>include</w:t>
      </w:r>
      <w:r w:rsidR="00973594">
        <w:t xml:space="preserve"> Zucker (fa/fa</w:t>
      </w:r>
      <w:r w:rsidR="008E611D">
        <w:t>; “fatty”</w:t>
      </w:r>
      <w:r w:rsidR="00973594">
        <w:t>) rats and</w:t>
      </w:r>
      <w:r w:rsidR="0046340B">
        <w:t xml:space="preserve"> leptin obese</w:t>
      </w:r>
      <w:r w:rsidR="00973594">
        <w:t xml:space="preserve"> </w:t>
      </w:r>
      <w:r w:rsidR="0046340B">
        <w:t>(</w:t>
      </w:r>
      <w:r w:rsidR="00973594" w:rsidRPr="00973594">
        <w:t>Lep</w:t>
      </w:r>
      <w:r w:rsidR="00973594" w:rsidRPr="00973594">
        <w:rPr>
          <w:vertAlign w:val="superscript"/>
        </w:rPr>
        <w:t>ob</w:t>
      </w:r>
      <w:r w:rsidR="00973594">
        <w:t>/Lep</w:t>
      </w:r>
      <w:r w:rsidR="00973594" w:rsidRPr="00973594">
        <w:rPr>
          <w:vertAlign w:val="superscript"/>
        </w:rPr>
        <w:t>ob</w:t>
      </w:r>
      <w:r w:rsidR="0046340B">
        <w:t>)</w:t>
      </w:r>
      <w:r w:rsidR="00973594">
        <w:t xml:space="preserve"> and</w:t>
      </w:r>
      <w:r w:rsidR="0046340B">
        <w:t xml:space="preserve"> leptin diabetic</w:t>
      </w:r>
      <w:r w:rsidR="00973594">
        <w:t xml:space="preserve"> </w:t>
      </w:r>
      <w:r w:rsidR="0046340B">
        <w:t>(</w:t>
      </w:r>
      <w:r w:rsidR="00973594">
        <w:t>Lep</w:t>
      </w:r>
      <w:r w:rsidR="00973594" w:rsidRPr="00973594">
        <w:rPr>
          <w:vertAlign w:val="superscript"/>
        </w:rPr>
        <w:t>db</w:t>
      </w:r>
      <w:r w:rsidR="00973594">
        <w:t>/Lep</w:t>
      </w:r>
      <w:r w:rsidR="00973594" w:rsidRPr="00973594">
        <w:rPr>
          <w:vertAlign w:val="superscript"/>
        </w:rPr>
        <w:t>db</w:t>
      </w:r>
      <w:r w:rsidR="0046340B">
        <w:t>)</w:t>
      </w:r>
      <w:r w:rsidR="00973594">
        <w:t xml:space="preserve"> mice, which all exhibit </w:t>
      </w:r>
      <w:r w:rsidR="00973594">
        <w:lastRenderedPageBreak/>
        <w:t>spontaneous single gene mutations</w:t>
      </w:r>
      <w:r w:rsidR="0046340B">
        <w:t xml:space="preserve"> with corresponding obesity development</w:t>
      </w:r>
      <w:r w:rsidR="00973594">
        <w:t>.</w:t>
      </w:r>
      <w:r w:rsidR="00973594">
        <w:fldChar w:fldCharType="begin"/>
      </w:r>
      <w:r w:rsidR="000A492A">
        <w:instrText xml:space="preserve"> ADDIN ZOTERO_ITEM CSL_CITATION {"citationID":"tUuCasyb","properties":{"formattedCitation":"{\\rtf \\super 152,159,268\\uc0\\u8211{}271\\nosupersub{}}","plainCitation":"152,159,268–271"},"citationItems":[{"id":"rsWRv8Oc/CVYf5TBW","uris":["http://zotero.org/users/local/Ry4zHLbn/items/B7KIJ56U"],"uri":["http://zotero.org/users/local/Ry4zHLbn/items/B7KIJ56U"],"itemData":{"id":"rsWRv8Oc/CVYf5TBW","type":"article-journal","title":"Positional cloning of the mouse obese gene and its human homologue","container-title":"Nature","page":"425-432","volume":"372","issue":"6505","source":"NCBI PubMed","abstract":"The mechanisms that balance food intake and energy expenditure determine who will be obese and who will be lean. One of the molecules that regulates energy balance in the mouse is the obese (ob) gene. Mutation of ob results in profound obesity and type II diabetes as part of a syndrome that resembles morbid obesity in humans. The ob gene product may function as part of a signalling pathway from adipose tissue that acts to regulate the size of the body fat depot.","DOI":"10.1038/372425a0","ISSN":"0028-0836","note":"PMID: 7984236","journalAbbreviation":"Nature","language":"eng","author":[{"family":"Zhang","given":"Y"},{"family":"Proenca","given":"R"},{"family":"Maffei","given":"M"},{"family":"Barone","given":"M"},{"family":"Leopold","given":"L"},{"family":"Friedman","given":"J M"}],"issued":{"year":1994,"month":12,"day":1},"PMID":"7984236","page-first":"425","container-title-short":"Nature"}},{"id":1537,"uris":["http://zotero.org/users/171999/items/4SVQ4638"],"uri":["http://zotero.org/users/171999/items/4SVQ4638"],"itemData":{"id":1537,"type":"article-journal","title":"Fatty, a new mutation in the rat.","container-title":"Journal of Heredity","volume":"52","source":"ISI Web of Knowledge","abstract":"An obese rat mutation, fa (called fatty), is described. Breeding experiments show that it is due to a single recessive gene. The obesity is apparently of metabolic origin, being associated with obviously deranged lipid metabolism leading to very high blood lipid levels. -Authors' summary.","ISSN":"0022-1503","language":"not specified","author":[{"family":"Zucker","given":"L. M."},{"family":"Zucker","given":"T. F."}],"issued":{"date-parts":[["1961"]]}}},{"id":1538,"uris":["http://zotero.org/users/171999/items/8G7AECHI"],"uri":["http://zotero.org/users/171999/items/8G7AECHI"],"itemData":{"id":1538,"type":"article-journal","title":"Phenotypes of mouse diabetes and rat fatty due to mutations in the OB (leptin) receptor","container-title":"Science (New York, N.Y.)","page":"994-996","volume":"271","issue":"5251","source":"NCBI PubMed","abstract":"Mice harboring mutations in the obese (ob) and diabetes (db) genes display similar phenotypes, and it has been proposed that these genes encode the ligand and receptor, respectively, for a physiologic pathway that regulates body weight. The cloning of ob, and the demonstration that it encodes a secreted protein (leptin) that binds specifically to a receptor (OB-R) in the brain, have validated critical aspects of this hypothesis. Here it is shown by genetic mapping and genomic analysis that mouse db, rat fatty (a homolog of db), and the gene encoding the OB-R are the same gene.","ISSN":"0036-8075","note":"PMID: 8584938","journalAbbreviation":"Science","language":"eng","author":[{"family":"Chua","given":"S C, Jr"},{"family":"Chung","given":"W K"},{"family":"Wu-Peng","given":"X S"},{"family":"Zhang","given":"Y"},{"family":"Liu","given":"S M"},{"family":"Tartaglia","given":"L"},{"family":"Leibel","given":"R L"}],"issued":{"date-parts":[["1996",2,16]]},"PMID":"8584938"}},{"id":1540,"uris":["http://zotero.org/users/171999/items/EEXAJT8D"],"uri":["http://zotero.org/users/171999/items/EEXAJT8D"],"itemData":{"id":1540,"type":"article-journal","title":"Obese and diabetes: two mutant genes causing diabetes-obesity syndromes in mice","container-title":"Diabetologia","page":"141-148","volume":"14","issue":"3","source":"NCBI PubMed","ISSN":"0012-186X","note":"PMID: 350680","shortTitle":"Obese and diabetes","journalAbbreviation":"Diabetologia","language":"eng","author":[{"family":"Coleman","given":"D L"}],"issued":{"date-parts":[["1978",3]]},"PMID":"350680"}},{"id":"rsWRv8Oc/cFGhsyan","uris":["http://zotero.org/users/local/Ry4zHLbn/items/8H4XM3BJ"],"uri":["http://zotero.org/users/local/Ry4zHLbn/items/8H4XM3BJ"],"itemData":{"id":"rsWRv8Oc/cFGhsyan","type":"article-journal","title":"Weight-reducing effects of the plasma protein encoded by the obese gene","container-title":"Science (New York, N.Y.)","page":"543-546","volume":"269","issue":"5223","source":"NCBI PubMed","abstract":"The gene product of the ob locus is important in the regulation of body weight. The ob product was shown to be present as a 16-kilodalton protein in mouse and human plasma but was undetectable in plasma from C57BL/6J ob/ob mice. Plasma levels of this protein were increased in diabetic (db) mice, a mutant thought to be resistant to the effects of ob. Daily intraperitoneal injections of either mouse or human recombinant OB protein reduced the body weight of ob/ob mice by 30 percent after 2 weeks of treatment with no apparent toxicity but had no effect on db/db mice. The protein reduced food intake and increased energy expenditure in ob/ob mice. Injections of wild-type mice twice daily with the mouse protein resulted in a sustained 12 percent weight loss, decreased food intake, and a reduction of body fat from 12.2 to 0.7 percent. These data suggest that the OB protein serves an endocrine function to regulate body fat stores.","ISSN":"0036-8075","note":"PMID: 7624777","journalAbbreviation":"Science","language":"eng","author":[{"family":"Halaas","given":"J L"},{"family":"Gajiwala","given":"K S"},{"family":"Maffei","given":"M"},{"family":"Cohen","given":"S L"},{"family":"Chait","given":"B T"},{"family":"Rabinowitz","given":"D"},{"family":"Lallone","given":"R L"},{"family":"Burley","given":"S K"},{"family":"Friedman","given":"J M"}],"issued":{"year":1995,"month":7,"day":28},"PMID":"7624777","page-first":"543","container-title-short":"Science"}},{"id":1535,"uris":["http://zotero.org/users/171999/items/CGRZEUIW"],"uri":["http://zotero.org/users/171999/items/CGRZEUIW"],"itemData":{"id":1535,"type":"article-journal","title":"Overview of animal models of obesity","container-title":"Current protocols in pharmacology / editorial board, S.J. Enna (editor-in-chief) ... [et al.]","page":"Unit5.61","volume":"Chapter 5","source":"NCBI PubMed","abstract":"The focus of this overview is on the animal models of obesity most commonly utilized in research. The models include monogenic models in the leptin pathway, polygenic diet-dependent models, and, in particular for their historical perspective, surgical and chemical models of obesity. However, there are far too many models to consider all of them comprehensively, especially those caused by selective molecular genetic approaches modifying one or more genes in specific populations of cells. Further, the generation and use of inducible transgenic animals (induced knock-out or knock-in) is not covered, even though they often carry significant advantages compared to traditional transgenic animals, e.g., influences of the genetic modification during the development of the animals can be minimized. The number of these animal models is simply too large to be covered in this unit.","DOI":"10.1002/0471141755.ph0561s58","ISSN":"1934-8290","note":"PMID: 22948848","journalAbbreviation":"Curr Protoc Pharmacol","language":"eng","author":[{"family":"Lutz","given":"Thomas A"},{"family":"Woods","given":"Stephen C"}],"issued":{"date-parts":[["2012",9]]},"PMID":"22948848"}}],"schema":"https://github.com/citation-style-language/schema/raw/master/csl-citation.json"} </w:instrText>
      </w:r>
      <w:r w:rsidR="00973594">
        <w:fldChar w:fldCharType="separate"/>
      </w:r>
      <w:r w:rsidR="000A492A" w:rsidRPr="000A492A">
        <w:rPr>
          <w:vertAlign w:val="superscript"/>
        </w:rPr>
        <w:t>152,159,268–271</w:t>
      </w:r>
      <w:r w:rsidR="00973594">
        <w:fldChar w:fldCharType="end"/>
      </w:r>
      <w:r w:rsidR="0046340B">
        <w:t xml:space="preserve">  </w:t>
      </w:r>
      <w:r w:rsidR="004D1BD8">
        <w:t xml:space="preserve">Leptin obese mice exhibit a mutation of the ob gene, causing early termination of leptin release and subsequent leptin deficiency.  Leptin diabetic mice are similar, but their mutation affects the leptin receptor, meaning these mice release adequate levels of leptin, but the receptor is unable to properly respond to the circulating adipokine.  </w:t>
      </w:r>
      <w:r w:rsidR="00BC02B4">
        <w:t xml:space="preserve">Zucker rats also have a </w:t>
      </w:r>
      <w:r w:rsidR="00E95739">
        <w:t>mutation</w:t>
      </w:r>
      <w:r w:rsidR="00BC02B4">
        <w:t xml:space="preserve"> involving the leptin receptor.  Their receptor</w:t>
      </w:r>
      <w:r w:rsidR="00AD6F8B">
        <w:t xml:space="preserve"> is</w:t>
      </w:r>
      <w:r w:rsidR="00BC02B4">
        <w:t xml:space="preserve"> produced, but is maintained </w:t>
      </w:r>
      <w:r w:rsidR="00E95739">
        <w:t>intracellularly</w:t>
      </w:r>
      <w:r w:rsidR="00BC02B4">
        <w:t>, leaving inadequate surface receptor numbers and a diminished ability to respond to normal circulating levels of leptin.</w:t>
      </w:r>
    </w:p>
    <w:p w:rsidR="00BC02B4" w:rsidRDefault="00BC02B4" w:rsidP="003C26F1">
      <w:r>
        <w:tab/>
      </w:r>
      <w:r w:rsidR="008E7212">
        <w:t>Diet induced</w:t>
      </w:r>
      <w:r w:rsidR="00A402C9">
        <w:t xml:space="preserve"> models of obesity (DIO) </w:t>
      </w:r>
      <w:r w:rsidR="009420D9">
        <w:t xml:space="preserve">include use of animal strains with known responses to certain dietary manipulations.  High energy, high fat, and cafeteria (Western style diets with increased meal size and frequency) </w:t>
      </w:r>
      <w:r w:rsidR="00AD6F8B">
        <w:t xml:space="preserve">diet </w:t>
      </w:r>
      <w:r w:rsidR="009420D9">
        <w:t xml:space="preserve">manipulations are commonly employed based on desired outcomes.  </w:t>
      </w:r>
      <w:r w:rsidR="00A402C9">
        <w:t xml:space="preserve">DIO may be a better way to study the obese state from a translation perspective because it involves animals responding to an excess calorie load and developing obesity </w:t>
      </w:r>
      <w:r w:rsidR="009420D9">
        <w:t xml:space="preserve">in a more natural manner </w:t>
      </w:r>
      <w:r w:rsidR="00A402C9">
        <w:t>with many of the same outcomes seen in obese people.  For this reason, DIO is a reasonable choice for testing prospective therapies, while monogenic models can be part of the initial therapy development and evaluation.</w:t>
      </w:r>
      <w:r w:rsidR="009420D9">
        <w:fldChar w:fldCharType="begin"/>
      </w:r>
      <w:r w:rsidR="000A492A">
        <w:instrText xml:space="preserve"> ADDIN ZOTERO_ITEM CSL_CITATION {"citationID":"Wi6wRAm1","properties":{"formattedCitation":"{\\rtf \\super 268,272\\nosupersub{}}","plainCitation":"268,272"},"citationItems":[{"id":1535,"uris":["http://zotero.org/users/171999/items/CGRZEUIW"],"uri":["http://zotero.org/users/171999/items/CGRZEUIW"],"itemData":{"id":1535,"type":"article-journal","title":"Overview of animal models of obesity","container-title":"Current protocols in pharmacology / editorial board, S.J. Enna (editor-in-chief) ... [et al.]","page":"Unit5.61","volume":"Chapter 5","source":"NCBI PubMed","abstract":"The focus of this overview is on the animal models of obesity most commonly utilized in research. The models include monogenic models in the leptin pathway, polygenic diet-dependent models, and, in particular for their historical perspective, surgical and chemical models of obesity. However, there are far too many models to consider all of them comprehensively, especially those caused by selective molecular genetic approaches modifying one or more genes in specific populations of cells. Further, the generation and use of inducible transgenic animals (induced knock-out or knock-in) is not covered, even though they often carry significant advantages compared to traditional transgenic animals, e.g., influences of the genetic modification during the development of the animals can be minimized. The number of these animal models is simply too large to be covered in this unit.","DOI":"10.1002/0471141755.ph0561s58","ISSN":"1934-8290","note":"PMID: 22948848","journalAbbreviation":"Curr Protoc Pharmacol","language":"eng","author":[{"family":"Lutz","given":"Thomas A"},{"family":"Woods","given":"Stephen C"}],"issued":{"date-parts":[["2012",9]]},"PMID":"22948848"}},{"id":1544,"uris":["http://zotero.org/users/171999/items/PQK3EITU"],"uri":["http://zotero.org/users/171999/items/PQK3EITU"],"itemData":{"id":1544,"type":"article-journal","title":"The contribution of animal models to the study of obesity","container-title":"Laboratory animals","page":"413-432","volume":"42","issue":"4","source":"NCBI PubMed","abstract":"Obesity results from prolonged imbalance of energy intake and energy expenditure. Animal models have provided a fundamental contribution to the historical development of understanding the basic parameters that regulate the components of our energy balance. Five different types of animal model have been employed in the study of the physiological and genetic basis of obesity. The first models reflect single gene mutations that have arisen spontaneously in rodent colonies and have subsequently been characterized. The second approach is to speed up the random mutation rate artificially by treating rodents with mutagens or exposing them to radiation. The third type of models are mice and rats where a specific gene has been disrupted or over-expressed as a deliberate act. Such genetically-engineered disruptions may be generated through the entire body for the entire life (global transgenic manipulations) or restricted in both time and to certain tissue or cell types. In all these genetically-engineered scenarios, there are two types of situation that lead to insights: where a specific gene hypothesized to play a role in the regulation of energy balance is targeted, and where a gene is disrupted for a different purpose, but the consequence is an unexpected obese or lean phenotype. A fourth group of animal models concern experiments where selective breeding has been utilized to derive strains of rodents that differ in their degree of fatness. Finally, studies have been made of other species including non-human primates and dogs. In addition to studies of the physiological and genetic basis of obesity, studies of animal models have also informed us about the environmental aspects of the condition. Studies in this context include exploring the responses of animals to high fat or high fat/high sugar (Cafeteria) diets, investigations of the effects of dietary restriction on body mass and fat loss, and studies of the impact of candidate pharmaceuticals on components of energy balance. Despite all this work, there are many gaps in our understanding of how body composition and energy storage are regulated, and a continuing need for the development of pharmaceuticals to treat obesity. Accordingly, reductions in the use of animal models, while ethically desirable, will not be feasible in the short to medium term, and indeed an expansion in activity using animal models is anticipated as the epidemic continues and spreads geographically.","DOI":"10.1258/la.2007.006067","ISSN":"0023-6772","note":"PMID: 18782824","journalAbbreviation":"Lab. Anim.","language":"eng","author":[{"family":"Speakman","given":"John"},{"family":"Hambly","given":"Catherine"},{"family":"Mitchell","given":"Sharon"},{"family":"Król","given":"Elzbieta"}],"issued":{"date-parts":[["2008",10]]},"PMID":"18782824"}}],"schema":"https://github.com/citation-style-language/schema/raw/master/csl-citation.json"} </w:instrText>
      </w:r>
      <w:r w:rsidR="009420D9">
        <w:fldChar w:fldCharType="separate"/>
      </w:r>
      <w:r w:rsidR="000A492A" w:rsidRPr="000A492A">
        <w:rPr>
          <w:vertAlign w:val="superscript"/>
        </w:rPr>
        <w:t>268,272</w:t>
      </w:r>
      <w:r w:rsidR="009420D9">
        <w:fldChar w:fldCharType="end"/>
      </w:r>
    </w:p>
    <w:p w:rsidR="00A44496" w:rsidRPr="003A0EF9" w:rsidRDefault="00AD6F8B" w:rsidP="00A44496">
      <w:pPr>
        <w:ind w:firstLine="720"/>
        <w:contextualSpacing/>
      </w:pPr>
      <w:r>
        <w:t>As previously stated</w:t>
      </w:r>
      <w:r w:rsidR="00A44496" w:rsidRPr="003A0EF9">
        <w:t>,</w:t>
      </w:r>
      <w:r w:rsidR="00A44496">
        <w:t xml:space="preserve"> the highest prevalence of overweight and obesity</w:t>
      </w:r>
      <w:r>
        <w:t xml:space="preserve"> in dogs</w:t>
      </w:r>
      <w:r w:rsidR="00A44496">
        <w:t xml:space="preserve"> is in n</w:t>
      </w:r>
      <w:r w:rsidR="00A44496" w:rsidRPr="003A0EF9">
        <w:t xml:space="preserve">eutered </w:t>
      </w:r>
      <w:r w:rsidR="00A44496">
        <w:t>animal</w:t>
      </w:r>
      <w:r w:rsidR="00A44496" w:rsidRPr="003A0EF9">
        <w:t>s</w:t>
      </w:r>
      <w:r w:rsidR="00A44496">
        <w:t>,</w:t>
      </w:r>
      <w:r w:rsidR="00001224">
        <w:t xml:space="preserve"> while</w:t>
      </w:r>
      <w:r w:rsidR="00A44496" w:rsidRPr="003A0EF9">
        <w:t xml:space="preserve"> Cocker Spaniels, Beagles, Labrador Retrievers, Golden Retrievers, Shetland Sheepdogs, Rottweilers, and Mixed-breed dogs have an overweight prevalence greater than or equal to 30%.</w:t>
      </w:r>
      <w:r w:rsidR="00A44496" w:rsidRPr="003A0EF9">
        <w:fldChar w:fldCharType="begin"/>
      </w:r>
      <w:r w:rsidR="00175E4E">
        <w:instrText xml:space="preserve"> ADDIN ZOTERO_ITEM CSL_CITATION {"citationID":"4APh8m9N","properties":{"formattedCitation":"{\\rtf \\super 6\\nosupersub{}}","plainCitation":"6"},"citationItems":[{"id":13,"uris":["http://zotero.org/users/171999/items/934HWIHU"],"uri":["http://zotero.org/users/171999/items/934HWIHU"],"itemData":{"id":13,"type":"article-journal","title":"Prevalence and risk factors for obesity in adult dogs from private US veterinary practices.","container-title":"International Journal of Applied Research in Veterinary Medicine","volume":"4","issue":"2","source":"ISI Web of Knowledge","abstract":"Using a cross-sectional study design, the prevalence of overweight and obesity in dogs over 1 year of age seen by US veterinarians during 1995 was determined. Risk factors for overweight and obesity were also determined from the following variables: age, breed, gender, body condition score, food type, reported concurrent disease, and geographic region. Thirty-four percent of adult dogs (n=21,754) were overweight or obese. From multivariate analyses, overweight dogs were more likely to be older, of certain breeds (Cocker Spaniel, Labrador Retriever, Dalmatian, Dachshund, Rottweiler, Golden Retriever, Shetland Sheepdog, Mixed-breed), neutered, and to consume a semi-moist food as their major diet source. In addition, overweight adult dogs were most likely to reside in the Pacific, South Central, East North Central, or Northeast regions of the United States and be diagnosed with hyperadrenocorticism, ruptured cruciate ligament, hypothyroidism, lower urinary tract disease, or oral disease. Obese dogs were more likely to be older, of certain breeds (Shetland Sheepdog, Dachshund, and Golden Retriever), neutered, and to consume \"other\" foods (meat or other food products, commercial treats, or table scraps), homemade, or canned foods as their major diet source. Also, obese adult dogs were more likely to live in the Pacific or Northeast region of the United States and be diagnosed with hypothyroidism, diabetes mellitus, pancreatitis, ruptured cruciate ligament, or neoplasia. Practitioners can use these data to counsel dog owners on obesity prevention, especially owners of dogs with ≥1 risk factors for overweight/obesity, and to strongly advocate for the maintenance of canine patients at an ideal body condition.","ISSN":"1542-2666","language":"English","author":[{"family":"Lund","given":"E. M."},{"family":"Armstrong","given":"P. J."},{"family":"Kirk","given":"C. A."},{"family":"Klausner","given":"J. S."}],"issued":{"date-parts":[["2006"]]}}}],"schema":"https://github.com/citation-style-language/schema/raw/master/csl-citation.json"} </w:instrText>
      </w:r>
      <w:r w:rsidR="00A44496" w:rsidRPr="003A0EF9">
        <w:fldChar w:fldCharType="separate"/>
      </w:r>
      <w:r w:rsidR="00A44496" w:rsidRPr="003A0EF9">
        <w:rPr>
          <w:vertAlign w:val="superscript"/>
        </w:rPr>
        <w:t>6</w:t>
      </w:r>
      <w:r w:rsidR="00A44496" w:rsidRPr="003A0EF9">
        <w:fldChar w:fldCharType="end"/>
      </w:r>
      <w:r w:rsidR="00A44496">
        <w:t xml:space="preserve">  </w:t>
      </w:r>
      <w:r w:rsidR="00001224">
        <w:t xml:space="preserve">It stands to reason that these breeds are best suited as DIO unless genetic mutations are identified.  There has been a recent call for </w:t>
      </w:r>
      <w:r>
        <w:t>i</w:t>
      </w:r>
      <w:r w:rsidR="00001224">
        <w:t>nvestigating the canine genome and identifying predisposing genetic markers of obesit</w:t>
      </w:r>
      <w:r w:rsidR="00B336EE">
        <w:t>y in dogs to better expand canine</w:t>
      </w:r>
      <w:r w:rsidR="00001224">
        <w:t xml:space="preserve"> utilization for </w:t>
      </w:r>
      <w:r w:rsidR="004C0563">
        <w:t>comparative</w:t>
      </w:r>
      <w:r w:rsidR="00001224">
        <w:t xml:space="preserve"> research.</w:t>
      </w:r>
      <w:r w:rsidR="00001224">
        <w:fldChar w:fldCharType="begin"/>
      </w:r>
      <w:r w:rsidR="000A492A">
        <w:instrText xml:space="preserve"> ADDIN ZOTERO_ITEM CSL_CITATION {"citationID":"1835g0dlgc","properties":{"formattedCitation":"{\\rtf \\super 273,274\\nosupersub{}}","plainCitation":"273,274"},"citationItems":[{"id":1550,"uris":["http://zotero.org/users/171999/items/G2KMV2X2"],"uri":["http://zotero.org/users/171999/items/G2KMV2X2"],"itemData":{"id":1550,"type":"article-journal","title":"Dog obesity - The need for identifying predisposing genetic markers","container-title":"Research in veterinary science","source":"NCBI PubMed","abstract":"Incidence of overweight and obesity in dogs exceeds 30%, and several breeds are predisposed to this heritable phenotype. Rapid progress of canine genomics and advanced knowledge on the genetic background of human obesity bring a unique opportunity to perform such studies in dogs. Natural candidate genes for obesity are these encoding adipokines. Extended studies in humans indicated that polymorphisms of three of them, i.e. ADIPOQ, IL1 and TNF, are associated with predisposition to obesity. On the other hand, the use of genome-wide association studies revealed an association between human obesity and polymorphism of more than 50 other genes. Until now only few preliminary reports on polymorphism of canine FTO, MC4R, MC3R and PPARG genes have been published. Since the dog is a valuable model organism for human diseases one can foresee that such studies may also contribute to an in-depth understanding of human obesity pathogenesis.","DOI":"10.1016/j.rvsc.2013.08.015","ISSN":"1532-2661","note":"PMID: 24034586","journalAbbreviation":"Res. Vet. Sci.","language":"ENG","author":[{"family":"Switonski","given":"M"},{"family":"Mankowska","given":"M"}],"issued":{"date-parts":[["2013",8,29]]},"PMID":"24034586"}},{"id":1552,"uris":["http://zotero.org/users/171999/items/8KZEU73A"],"uri":["http://zotero.org/users/171999/items/8KZEU73A"],"itemData":{"id":1552,"type":"article-journal","title":"LUPA: a European initiative taking advantage of the canine genome architecture for unravelling complex disorders in both human and dogs","container-title":"Veterinary journal (London, England: 1997)","page":"155-159","volume":"189","issue":"2","source":"NCBI PubMed","abstract":"The domestic dog offers a unique opportunity to explore the genetic basis of disease, morphology and behaviour. Humans share many diseases with our canine companions, making dogs an ideal model organism for comparative disease genetics. Using newly developed resources, genome-wide association studies in dog breeds are proving to be exceptionally powerful. Towards this aim, veterinarians and geneticists from 12 European countries are collaborating to collect and analyse the DNA from large cohorts of dogs suffering from a range of carefully defined diseases of relevance to human health. This project, named LUPA, has already delivered considerable results. The consortium has collaborated to develop a new high density single nucleotide polymorphism (SNP) array. Mutations for four monogenic diseases have been identified and the information has been utilised to find mutations in human patients. Several complex diseases have been mapped and fine mapping is underway. These findings should ultimately lead to a better understanding of the molecular mechanisms underlying complex diseases in both humans and their best friend.","DOI":"10.1016/j.tvjl.2011.06.013","ISSN":"1532-2971","note":"PMID: 21752675","shortTitle":"LUPA","journalAbbreviation":"Vet. J.","language":"eng","author":[{"family":"Lequarré","given":"Anne-Sophie"},{"family":"Andersson","given":"Leif"},{"family":"André","given":"Catherine"},{"family":"Fredholm","given":"Merete"},{"family":"Hitte","given":"Christophe"},{"family":"Leeb","given":"Tosso"},{"family":"Lohi","given":"Hannes"},{"family":"Lindblad-Toh","given":"Kerstin"},{"family":"Georges","given":"Michel"}],"issued":{"date-parts":[["2011",8]]},"PMID":"21752675"}}],"schema":"https://github.com/citation-style-language/schema/raw/master/csl-citation.json"} </w:instrText>
      </w:r>
      <w:r w:rsidR="00001224">
        <w:fldChar w:fldCharType="separate"/>
      </w:r>
      <w:r w:rsidR="000A492A" w:rsidRPr="000A492A">
        <w:rPr>
          <w:vertAlign w:val="superscript"/>
        </w:rPr>
        <w:t>273,274</w:t>
      </w:r>
      <w:r w:rsidR="00001224">
        <w:fldChar w:fldCharType="end"/>
      </w:r>
      <w:r>
        <w:t xml:space="preserve">  This work has the potential to vastly expand the use of dogs as models of human obesity.</w:t>
      </w:r>
    </w:p>
    <w:p w:rsidR="00BC02B4" w:rsidRDefault="00722D6F" w:rsidP="00722D6F">
      <w:pPr>
        <w:pStyle w:val="Heading2"/>
      </w:pPr>
      <w:bookmarkStart w:id="23" w:name="_Toc376465756"/>
      <w:r>
        <w:t>Theories on how to combat the problem</w:t>
      </w:r>
      <w:bookmarkEnd w:id="23"/>
    </w:p>
    <w:p w:rsidR="00FA2F92" w:rsidRDefault="00FA2F92" w:rsidP="00FA2F92">
      <w:pPr>
        <w:pStyle w:val="Heading3"/>
      </w:pPr>
      <w:bookmarkStart w:id="24" w:name="_Toc376465757"/>
      <w:r>
        <w:t>Dietary strategies</w:t>
      </w:r>
      <w:bookmarkEnd w:id="24"/>
    </w:p>
    <w:p w:rsidR="00231EDB" w:rsidRDefault="00722D6F" w:rsidP="006E5D82">
      <w:r>
        <w:tab/>
        <w:t xml:space="preserve">Dietary strategies employed to prevent or treat obesity </w:t>
      </w:r>
      <w:r w:rsidR="00FA2F92">
        <w:t xml:space="preserve">in </w:t>
      </w:r>
      <w:r>
        <w:t xml:space="preserve">often involve macronutrient and portion size manipulations.  </w:t>
      </w:r>
      <w:r w:rsidR="006730FD">
        <w:t xml:space="preserve">General categories of macronutrient manipulations </w:t>
      </w:r>
      <w:r w:rsidR="00B26914">
        <w:t xml:space="preserve">in people </w:t>
      </w:r>
      <w:r w:rsidR="006730FD">
        <w:t xml:space="preserve">are </w:t>
      </w:r>
      <w:r w:rsidR="00073203">
        <w:t>low calorie diets (LC</w:t>
      </w:r>
      <w:r w:rsidR="00706B2B">
        <w:t>D</w:t>
      </w:r>
      <w:r w:rsidR="00073203">
        <w:t>)</w:t>
      </w:r>
      <w:r w:rsidR="006730FD">
        <w:t>,</w:t>
      </w:r>
      <w:r w:rsidR="00073203">
        <w:t xml:space="preserve"> very low calorie diets (VLC</w:t>
      </w:r>
      <w:r w:rsidR="00706B2B">
        <w:t>D</w:t>
      </w:r>
      <w:r w:rsidR="00073203">
        <w:t>),</w:t>
      </w:r>
      <w:r w:rsidR="005575FC">
        <w:t xml:space="preserve"> low fat diets (LFD), and</w:t>
      </w:r>
      <w:r w:rsidR="006730FD">
        <w:t xml:space="preserve"> low carbohydrate diets (LC</w:t>
      </w:r>
      <w:r w:rsidR="00073203">
        <w:t>H</w:t>
      </w:r>
      <w:r w:rsidR="00800108">
        <w:t>O</w:t>
      </w:r>
      <w:r w:rsidR="005575FC">
        <w:t>)</w:t>
      </w:r>
      <w:r w:rsidR="00073203">
        <w:t>.</w:t>
      </w:r>
      <w:r w:rsidR="00B26914">
        <w:t xml:space="preserve">  </w:t>
      </w:r>
      <w:r w:rsidR="00CE159A">
        <w:t xml:space="preserve">Definitions vary, but </w:t>
      </w:r>
      <w:r w:rsidR="00B26914">
        <w:t>LC</w:t>
      </w:r>
      <w:r w:rsidR="00706B2B">
        <w:t>D</w:t>
      </w:r>
      <w:r w:rsidR="00DD5288">
        <w:t xml:space="preserve"> has been described as</w:t>
      </w:r>
      <w:r w:rsidR="00B26914">
        <w:t xml:space="preserve"> achieved by removing 500 calories fro</w:t>
      </w:r>
      <w:r w:rsidR="00DD5288">
        <w:t>m the</w:t>
      </w:r>
      <w:r w:rsidR="00B26914">
        <w:t xml:space="preserve"> diet </w:t>
      </w:r>
      <w:r w:rsidR="00CE159A">
        <w:t xml:space="preserve">(1000 – 1500 kcal/day) </w:t>
      </w:r>
      <w:r w:rsidR="00B26914">
        <w:t>as opposed to VLC</w:t>
      </w:r>
      <w:r w:rsidR="00706B2B">
        <w:t>D</w:t>
      </w:r>
      <w:r w:rsidR="00252636">
        <w:t>, which limit</w:t>
      </w:r>
      <w:r w:rsidR="00B26914">
        <w:t xml:space="preserve"> total consumption to </w:t>
      </w:r>
      <w:r w:rsidR="00CE159A">
        <w:t xml:space="preserve">400 – </w:t>
      </w:r>
      <w:r w:rsidR="00B26914">
        <w:t>800 kcal/day.</w:t>
      </w:r>
      <w:r w:rsidR="00B26914">
        <w:fldChar w:fldCharType="begin"/>
      </w:r>
      <w:r w:rsidR="000A492A">
        <w:instrText xml:space="preserve"> ADDIN ZOTERO_ITEM CSL_CITATION {"citationID":"c8DAOd4d","properties":{"formattedCitation":"{\\rtf \\super 25,275\\nosupersub{}}","plainCitation":"25,275"},"citationItems":[{"id":1554,"uris":["http://zotero.org/users/171999/items/CMT6KWB8"],"uri":["http://zotero.org/users/171999/items/CMT6KWB8"],"itemData":{"id":1554,"type":"article-journal","title":"Obesity: a review of pathogenesis and management strategies","container-title":"Canadian journal of gastroenterology = Journal canadien de gastroenterologie","page":"61-68","volume":"22","issue":"1","source":"NCBI PubMed","abstract":"The prevalence of obesity in the developed world is increasing. Approximately 23% of adult Canadians (5.5 million people) are obese. Obesity is associated with an increased risk of developing several comorbid diseases, ranging from cardiovascular diseases to cholelithiasis and nonalcoholic fatty liver disease. The etiology of obesity is multifactorial, involving a complex interaction among genetics, hormones and the environment. The available evidence and recommendations for nonpharmacological management of obesity, including dietary therapy, physical activity and behavioural therapy, in addition to pharmacotherapy are discussed. A brief discussion on endoscopic and surgical procedures is undertaken. Several antiobesity treatment options are available and may be indicated in appropriate situations. Selecting obesity therapy may be guided by body mass index measurements, comorbid illnesses and patient preference.","ISSN":"0835-7900","note":"PMID: 18209783","shortTitle":"Obesity","journalAbbreviation":"Can. J. Gastroenterol.","language":"eng","author":[{"family":"Kaila","given":"Brinderjit"},{"family":"Raman","given":"Maitreyi"}],"issued":{"date-parts":[["2008",1]]},"PMID":"18209783"}},{"id":41,"uris":["http://zotero.org/users/171999/items/A4BC5B8B"],"uri":["http://zotero.org/users/171999/items/A4BC5B8B"],"itemData":{"id":41,"type":"article-journal","title":"Clinical guidelines on the identification, evaluation, and treatment of overweight and obesity in adults: The evidence report","container-title":"NIH Publication","page":"262","volume":"98","issue":"4083","author":[{"family":"National Heart, Lung, and Blood Institute","given":""},{"family":"The National Institute of Diabetes and Digestive and Kidney Diseases","given":""}],"issued":{"date-parts":[["1998"]]}}}],"schema":"https://github.com/citation-style-language/schema/raw/master/csl-citation.json"} </w:instrText>
      </w:r>
      <w:r w:rsidR="00B26914">
        <w:fldChar w:fldCharType="separate"/>
      </w:r>
      <w:r w:rsidR="000A492A" w:rsidRPr="000A492A">
        <w:rPr>
          <w:vertAlign w:val="superscript"/>
        </w:rPr>
        <w:t>25,275</w:t>
      </w:r>
      <w:r w:rsidR="00B26914">
        <w:fldChar w:fldCharType="end"/>
      </w:r>
      <w:r w:rsidR="00DD5288">
        <w:t xml:space="preserve">  Macronutrient proportions may be </w:t>
      </w:r>
      <w:r w:rsidR="00706B2B">
        <w:t>modifi</w:t>
      </w:r>
      <w:r w:rsidR="00DD5288">
        <w:t>ed</w:t>
      </w:r>
      <w:r w:rsidR="00310F07">
        <w:t xml:space="preserve"> in LCD</w:t>
      </w:r>
      <w:r w:rsidR="00A60EEB">
        <w:t xml:space="preserve"> and VLCD</w:t>
      </w:r>
      <w:r w:rsidR="00DD5288">
        <w:t>, but the main premis</w:t>
      </w:r>
      <w:r w:rsidR="00706B2B">
        <w:t xml:space="preserve">e is </w:t>
      </w:r>
      <w:r w:rsidR="00A60EEB">
        <w:t xml:space="preserve">a </w:t>
      </w:r>
      <w:r w:rsidR="00706B2B">
        <w:t xml:space="preserve">focus on caloric </w:t>
      </w:r>
      <w:r w:rsidR="00E95739">
        <w:t>restriction</w:t>
      </w:r>
      <w:r w:rsidR="00706B2B">
        <w:t>.</w:t>
      </w:r>
      <w:r w:rsidR="00A60EEB">
        <w:t xml:space="preserve">  Both a joint</w:t>
      </w:r>
      <w:r w:rsidR="00706B2B">
        <w:t xml:space="preserve"> evidence report by the National Institute of Health (NIH) and </w:t>
      </w:r>
      <w:r w:rsidR="00A60EEB">
        <w:t xml:space="preserve">the </w:t>
      </w:r>
      <w:r w:rsidR="00706B2B">
        <w:t xml:space="preserve">National Heart, Lung, and Blood Institute (NHLBI) </w:t>
      </w:r>
      <w:r w:rsidR="00A60EEB">
        <w:t xml:space="preserve"> and a meta-analysis by Tsai and Wadden </w:t>
      </w:r>
      <w:r w:rsidR="00706B2B">
        <w:t>concluded VLCD is associated with greater initial weight loss, but no weight loss difference exists between LCD and VLCD after one year.</w:t>
      </w:r>
      <w:r w:rsidR="00706B2B">
        <w:fldChar w:fldCharType="begin"/>
      </w:r>
      <w:r w:rsidR="000A492A">
        <w:instrText xml:space="preserve"> ADDIN ZOTERO_ITEM CSL_CITATION {"citationID":"buibkdEJ","properties":{"formattedCitation":"{\\rtf \\super 25,276\\nosupersub{}}","plainCitation":"25,276"},"citationItems":[{"id":41,"uris":["http://zotero.org/users/171999/items/A4BC5B8B"],"uri":["http://zotero.org/users/171999/items/A4BC5B8B"],"itemData":{"id":41,"type":"article-journal","title":"Clinical guidelines on the identification, evaluation, and treatment of overweight and obesity in adults: The evidence report","container-title":"NIH Publication","page":"262","volume":"98","issue":"4083","author":[{"family":"National Heart, Lung, and Blood Institute","given":""},{"family":"The National Institute of Diabetes and Digestive and Kidney Diseases","given":""}],"issued":{"date-parts":[["1998"]]}}},{"id":1556,"uris":["http://zotero.org/users/171999/items/85XSJWEJ"],"uri":["http://zotero.org/users/171999/items/85XSJWEJ"],"itemData":{"id":1556,"type":"article-journal","title":"The evolution of very-low-calorie diets: an update and meta-analysis","container-title":"Obesity (Silver Spring, Md.)","page":"1283-1293","volume":"14","issue":"8","source":"NCBI PubMed","abstract":"OBJECTIVE: Very-low-calorie diets (VLCDs), providing &lt;800 kcal/d, have been used since the 1970s to induce rapid weight loss. Previous reviews of the literature have disagreed concerning the relative efficacy of VLCDs vs. conventional low-calorie diets (LCDs) for achieving long-term weight loss.\nRESEARCH METHODS AND PROCEDURES: We sought to update findings on the clinical use, safety, and efficacy of VLCDs and to perform a meta-analysis of randomized trials that compared the long-term efficacy of LCDs and VLCDs. Original research articles were retrieved by a Medline search and from prior reviews of VLCDs. Trials were included only if they were randomized comparisons of LCDs and VLCDs and included a follow-up assessment at least 1 year after maximum weight loss. Data were abstracted by both authors regarding: duration of VLCD, total length of treatment, attrition, short- and long-term weight loss, changes in weight-related comorbidities, and adverse effects.\nRESULTS: Six randomized trials were found that met inclusion criteria. VLCDs, compared with LCDs, induced significantly greater short-term weight losses (16.1 +/- 1.6% vs. 9.7 +/- 2.4% of initial weight, respectively; p = 0.0001) but similar long-term losses (6.3 +/- 3.2% vs. 5.0 +/- 4.0%, respectively; p &gt; 0.2). Attrition was similar with VLCD and LCD regimens.\nDISCUSSION: VLCDs did not produce greater long-term weight losses than LCDs. In the United States, the use of liquid meal replacements as part of a 1000 to 1500 kcal/d diet may provide an effective and less expensive alternative to VLCDs. In Europe, VLCDs are used with less intensive medical supervision than in the United States, which reduces the cost of this approach.","DOI":"10.1038/oby.2006.146","ISSN":"1930-7381","note":"PMID: 16988070","shortTitle":"The evolution of very-low-calorie diets","journalAbbreviation":"Obesity (Silver Spring)","language":"eng","author":[{"family":"Tsai","given":"Adam Gilden"},{"family":"Wadden","given":"Thomas A"}],"issued":{"date-parts":[["2006",8]]},"PMID":"16988070"}}],"schema":"https://github.com/citation-style-language/schema/raw/master/csl-citation.json"} </w:instrText>
      </w:r>
      <w:r w:rsidR="00706B2B">
        <w:fldChar w:fldCharType="separate"/>
      </w:r>
      <w:r w:rsidR="000A492A" w:rsidRPr="000A492A">
        <w:rPr>
          <w:vertAlign w:val="superscript"/>
        </w:rPr>
        <w:t>25,276</w:t>
      </w:r>
      <w:r w:rsidR="00706B2B">
        <w:fldChar w:fldCharType="end"/>
      </w:r>
    </w:p>
    <w:p w:rsidR="003D7526" w:rsidRDefault="003D7526" w:rsidP="00A60A69">
      <w:r>
        <w:lastRenderedPageBreak/>
        <w:tab/>
        <w:t xml:space="preserve">LFD </w:t>
      </w:r>
      <w:r w:rsidR="00252636">
        <w:t>are another weight loss</w:t>
      </w:r>
      <w:r>
        <w:t xml:space="preserve"> strategy used in people.  Diets with 20 – 30 %ME fat have been associated with decreased caloric intake, even when caloric restr</w:t>
      </w:r>
      <w:r w:rsidR="00252636">
        <w:t>iction is not a specific aspect</w:t>
      </w:r>
      <w:r>
        <w:t xml:space="preserve"> of diet design.</w:t>
      </w:r>
      <w:r>
        <w:fldChar w:fldCharType="begin"/>
      </w:r>
      <w:r w:rsidR="00CC106C">
        <w:instrText xml:space="preserve"> ADDIN ZOTERO_ITEM CSL_CITATION {"citationID":"u516sk2t3","properties":{"formattedCitation":"{\\rtf \\super 25\\nosupersub{}}","plainCitation":"25"},"citationItems":[{"id":41,"uris":["http://zotero.org/users/171999/items/A4BC5B8B"],"uri":["http://zotero.org/users/171999/items/A4BC5B8B"],"itemData":{"id":41,"type":"article-journal","title":"Clinical guidelines on the identification, evaluation, and treatment of overweight and obesity in adults: The evidence report","container-title":"NIH Publication","page":"262","volume":"98","issue":"4083","author":[{"family":"National Heart, Lung, and Blood Institute","given":""},{"family":"The National Institute of Diabetes and Digestive and Kidney Diseases","given":""}],"issued":{"date-parts":[["1998"]]}}}],"schema":"https://github.com/citation-style-language/schema/raw/master/csl-citation.json"} </w:instrText>
      </w:r>
      <w:r>
        <w:fldChar w:fldCharType="separate"/>
      </w:r>
      <w:r w:rsidR="00CC106C" w:rsidRPr="00CC106C">
        <w:rPr>
          <w:vertAlign w:val="superscript"/>
        </w:rPr>
        <w:t>25</w:t>
      </w:r>
      <w:r>
        <w:fldChar w:fldCharType="end"/>
      </w:r>
      <w:r>
        <w:t xml:space="preserve">  When LCD and LFD are combined, better weight loss is achieved, and the NIH/</w:t>
      </w:r>
      <w:r w:rsidR="001A000F">
        <w:t>NHLBI evidence report recommends this</w:t>
      </w:r>
      <w:r w:rsidR="00A41769">
        <w:t xml:space="preserve"> combination</w:t>
      </w:r>
      <w:r w:rsidR="001A000F">
        <w:t xml:space="preserve"> as the weight loss diet strategy of choice.</w:t>
      </w:r>
      <w:r w:rsidR="001A000F">
        <w:fldChar w:fldCharType="begin"/>
      </w:r>
      <w:r w:rsidR="00CC106C">
        <w:instrText xml:space="preserve"> ADDIN ZOTERO_ITEM CSL_CITATION {"citationID":"2234t1tlkr","properties":{"formattedCitation":"{\\rtf \\super 25\\nosupersub{}}","plainCitation":"25"},"citationItems":[{"id":41,"uris":["http://zotero.org/users/171999/items/A4BC5B8B"],"uri":["http://zotero.org/users/171999/items/A4BC5B8B"],"itemData":{"id":41,"type":"article-journal","title":"Clinical guidelines on the identification, evaluation, and treatment of overweight and obesity in adults: The evidence report","container-title":"NIH Publication","page":"262","volume":"98","issue":"4083","author":[{"family":"National Heart, Lung, and Blood Institute","given":""},{"family":"The National Institute of Diabetes and Digestive and Kidney Diseases","given":""}],"issued":{"date-parts":[["1998"]]}}}],"schema":"https://github.com/citation-style-language/schema/raw/master/csl-citation.json"} </w:instrText>
      </w:r>
      <w:r w:rsidR="001A000F">
        <w:fldChar w:fldCharType="separate"/>
      </w:r>
      <w:r w:rsidR="00CC106C" w:rsidRPr="00CC106C">
        <w:rPr>
          <w:vertAlign w:val="superscript"/>
        </w:rPr>
        <w:t>25</w:t>
      </w:r>
      <w:r w:rsidR="001A000F">
        <w:fldChar w:fldCharType="end"/>
      </w:r>
      <w:r w:rsidR="00A41769">
        <w:t xml:space="preserve">  </w:t>
      </w:r>
      <w:r w:rsidR="00252636">
        <w:t xml:space="preserve">This recommendation has held up since 1998 as the United States Department of Agriculture (USDA) </w:t>
      </w:r>
      <w:r w:rsidR="00FA2F92">
        <w:t>continues to promote</w:t>
      </w:r>
      <w:r w:rsidR="00375D3A">
        <w:t xml:space="preserve"> LFD and caloric awareness for weight management.</w:t>
      </w:r>
      <w:r w:rsidR="00375D3A">
        <w:fldChar w:fldCharType="begin"/>
      </w:r>
      <w:r w:rsidR="000A492A">
        <w:instrText xml:space="preserve"> ADDIN ZOTERO_ITEM CSL_CITATION {"citationID":"2nqp5jtt9m","properties":{"formattedCitation":"{\\rtf \\super 277\\nosupersub{}}","plainCitation":"277"},"citationItems":[{"id":1573,"uris":["http://zotero.org/users/171999/items/TBIGQKNF"],"uri":["http://zotero.org/users/171999/items/TBIGQKNF"],"itemData":{"id":1573,"type":"webpage","title":"Weight Management: Focus on Foods You Need","URL":"http://www.choosemyplate.gov/weight-management-calories/weight-management/better-choices/foods-you-need.html","author":[{"family":"USDA","given":""}],"accessed":{"date-parts":[["2013",11,6]]}}}],"schema":"https://github.com/citation-style-language/schema/raw/master/csl-citation.json"} </w:instrText>
      </w:r>
      <w:r w:rsidR="00375D3A">
        <w:fldChar w:fldCharType="separate"/>
      </w:r>
      <w:r w:rsidR="000A492A" w:rsidRPr="000A492A">
        <w:rPr>
          <w:vertAlign w:val="superscript"/>
        </w:rPr>
        <w:t>277</w:t>
      </w:r>
      <w:r w:rsidR="00375D3A">
        <w:fldChar w:fldCharType="end"/>
      </w:r>
      <w:r w:rsidR="00375D3A">
        <w:t xml:space="preserve"> </w:t>
      </w:r>
      <w:r w:rsidR="00252636">
        <w:t xml:space="preserve"> </w:t>
      </w:r>
      <w:r w:rsidR="00FA2F92">
        <w:t xml:space="preserve">To determine if LFD are effective in dogs, </w:t>
      </w:r>
      <w:r w:rsidR="003E3842">
        <w:t>either a LFD (</w:t>
      </w:r>
      <w:r w:rsidR="00840CAC">
        <w:t>24.5% ME) or high fat diet (HFD; 35.4 %ME)</w:t>
      </w:r>
      <w:r w:rsidR="00FA2F92">
        <w:t xml:space="preserve"> were fed to dogs with 24.1 – 24.6 %BF</w:t>
      </w:r>
      <w:r w:rsidR="00840CAC">
        <w:t>.</w:t>
      </w:r>
      <w:r w:rsidR="001D7777">
        <w:fldChar w:fldCharType="begin"/>
      </w:r>
      <w:r w:rsidR="000A492A">
        <w:instrText xml:space="preserve"> ADDIN ZOTERO_ITEM CSL_CITATION {"citationID":"174e0nmlrv","properties":{"formattedCitation":"{\\rtf \\super 278\\nosupersub{}}","plainCitation":"278"},"citationItems":[{"id":1580,"uris":["http://zotero.org/users/171999/items/SZABQSEM"],"uri":["http://zotero.org/users/171999/items/SZABQSEM"],"itemData":{"id":1580,"type":"article-journal","title":"Differential metabolic effects of energy restriction in dogs using diets varying in fat and fiber content","container-title":"Obesity research","page":"337-345","volume":"4","issue":"4","source":"NCBI PubMed","abstract":"The role of dietary fat and fiber in energy restriction for the management of obesity was examined. Twelve male castrated dogs were energy restricted for 7 weeks by feeding 60% of their calculated maintenance energy requirements (MER = 1500 kcal/m2/d) for ideal body weight. Six dogs were restricted on a high-fat (35.4 kcal% from fat), low-fiber (2.9% dry matter basis [DMB]) diet while the other six dogs were restricted on a low-fat (24.5 kcal% from fat), high-fiber (27% DMB) diet. Compared with the high-fat, low-fiber diet, energy restriction on the low-fat, high-fiber diet resulted in significantly greater decreases in body fat (1472 +/- 166 vs. 853 +/- 176 g; p &lt; 0.05) and total serum cholesterol concentrations (108.7 +/- 11.3 vs. 51.5 +/- 13.9 mg/dL; p &lt; 0.005). Reductions in body weight (2.86 +/- 0.3 vs. 2.14 +/- 0.3 kg; p &lt; 0.09), and mean arterial blood pressure (17.4 +/- 6.1 vs. 6.7 +/- 2.9 mmHg; p &lt; 0.12) were also greater on the low-fat diet; however, these diet effects did not reach statistical significance. These data suggest that the fat and fiber content of the diet during energy restriction are important factors in the management of obesity.","ISSN":"1071-7323","note":"PMID: 8822758","journalAbbreviation":"Obes. Res.","language":"eng","author":[{"family":"Borne","given":"A T"},{"family":"Wolfsheimer","given":"K J"},{"family":"Truett","given":"A A"},{"family":"Kiene","given":"J"},{"family":"Wojciechowski","given":"T"},{"family":"Davenport","given":"D J"},{"family":"Ford","given":"R B"},{"family":"West","given":"D B"}],"issued":{"date-parts":[["1996",7]]},"PMID":"8822758"}}],"schema":"https://github.com/citation-style-language/schema/raw/master/csl-citation.json"} </w:instrText>
      </w:r>
      <w:r w:rsidR="001D7777">
        <w:fldChar w:fldCharType="separate"/>
      </w:r>
      <w:r w:rsidR="000A492A" w:rsidRPr="000A492A">
        <w:rPr>
          <w:vertAlign w:val="superscript"/>
        </w:rPr>
        <w:t>278</w:t>
      </w:r>
      <w:r w:rsidR="001D7777">
        <w:fldChar w:fldCharType="end"/>
      </w:r>
      <w:r w:rsidR="00840CAC">
        <w:t xml:space="preserve">  The diets were fed at 60% MER for 7 weeks.  LFD dogs lost a greater percent</w:t>
      </w:r>
      <w:r w:rsidR="005105FA">
        <w:t>age</w:t>
      </w:r>
      <w:r w:rsidR="00840CAC">
        <w:t xml:space="preserve"> of body weight, lean body mass, fat mass, and %BF compared to HFD</w:t>
      </w:r>
      <w:r w:rsidR="005105FA">
        <w:t>, but both groups had significantly lower body composition values at the end of seven weeks</w:t>
      </w:r>
      <w:r w:rsidR="00140466">
        <w:t xml:space="preserve"> than they did at the start</w:t>
      </w:r>
      <w:r w:rsidR="005105FA">
        <w:t xml:space="preserve">.  </w:t>
      </w:r>
      <w:r w:rsidR="00140466">
        <w:t xml:space="preserve">The authors concluded LFD was a superior weight loss diet due to the significantly greater loss of %BF in this group.  Because the groups were </w:t>
      </w:r>
      <w:r w:rsidR="00E95739">
        <w:t>technically</w:t>
      </w:r>
      <w:r w:rsidR="00140466">
        <w:t xml:space="preserve"> considered within an ideal body condition (based on % BF) at the start of weight loss, however, it is unclear if similar differences would be repeated in truly overweight or obese dogs</w:t>
      </w:r>
      <w:r w:rsidR="00840CAC">
        <w:t xml:space="preserve">.  </w:t>
      </w:r>
      <w:r w:rsidR="00A41769">
        <w:t>While not a weight loss trial, Labrador Retrievers were found to have similar resting energy expenditure and body composition</w:t>
      </w:r>
      <w:r w:rsidR="00B5523D">
        <w:t xml:space="preserve"> after</w:t>
      </w:r>
      <w:r w:rsidR="00A41769">
        <w:t xml:space="preserve"> consuming high (41 %ME) versus low (14 %ME) fat diets</w:t>
      </w:r>
      <w:r w:rsidR="00B5523D">
        <w:t xml:space="preserve"> for thirty days</w:t>
      </w:r>
      <w:r w:rsidR="00A41769">
        <w:t>.</w:t>
      </w:r>
      <w:r w:rsidR="00A41769">
        <w:fldChar w:fldCharType="begin"/>
      </w:r>
      <w:r w:rsidR="000A492A">
        <w:instrText xml:space="preserve"> ADDIN ZOTERO_ITEM CSL_CITATION {"citationID":"nsu8gitac","properties":{"formattedCitation":"{\\rtf \\super 279\\nosupersub{}}","plainCitation":"279"},"citationItems":[{"id":1572,"uris":["http://zotero.org/users/171999/items/FAMZZB5F"],"uri":["http://zotero.org/users/171999/items/FAMZZB5F"],"itemData":{"id":1572,"type":"article-journal","title":"Resting energy expenditure and body composition of Labrador Retrievers fed high fat and low fat diets.","container-title":"Journal of Animal Physiology and Animal Nutrition","volume":"90","issue":"5/6","source":"ISI Web of Knowledge","abstract":"A high dietary fat intake may be an important environmental factor leading to obesity in some animals. The mechanism could be either an increase in caloric intake and/or a decrease in energy expenditure. To test the hypothesis that high fat diets result in decreased resting energy expenditure (REE), we measured REE using indirect calorimetry in 10-adult intact male Labrador Retrievers, eating weight-maintenance high-fat (HF, 41% energy, average daily intake: 80181247 kJ/day, meanSD) and low-fat (LF, 14% energy, average daily intake: 7331771 kJ/day) diets for a 30-day period. At the end of each dietary treatment, body composition measurements were performed using dual-energy X-ray absorptiometry. The meanSD REE was not different between diets (4940361 vs. 4861413 kJ/day on HF and LF diets respectively). Measurements of fat-free mass (FFM) and fat mass (FM) also did not differ between diets (FFM: 26.82.3 kg vs. 26.32.5 kg; FM: 3.02.3 vs. 3.11.5 kg on HF and LF diets respectively). In summary, using a whole body calorimeter, we found no evidence of a decrease in REE or a change in body composition on a HF diet compared with LF diet.","DOI":"10.1111/j.1439-0396.2005.00588.x","ISSN":"0931-2439","language":"English","author":[{"family":"Yoo","given":"S."},{"family":"Ramsey","given":"J. J."},{"family":"Havel","given":"P. J."},{"family":"Jones","given":"P. G."},{"family":"Fascetti","given":"A. J."}],"issued":{"date-parts":[["2006"]]}}}],"schema":"https://github.com/citation-style-language/schema/raw/master/csl-citation.json"} </w:instrText>
      </w:r>
      <w:r w:rsidR="00A41769">
        <w:fldChar w:fldCharType="separate"/>
      </w:r>
      <w:r w:rsidR="000A492A" w:rsidRPr="000A492A">
        <w:rPr>
          <w:vertAlign w:val="superscript"/>
        </w:rPr>
        <w:t>279</w:t>
      </w:r>
      <w:r w:rsidR="00A41769">
        <w:fldChar w:fldCharType="end"/>
      </w:r>
      <w:r w:rsidR="005575FC">
        <w:t xml:space="preserve">  In general, LFD are not specifically employed in canine weight loss protocols, but most diets (except high fat LCHO) utilize a lower fat c</w:t>
      </w:r>
      <w:r w:rsidR="00FA2F92">
        <w:t>ontent as a means to achieve a reduced caloric density</w:t>
      </w:r>
      <w:r w:rsidR="005575FC">
        <w:t>.</w:t>
      </w:r>
    </w:p>
    <w:p w:rsidR="006E5D82" w:rsidRDefault="005575FC" w:rsidP="006E5D82">
      <w:r>
        <w:tab/>
      </w:r>
      <w:r w:rsidR="006E5D82">
        <w:t xml:space="preserve">LCHO is a popular strategy in people, with many </w:t>
      </w:r>
      <w:r w:rsidR="00FC311C">
        <w:t>well-known</w:t>
      </w:r>
      <w:r w:rsidR="006E5D82">
        <w:t xml:space="preserve"> examples including the Atkins, paleo, and South Beach diets.  Each program has its own specific recommendations, depending on if the macronutrient distribution includes high fat versus high protein and low carbohydrate (CHO) versus very low CHO as central components.  A generalization is to define low CHO as 20-40 %ME CHO and very low CHO as 0-20 %ME CHO.  High fat diets contain 30-60 %ME fat, while high protein versions are 30-65 %ME protein.</w:t>
      </w:r>
      <w:r w:rsidR="006E5D82">
        <w:fldChar w:fldCharType="begin"/>
      </w:r>
      <w:r w:rsidR="000A492A">
        <w:instrText xml:space="preserve"> ADDIN ZOTERO_ITEM CSL_CITATION {"citationID":"2j9v4ijnqr","properties":{"formattedCitation":"{\\rtf \\super 280\\nosupersub{}}","plainCitation":"280"},"citationItems":[{"id":1566,"uris":["http://zotero.org/users/171999/items/ZMSWTMJG"],"uri":["http://zotero.org/users/171999/items/ZMSWTMJG"],"itemData":{"id":1566,"type":"article-journal","title":"Low-carbohydrate diets: a matter of love or hate","container-title":"Annals of nutrition &amp; metabolism","page":"320-334","volume":"58","issue":"4","source":"NCBI PubMed","abstract":"Low-carbohydrate diets (LChD) have become very popular among the general population. These diets have been used to lose body weight and to ameliorate various abnormalities like diabetes, nonalcoholic fatty liver disease, polycystic ovary syndrome, narcolepsy, epilepsy, and others. Reports suggest that body weight reduction and glycemic control could be attained while following LChD. However, these advantages are more notably found in short periods of time consuming an LChD. Indeed, the safety and efficacy of the latter diets in the long term have not been sufficiently explored. In contrast to what has been proposed, other mentioned pathologies are not improved or are even worsened by carbohydrate restriction. Therefore, the aim of this review is to define the concept of LChD and to explain their clinical effects in the short and long term, their influence on metabolism, and the opinion of nutrition or health authorities. Finally, evincing the research gaps of LChD that are here exposed will later allow us to reach a consensus with regard to their utilization.","DOI":"10.1159/000331994","ISSN":"1421-9697","note":"PMID: 21985780","shortTitle":"Low-carbohydrate diets","journalAbbreviation":"Ann. Nutr. Metab.","language":"eng","author":[{"family":"Frigolet","given":"María-Eugenia"},{"family":"Ramos Barragán","given":"Victoria-Eugenia"},{"family":"Tamez González","given":"Martha"}],"issued":{"date-parts":[["2011",10]]},"PMID":"21985780"}}],"schema":"https://github.com/citation-style-language/schema/raw/master/csl-citation.json"} </w:instrText>
      </w:r>
      <w:r w:rsidR="006E5D82">
        <w:fldChar w:fldCharType="separate"/>
      </w:r>
      <w:r w:rsidR="000A492A" w:rsidRPr="000A492A">
        <w:rPr>
          <w:vertAlign w:val="superscript"/>
        </w:rPr>
        <w:t>280</w:t>
      </w:r>
      <w:r w:rsidR="006E5D82">
        <w:fldChar w:fldCharType="end"/>
      </w:r>
      <w:r w:rsidR="006E5D82">
        <w:t xml:space="preserve">  CHO is restricted to diminish readily available source of glucose and put the body into a glycogenolytic state for maintenance of euglycemia.</w:t>
      </w:r>
      <w:r w:rsidR="006E5D82">
        <w:fldChar w:fldCharType="begin"/>
      </w:r>
      <w:r w:rsidR="000A492A">
        <w:instrText xml:space="preserve"> ADDIN ZOTERO_ITEM CSL_CITATION {"citationID":"1j3i3v1omo","properties":{"formattedCitation":"{\\rtf \\super 281\\nosupersub{}}","plainCitation":"281"},"citationItems":[{"id":1564,"uris":["http://zotero.org/users/171999/items/9CFWZFG6"],"uri":["http://zotero.org/users/171999/items/9CFWZFG6"],"itemData":{"id":1564,"type":"article-journal","title":"Low-carbohydrate diets: nutritional and physiological aspects","container-title":"Obesity reviews: an official journal of the International Association for the Study of Obesity","page":"49-58","volume":"7","issue":"1","source":"NCBI PubMed","abstract":"Recently, diets low in carbohydrate content have become a matter of international attention because of the WHO recommendations to reduce the overall consumption of sugars and rapidly digestible starches. One of the common metabolic changes assumed to take place when a person follows a low-carbohydrate diet is ketosis. Low-carbohydrate intakes result in a reduction of the circulating insulin level, which promotes high level of circulating fatty acids, used for oxidation and production of ketone bodies. It is assumed that when carbohydrate availability is reduced in short term to a significant amount, the body will be stimulated to maximize fat oxidation for energy needs. The currently available scientific literature shows that low-carbohydrate diets acutely induce a number of favourable effects, such as a rapid weight loss, decrease of fasting glucose and insulin levels, reduction of circulating triglyceride levels and improvement of blood pressure. On the other hand some less desirable immediate effects such as enhanced lean body mass loss, increased urinary calcium loss, increased plasma homocysteine levels, increased low-density lipoprotein-cholesterol have been reported. The long-term effect of the combination of these changes is at present not known. The role of prolonged elevated fat consumption along with low-carbohydrate diets should be addressed. However, these undesirable effects may be counteracted with consumption of a low-carbohydrate, high-protein, low-fat diet, because this type of diet has been shown to induce favourable effects on feelings of satiety and hunger, help preserve lean body mass, effectively reduce fat mass and beneficially impact on insulin sensitivity and on blood lipid status while supplying sufficient calcium for bone mass maintenance. The latter findings support the need to do more research on this type of hypocaloric low-carbohydrate diet.","DOI":"10.1111/j.1467-789X.2006.00222.x","ISSN":"1467-7881","note":"PMID: 16436102","shortTitle":"Low-carbohydrate diets","journalAbbreviation":"Obes Rev","language":"eng","author":[{"family":"Adam-Perrot","given":"A"},{"family":"Clifton","given":"P"},{"family":"Brouns","given":"F"}],"issued":{"date-parts":[["2006",2]]},"PMID":"16436102"}}],"schema":"https://github.com/citation-style-language/schema/raw/master/csl-citation.json"} </w:instrText>
      </w:r>
      <w:r w:rsidR="006E5D82">
        <w:fldChar w:fldCharType="separate"/>
      </w:r>
      <w:r w:rsidR="000A492A" w:rsidRPr="000A492A">
        <w:rPr>
          <w:vertAlign w:val="superscript"/>
        </w:rPr>
        <w:t>281</w:t>
      </w:r>
      <w:r w:rsidR="006E5D82">
        <w:fldChar w:fldCharType="end"/>
      </w:r>
      <w:r w:rsidR="006E5D82">
        <w:t xml:space="preserve">  With chronic glycogenolysis, glycogen stores are depleted and the body moves toward lipolysis and β-oxidation as an energy source.  </w:t>
      </w:r>
      <w:proofErr w:type="gramStart"/>
      <w:r w:rsidR="006E5D82">
        <w:t>β-oxidation</w:t>
      </w:r>
      <w:proofErr w:type="gramEnd"/>
      <w:r w:rsidR="006E5D82">
        <w:t xml:space="preserve"> produces acetyl-CoA, which is used for hepatic ketone body (acetone, acetoacetic acid, β-hydroxybutyric acid) production.  Ketone bodies are utilized in most tissues, including skeletal muscle, while available glucose is </w:t>
      </w:r>
      <w:r w:rsidR="00E95739">
        <w:t>preferentially</w:t>
      </w:r>
      <w:r w:rsidR="006E5D82">
        <w:t xml:space="preserve"> </w:t>
      </w:r>
      <w:r w:rsidR="00E95739">
        <w:t>reserved</w:t>
      </w:r>
      <w:r w:rsidR="006E5D82">
        <w:t xml:space="preserve"> for glucose-dependent tissues like the brain and erythrocytes.  Additional metabolic effects of LCHO are decreased fasting and postprandial glucose as well as circulating insulin.</w:t>
      </w:r>
      <w:r w:rsidR="006E5D82">
        <w:fldChar w:fldCharType="begin"/>
      </w:r>
      <w:r w:rsidR="000A492A">
        <w:instrText xml:space="preserve"> ADDIN ZOTERO_ITEM CSL_CITATION {"citationID":"2vgkhs0u6","properties":{"formattedCitation":"{\\rtf \\super 281\\nosupersub{}}","plainCitation":"281"},"citationItems":[{"id":1564,"uris":["http://zotero.org/users/171999/items/9CFWZFG6"],"uri":["http://zotero.org/users/171999/items/9CFWZFG6"],"itemData":{"id":1564,"type":"article-journal","title":"Low-carbohydrate diets: nutritional and physiological aspects","container-title":"Obesity reviews: an official journal of the International Association for the Study of Obesity","page":"49-58","volume":"7","issue":"1","source":"NCBI PubMed","abstract":"Recently, diets low in carbohydrate content have become a matter of international attention because of the WHO recommendations to reduce the overall consumption of sugars and rapidly digestible starches. One of the common metabolic changes assumed to take place when a person follows a low-carbohydrate diet is ketosis. Low-carbohydrate intakes result in a reduction of the circulating insulin level, which promotes high level of circulating fatty acids, used for oxidation and production of ketone bodies. It is assumed that when carbohydrate availability is reduced in short term to a significant amount, the body will be stimulated to maximize fat oxidation for energy needs. The currently available scientific literature shows that low-carbohydrate diets acutely induce a number of favourable effects, such as a rapid weight loss, decrease of fasting glucose and insulin levels, reduction of circulating triglyceride levels and improvement of blood pressure. On the other hand some less desirable immediate effects such as enhanced lean body mass loss, increased urinary calcium loss, increased plasma homocysteine levels, increased low-density lipoprotein-cholesterol have been reported. The long-term effect of the combination of these changes is at present not known. The role of prolonged elevated fat consumption along with low-carbohydrate diets should be addressed. However, these undesirable effects may be counteracted with consumption of a low-carbohydrate, high-protein, low-fat diet, because this type of diet has been shown to induce favourable effects on feelings of satiety and hunger, help preserve lean body mass, effectively reduce fat mass and beneficially impact on insulin sensitivity and on blood lipid status while supplying sufficient calcium for bone mass maintenance. The latter findings support the need to do more research on this type of hypocaloric low-carbohydrate diet.","DOI":"10.1111/j.1467-789X.2006.00222.x","ISSN":"1467-7881","note":"PMID: 16436102","shortTitle":"Low-carbohydrate diets","journalAbbreviation":"Obes Rev","language":"eng","author":[{"family":"Adam-Perrot","given":"A"},{"family":"Clifton","given":"P"},{"family":"Brouns","given":"F"}],"issued":{"date-parts":[["2006",2]]},"PMID":"16436102"}}],"schema":"https://github.com/citation-style-language/schema/raw/master/csl-citation.json"} </w:instrText>
      </w:r>
      <w:r w:rsidR="006E5D82">
        <w:fldChar w:fldCharType="separate"/>
      </w:r>
      <w:r w:rsidR="000A492A" w:rsidRPr="000A492A">
        <w:rPr>
          <w:vertAlign w:val="superscript"/>
        </w:rPr>
        <w:t>281</w:t>
      </w:r>
      <w:r w:rsidR="006E5D82">
        <w:fldChar w:fldCharType="end"/>
      </w:r>
      <w:r w:rsidR="006E5D82">
        <w:t xml:space="preserve">  Lowered insulin diminishes its inhibitory effect on lipolysis, leading to increased circulating triacylglycerol (TAG) for β-oxidation.</w:t>
      </w:r>
    </w:p>
    <w:p w:rsidR="006E5D82" w:rsidRDefault="006E5D82" w:rsidP="006E5D82">
      <w:r>
        <w:tab/>
        <w:t xml:space="preserve">Overweight and obese dogs fed LCHO with 71 – 77 g/1000 kcal CHO, 84 – 89 g/1000 kcal protein, and 49 – 54 g/1000 kcal fat lost less weight than dogs fed a high fiber diet (HFD) with 129 – 139 g/1000 kcal CHO, 82 – 86 g/1000 kcal protein, and 28 – 29 g/1000 kcal fat.  Even though LCHO contained 31 – 32.4% </w:t>
      </w:r>
      <w:r>
        <w:lastRenderedPageBreak/>
        <w:t>more kcal/100 g</w:t>
      </w:r>
      <w:r w:rsidR="004B54BE">
        <w:t xml:space="preserve"> compared to HFD</w:t>
      </w:r>
      <w:r>
        <w:t>, both groups were fed similar levels of calories and both lost significant weight over time.</w:t>
      </w:r>
      <w:r>
        <w:fldChar w:fldCharType="begin"/>
      </w:r>
      <w:r w:rsidR="000A492A">
        <w:instrText xml:space="preserve"> ADDIN ZOTERO_ITEM CSL_CITATION {"citationID":"1BsFzsfd","properties":{"formattedCitation":"{\\rtf \\super 282\\nosupersub{}}","plainCitation":"282"},"citationItems":[{"id":974,"uris":["http://zotero.org/users/171999/items/ZS585JPQ"],"uri":["http://zotero.org/users/171999/items/ZS585JPQ"],"itemData":{"id":974,"type":"article-journal","title":"A High-Fiber Food Improves Weight Loss Compared to a High-Protein,   High-Fat Food in Pet Dogs in a Home Setting","container-title":"International Journal of Applied Research in Veterinary Medicine","page":"138-145","volume":"8","issue":"3","source":"ISI Web of Knowledge","abstract":"Little is known about the relative effectiveness of different weight loss foods for pet dogs in the home setting. Here, we performed a randomized, blinded, 24-week prospective study in 73 client-owned adult dogs to compare weight loss in the home setting using an energy-dense high-protein/high-fat food (HP/HF) or a lower density high-fiber food (HFIB). Investigators recommended amounts of food according to the resting energy requirement for the dog's ideal body weight and a target of 2% weight loss per week. Every 4 weeks, investigators measured body weight, and every week, owners recorded the amount of food dispensed and whether their dog consumed all that was offered. In dogs completing the study according to protocol, those fed HFIB (n=32) lost more weight (P=0.009) than those fed HP/HF (n=30). Sex, clinic, initial weight, amount of energy offered by owners, and frequency of eating all the food offered were not significant factors. According to owners' records, there was no difference in the amount of energy offered to the two groups or in the frequency of supplementary energy intake, frequency of vomiting, or stool quality. In summary, in the home setting, a high-fiber food is more effective than a high-protein/high-fat food for weight loss in obese pet dogs.","ISSN":"1542-2666","journalAbbreviation":"Int. J. Appl. Res. Vet. Med.","language":"English","author":[{"family":"Fritsch","given":"Dale A."},{"family":"Ahle","given":"Neil W."},{"family":"Jewell","given":"Dennis E."},{"family":"Allen","given":"Timothy A."},{"family":"Brejda","given":"John"},{"family":"Leventhal","given":"Phillip S."},{"family":"Hahn","given":"Kevin A."}],"issued":{"date-parts":[["2010"]]}}}],"schema":"https://github.com/citation-style-language/schema/raw/master/csl-citation.json"} </w:instrText>
      </w:r>
      <w:r>
        <w:fldChar w:fldCharType="separate"/>
      </w:r>
      <w:r w:rsidR="000A492A" w:rsidRPr="000A492A">
        <w:rPr>
          <w:vertAlign w:val="superscript"/>
        </w:rPr>
        <w:t>282</w:t>
      </w:r>
      <w:r>
        <w:fldChar w:fldCharType="end"/>
      </w:r>
      <w:r>
        <w:t xml:space="preserve">  Body condition score (BCS) and body composition changes during weight loss were not discussed, making the authors’ conclusion of improved weight loss with HFD difficult to justify.  Another study, utilizing the same HFD (23.8 %DM protein, 23.8 %DM starch, 38.6 %DM TDF, 5.2 %DM ash, 9.8 kJ/g ME as fed), compared it against a diet described as LCHO, but that was actually low in starch and high in fiber (47.5 %DM protein, 5.3 %DM starch, 30.8 %DM TDF, 7 %DM ash, 11.6 kJ/g ME as fed).  The diets were fed to overweight or obese dogs and controlled for similar restricted energy intake.  Both groups lost similar levels of weight, although the authors point to the difference in loss of lean body mass between the two groups as approachi</w:t>
      </w:r>
      <w:r w:rsidR="004B54BE">
        <w:t>ng significance</w:t>
      </w:r>
      <w:r>
        <w:t xml:space="preserve"> (</w:t>
      </w:r>
      <w:r>
        <w:rPr>
          <w:i/>
        </w:rPr>
        <w:t>p</w:t>
      </w:r>
      <w:r>
        <w:t xml:space="preserve"> = 0.056).  They call for further study using high protein weight loss diets as a strategy to maintain lean body mass.</w:t>
      </w:r>
      <w:r>
        <w:fldChar w:fldCharType="begin"/>
      </w:r>
      <w:r w:rsidR="000A492A">
        <w:instrText xml:space="preserve"> ADDIN ZOTERO_ITEM CSL_CITATION {"citationID":"24c7m548k9","properties":{"formattedCitation":"{\\rtf \\super 283\\nosupersub{}}","plainCitation":"283"},"citationItems":[{"id":1568,"uris":["http://zotero.org/users/171999/items/VST2SBXN"],"uri":["http://zotero.org/users/171999/items/VST2SBXN"],"itemData":{"id":1568,"type":"article-journal","title":"Weight loss in obese dogs: evaluation of a high-protein, low-carbohydrate diet","container-title":"The Journal of nutrition","page":"1685S-7S","volume":"132","issue":"6 Suppl 2","source":"NCBI PubMed","ISSN":"0022-3166","note":"PMID: 12042493","shortTitle":"Weight loss in obese dogs","journalAbbreviation":"J. Nutr.","language":"eng","author":[{"family":"Diez","given":"Marianne"},{"family":"Nguyen","given":"Patrick"},{"family":"Jeusette","given":"Isabelle"},{"family":"Devois","given":"Claire"},{"family":"Istasse","given":"Louis"},{"family":"Biourge","given":"Vincent"}],"issued":{"date-parts":[["2002",6]]},"PMID":"12042493"}}],"schema":"https://github.com/citation-style-language/schema/raw/master/csl-citation.json"} </w:instrText>
      </w:r>
      <w:r>
        <w:fldChar w:fldCharType="separate"/>
      </w:r>
      <w:r w:rsidR="000A492A" w:rsidRPr="000A492A">
        <w:rPr>
          <w:vertAlign w:val="superscript"/>
        </w:rPr>
        <w:t>283</w:t>
      </w:r>
      <w:r>
        <w:fldChar w:fldCharType="end"/>
      </w:r>
    </w:p>
    <w:p w:rsidR="00AF60E4" w:rsidRDefault="00375D3A" w:rsidP="00A60A69">
      <w:r>
        <w:tab/>
      </w:r>
      <w:r w:rsidR="005E5242">
        <w:t>High protein diets in people (25 – 30 %ME; 0.8 – 1.2 g/kg BW) are often used for weight loss due to protein’s role in satiety, energy metabolism, and lean body mass maintenance.</w:t>
      </w:r>
      <w:r w:rsidR="007342ED" w:rsidRPr="007342ED">
        <w:t xml:space="preserve"> </w:t>
      </w:r>
      <w:r w:rsidR="007342ED">
        <w:fldChar w:fldCharType="begin"/>
      </w:r>
      <w:r w:rsidR="000A492A">
        <w:instrText xml:space="preserve"> ADDIN ZOTERO_ITEM CSL_CITATION {"citationID":"2063a5sst2","properties":{"formattedCitation":"{\\rtf \\super 284\\nosupersub{}}","plainCitation":"284"},"citationItems":[{"id":1590,"uris":["http://zotero.org/users/171999/items/NJFQBC4V"],"uri":["http://zotero.org/users/171999/items/NJFQBC4V"],"itemData":{"id":1590,"type":"article-journal","title":"Dietary protein, weight loss, and weight maintenance","container-title":"Annual review of nutrition","page":"21-41","volume":"29","source":"NCBI PubMed","abstract":"The role of dietary protein in weight loss and weight maintenance encompasses influences on crucial targets for body weight regulation, namely satiety, thermogenesis, energy efficiency, and body composition. Protein-induced satiety may be mainly due to oxidation of amino acids fed in excess, especially in diets with \"incomplete\" proteins. Protein-induced energy expenditure may be due to protein and urea synthesis and to gluconeogenesis; \"complete\" proteins having all essential amino acids show larger increases in energy expenditure than do lower-quality proteins. With respect to adverse effects, no protein-induced effects are observed on net bone balance or on calcium balance in young adults and elderly persons. Dietary protein even increases bone mineral mass and reduces incidence of osteoporotic fracture. During weight loss, nitrogen intake positively affects calcium balance and consequent preservation of bone mineral content. Sulphur-containing amino acids cause a blood pressure-raising effect by loss of nephron mass. Subjects with obesity, metabolic syndrome, and type 2 diabetes are particularly susceptible groups. This review provides an overview of how sustaining absolute protein intake affects metabolic targets for weight loss and weight maintenance during negative energy balance, i.e., sustaining satiety and energy expenditure and sparing fat-free mass, resulting in energy inefficiency. However, the long-term relationship between net protein synthesis and sparing fat-free mass remains to be elucidated.","DOI":"10.1146/annurev-nutr-080508-141056","ISSN":"1545-4312","note":"PMID: 19400750","journalAbbreviation":"Annu. Rev. Nutr.","language":"eng","author":[{"family":"Westerterp-Plantenga","given":"M S"},{"family":"Nieuwenhuizen","given":"A"},{"family":"Tomé","given":"D"},{"family":"Soenen","given":"S"},{"family":"Westerterp","given":"K R"}],"issued":{"date-parts":[["2009"]]},"PMID":"19400750"}}],"schema":"https://github.com/citation-style-language/schema/raw/master/csl-citation.json"} </w:instrText>
      </w:r>
      <w:r w:rsidR="007342ED">
        <w:fldChar w:fldCharType="separate"/>
      </w:r>
      <w:r w:rsidR="000A492A" w:rsidRPr="000A492A">
        <w:rPr>
          <w:vertAlign w:val="superscript"/>
        </w:rPr>
        <w:t>284</w:t>
      </w:r>
      <w:r w:rsidR="007342ED">
        <w:fldChar w:fldCharType="end"/>
      </w:r>
      <w:r w:rsidR="005E5242">
        <w:t xml:space="preserve">  </w:t>
      </w:r>
      <w:r w:rsidR="004A6580">
        <w:t>It</w:t>
      </w:r>
      <w:r w:rsidR="00736969">
        <w:t xml:space="preserve"> is the most satiating macronutrient, </w:t>
      </w:r>
      <w:r w:rsidR="00DD110C">
        <w:t>leading to</w:t>
      </w:r>
      <w:r w:rsidR="00271320">
        <w:t xml:space="preserve"> d</w:t>
      </w:r>
      <w:r w:rsidR="00736969">
        <w:t xml:space="preserve">ecreased overall protein oxidation with increased </w:t>
      </w:r>
      <w:r w:rsidR="000E50C8">
        <w:t>fat oxidation</w:t>
      </w:r>
      <w:r w:rsidR="00736969">
        <w:t xml:space="preserve">.  </w:t>
      </w:r>
      <w:r w:rsidR="000E50C8">
        <w:t>Energy expenditure increases with high protein intake due to the energetic cost of protein synthesis and gluconeogenesis</w:t>
      </w:r>
      <w:r w:rsidR="004B54BE">
        <w:t>.  T</w:t>
      </w:r>
      <w:r w:rsidR="004A6580">
        <w:t>he excess protein is</w:t>
      </w:r>
      <w:r w:rsidR="004B54BE">
        <w:t xml:space="preserve"> also</w:t>
      </w:r>
      <w:r w:rsidR="004A6580">
        <w:t xml:space="preserve"> provided in high enough levels to provide normal protein </w:t>
      </w:r>
      <w:r w:rsidR="004B54BE">
        <w:t xml:space="preserve">content </w:t>
      </w:r>
      <w:r w:rsidR="004A6580">
        <w:t>despite overall energy restriction.</w:t>
      </w:r>
      <w:r w:rsidR="004A6580">
        <w:fldChar w:fldCharType="begin"/>
      </w:r>
      <w:r w:rsidR="000A492A">
        <w:instrText xml:space="preserve"> ADDIN ZOTERO_ITEM CSL_CITATION {"citationID":"sw7xK16l","properties":{"formattedCitation":"{\\rtf \\super 284,285\\nosupersub{}}","plainCitation":"284,285"},"citationItems":[{"id":1592,"uris":["http://zotero.org/users/171999/items/PB35N74V"],"uri":["http://zotero.org/users/171999/items/PB35N74V"],"itemData":{"id":1592,"type":"article-journal","title":"Dietary protein - its role in satiety, energetics, weight loss and health","container-title":"The British journal of nutrition","page":"S105-112","volume":"108 Suppl 2","source":"NCBI PubMed","abstract":"Obesity is a serious health problem because of its co-morbidities. The solution, implying weight loss and long-term weight maintenance, is conditional on: (i) sustained satiety despite negative energy balance, (ii) sustained basal energy expenditure despite BW loss due to (iii) a sparing of fat-free mass (FFM), being the main determinant of basal energy expenditure. Dietary protein has been shown to assist with meeting these conditions, since amino acids act on the relevant metabolic targets. This review deals with the effects of different protein diets during BW loss and BW maintenance thereafter. Potential risks of a high protein diet are dealt with. The required daily intake is 0·8-1·2 g/kg BW, implying sustaining the original absolute protein intake and carbohydrate and fat restriction during an energy-restricted diet. The intake of 1·2 g/kg BW is beneficial to body composition and improves blood pressure. A too low absolute protein content of the diet contributes to the risk of BW regain. The success of the so-called 'low carb' diet that is usually high in protein can be attributed to the relatively high-protein content per se and not to the relatively lower carbohydrate content. Metabolic syndrome parameters restore, mainly due to BW loss. With the indicated dosage, no kidney problems have been shown in healthy individuals. In conclusion, dietary protein contributes to the treatment of obesity and the metabolic syndrome, by acting on the relevant metabolic targets of satiety and energy expenditure in negative energy balance, thereby preventing a weight cycling effect.","DOI":"10.1017/S0007114512002589","ISSN":"1475-2662","note":"PMID: 23107521","journalAbbreviation":"Br. J. Nutr.","language":"eng","author":[{"family":"Westerterp-Plantenga","given":"Margriet S"},{"family":"Lemmens","given":"Sofie G"},{"family":"Westerterp","given":"Klaas R"}],"issued":{"date-parts":[["2012",8]]},"PMID":"23107521"}},{"id":1590,"uris":["http://zotero.org/users/171999/items/NJFQBC4V"],"uri":["http://zotero.org/users/171999/items/NJFQBC4V"],"itemData":{"id":1590,"type":"article-journal","title":"Dietary protein, weight loss, and weight maintenance","container-title":"Annual review of nutrition","page":"21-41","volume":"29","source":"NCBI PubMed","abstract":"The role of dietary protein in weight loss and weight maintenance encompasses influences on crucial targets for body weight regulation, namely satiety, thermogenesis, energy efficiency, and body composition. Protein-induced satiety may be mainly due to oxidation of amino acids fed in excess, especially in diets with \"incomplete\" proteins. Protein-induced energy expenditure may be due to protein and urea synthesis and to gluconeogenesis; \"complete\" proteins having all essential amino acids show larger increases in energy expenditure than do lower-quality proteins. With respect to adverse effects, no protein-induced effects are observed on net bone balance or on calcium balance in young adults and elderly persons. Dietary protein even increases bone mineral mass and reduces incidence of osteoporotic fracture. During weight loss, nitrogen intake positively affects calcium balance and consequent preservation of bone mineral content. Sulphur-containing amino acids cause a blood pressure-raising effect by loss of nephron mass. Subjects with obesity, metabolic syndrome, and type 2 diabetes are particularly susceptible groups. This review provides an overview of how sustaining absolute protein intake affects metabolic targets for weight loss and weight maintenance during negative energy balance, i.e., sustaining satiety and energy expenditure and sparing fat-free mass, resulting in energy inefficiency. However, the long-term relationship between net protein synthesis and sparing fat-free mass remains to be elucidated.","DOI":"10.1146/annurev-nutr-080508-141056","ISSN":"1545-4312","note":"PMID: 19400750","journalAbbreviation":"Annu. Rev. Nutr.","language":"eng","author":[{"family":"Westerterp-Plantenga","given":"M S"},{"family":"Nieuwenhuizen","given":"A"},{"family":"Tomé","given":"D"},{"family":"Soenen","given":"S"},{"family":"Westerterp","given":"K R"}],"issued":{"date-parts":[["2009"]]},"PMID":"19400750"}}],"schema":"https://github.com/citation-style-language/schema/raw/master/csl-citation.json"} </w:instrText>
      </w:r>
      <w:r w:rsidR="004A6580">
        <w:fldChar w:fldCharType="separate"/>
      </w:r>
      <w:r w:rsidR="000A492A" w:rsidRPr="000A492A">
        <w:rPr>
          <w:vertAlign w:val="superscript"/>
        </w:rPr>
        <w:t>284,285</w:t>
      </w:r>
      <w:r w:rsidR="004A6580">
        <w:fldChar w:fldCharType="end"/>
      </w:r>
      <w:r w:rsidR="004A6580">
        <w:t xml:space="preserve">  </w:t>
      </w:r>
      <w:r w:rsidR="002D09DC">
        <w:t xml:space="preserve">Beagle dogs with a body weight </w:t>
      </w:r>
      <w:r w:rsidR="002D09DC">
        <w:rPr>
          <w:u w:val="single"/>
        </w:rPr>
        <w:t>&gt;</w:t>
      </w:r>
      <w:r w:rsidR="002D09DC">
        <w:t xml:space="preserve"> 25% in excess of ideal weight were fed a high protein</w:t>
      </w:r>
      <w:r w:rsidR="005E2003">
        <w:t xml:space="preserve"> diet</w:t>
      </w:r>
      <w:r w:rsidR="002D09DC">
        <w:t xml:space="preserve"> (103 g/1000 kcal protein, 2520 kcal/kg diet)</w:t>
      </w:r>
      <w:r w:rsidR="005E2003">
        <w:t xml:space="preserve"> at 50% MER to induce weight loss.  This was deemed a very satisfactory weight loss regime since the dogs returned to their basal body weight and lean body mass.</w:t>
      </w:r>
      <w:r w:rsidR="005E2003">
        <w:fldChar w:fldCharType="begin"/>
      </w:r>
      <w:r w:rsidR="000A492A">
        <w:instrText xml:space="preserve"> ADDIN ZOTERO_ITEM CSL_CITATION {"citationID":"FuOaafxf","properties":{"formattedCitation":"{\\rtf \\super 286\\nosupersub{}}","plainCitation":"286"},"citationItems":[{"id":1578,"uris":["http://zotero.org/users/171999/items/HCZFHRQ8"],"uri":["http://zotero.org/users/171999/items/HCZFHRQ8"],"itemData":{"id":1578,"type":"article-journal","title":"Rapid weight loss with a high-protein low-energy diet allows the recovery of ideal body composition and insulin sensitivity in obese dogs","container-title":"The Journal of nutrition","page":"2148S-2150S","volume":"134","issue":"8 Suppl","source":"NCBI PubMed","ISSN":"0022-3166","note":"PMID: 15284423","journalAbbreviation":"J. Nutr.","language":"eng","author":[{"family":"Blanchard","given":"Géraldine"},{"family":"Nguyen","given":"Patrick"},{"family":"Gayet","given":"Constance"},{"family":"Leriche","given":"Isabelle"},{"family":"Siliart","given":"Brigitte"},{"family":"Paragon","given":"Bernard-Marie"}],"issued":{"date-parts":[["2004",8]]},"PMID":"15284423"}}],"schema":"https://github.com/citation-style-language/schema/raw/master/csl-citation.json"} </w:instrText>
      </w:r>
      <w:r w:rsidR="005E2003">
        <w:fldChar w:fldCharType="separate"/>
      </w:r>
      <w:r w:rsidR="000A492A" w:rsidRPr="000A492A">
        <w:rPr>
          <w:vertAlign w:val="superscript"/>
        </w:rPr>
        <w:t>286</w:t>
      </w:r>
      <w:r w:rsidR="005E2003">
        <w:fldChar w:fldCharType="end"/>
      </w:r>
      <w:r w:rsidR="00A22E9F">
        <w:t xml:space="preserve">  Increasing levels of protein (up to 39% ME) fed to overweight dogs </w:t>
      </w:r>
      <w:r w:rsidR="00583E83">
        <w:t xml:space="preserve">undergoing caloric restriction </w:t>
      </w:r>
      <w:r w:rsidR="004B54BE">
        <w:t xml:space="preserve">in another study </w:t>
      </w:r>
      <w:r w:rsidR="00A22E9F">
        <w:t>was associated with less lean tissue loss compared to dogs eating lower protein diets (down to 20% ME).</w:t>
      </w:r>
      <w:r w:rsidR="00A22E9F">
        <w:fldChar w:fldCharType="begin"/>
      </w:r>
      <w:r w:rsidR="000A492A">
        <w:instrText xml:space="preserve"> ADDIN ZOTERO_ITEM CSL_CITATION {"citationID":"kdbrt5cv0","properties":{"formattedCitation":"{\\rtf \\super 287\\nosupersub{}}","plainCitation":"287"},"citationItems":[{"id":1582,"uris":["http://zotero.org/users/171999/items/K3ZEXMRJ"],"uri":["http://zotero.org/users/171999/items/K3ZEXMRJ"],"itemData":{"id":1582,"type":"article-journal","title":"Increased dietary protein spares lean body mass during weight loss in dogs (Abstract)","container-title":"Journal of Veterinary Internal Medicine","page":"224","volume":"12","issue":"3","source":"Wiley Online Library","DOI":"10.1111/j.1939-1676.1998.tb02118.x","ISSN":"1939-1676","language":"en","author":[{"family":"Hannah","given":"S S"},{"family":"Laflamme","given":"D P"}],"issued":{"date-parts":[["1998"]]},"accessed":{"date-parts":[["2013",11,6]]}}}],"schema":"https://github.com/citation-style-language/schema/raw/master/csl-citation.json"} </w:instrText>
      </w:r>
      <w:r w:rsidR="00A22E9F">
        <w:fldChar w:fldCharType="separate"/>
      </w:r>
      <w:r w:rsidR="000A492A" w:rsidRPr="000A492A">
        <w:rPr>
          <w:vertAlign w:val="superscript"/>
        </w:rPr>
        <w:t>287</w:t>
      </w:r>
      <w:r w:rsidR="00A22E9F">
        <w:fldChar w:fldCharType="end"/>
      </w:r>
    </w:p>
    <w:p w:rsidR="002D09DC" w:rsidRPr="002602FB" w:rsidRDefault="00583E83" w:rsidP="00AF60E4">
      <w:pPr>
        <w:ind w:firstLine="720"/>
      </w:pPr>
      <w:r>
        <w:t xml:space="preserve">In addition to high protein diets, increased fiber is often utilized in weight loss diets designed for dogs.  </w:t>
      </w:r>
      <w:r w:rsidR="005D5437">
        <w:t>Rather than a way to ma</w:t>
      </w:r>
      <w:r w:rsidR="007342ED">
        <w:t>intain lean muscle mass, fiber</w:t>
      </w:r>
      <w:r w:rsidR="005D5437">
        <w:t xml:space="preserve"> is employed for its satiety effect and ability to decrease total caloric consumption.  </w:t>
      </w:r>
      <w:r w:rsidR="000D5306">
        <w:t>Jackson et al tested voluntary food consumption in dogs fed high versus low fiber diets with what was described as similar ingredients and nutrient contents except for fat, fiber, and calories on an as fed basis.  After conversion to an energy basis, however, a difference</w:t>
      </w:r>
      <w:r w:rsidR="004B54BE">
        <w:t xml:space="preserve"> in</w:t>
      </w:r>
      <w:r w:rsidR="000D5306">
        <w:t xml:space="preserve"> protein level is also noted (Low fiber diet, 62.5 g/1000 kcal protein, 28.5 g/1000 kcal fat, 5.5 g/1000 kcal crude fiber, 39.1 g/1000 kcal total dietary fiber, 34.1 g/1000 kcal insoluble fiber, 5.0 g/1000 kcal soluble fiber; high fiber diet, 74.3 g/1000 kcal protein, 22.9 g/1000 kcal fat, 30.2 g/1000 kcal crude fiber, 92.5 g/1000 kcal total dietary fiber, 84.0 g/1000 kcal insoluble fiber, 8.5 g/1000 kcal soluble fiber.  </w:t>
      </w:r>
      <w:r w:rsidR="0028713E">
        <w:t>While dogs voluntarily consumed similar volumes of both diets, due to the lower caloric densi</w:t>
      </w:r>
      <w:r w:rsidR="004B54BE">
        <w:t>ty of the high fiber diet, dogs on that diet</w:t>
      </w:r>
      <w:r w:rsidR="0028713E">
        <w:t xml:space="preserve"> consumed fewer total calories.</w:t>
      </w:r>
      <w:r w:rsidR="0028713E">
        <w:fldChar w:fldCharType="begin"/>
      </w:r>
      <w:r w:rsidR="000A492A">
        <w:instrText xml:space="preserve"> ADDIN ZOTERO_ITEM CSL_CITATION {"citationID":"1c3vhk7h4h","properties":{"formattedCitation":"{\\rtf \\super 288\\nosupersub{}}","plainCitation":"288"},"citationItems":[{"id":897,"uris":["http://zotero.org/users/171999/items/UGXNVBSZ"],"uri":["http://zotero.org/users/171999/items/UGXNVBSZ"],"itemData":{"id":897,"type":"article-journal","title":"Effects of dietary fiber content on satiety in dogs.","container-title":"Veterinary Clinical Nutrition","volume":"4","issue":"4","source":"ISI Web of Knowledge","abstract":"The effect of dietary fibre on satiety in dogs was evaluated by   measuring voluntary feed intake. Thirty dogs were fed on a commercial   dry dog food (2% crude fiber) during a 7-day acclimation phase. The   commercial dry dog food was fed twice daily  ad libitum. Average total   daily feed and calorie intakes were determined. After the acclimation   phase, dogs were divided into 2 treatment groups for an 8-day treatment   phase. In the morning, group 1 dogs were fed on a low-fibre diet (2%   crude fiber) and group 2 dogs were fed on a high-fibre diet (9% crude   fiber); in the afternoon all dogs were allowed an unrestricted quantity   of the same commercial dry dog food. Feed provided at each morning   feeding was 50% of the individual dog's average total daily intake   determined during the acclimation phase. Total feed intake per feeding   was recorded daily. Morning feed intake was slightly less than the   afternoon feed intake during the acclimation phase, reaching   significance in group 2 dogs. During the treatment phase, morning feed   intake was significantly less than the afternoon feed intake for both   groups; however, total daily feed intake (g) was not significantly   different between treatment groups. Dogs consumed similar amounts of   feed in the afternoon, regardless of diet fed in the morning feeding.   Dogs fed on the high-fibre diet consumed fewer total calories throughout   the day than those fed on the low-fibre diet (65.3 vs. 79.4 kcal/kg body   weight daily, respectively;  P&lt;0.001). The results indicate that   high-fibre diets may provide a satiety effect when fed to dogs and can   help reduce caloric intake.","ISSN":"1076-3872","language":"English","author":[{"family":"Jackson","given":"J. R."},{"family":"Laflamme","given":"D. P."},{"family":"Owens","given":"S. F."}],"issued":{"date-parts":[["1997"]]}}}],"schema":"https://github.com/citation-style-language/schema/raw/master/csl-citation.json"} </w:instrText>
      </w:r>
      <w:r w:rsidR="0028713E">
        <w:fldChar w:fldCharType="separate"/>
      </w:r>
      <w:r w:rsidR="000A492A" w:rsidRPr="000A492A">
        <w:rPr>
          <w:vertAlign w:val="superscript"/>
        </w:rPr>
        <w:t>288</w:t>
      </w:r>
      <w:r w:rsidR="0028713E">
        <w:fldChar w:fldCharType="end"/>
      </w:r>
      <w:r w:rsidR="0028713E">
        <w:t xml:space="preserve">  Jewell and Toll investigated low and medium fiber diets with similar results, also attributed to the lower caloric density of the medium fiber diet.</w:t>
      </w:r>
      <w:r w:rsidR="003667F5">
        <w:fldChar w:fldCharType="begin"/>
      </w:r>
      <w:r w:rsidR="000A492A">
        <w:instrText xml:space="preserve"> ADDIN ZOTERO_ITEM CSL_CITATION {"citationID":"NN2LL4Sb","properties":{"formattedCitation":"{\\rtf \\super 289\\nosupersub{}}","plainCitation":"289"},"citationItems":[{"id":1585,"uris":["http://zotero.org/users/171999/items/DAZRR65I"],"uri":["http://zotero.org/users/171999/items/DAZRR65I"],"itemData":{"id":1585,"type":"article-journal","title":"Effects of fiber on food intake in dogs.","container-title":"Veterinary Clinical Nutrition","volume":"3","issue":"4","source":"ISI Web of Knowledge","abstract":"Two studies were conducted to investigate whether high-fibre diets increased satiety or reduced hunger in dogs. Two sequential crossover studies, each lasting 28 days, of the same design were conducted to compare 2 pairs of diets; composition of diets used is given. 30 Beagles ranging in age from 1 to 12 years (mean age 5.7 years) were randomly assigned to one of 2 groups. In the first study, groups were offered one 45-min meal daily consisting of a low- (&lt;2%) or medium-fibre (12%) diet. After 2 weeks diets were fed in reverse. A second 45-min meal (intruded meal) was offered 30 min after the first meal was removed on days 7, 14,","ISSN":"1076-3872","language":"English","author":[{"family":"Jewell","given":"D. E."},{"family":"Toll","given":"P. W."}],"issued":{"date-parts":[["1996"]]}}}],"schema":"https://github.com/citation-style-language/schema/raw/master/csl-citation.json"} </w:instrText>
      </w:r>
      <w:r w:rsidR="003667F5">
        <w:fldChar w:fldCharType="separate"/>
      </w:r>
      <w:r w:rsidR="000A492A" w:rsidRPr="000A492A">
        <w:rPr>
          <w:vertAlign w:val="superscript"/>
        </w:rPr>
        <w:t>289</w:t>
      </w:r>
      <w:r w:rsidR="003667F5">
        <w:fldChar w:fldCharType="end"/>
      </w:r>
      <w:r w:rsidR="005D5437">
        <w:t xml:space="preserve">  Butterwick and Markwell did not see a satiety effect of high fiber diet challenge meals, but they were using </w:t>
      </w:r>
      <w:r w:rsidR="005D5437">
        <w:lastRenderedPageBreak/>
        <w:t>energy-restricted dogs on an active weight loss plan</w:t>
      </w:r>
      <w:r w:rsidR="00292299">
        <w:t>, who should be considered h</w:t>
      </w:r>
      <w:r w:rsidR="007844BC">
        <w:t>ighly motivated to consume food</w:t>
      </w:r>
      <w:r w:rsidR="005D5437">
        <w:t>.</w:t>
      </w:r>
      <w:r w:rsidR="00292299">
        <w:t xml:space="preserve">  Voluntary food intake in low fermentable fiber (LFF) versus high fermentable fiber (HFF) fed dogs tended to be higher, alth</w:t>
      </w:r>
      <w:r w:rsidR="005E5242">
        <w:t>ough a significant difference did</w:t>
      </w:r>
      <w:r w:rsidR="00292299">
        <w:t xml:space="preserve"> not occur (</w:t>
      </w:r>
      <w:r w:rsidR="00292299">
        <w:rPr>
          <w:i/>
        </w:rPr>
        <w:t>p</w:t>
      </w:r>
      <w:r w:rsidR="00292299">
        <w:t>=0.085).</w:t>
      </w:r>
      <w:r w:rsidR="00292299">
        <w:fldChar w:fldCharType="begin"/>
      </w:r>
      <w:r w:rsidR="000A492A">
        <w:instrText xml:space="preserve"> ADDIN ZOTERO_ITEM CSL_CITATION {"citationID":"1t4rhijilc","properties":{"formattedCitation":"{\\rtf \\super 290\\nosupersub{}}","plainCitation":"290"},"citationItems":[{"id":"rsWRv8Oc/gvUaqwPp","uris":["http://zotero.org/users/171999/items/8WSP8QZI"],"uri":["http://zotero.org/users/171999/items/8WSP8QZI"],"itemData":{"id":"rsWRv8Oc/gvUaqwPp","type":"article-journal","title":"The effects of dietary fibre type on satiety-related hormones and voluntary food intake in dogs","container-title":"The British Journal of Nutrition","page":"318-325","volume":"102","issue":"2","source":"NCBI PubMed","abstract":"Depending on type and inclusion level, dietary fibre may increase and maintain satiety and postpone the onset of hunger. This 7-week study evaluated the effect of fibre fermentability on physiological satiety-related metabolites and voluntary food intake (VFI) in dogs. Sixteen healthy adult dogs were fed a low-fermentable fibre (LFF) diet containing 8.5 % cellulose or a high-fermentable fibre (HFF) diet containing 8.5 % sugarbeet pulp and 2 % inulin. Large intestinal fibre degradation was evaluated by apparent faecal digestibility of nutrients and faecal SCFA and NH3 concentrations. Postprandial blood samples were obtained to determine postprandial plasma glucose, insulin, total peptide tyrosine-tyrosine (PYY), total glucagon-like peptide-1 (GLP-1) and total ghrelin concentrations. At the end of the study, the dogs were given a single meal of a dry dog food to determine VFI. Dogs fed the HFF diet had a significantly higher large intestinal fibre degradation and production of SCFA compared with the dogs fed the LFF diet. The HFF-fed dogs tended (P = 0.058) to show a lower VFI at the end of the study. No treatment effects were found for postprandial plasma glucose, PYY, GLP-1 and ghrelin responses. The concentrations of these metabolites could not be related to the observed difference in VFI. The inclusion of fermentable fibre in canine diets may contribute to the prevention or mitigation of obesity through its effects on satiety. The underlying mechanisms require further investigation.","DOI":"10.1017/S0007114508149194","ISSN":"1475-2662","note":"PMID: 19144213","journalAbbreviation":"Br. J. Nutr","author":[{"family":"Bosch","given":"Guido"},{"family":"Verbrugghe","given":"Adronie"},{"family":"Hesta","given":"Myriam"},{"family":"Holst","given":"Jens J"},{"family":"van der Poel","given":"Antonius F B"},{"family":"Janssens","given":"Geert P J"},{"family":"Hendriks","given":"Wouter H"}],"issued":{"year":2009,"month":7},"accessed":{"year":2011,"month":9,"day":2},"page-first":"318","container-title-short":"Br. J. Nutr"}}],"schema":"https://github.com/citation-style-language/schema/raw/master/csl-citation.json"} </w:instrText>
      </w:r>
      <w:r w:rsidR="00292299">
        <w:fldChar w:fldCharType="separate"/>
      </w:r>
      <w:r w:rsidR="000A492A" w:rsidRPr="000A492A">
        <w:rPr>
          <w:vertAlign w:val="superscript"/>
        </w:rPr>
        <w:t>290</w:t>
      </w:r>
      <w:r w:rsidR="00292299">
        <w:fldChar w:fldCharType="end"/>
      </w:r>
      <w:r w:rsidR="00E2746C">
        <w:t xml:space="preserve">  It has also been reported in a survey of sixty-one owners and dogs in the US that lean dogs receive more crude fiber </w:t>
      </w:r>
      <w:r w:rsidR="002602FB">
        <w:t>than obese dogs, regardless of the number of treats fed (</w:t>
      </w:r>
      <w:r w:rsidR="002602FB">
        <w:rPr>
          <w:i/>
        </w:rPr>
        <w:t>p</w:t>
      </w:r>
      <w:r w:rsidR="002602FB">
        <w:t>&lt;0.01).</w:t>
      </w:r>
      <w:r w:rsidR="002602FB">
        <w:fldChar w:fldCharType="begin"/>
      </w:r>
      <w:r w:rsidR="000A492A">
        <w:instrText xml:space="preserve"> ADDIN ZOTERO_ITEM CSL_CITATION {"citationID":"2hnjrjrsa7","properties":{"formattedCitation":"{\\rtf \\super 291\\nosupersub{}}","plainCitation":"291"},"citationItems":[{"id":1628,"uris":["http://zotero.org/users/171999/items/RXDSUXMN"],"uri":["http://zotero.org/users/171999/items/RXDSUXMN"],"itemData":{"id":1628,"type":"article-journal","title":"The relationship of feeding patterns and obesity in dogs","container-title":"Journal of animal physiology and animal nutrition","page":"98-105","volume":"95","issue":"1","source":"NCBI PubMed","abstract":"The rates of dog obesity are increasing and a greater understanding of feeding patterns is required to combat the problem. This study examined relationships between dietary patterns and caloric intake, and nutrient content of foods fed as it relates to obesity in dogs in the United States. Sixty-one owners and their dogs were enrolled, and lifestyle surveys, food frequencies, and 3-day food records were collected. Significant differences in overall kcal intake per kilogram of body weight were found (p&lt; 0.04). Crude fibre in dog food was positively associated with protein and negatively associated with fat regardless of the dog's weight (p&lt; 0.001). Lean dogs received significantly more crude fibre in relation to overweight dogs regardless of the number of treats they received (p&lt; 0.01), and their diets had greater micronutrient densities (p&lt; 0.03) suggesting that high fibre influences body condition. Additionally, owners who ate nutrient-rich, calorie-poor diets had normal weight dogs, and owners that fed more table scraps had overweight dogs. Regardless of body condition, 59% of dogs received table scraps, which constituted 21% of daily caloric intake. The nutrient density of scraps fed was variable and did not meet National Research Council's recommendations for micronutrient adequacy.","DOI":"10.1111/j.1439-0396.2010.01024.x","ISSN":"1439-0396","note":"PMID: 20662965","journalAbbreviation":"J Anim Physiol Anim Nutr (Berl)","language":"eng","author":[{"family":"Heuberger","given":"R"},{"family":"Wakshlag","given":"J"}],"issued":{"date-parts":[["2011",2]]},"PMID":"20662965"}}],"schema":"https://github.com/citation-style-language/schema/raw/master/csl-citation.json"} </w:instrText>
      </w:r>
      <w:r w:rsidR="002602FB">
        <w:fldChar w:fldCharType="separate"/>
      </w:r>
      <w:r w:rsidR="000A492A" w:rsidRPr="000A492A">
        <w:rPr>
          <w:vertAlign w:val="superscript"/>
        </w:rPr>
        <w:t>291</w:t>
      </w:r>
      <w:r w:rsidR="002602FB">
        <w:fldChar w:fldCharType="end"/>
      </w:r>
    </w:p>
    <w:p w:rsidR="005575FC" w:rsidRDefault="007342ED" w:rsidP="002D09DC">
      <w:pPr>
        <w:ind w:firstLine="720"/>
      </w:pPr>
      <w:r>
        <w:t>H</w:t>
      </w:r>
      <w:r w:rsidR="00375D3A">
        <w:t xml:space="preserve">igh protein and/or high fiber diets are the most common macronutrient distributions employed for dogs on weight loss plans.  German and </w:t>
      </w:r>
      <w:r w:rsidR="00E95739">
        <w:t>colleagues</w:t>
      </w:r>
      <w:r w:rsidR="00375D3A">
        <w:t xml:space="preserve"> compared</w:t>
      </w:r>
      <w:r w:rsidR="00396A55">
        <w:t xml:space="preserve"> a</w:t>
      </w:r>
      <w:r w:rsidR="00375D3A">
        <w:t xml:space="preserve"> high protein/high fiber</w:t>
      </w:r>
      <w:r w:rsidR="00396A55">
        <w:t xml:space="preserve"> diet</w:t>
      </w:r>
      <w:r w:rsidR="00375D3A">
        <w:t xml:space="preserve"> (</w:t>
      </w:r>
      <w:r w:rsidR="00140466">
        <w:t xml:space="preserve">HPHF; </w:t>
      </w:r>
      <w:r w:rsidR="008F2DFB">
        <w:t>103 g/1000 kcal protein, 34 g/100 kcal fat, 60 g/1000 kcal crude fiber, 97 g/1000 kcal total dietary fiber</w:t>
      </w:r>
      <w:r w:rsidR="00FA0788">
        <w:t>, 2900 kcal/kg ME</w:t>
      </w:r>
      <w:r w:rsidR="00FD344D">
        <w:t>)</w:t>
      </w:r>
      <w:r w:rsidR="00375D3A">
        <w:t xml:space="preserve"> to </w:t>
      </w:r>
      <w:r w:rsidR="00FA0788">
        <w:t xml:space="preserve">a </w:t>
      </w:r>
      <w:r w:rsidR="00375D3A">
        <w:t>high protein/</w:t>
      </w:r>
      <w:r w:rsidR="00FA0788">
        <w:t>medium fiber diet</w:t>
      </w:r>
      <w:r w:rsidR="00FD344D">
        <w:t xml:space="preserve"> (</w:t>
      </w:r>
      <w:r w:rsidR="00140466">
        <w:t xml:space="preserve">HPMF; </w:t>
      </w:r>
      <w:r w:rsidR="00FD344D">
        <w:t>104 g/1000 kcal protein, 31 g/100 kcal fat, 35 g/1000 kcal crude fiber, 56 g/1000 kcal total dietary fiber</w:t>
      </w:r>
      <w:r w:rsidR="00FA0788">
        <w:t>, 3275 kcal/kg ME</w:t>
      </w:r>
      <w:r w:rsidR="00FD344D">
        <w:t>)</w:t>
      </w:r>
      <w:r w:rsidR="007B33F6">
        <w:t xml:space="preserve"> in overweight or obese dogs</w:t>
      </w:r>
      <w:r w:rsidR="00FD344D">
        <w:t>.</w:t>
      </w:r>
      <w:r w:rsidR="00FD344D">
        <w:fldChar w:fldCharType="begin"/>
      </w:r>
      <w:r w:rsidR="000A492A">
        <w:instrText xml:space="preserve"> ADDIN ZOTERO_ITEM CSL_CITATION {"citationID":"YnpCiyjI","properties":{"formattedCitation":"{\\rtf \\super 292\\nosupersub{}}","plainCitation":"292"},"citationItems":[{"id":1575,"uris":["http://zotero.org/users/171999/items/A4MMEIAF"],"uri":["http://zotero.org/users/171999/items/A4MMEIAF"],"itemData":{"id":1575,"type":"article-journal","title":"A high protein high fibre diet improves weight loss in obese dogs","container-title":"Veterinary journal (London, England: 1997)","page":"294-297","volume":"183","issue":"3","source":"NCBI PubMed","abstract":"A newly-formulated, high protein high fibre (HPHF) diet has recently been shown to improve satiety in dogs. The current study examined its performance during weight loss in client-owned dogs with naturally-occurring obesity. Fifteen dogs were fed the HPHF diet, whilst a matched 'control' group of 27 dogs, received a high protein medium fibre diet (HPMF), with an equivalent caloric density. Baseline characteristics (signalment, percentage overweight, and body fat percentage) were not significantly different between groups. However, percentage weight loss was greater (median [range] 31.8% [12.0-41.2%] vs. 20.0% [5.9-45.0%], P=0.016) and mean rate of weight loss faster (median [range] 1.0%/week [0.3-1.6%] vs. 0.7%/week [0.3-1.5%], P=0.028) on HPHF compared with HPMF. Percentage body fat mass decrease (measured by dual-energy X-ray absorptiometry) was also greater in dogs fed the HPHF diet (median (range] 58% [32-85%) vs. 37% [15-72%), P=0.002). Thus, a diet formulated to include high levels of both protein and fibre, improves outcome during weight loss in obese dogs.","DOI":"10.1016/j.tvjl.2008.12.004","ISSN":"1532-2971","note":"PMID: 19138868","journalAbbreviation":"Vet. J.","language":"eng","author":[{"family":"German","given":"Alexander J"},{"family":"Holden","given":"Shelley L"},{"family":"Bissot","given":"Thomas"},{"family":"Morris","given":"Penelope J"},{"family":"Biourge","given":"Vincent"}],"issued":{"date-parts":[["2010",3]]},"PMID":"19138868"}}],"schema":"https://github.com/citation-style-language/schema/raw/master/csl-citation.json"} </w:instrText>
      </w:r>
      <w:r w:rsidR="00FD344D">
        <w:fldChar w:fldCharType="separate"/>
      </w:r>
      <w:r w:rsidR="000A492A" w:rsidRPr="000A492A">
        <w:rPr>
          <w:vertAlign w:val="superscript"/>
        </w:rPr>
        <w:t>292</w:t>
      </w:r>
      <w:r w:rsidR="00FD344D">
        <w:fldChar w:fldCharType="end"/>
      </w:r>
      <w:r w:rsidR="00140466">
        <w:t xml:space="preserve">  </w:t>
      </w:r>
      <w:r w:rsidR="00396A55">
        <w:t xml:space="preserve">After starting individualized weight loss plans, </w:t>
      </w:r>
      <w:r w:rsidR="00140466">
        <w:t>HPHF dogs lost a great</w:t>
      </w:r>
      <w:r w:rsidR="007B33F6">
        <w:t>er</w:t>
      </w:r>
      <w:r w:rsidR="00140466">
        <w:t xml:space="preserve"> percentage of weight</w:t>
      </w:r>
      <w:r w:rsidR="00FA0788">
        <w:t xml:space="preserve"> (31.8 vs. 20.0 %)</w:t>
      </w:r>
      <w:r w:rsidR="007B33F6">
        <w:t xml:space="preserve"> and</w:t>
      </w:r>
      <w:r w:rsidR="00140466">
        <w:t xml:space="preserve"> at a faster rate</w:t>
      </w:r>
      <w:r w:rsidR="007B33F6">
        <w:t xml:space="preserve"> </w:t>
      </w:r>
      <w:r w:rsidR="00FA0788">
        <w:t xml:space="preserve">(1.0 vs. 0.7 %/week) </w:t>
      </w:r>
      <w:r w:rsidR="00140466">
        <w:t xml:space="preserve">than </w:t>
      </w:r>
      <w:r w:rsidR="00396A55">
        <w:t xml:space="preserve">matched </w:t>
      </w:r>
      <w:r w:rsidR="00140466">
        <w:t xml:space="preserve">HPMF dogs.  </w:t>
      </w:r>
      <w:r w:rsidR="00FA0788">
        <w:t>Change in body fat mass</w:t>
      </w:r>
      <w:r w:rsidR="007B33F6">
        <w:t xml:space="preserve"> loss was also greater in HPHF dogs</w:t>
      </w:r>
      <w:r w:rsidR="00FE7CD4">
        <w:t xml:space="preserve"> compared with</w:t>
      </w:r>
      <w:r w:rsidR="00FA0788">
        <w:t xml:space="preserve"> HPMF (58 vs. 37 %).  The authors concluded HPHF improved outcome during weight loss in obese dogs when compared to HPMF.  It is important to note HPHF was less calorically dense, attributable solely to its higher fiber content since fat level was maintain</w:t>
      </w:r>
      <w:r w:rsidR="00907FC3">
        <w:t>ed</w:t>
      </w:r>
      <w:r w:rsidR="00FA0788">
        <w:t xml:space="preserve"> across both diets.</w:t>
      </w:r>
      <w:r w:rsidR="00FE7CD4">
        <w:t xml:space="preserve">  From the same research group, the HPHF, HPMF and a moderate protein high fiber diet (MPHF; 86 g/1000 kcal protein, 28 g/100</w:t>
      </w:r>
      <w:r w:rsidR="00907FC3">
        <w:t>0</w:t>
      </w:r>
      <w:r w:rsidR="00FE7CD4">
        <w:t xml:space="preserve"> kcal fat, 87 g/1000 kcal crude fiber, 132 g/1000 kcal total dietary fiber, 2660 kcal/kg ME) were assessed for differences in a satiety effect.  HPHF dogs consumed less calories compared with when fed HPMF and MPHF.</w:t>
      </w:r>
      <w:r w:rsidR="00FE7CD4">
        <w:fldChar w:fldCharType="begin"/>
      </w:r>
      <w:r w:rsidR="000A492A">
        <w:instrText xml:space="preserve"> ADDIN ZOTERO_ITEM CSL_CITATION {"citationID":"c6foe614v","properties":{"formattedCitation":"{\\rtf \\super 293\\nosupersub{}}","plainCitation":"293"},"citationItems":[{"id":"rsWRv8Oc/CxjhQHDw","uris":["http://zotero.org/users/171999/items/9RWA2ZZS"],"uri":["http://zotero.org/users/171999/items/9RWA2ZZS"],"itemData":{"id":"rsWRv8Oc/CxjhQHDw","type":"article-journal","title":"A high-protein, high-fiber diet designed for weight loss improves   satiety in dogs","container-title":"Journal of Veterinary Internal Medicine","page":"1203-1208","volume":"21","issue":"6","DOI":"10.1892/07-016.1","ISSN":"0891-6640","note":"WOS:000251495100009","author":[{"family":"Weber","given":"Mickael"},{"family":"Bissot","given":"Thomas"},{"family":"Servet","given":"Eric"},{"family":"Sergheraert","given":"Renaud"},{"family":"Biourge","given":"Vincent"},{"family":"German","given":"Alexander J."}],"issued":{"year":2007,"month":12},"page-first":"1203"}}],"schema":"https://github.com/citation-style-language/schema/raw/master/csl-citation.json"} </w:instrText>
      </w:r>
      <w:r w:rsidR="00FE7CD4">
        <w:fldChar w:fldCharType="separate"/>
      </w:r>
      <w:r w:rsidR="000A492A" w:rsidRPr="000A492A">
        <w:rPr>
          <w:vertAlign w:val="superscript"/>
        </w:rPr>
        <w:t>293</w:t>
      </w:r>
      <w:r w:rsidR="00FE7CD4">
        <w:fldChar w:fldCharType="end"/>
      </w:r>
    </w:p>
    <w:p w:rsidR="00907FC3" w:rsidRDefault="00860C26" w:rsidP="00CA4AE4">
      <w:pPr>
        <w:ind w:firstLine="720"/>
      </w:pPr>
      <w:r>
        <w:t>In addition to</w:t>
      </w:r>
      <w:r w:rsidR="0078178C">
        <w:t xml:space="preserve"> the macronutrient component, addressing food portion sizes has also become a central component of weight loss plans.  </w:t>
      </w:r>
      <w:r w:rsidR="00433DA1">
        <w:t xml:space="preserve">Average food portion sizes have been on an increasing trend since 1977 for specific classes of foods (e.g. salty snacks, desserts, soft drinks, French fries, </w:t>
      </w:r>
      <w:r>
        <w:t>etc.)</w:t>
      </w:r>
      <w:r w:rsidR="00433DA1">
        <w:t xml:space="preserve"> commonly consumed both inside the home and </w:t>
      </w:r>
      <w:r>
        <w:t xml:space="preserve">out </w:t>
      </w:r>
      <w:r w:rsidR="00433DA1">
        <w:t>at restauraunts.</w:t>
      </w:r>
      <w:r w:rsidR="00433DA1">
        <w:fldChar w:fldCharType="begin"/>
      </w:r>
      <w:r w:rsidR="000A492A">
        <w:instrText xml:space="preserve"> ADDIN ZOTERO_ITEM CSL_CITATION {"citationID":"M1ebZXNs","properties":{"formattedCitation":"{\\rtf \\super 294,295\\nosupersub{}}","plainCitation":"294,295"},"citationItems":[{"id":1604,"uris":["http://zotero.org/users/171999/items/EQGMUN5T"],"uri":["http://zotero.org/users/171999/items/EQGMUN5T"],"itemData":{"id":1604,"type":"article-journal","title":"Patterns and trends in food portion sizes, 1977-1998","container-title":"JAMA: the journal of the American Medical Association","page":"450-453","volume":"289","issue":"4","source":"NCBI PubMed","abstract":"CONTEXT: While general consensus holds that food portion sizes are increasing, no empirical data have documented actual increases.\nOBJECTIVE: To determine trends in food portion sizes consumed in the United States, by eating location and food source.\nDESIGN, SETTING, AND PARTICIPANTS: Nationally representative data from the Nationwide Food Consumption Survey (1977-1978) and the Continuing Survey of Food Intake by Individuals (1989-1991, 1994-1996, and 1998). The sample consists of 63 380 individuals aged 2 years and older.\nMAIN OUTCOME MEASURE: For each survey year, average portion size consumed from specific food items (salty snacks, desserts, soft drinks, fruit drinks, french fries, hamburgers, cheeseburgers, pizza, and Mexican food) by eating location (home, restaurant, or fast food).\nRESULTS: Portion sizes vary by food source, with the largest portions consumed at fast food establishments and the smallest at other restaurants. Between 1977 and 1996, food portion sizes increased both inside and outside the home for all categories except pizza. The energy intake and portion size of salty snacks increased by 93 kcal (from 1.0 to 1.6 oz [28.4 to 45.4 g]), soft drinks by 49 kcal (13.1 to 19.9 fl oz [387.4 to 588.4 mL]), hamburgers by 97 kcal (5.7 to 7.0 oz [161.6 to 198.4 g]), french fries by 68 kcal (3.1 to 3.6 oz [87.9 to 102.1 g]), and Mexican food by 133 kcal (6.3 to 8.0 oz [178.6 to 226.8 g]).\nCONCLUSION: Portion sizes and energy intake for specific food types have increased markedly with greatest increases for food consumed at fast food establishments and in the home.","ISSN":"0098-7484","note":"PMID: 12533124","journalAbbreviation":"JAMA","language":"eng","author":[{"family":"Nielsen","given":"Samara Joy"},{"family":"Popkin","given":"Barry M"}],"issued":{"date-parts":[["2003",1,22]],"season":"29"},"PMID":"12533124"}},{"id":1606,"uris":["http://zotero.org/users/171999/items/E6P8BCVC"],"uri":["http://zotero.org/users/171999/items/E6P8BCVC"],"itemData":{"id":1606,"type":"article-journal","title":"Food portion patterns and trends among U.S. children and the relationship to total eating occasion size, 1977-2006","container-title":"The Journal of nutrition","page":"1159-1164","volume":"141","issue":"6","source":"NCBI PubMed","abstract":"Food and beverage portion sizes are related to childhood obesity. We examined trends in food portion sizes and the association with total meal sizes among U.S. children. We selected children 2- to 18-y-old (n = 31,337) from 4 nationally representative surveys of food intake between 1977-1978 and 2003-2006. We assessed portion sizes (kcal and g) of selected key foods (soft/fruit drinks, salty snacks, desserts, French fries, burgers, pizzas, Mexican fast foods, and hot dogs), the total energy from eating occasions that included key foods, and portion sizes of the selected key foods by source (stores, restaurants, and fast-food locations). These foods represented over one-third of children's energy intake in 2003-2006. Portion sizes increased significantly over the 30-y period and increases in pizza were particularly pronounced in the last decade [+176 kcal (736 kJ). Energy from eating occasions including pizzas and soft drinks increased, as did the proportion of energy from these foods in an eating occasion. Hamburgers and cheeseburgers increased in portion size and eating occasion size, but the proportion of these foods in the total eating occasions did not increase. Portion sizes of other key foods increased, although the total energy from eating events that included them remained constant (e.g. Mexican fast-foods, French fries, fruit drinks) or decreased (e.g. salty snacks, desserts). Portion sizes increased across all food sources (stores, restaurants, and fast foods) for soft drinks and pizzas but only at fast-food locations for French fries. Portion sizes continue to grow for selected foods. Fast-food chains appear to be linked with less healthful portion size increases for selected foods.","DOI":"10.3945/jn.111.138727","ISSN":"1541-6100","note":"PMID: 21525258","journalAbbreviation":"J. Nutr.","language":"eng","author":[{"family":"Piernas","given":"Carmen"},{"family":"Popkin","given":"Barry M"}],"issued":{"date-parts":[["2011",6]]},"PMID":"21525258"}}],"schema":"https://github.com/citation-style-language/schema/raw/master/csl-citation.json"} </w:instrText>
      </w:r>
      <w:r w:rsidR="00433DA1">
        <w:fldChar w:fldCharType="separate"/>
      </w:r>
      <w:r w:rsidR="000A492A" w:rsidRPr="000A492A">
        <w:rPr>
          <w:vertAlign w:val="superscript"/>
        </w:rPr>
        <w:t>294,295</w:t>
      </w:r>
      <w:r w:rsidR="00433DA1">
        <w:fldChar w:fldCharType="end"/>
      </w:r>
      <w:r w:rsidR="00433DA1">
        <w:t xml:space="preserve">  </w:t>
      </w:r>
      <w:r w:rsidR="0078178C">
        <w:t xml:space="preserve">It is not surprising that increased energy consumption is associated with </w:t>
      </w:r>
      <w:r w:rsidR="00433DA1">
        <w:t>larger food portions</w:t>
      </w:r>
      <w:r w:rsidR="000F29E8">
        <w:t>, but can be ameliorated by smaller portions</w:t>
      </w:r>
      <w:r w:rsidR="00433DA1">
        <w:t>.</w:t>
      </w:r>
      <w:r w:rsidR="000F29E8">
        <w:fldChar w:fldCharType="begin"/>
      </w:r>
      <w:r w:rsidR="000A492A">
        <w:instrText xml:space="preserve"> ADDIN ZOTERO_ITEM CSL_CITATION {"citationID":"rz2vQNnX","properties":{"formattedCitation":"{\\rtf \\super 296\\uc0\\u8211{}301\\nosupersub{}}","plainCitation":"296–301"},"citationItems":[{"id":1608,"uris":["http://zotero.org/users/171999/items/28C3FEEJ"],"uri":["http://zotero.org/users/171999/items/28C3FEEJ"],"itemData":{"id":1608,"type":"article-journal","title":"Combined effects of energy density and portion size on energy intake in women","container-title":"The American journal of clinical nutrition","page":"962-968","volume":"79","issue":"6","source":"NCBI PubMed","abstract":"BACKGROUND: Increases in both the portion size and energy density of food have both been shown to increase energy intake, but the combined effects of such increases have not been investigated.\nOBJECTIVE: The objective was to determine the combined effects of energy density and portion size on energy intake in women.\nDESIGN: This study used a within-subjects design. Once a week for 6 wk, 39 women were served breakfast, lunch, and dinner ad libitum. The main entrée at lunch was formulated in 2 versions that varied in energy density (5.23 or 7.32 kJ/g), each of which was served in 3 different portion sizes (500, 700, or 900 g). The 2 versions were matched for macronutrient composition and palatability. Breakfast and dinner were standard meals.\nRESULTS: Increases in portion size and energy density led to independent and additive increases in energy intake (P &lt;0.0001). Subjects consumed 56% more energy (925 kJ) when served the largest portion of the higher energy-dense entrée than when served the smallest portion of the lower energy-dense entrée. Subjects did not compensate for the additional intake by eating less at the subsequent meal. Despite substantial differences in energy intake, no systematic differences in ratings of hunger and fullness across conditions were observed.\nCONCLUSIONS: The energy density and the portion size of a food act independently to affect energy intake. The findings indicate that large portions of foods with a high energy density may facilitate the overconsumption of energy.","ISSN":"0002-9165","note":"PMID: 15159224","journalAbbreviation":"Am. J. Clin. Nutr.","language":"eng","author":[{"family":"Kral","given":"Tanja V E"},{"family":"Roe","given":"Liane S"},{"family":"Rolls","given":"Barbara J"}],"issued":{"date-parts":[["2004",6]]},"PMID":"15159224"}},{"id":1610,"uris":["http://zotero.org/users/171999/items/8TIP4Z5M"],"uri":["http://zotero.org/users/171999/items/8TIP4Z5M"],"itemData":{"id":1610,"type":"article-journal","title":"Portion size of food affects energy intake in normal-weight and overweight men and women","container-title":"The American journal of clinical nutrition","page":"1207-1213","volume":"76","issue":"6","source":"NCBI PubMed","abstract":"BACKGROUND: Large portions of food may contribute to excess energy intake and greater obesity. However, data on the effects of portion size on food intake in adults are limited.\nOBJECTIVES: We examined the effect of portion size on intake during a single meal. We also investigated whether the response to portion size depended on which person, the subject or the experimenter, determined the amount of food on the plate.\nDESIGN: Fifty-one men and women were served lunch 1 d/wk for 4 wk. Lunch included an entrée of macaroni and cheese consumed ad libitum. At each meal, subjects were presented with 1 of 4 portions of the entrée: 500, 625, 750, or 1000 g. One group of subjects received the portion on a plate, and a second group received it in a serving dish and took the amount they desired on their plates.\nRESULTS: Portion size significantly influenced energy intake at lunch (P &lt; 0.0001). Subjects consumed 30% more energy (676 kJ) when offered the largest portion than when offered the smallest portion. The response to the variations in portion size was not influenced by who determined the amount of food on the plate or by subject characteristics such as sex, body mass index, or scores for dietary restraint or disinhibition.\nCONCLUSIONS: Larger portions led to greater energy intake regardless of serving method and subject characteristics. Portion size is a modifiable determinant of energy intake that should be addressed in connection with the prevention and treatment of obesity.","ISSN":"0002-9165","note":"PMID: 12450884","journalAbbreviation":"Am. J. Clin. Nutr.","language":"eng","author":[{"family":"Rolls","given":"Barbara J"},{"family":"Morris","given":"Erin L"},{"family":"Roe","given":"Liane S"}],"issued":{"date-parts":[["2002",12]]},"PMID":"12450884"}},{"id":1612,"uris":["http://zotero.org/users/171999/items/TTJRCVS3"],"uri":["http://zotero.org/users/171999/items/TTJRCVS3"],"itemData":{"id":1612,"type":"article-journal","title":"The effect of increased beverage portion size on energy intake at a meal","container-title":"Journal of the American Dietetic Association","page":"1984-1990; discussion 1990-1991","volume":"106","issue":"12","source":"NCBI PubMed","abstract":"OBJECTIVE: This study examined the impact of increasing beverage portion size on beverage and food intake.\nSUBJECTS: Thirty-three subjects, 18 women and 15 men, were included.\nINTERVENTION: In a crossover design, subjects consumed lunch in the laboratory once a week for 6 weeks. At each test lunch, the same foods were served, but the beverage served was varied in type (cola, diet cola, or water) and portion size (360 g/12 fl oz or 540 g/18 fl oz).\nMAIN OUTCOME MEASURES: Beverage intake (g); energy intake from foods and beverages (kcal); and ratings of hunger, satiety, and characteristics of the foods and beverages served.\nRESULTS: Increasing beverage portion size significantly increased the weight of beverage consumed, regardless of the type of beverage served (P &lt; 0.05). As a consequence, for the caloric beverage, energy intake from the beverage increased by 10% for women and 26% for men when there was a 50% increase in the portion served (P &lt; 0.01). Food intake did not differ between conditions, so when the energy from the caloric beverage was added to the energy from food, total energy intake at lunch was increased significantly (P &lt; 0.001) compared with noncaloric beverages.\nCONCLUSIONS: Serving a larger portion of beverage resulted in increased beverage consumption, and increased energy intake from the beverage when a caloric beverage was served. Serving a caloric beverage resulted in an overall increase in total energy consumed at lunch. Therefore, replacing caloric beverages with low-calorie or noncaloric beverages can be an effective strategy for decreasing energy intake.","DOI":"10.1016/j.jada.2006.09.005","ISSN":"0002-8223","note":"PMID: 17126628","journalAbbreviation":"J Am Diet Assoc","language":"eng","author":[{"family":"Flood","given":"Julie E"},{"family":"Roe","given":"Liane S"},{"family":"Rolls","given":"Barbara J"}],"issued":{"date-parts":[["2006",12]]},"PMID":"17126628"}},{"id":1614,"uris":["http://zotero.org/users/171999/items/PVA7SI3J"],"uri":["http://zotero.org/users/171999/items/PVA7SI3J"],"itemData":{"id":1614,"type":"article-journal","title":"Larger portion sizes lead to a sustained increase in energy intake over 2 days","container-title":"Journal of the American Dietetic Association","page":"543-549","volume":"106","issue":"4","source":"NCBI PubMed","abstract":"OBJECTIVE: We tested the effect on energy intake of increasing the portion size of all foods and beverages served over 2 consecutive days.\nDESIGN: The study used a randomized crossover design.\nSUBJECTS/SETTING: Subjects were 32 adults from a university community.\nINTERVENTION: For 2 consecutive days in each of 3 weeks, subjects ate their main meals in a controlled setting and were given snacks for consumption between meals. We used the same two daily menus each week, but varied the portion sizes of all foods and beverages served in a given week (either 100%, 150%, or 200% of baseline amounts).\nMAIN OUTCOME MEASURES: Energy intake and ratings of hunger and satiety were measured.\nSTATISTICAL ANALYSES PERFORMED: A linear mixed model with repeated measures was used.\nRESULTS: There was a significant effect of portion size on energy intake in both men and women (P&lt;0.0001). Increasing portions by 50% increased daily energy intake by 16% (women: 335 kcal/day; men: 504 kcal/day), and increasing portions by 100% increased intake by 26% (women: 530 kcal/day; men: 812 kcal/day). Energy intake did not differ between the 2 days of each week. Daily ratings of fullness were lowest in the 100% portion condition (P=0.0004), but did not differ significantly in the 150% and 200% conditions.\nCONCLUSIONS: Increasing the portion size of all foods resulted in a significant increase in energy intake that was sustained over 2 days. These data support suggestions that large portions are associated with excess energy intake that could contribute to increased body weight.","DOI":"10.1016/j.jada.2006.01.014","ISSN":"0002-8223","note":"PMID: 16567150","journalAbbreviation":"J Am Diet Assoc","language":"eng","author":[{"family":"Rolls","given":"Barbara J"},{"family":"Roe","given":"Liane S"},{"family":"Meengs","given":"Jennifer S"}],"issued":{"date-parts":[["2006",4]]},"PMID":"16567150"}},{"id":1616,"uris":["http://zotero.org/users/171999/items/S3UDZQZK"],"uri":["http://zotero.org/users/171999/items/S3UDZQZK"],"itemData":{"id":1616,"type":"article-journal","title":"Increased portion size leads to increased energy intake in a restaurant meal","container-title":"Obesity research","page":"562-568","volume":"12","issue":"3","source":"NCBI PubMed","abstract":"OBJECTIVE: Eating frequently in restaurants is one of the behaviors associated with obesity. This study examined whether increasing the portion size of an entrée affected energy intake at a restaurant meal.\nRESEARCH METHODS AND PROCEDURES: In a cafeteria-style restaurant on different days, the size of a pasta entrée was varied from a standard portion (248 g) to a large portion (377 g). The entrée price was not changed. Intake of the entrée was determined by covertly weighing each dish before and after the meal; intake of all other foods was determined by estimating the percent consumed. The 180 adult customers who purchased the entrée also completed a survey in which they rated characteristics of the meal, including the appropriateness of the entrée portion size and the amount that they ate compared with their usual meal.\nRESULTS: Portion size had a significant effect on intake of the entrée (p &lt; 0.0001). Compared with customers who purchased the standard portion, those who purchased the larger portion increased their energy intake of the entrée by 43% (719 kJ; 172 kcal) and of the entire meal by 25% (664 kJ; 159 kcal). There was no difference between the two groups of customers in ratings of the appropriateness of the portion size or of the amount that was eaten in relation to their usual meal.\nDISCUSSION: In a restaurant setting, increasing the size of an entrée results in increased energy intake. These results support the suggestion that large restaurant portions may be contributing to the obesity epidemic.","DOI":"10.1038/oby.2004.64","ISSN":"1071-7323","note":"PMID: 15044675","journalAbbreviation":"Obes. Res.","language":"eng","author":[{"family":"Diliberti","given":"Nicole"},{"family":"Bordi","given":"Peter L"},{"family":"Conklin","given":"Martha T"},{"family":"Roe","given":"Liane S"},{"family":"Rolls","given":"Barbara J"}],"issued":{"date-parts":[["2004",3]]},"PMID":"15044675"}},{"id":1618,"uris":["http://zotero.org/users/171999/items/WGX7WS9N"],"uri":["http://zotero.org/users/171999/items/WGX7WS9N"],"itemData":{"id":1618,"type":"article-journal","title":"Reductions in entrée energy density increase children's vegetable intake and reduce energy intake","container-title":"Obesity (Silver Spring, Md.)","page":"1559-1565","volume":"16","issue":"7","source":"NCBI PubMed","abstract":"The energy density (ED; kcal/g) of an entrée influences children's energy intake (EI), but the effect of simultaneously changing both ED and portion size of an entrée on preschool children's EI is unknown. In this within-subject crossover study, 3- to 5-year-old children (30 boys, 31 girls) in a daycare facility were served a test lunch once/week for 4 weeks. The amount and type of vegetables and cheeses incorporated into the sauce of a pasta entrée were manipulated to create two versions that varied in ED by 25% (1.6 or 1.2 kcal/g). Across the weeks, each version of the entrée was served to the children in each of two portion sizes (400 or 300 g). Lunch, consumed ad libitum, also included carrots, applesauce, and milk. Decreasing ED of the entrée by 25% significantly (P&lt;0.0001) reduced children's EI of the entrée by 25% (63.1+/-8.3 kcal) and EI at lunch by 17% (60.7+/-8.9 kcal). Increasing the proportion of vegetables in the pasta entrée increased children's vegetable intake at lunch by half of a serving of vegetables (P&lt;0.01). Decreasing portion size of the entrée by 25% did not significantly affect children's total food intake or EI at lunch. Therefore, reducing the ED of a lunch entrée resulted in a reduction in children's EI from the entrée and from the meal in both portion size conditions. Decreasing ED by incorporating more vegetables into recipes is an effective way of reducing children's EI while increasing their vegetable intake.","DOI":"10.1038/oby.2008.257","ISSN":"1930-7381","note":"PMID: 18451770","journalAbbreviation":"Obesity (Silver Spring)","language":"eng","author":[{"family":"Leahy","given":"Kathleen E"},{"family":"Birch","given":"Leann L"},{"family":"Fisher","given":"Jennifer O"},{"family":"Rolls","given":"Barbara J"}],"issued":{"date-parts":[["2008",7]]},"PMID":"18451770"}}],"schema":"https://github.com/citation-style-language/schema/raw/master/csl-citation.json"} </w:instrText>
      </w:r>
      <w:r w:rsidR="000F29E8">
        <w:fldChar w:fldCharType="separate"/>
      </w:r>
      <w:r w:rsidR="000A492A" w:rsidRPr="000A492A">
        <w:rPr>
          <w:vertAlign w:val="superscript"/>
        </w:rPr>
        <w:t>296–301</w:t>
      </w:r>
      <w:r w:rsidR="000F29E8">
        <w:fldChar w:fldCharType="end"/>
      </w:r>
      <w:r w:rsidR="000F29E8">
        <w:t xml:space="preserve">  This is a difficult task for people due to</w:t>
      </w:r>
      <w:r w:rsidR="00CE60EF">
        <w:t xml:space="preserve"> identified</w:t>
      </w:r>
      <w:r w:rsidR="000F29E8">
        <w:t xml:space="preserve"> barriers to healthy portion size control: (1) lack of clarity and irrelevance of suggested serving size guidance; (2) guiltless eating; (3) lack of self-control over food cues; (4) distracted eating; (5) social pressures; (6) emotional eating rewards; and (7) quantification habits ingrained from childhood.</w:t>
      </w:r>
      <w:r w:rsidR="000F29E8">
        <w:fldChar w:fldCharType="begin"/>
      </w:r>
      <w:r w:rsidR="000A492A">
        <w:instrText xml:space="preserve"> ADDIN ZOTERO_ITEM CSL_CITATION {"citationID":"2f0buqf40p","properties":{"formattedCitation":"{\\rtf \\super 302\\nosupersub{}}","plainCitation":"302"},"citationItems":[{"id":1602,"uris":["http://zotero.org/users/171999/items/RXKVMXDD"],"uri":["http://zotero.org/users/171999/items/RXKVMXDD"],"itemData":{"id":1602,"type":"article-journal","title":"A qualitative study of psychological, social and behavioral barriers to appropriate food portion size control","container-title":"The international journal of behavioral nutrition and physical activity","page":"92","volume":"10","source":"NCBI PubMed","abstract":"BACKGROUND: Given the worldwide prevalence of overweight and obesity, there is a clear need for meaningful practical healthy eating advice - not only in relation to food choice, but also on appropriate food portion sizes. As the majority of portion size research to date has been overwhelmingly quantitative in design, there is a clear need to qualitatively explore consumers' views in order to fully understand how food portion size decisions are made. Using qualitative methodology this present study aimed to explore consumers' views about factors influencing their portion size selection and consumption and to identify barriers to appropriate portion size control.\nMETHODS: Ten focus groups with four to nine participants in each were formed with a total of 66 persons (aged 19-64 years) living on the island of Ireland. The semi-structured discussions elicited participants' perceptions of suggested serving size guidance and explored the influence of personal, social and environmental factors on their food portion size consumption. Audiotapes of the discussions were professionally transcribed verbatim, loaded into NVivo 9, and analysed using an inductive thematic analysis procedure.\nRESULTS: The rich descriptive data derived from participants highlight that unhealthy portion size behaviors emanate from various psychological, social and behavioral factors. These bypass reflective and deliberative control, and converge to constitute significant barriers to healthy portion size control. Seven significant barriers to healthy portion size control were apparent: (1) lack of clarity and irrelevance of suggested serving size guidance; (2) guiltless eating; (3) lack of self-control over food cues; (4) distracted eating; (5) social pressures; (6) emotional eating rewards; and (7) quantification habits ingrained from childhood.\nCONCLUSIONS: Portion size control strategies should empower consumers to overcome these effects so that the consumption of appropriate food portion sizes becomes automatic and habitual.","DOI":"10.1186/1479-5868-10-92","ISSN":"1479-5868","note":"PMID: 23915381","journalAbbreviation":"Int J Behav Nutr Phys Act","language":"eng","author":[{"family":"Spence","given":"Michelle"},{"family":"Livingstone","given":"M Barbara E"},{"family":"Hollywood","given":"Lynsey E"},{"family":"Gibney","given":"Eileen R"},{"family":"O'Brien","given":"Sinéad A"},{"family":"Pourshahidi","given":"L Kirsty"},{"family":"Dean","given":"Moira"}],"issued":{"date-parts":[["2013"]]},"PMID":"23915381"}}],"schema":"https://github.com/citation-style-language/schema/raw/master/csl-citation.json"} </w:instrText>
      </w:r>
      <w:r w:rsidR="000F29E8">
        <w:fldChar w:fldCharType="separate"/>
      </w:r>
      <w:r w:rsidR="000A492A" w:rsidRPr="000A492A">
        <w:rPr>
          <w:vertAlign w:val="superscript"/>
        </w:rPr>
        <w:t>302</w:t>
      </w:r>
      <w:r w:rsidR="000F29E8">
        <w:fldChar w:fldCharType="end"/>
      </w:r>
      <w:r w:rsidR="00CA4AE4">
        <w:t xml:space="preserve">  </w:t>
      </w:r>
      <w:r w:rsidR="007B33F6">
        <w:t xml:space="preserve">Because </w:t>
      </w:r>
      <w:r w:rsidR="002D09DC">
        <w:t>domestic dogs typically rely on fo</w:t>
      </w:r>
      <w:r w:rsidR="00CA4AE4">
        <w:t>od provided by their owners as the</w:t>
      </w:r>
      <w:r w:rsidR="002D09DC">
        <w:t xml:space="preserve"> sole source of nutrition</w:t>
      </w:r>
      <w:r w:rsidR="007B33F6">
        <w:t xml:space="preserve">, </w:t>
      </w:r>
      <w:r w:rsidR="00907FC3">
        <w:t xml:space="preserve">portion size </w:t>
      </w:r>
      <w:r w:rsidR="00CA4AE4">
        <w:t xml:space="preserve">provided by the </w:t>
      </w:r>
      <w:r w:rsidR="00907FC3">
        <w:t>owner</w:t>
      </w:r>
      <w:r w:rsidR="00CE60EF">
        <w:t xml:space="preserve"> is just as important</w:t>
      </w:r>
      <w:r w:rsidR="00CA4AE4">
        <w:t xml:space="preserve"> as individual consumption by the dog.  </w:t>
      </w:r>
      <w:r w:rsidR="00CE60EF">
        <w:t>There is evidence owners are more likely to portion a larger amount of food if using a large bowl and</w:t>
      </w:r>
      <w:r w:rsidR="00E2746C">
        <w:t xml:space="preserve"> large</w:t>
      </w:r>
      <w:r w:rsidR="00CE60EF">
        <w:t xml:space="preserve"> scoop compared to when using a small bowl and </w:t>
      </w:r>
      <w:r w:rsidR="00E2746C">
        <w:t xml:space="preserve">small </w:t>
      </w:r>
      <w:r w:rsidR="00CE60EF">
        <w:t>scoop combination.</w:t>
      </w:r>
      <w:r w:rsidR="00CE60EF">
        <w:fldChar w:fldCharType="begin"/>
      </w:r>
      <w:r w:rsidR="000A492A">
        <w:instrText xml:space="preserve"> ADDIN ZOTERO_ITEM CSL_CITATION {"citationID":"12ph8p6pc2","properties":{"formattedCitation":"{\\rtf \\super 303\\nosupersub{}}","plainCitation":"303"},"citationItems":[{"id":1624,"uris":["http://zotero.org/users/171999/items/8MJS843K"],"uri":["http://zotero.org/users/171999/items/8MJS843K"],"itemData":{"id":1624,"type":"article-journal","title":"Size of food bowl and scoop affects amount of food owners feed their dogs","container-title":"Journal of animal physiology and animal nutrition","page":"237-241","volume":"96","issue":"2","source":"NCBI PubMed","abstract":"The incidence of canine obesity appears to be increasing dramatically and understanding factors impacting the amount of food pet owners provide their dogs may improve weight management. Human research has shown the size of food bowls, plates and utensils can significantly impact the amount of food portioned and consumed. This effect can be attributed to both the Delboeuf optical illusion and the Ebbinghaus-Titchener size-contrast illusion. To investigate the existence of a similar effect with dog owners, 54 dogs and their owners were recruited for a four treatment randomized prospective trial. Owners scooped out a normal kibble-based meal using a small bowl and small scoop, small bowl and large scoop, large bowl and small scoop or a large bowl and large scoop. Each treatment was used once per owner over four visits. Repeated measures anova revealed the mean amount of food portioned using the small bowl and small scoop was significantly less than all other bowl and scoop combinations (150.7 g vs. 171.5 g vs. 172.7 g vs. 184.5 g, p &lt; 0.05). The small bowl and large scoop combination did not differ from large bowl and small scoop (171.5 g vs. 172.7 g, p &gt; 0.05). Owners were more likely to portion a larger amount of food with a large bowl and large scoop. Results are consistent with human data and emphasize the need for owners to use standard measuring cups. Results also suggest owner compliance during weight loss programs may be improved with smaller bowls and serving scoops.","DOI":"10.1111/j.1439-0396.2011.01144.x","ISSN":"1439-0396","note":"PMID: 21501249","journalAbbreviation":"J Anim Physiol Anim Nutr (Berl)","language":"eng","author":[{"family":"Murphy","given":"M"},{"family":"Lusby","given":"A L"},{"family":"Bartges","given":"J W"},{"family":"Kirk","given":"C A"}],"issued":{"date-parts":[["2012",4]]},"PMID":"21501249"}}],"schema":"https://github.com/citation-style-language/schema/raw/master/csl-citation.json"} </w:instrText>
      </w:r>
      <w:r w:rsidR="00CE60EF">
        <w:fldChar w:fldCharType="separate"/>
      </w:r>
      <w:r w:rsidR="000A492A" w:rsidRPr="000A492A">
        <w:rPr>
          <w:vertAlign w:val="superscript"/>
        </w:rPr>
        <w:t>303</w:t>
      </w:r>
      <w:r w:rsidR="00CE60EF">
        <w:fldChar w:fldCharType="end"/>
      </w:r>
      <w:r w:rsidR="00E2746C">
        <w:t xml:space="preserve">  There is also poor precision noted when using measuring cups versus weighing portions of extruded diets.</w:t>
      </w:r>
      <w:r w:rsidR="00E2746C">
        <w:fldChar w:fldCharType="begin"/>
      </w:r>
      <w:r w:rsidR="000A492A">
        <w:instrText xml:space="preserve"> ADDIN ZOTERO_ITEM CSL_CITATION {"citationID":"1ns6gnh6hj","properties":{"formattedCitation":"{\\rtf \\super 304\\nosupersub{}}","plainCitation":"304"},"citationItems":[{"id":1630,"uris":["http://zotero.org/users/171999/items/6B3WTVQ9"],"uri":["http://zotero.org/users/171999/items/6B3WTVQ9"],"itemData":{"id":1630,"type":"article-journal","title":"Imprecision when using measuring cups to weigh out extruded dry kibbled food","container-title":"Journal of animal physiology and animal nutrition","page":"368-373","volume":"95","issue":"3","source":"NCBI PubMed","abstract":"Many pet cats and dogs are fed dry extruded kibbled food by measuring cup, yet the precision and accuracy of this feeding strategy is not known. Over 12 studies, we assessed precision and accuracy of weighing out food portions, of various dry kibbled foods, by measuring cup. Poor precision was noted in all studies, with intra- and inter-subject coefficients of variation ranging from 2 to 13% and 2 to 28% respectively. Variable accuracy was also noted, which ranged from an 18% under-estimate to an 80% over-estimate in portion size. No specific factors were associated with imprecision, but the degree of inaccuracy was negatively associated with portion size (R = -0.67, p = 0.022), and positively associated with the number of subjects participating in the study (R = 0.60, p = 0.048). This is the first study to document imprecision and inaccuracy of using measuring cups to estimate portions of extruded dry kibbled food. Over time, such errors could contribute to insidious weight gain in companion animals, potentially contributing to the development of obesity. Imprecision in measuring food portions could also contribute to failure of weight management programmes for obese animals.","DOI":"10.1111/j.1439-0396.2010.01063.x","ISSN":"1439-0396","note":"PMID: 21039926","journalAbbreviation":"J Anim Physiol Anim Nutr (Berl)","language":"eng","author":[{"family":"German","given":"A J"},{"family":"Holden","given":"S L"},{"family":"Mason","given":"S L"},{"family":"Bryner","given":"C"},{"family":"Bouldoires","given":"C"},{"family":"Morris","given":"P J"},{"family":"Deboise","given":"M"},{"family":"Biourge","given":"V"}],"issued":{"date-parts":[["2011",6]]},"PMID":"21039926"}}],"schema":"https://github.com/citation-style-language/schema/raw/master/csl-citation.json"} </w:instrText>
      </w:r>
      <w:r w:rsidR="00E2746C">
        <w:fldChar w:fldCharType="separate"/>
      </w:r>
      <w:r w:rsidR="000A492A" w:rsidRPr="000A492A">
        <w:rPr>
          <w:vertAlign w:val="superscript"/>
        </w:rPr>
        <w:t>304</w:t>
      </w:r>
      <w:r w:rsidR="00E2746C">
        <w:fldChar w:fldCharType="end"/>
      </w:r>
    </w:p>
    <w:p w:rsidR="007B33F6" w:rsidRDefault="002602FB" w:rsidP="002602FB">
      <w:pPr>
        <w:pStyle w:val="Heading3"/>
      </w:pPr>
      <w:bookmarkStart w:id="25" w:name="_Toc376465758"/>
      <w:r>
        <w:lastRenderedPageBreak/>
        <w:t>Exercise strategies</w:t>
      </w:r>
      <w:bookmarkEnd w:id="25"/>
    </w:p>
    <w:p w:rsidR="00615423" w:rsidRDefault="007A51D9" w:rsidP="002602FB">
      <w:r>
        <w:tab/>
        <w:t>Regular exercise is an important component of weight loss plans, but should be combined with other strategies to be most effective.</w:t>
      </w:r>
      <w:r>
        <w:fldChar w:fldCharType="begin"/>
      </w:r>
      <w:r w:rsidR="000A492A">
        <w:instrText xml:space="preserve"> ADDIN ZOTERO_ITEM CSL_CITATION {"citationID":"2PYKhDO8","properties":{"formattedCitation":"{\\rtf \\super 305,306\\nosupersub{}}","plainCitation":"305,306"},"citationItems":[{"id":1638,"uris":["http://zotero.org/users/171999/items/RXJSJIJG"],"uri":["http://zotero.org/users/171999/items/RXJSJIJG"],"itemData":{"id":1638,"type":"article-journal","title":"Efficacy of lifestyle modification for long-term weight control","container-title":"Obesity research","page":"151S-62S","volume":"12 Suppl","source":"NCBI PubMed","abstract":"A comprehensive program of lifestyle modification induces loss of approximately 10% of initial weight in 16 to 26 weeks, as revealed by a review of recent randomized controlled trials, including the Diabetes Prevention Program. Long-term weight control is facilitated by continued patient-therapist contact, whether provided in person or by telephone, mail, or e-mail. High levels of physical activity and the consumption of low-calorie, portion-controlled meals, including liquid meal replacements, can also help maintain weight loss. Additional studies are needed of the effects of macronutrient content (e.g., low-fat vs. low-carbohydrate diets) on long-term changes in weight and health. Research also is needed on effective methods of providing comprehensive weight loss control to the millions of Americans who need it.","DOI":"10.1038/oby.2004.282","ISSN":"1071-7323","note":"PMID: 15687411","journalAbbreviation":"Obes. Res.","language":"eng","author":[{"family":"Wadden","given":"Thomas A"},{"family":"Butryn","given":"Meghan L"},{"family":"Byrne","given":"Kirstin J"}],"issued":{"date-parts":[["2004",12]]},"PMID":"15687411"}},{"id":1644,"uris":["http://zotero.org/users/171999/items/K9XAJNF7"],"uri":["http://zotero.org/users/171999/items/K9XAJNF7"],"itemData":{"id":1644,"type":"article-journal","title":"Systematic review of the long-term effects and economic consequences of treatments for obesity and implications for health improvement","container-title":"Health technology assessment (Winchester, England)","page":"iii-iv, 1-182","volume":"8","issue":"21","source":"NCBI PubMed","abstract":"OBJECTIVES: To undertake a systematic review of the long-term effects of obesity treatments on body weight, risk factors for disease, and disease.\nMETHODS: The study encompassed three systematic reviews that examined different aspects of obesity treatments. (1) A systematic review of obesity treatments in adults where the methods of the Cochrane Collaboration were applied and randomised controlled trials (RCTs) with a follow-up of at least 1 year were evaluated. (2) A systematic epidemiological review, where studies were sought on long-term effects of weight loss on morbidity and/or mortality, and examined through epidemiological modelling. (3) A systematic economic review that sought reports with both costs and outcomes of treatment, including recent reports that assessed the cost-effectiveness of pharmaceutical and surgical interventions. A Markov model was also adopted to examine the cost-effectiveness of a low-fat diet and exercise intervention in adults with obesity and impaired glucose tolerance.\nRESULTS: The addition of the drugs orlistat or sibutramine was associated with weight loss and generally improved risk factors, apart from diastolic blood pressure for sibutramine. Metformin was associated with decreased mortality after 10 years in obese people with type 2 diabetes. Low-fat diets were associated with continuing weight loss for 3 years and improvements in risk factors, as well as prevention of type 2 diabetes and improved control of hypertension. Insufficient evidence was available to demonstrate the benefits of low calorie or very low calorie diets. The addition of an exercise or behaviour programme to diet was associated with improved weight loss and risk factors for at least 1 year. Studies combining low-fat diets, exercise and behaviour therapy suggested improved hypertension and cardiovascular disease. Family therapy was associated with improved weight loss for 2 years compared to individual therapy. There was insufficient evidence to conclude that individual therapy was more beneficial than group therapy. Weight lost more quickly (within 1 year), from the epidemiology review, may be more beneficial with respect to the risk of mortality. The effects of intentional weight loss need further investigation. Weight loss from surgical and non-surgical interventions for people suffering from obesity was associated with decreased risk of development of diabetes, and a reduction in low-density lipoprotein cholesterol, total cholesterol and blood pressure, in the long term. Targeting high-risk individuals with drugs or surgery was likely to result in a cost per additional life-year or quality-adjusted life-year (QALY) of no more than 13,000 British pounds. There was also suggestive evidence of cost saving from treatment of people with type 2 diabetes with metformin. Targeting surgery on people with severe obesity and impaired glucose tolerance was likely to be more cost-effective at 2329 British pounds per additional life-year. Economic modelling over 6 years for diet and exercise for people with impaired glucose tolerance was associated with a high initial cost per additional QALY, but by the sixth year the cost per QALY was 13,389 British pounds. Results did not include cost savings from diseases other than diabetes, and therefore may be conservative.\nCONCLUSIONS: The drugs orlistat and sibutramine appear beneficial for the treatment of adults with obesity, and metformin for obese patients with type 2 diabetes. Exercise and/or behaviour therapy appear to improve weight loss when added to diet. Low-fat diets with exercise, or with exercise and behaviour therapy are associated with the prevention of type 2 diabetes and hypertension. Long-term weight loss in epidemiological studies was associated with reduced risk of type 2 diabetes, and may be beneficial for cardiovascular disease. Low-fat diets and exercise interventions in individuals at risk of obesity-related illness are of comparable cost to drug treatments. Long-term pragmatic RCTs of obesity treatments in populations with obesity-related illness or at high risk of developing such illness are needed (to include an evaluation of risk factors, morbidity, quality of life and economic evaluations). Drug trials that include dietary advice, plus exercise and/or behaviour therapy are also needed. Research exploring effective types of exercise, diet or behaviour and also interventions to prevent obesity in adults is required.","ISSN":"1366-5278","note":"PMID: 15147610","journalAbbreviation":"Health Technol Assess","language":"eng","author":[{"family":"Avenell","given":"A"},{"family":"Broom","given":"J"},{"family":"Brown","given":"T J"},{"family":"Poobalan","given":"A"},{"family":"Aucott","given":"L"},{"family":"Stearns","given":"S C"},{"family":"Smith","given":"W C S"},{"family":"Jung","given":"R T"},{"family":"Campbell","given":"M K"},{"family":"Grant","given":"A M"}],"issued":{"date-parts":[["2004",5]]},"PMID":"15147610"}}],"schema":"https://github.com/citation-style-language/schema/raw/master/csl-citation.json"} </w:instrText>
      </w:r>
      <w:r>
        <w:fldChar w:fldCharType="separate"/>
      </w:r>
      <w:r w:rsidR="000A492A" w:rsidRPr="000A492A">
        <w:rPr>
          <w:vertAlign w:val="superscript"/>
        </w:rPr>
        <w:t>305,306</w:t>
      </w:r>
      <w:r>
        <w:fldChar w:fldCharType="end"/>
      </w:r>
      <w:r>
        <w:t xml:space="preserve">  I</w:t>
      </w:r>
      <w:r w:rsidR="00615423">
        <w:t>f consistently performed</w:t>
      </w:r>
      <w:r>
        <w:t xml:space="preserve"> for eight months, however, exercise alone has been shown to cause decreased abdominal, minimal waist, and hip circumference measurements</w:t>
      </w:r>
      <w:r w:rsidR="001A1A36">
        <w:t xml:space="preserve"> in nondieting, overweight people.</w:t>
      </w:r>
      <w:r w:rsidR="001A1A36">
        <w:fldChar w:fldCharType="begin"/>
      </w:r>
      <w:r w:rsidR="000A492A">
        <w:instrText xml:space="preserve"> ADDIN ZOTERO_ITEM CSL_CITATION {"citationID":"26579r6uss","properties":{"formattedCitation":"{\\rtf \\super 307\\nosupersub{}}","plainCitation":"307"},"citationItems":[{"id":1640,"uris":["http://zotero.org/users/171999/items/SCQJZ2UF"],"uri":["http://zotero.org/users/171999/items/SCQJZ2UF"],"itemData":{"id":1640,"type":"article-journal","title":"Effects of the amount of exercise on body weight, body composition, and measures of central obesity: STRRIDE--a randomized controlled study","container-title":"Archives of internal medicine","page":"31-39","volume":"164","issue":"1","source":"NCBI PubMed","abstract":"BACKGROUND: Obesity is a major health problem due, in part, to physical inactivity. The amount of activity needed to prevent weight gain is unknown.\nOBJECTIVE: To determine the effects of different amounts and intensities of exercise training.\nDESIGN: Randomized controlled trial (February 1999-July 2002). Setting and\nPARTICIPANTS: Sedentary, overweight men and women (aged 40-65 years) with mild to moderate dyslipidemia were recruited from Durham, NC, and surrounding communities.\nINTERVENTIONS: Eight-month exercise program with 3 groups: (1) high amount/vigorous intensity (calorically equivalent to approximately 20 miles [32.0 km] of jogging per week at 65%-80% peak oxygen consumption); (2) low amount/vigorous intensity (equivalent to approximately 12 miles [19.2 km] of jogging per week at 65%-80%), and (3) low amount/moderate intensity (equivalent to approximately 12 miles [19.2 km] of walking per week at 40%-55%). Subjects were counseled not to change their diet and were encouraged to maintain body weight.\nMAIN OUTCOME MEASURES: Body weight, body composition (via skinfolds), and waist circumference.\nRESULTS: Of 302 subjects screened, 182 met criteria and were randomized and 120 completed the study. There was a significant (P&lt;.05) dose-response relationship between amount of exercise and amount of weight loss and fat mass loss. The high-amount/vigorous-intensity group lost significantly more body mass (in mean [SD] kilograms) and fat mass (in mean [SD] kilograms) (-2.9 [2.8] and -4.8 [3.0], respectively) than the low-amount/moderate-intensity group (-0.9 [1.8] and -2.0 [2.6], respectively), the low-amount/vigorous-intensity group (-0.6 [2.0] and -2.5 [3.4], respectively), and the controls (+1.0 [2.1] and +0.4 [3.0], respectively). Both low-amount groups had significantly greater improvements than controls but were not different from each other. Compared with controls, all exercise groups significantly decreased abdominal, minimal waist, and hip circumference measurements. There were no significant changes in dietary intake for any group.\nCONCLUSIONS: In nondieting, overweight subjects, the controls gained weight, both low-amount exercise groups lost weight and fat, and the high-amount group lost more of each in a dose-response manner. These findings strongly suggest that, absent changes in diet, a higher amount of activity is necessary for weight maintenance and that the positive caloric imbalance observed in the overweight controls is small and can be reversed by a modest amount of exercise. Most individuals can accomplish this by walking 30 minutes every day.","DOI":"10.1001/archinte.164.1.31","ISSN":"0003-9926","note":"PMID: 14718319","shortTitle":"Effects of the amount of exercise on body weight, body composition, and measures of central obesity","journalAbbreviation":"Arch. Intern. Med.","language":"eng","author":[{"family":"Slentz","given":"Cris A"},{"family":"Duscha","given":"Brian D"},{"family":"Johnson","given":"Johanna L"},{"family":"Ketchum","given":"Kevin"},{"family":"Aiken","given":"Lori B"},{"family":"Samsa","given":"Gregory P"},{"family":"Houmard","given":"Joseph A"},{"family":"Bales","given":"Connie W"},{"family":"Kraus","given":"William E"}],"issued":{"date-parts":[["2004",1,12]]},"PMID":"14718319"}}],"schema":"https://github.com/citation-style-language/schema/raw/master/csl-citation.json"} </w:instrText>
      </w:r>
      <w:r w:rsidR="001A1A36">
        <w:fldChar w:fldCharType="separate"/>
      </w:r>
      <w:r w:rsidR="000A492A" w:rsidRPr="000A492A">
        <w:rPr>
          <w:vertAlign w:val="superscript"/>
        </w:rPr>
        <w:t>307</w:t>
      </w:r>
      <w:r w:rsidR="001A1A36">
        <w:fldChar w:fldCharType="end"/>
      </w:r>
      <w:r w:rsidR="001A1A36">
        <w:t xml:space="preserve">  The group with an exercise level calorically equivalent to approximately 20 miles of jogging per week at 65 – 80% peak oxygen consumption lost significantly more body and fat mass compared to lower intensity and frequency groups.</w:t>
      </w:r>
      <w:r w:rsidR="003A2AD1">
        <w:t xml:space="preserve">  To achieve this high intensity level, an individual would need to jog 5 miles four times per week</w:t>
      </w:r>
      <w:r w:rsidR="00F91B01">
        <w:t>, which may limit effective compliance</w:t>
      </w:r>
      <w:r w:rsidR="003A2AD1">
        <w:t xml:space="preserve">.  </w:t>
      </w:r>
      <w:r w:rsidR="00E95739">
        <w:t>Compliance</w:t>
      </w:r>
      <w:r w:rsidR="00F91B01">
        <w:t xml:space="preserve"> has been shown to increase </w:t>
      </w:r>
      <w:r w:rsidR="005730ED">
        <w:t xml:space="preserve">in some </w:t>
      </w:r>
      <w:r w:rsidR="00E95739">
        <w:t>situations</w:t>
      </w:r>
      <w:r w:rsidR="005730ED">
        <w:t xml:space="preserve"> such as with</w:t>
      </w:r>
      <w:r w:rsidR="00F91B01">
        <w:t xml:space="preserve"> “point-of-decision” prompts to encourage stair use, </w:t>
      </w:r>
      <w:r w:rsidR="005730ED">
        <w:t>work/</w:t>
      </w:r>
      <w:r w:rsidR="00F91B01">
        <w:t>community-wide campaigns</w:t>
      </w:r>
      <w:r w:rsidR="005730ED">
        <w:t xml:space="preserve"> (education, support, incentives, access to fitness facilities)</w:t>
      </w:r>
      <w:r w:rsidR="00F91B01">
        <w:t>, school-based physical</w:t>
      </w:r>
      <w:r w:rsidR="005730ED">
        <w:t xml:space="preserve"> education</w:t>
      </w:r>
      <w:r w:rsidR="00615423">
        <w:t>,</w:t>
      </w:r>
      <w:r w:rsidR="005730ED">
        <w:t xml:space="preserve"> and</w:t>
      </w:r>
      <w:r w:rsidR="00F91B01">
        <w:t xml:space="preserve"> individually-adapted health behavior changes.</w:t>
      </w:r>
      <w:r w:rsidR="00F91B01">
        <w:fldChar w:fldCharType="begin"/>
      </w:r>
      <w:r w:rsidR="000A492A">
        <w:instrText xml:space="preserve"> ADDIN ZOTERO_ITEM CSL_CITATION {"citationID":"Q1CEEpij","properties":{"formattedCitation":"{\\rtf \\super 308\\uc0\\u8211{}310\\nosupersub{}}","plainCitation":"308–310"},"citationItems":[{"id":1646,"uris":["http://zotero.org/users/171999/items/26UEZKFV"],"uri":["http://zotero.org/users/171999/items/26UEZKFV"],"itemData":{"id":1646,"type":"article-journal","title":"The effectiveness of interventions to increase physical activity. A systematic review","container-title":"American journal of preventive medicine","page":"73-107","volume":"22","issue":"4 Suppl","source":"NCBI PubMed","abstract":"The Guide to Community Preventive Service's methods for systematic reviews were used to evaluate the effectiveness of various approaches to increasing physical activity: informational, behavioral and social, and environmental and policy approaches. Changes in physical activity behavior and aerobic capacity were used to assess effectiveness. Two informational interventions (\"point-of-decision\" prompts to encourage stair use and community-wide campaigns) were effective, as were three behavioral and social interventions (school-based physical education, social support in community settings, and individually-adapted health behavior change) and one environmental and policy intervention (creation of or enhanced access to places for physical activity combined with informational outreach activities). Additional information about applicability, other effects, and barriers to implementation are provided for these interventions. Evidence is insufficient to assess a number of interventions: classroom-based health education focused on information provision, and family-based social support (because of inconsistent findings); mass media campaigns and college-based health education and physical education (because of an insufficient number of studies); and classroom-based health education focused on reducing television viewing and video game playing (because of insufficient evidence of an increase in physical activity). These recommendations should serve the needs of researchers, planners, and other public health decision makers.","ISSN":"0749-3797","note":"PMID: 11985936","journalAbbreviation":"Am J Prev Med","language":"eng","author":[{"family":"Kahn","given":"Emily B"},{"family":"Ramsey","given":"Leigh T"},{"family":"Brownson","given":"Ross C"},{"family":"Heath","given":"Gregory W"},{"family":"Howze","given":"Elizabeth H"},{"family":"Powell","given":"Kenneth E"},{"family":"Stone","given":"Elaine J"},{"family":"Rajab","given":"Mummy W"},{"family":"Corso","given":"Phaedra"}],"issued":{"date-parts":[["2002",5]]},"PMID":"11985936"}},{"id":1648,"uris":["http://zotero.org/users/171999/items/C37SRP4Q"],"uri":["http://zotero.org/users/171999/items/C37SRP4Q"],"itemData":{"id":1648,"type":"article-journal","title":"Increasing physical activity: a quantitative synthesis","container-title":"Medicine and science in sports and exercise","page":"706-719","volume":"28","issue":"6","source":"NCBI PubMed","abstract":"National policy for increasing leisure physical activity in the United States is impeded by a poor understanding of interventions that can be implemented by community and clinical medicine. To clarify the literature in this area, we conducted a quantitative, meta analysis of 127 studies that examined the efficacy of interventions for increasing physical activity among approximately 131,000 subjects in community, worksite, school, home, and health care settings; 445 effects were expressed as a Pearson correlation coefficient (r) and examined as they varied according to moderating variables important for community and clinical intervention. The mean effect was moderately large, r = 0.34, approximating three-fourths of a standard deviation or an increase in binomial success rate from 50% to 67%. The estimated population effect weighted by sample size was larger, r = 0.75, approximating 2 standard deviations or increased success to 88%. Contrasts between levels of independent moderating variables indicated that effects weighted by sample size were larger when the interventions: 1) employed the principles of behavior modification, 2) used a mediated delivery, 3) targeted groups, 4) of combined ages, 5) sampled apparently healthy people, or 6) measured active leisure, of 7) low intensity, 8) by observation. Independently of sample size, effects were larger when interventions 1) used behavior modification, 2) employed a preor quasi-experimental design, or 3) were of short duration, regardless of features of the people, setting, or physical activity. Our results show that physical activity can be increased by intervention. The optimal ways for selecting intervention components, settings, and population segments to maintain increases in physical activity and the relative contributions by community and clinical medicine toward successful physical activity intervention require experimental confirmation, warranting accelerated attention in clinical trials.","ISSN":"0195-9131","note":"PMID: 8784759","shortTitle":"Increasing physical activity","journalAbbreviation":"Med Sci Sports Exerc","language":"eng","author":[{"family":"Dishman","given":"R K"},{"family":"Buckworth","given":"J"}],"issued":{"date-parts":[["1996",6]]},"PMID":"8784759"}},{"id":1650,"uris":["http://zotero.org/users/171999/items/QJ5FM28Z"],"uri":["http://zotero.org/users/171999/items/QJ5FM28Z"],"itemData":{"id":1650,"type":"article-journal","title":"A site-specific literature review of policy and environmental interventions that promote physical activity and nutrition for cardiovascular health: what works?","container-title":"American journal of health promotion: AJHP","page":"167-193","volume":"19","issue":"3","source":"NCBI PubMed","abstract":"OBJECTIVE: To review the literature to determine whether policy and environmental interventions can increase people's physical activity or improve their nutrition.\nDATA SOURCES: The following databases were searched for relevant intervention studies: Medline, Chronic Disease Prevention File, PsychInfo, Health Star, Web of Science, ERIC, the U.S. Department of Transportation, and the U.S. Department of Agriculture.\nSTUDY SELECTION: To be included in the review, studies must have (1) addressed policy or environmental interventions to promote physical activity and/or good nutrition; (2) been published from 1970 to October 2003; (3) provided a description of the intervention; and (4) reported behavioral, physiological, or organizational change outcomes. Studies that had inadequate intervention descriptions or that focused on determinants research, individual-level interventions only, the built environment, or media-only campaigns were excluded.\nDATA EXTRACTION: We extracted and summarized studies conducted before 1990 (n = 65) and during 1990-2003 (n = 64).\nDATA SYNTHESIS: Data were synthesized by topic (i.e., physical activity or nutrition), by type of intervention (i.e., point-of-purchase), and by setting (i.e., community, health care facility, school, worksite). Current studies published during 1990-2003 are described in more detail, including setting and location, sample size and characteristics, intervention, evaluation period, findings, and research design. Findings are also categorized by type of intervention to show the strength of the study designs and the associations of policy and environmental interventions with physical activity and nutrition.\nCONCLUSIONS: The results of our review suggest that policy and environmental strategies may promote physical activity and good nutrition. Based on the experimental and quasi-experimental studies in this review, the following interventions provide the strongest evidence for influencing these behaviors: prompts to increase stair use (N = 5); access to places and opportunities for physical activity (N = 6); school-based physical education (PE) with better-trained PE teachers, and increased length of time students are physically active (N = 7); comprehensive work-site approaches, including education, employee and peer support for physical activity, incentives, and access to exercise facilities (N = 5); the availability of nutritious foods (N = 33), point-of-purchase strategies (N = 29); and systematic officer reminders and training of health care providers to provide nutritional counseling (N = 4). Further research is needed to determine the long-term effectiveness of different policy and environmental interventions with various populations and to identify the steps necessary to successfully implement these types of interventions.","ISSN":"0890-1171","note":"PMID: 15693346","shortTitle":"A site-specific literature review of policy and environmental interventions that promote physical activity and nutrition for cardiovascular health","journalAbbreviation":"Am J Health Promot","language":"eng","author":[{"family":"Matson-Koffman","given":"Dyann M"},{"family":"Brownstein","given":"J Nell"},{"family":"Neiner","given":"Jennifer A"},{"family":"Greaney","given":"Mary L"}],"issued":{"date-parts":[["2005",2]]},"PMID":"15693346"}}],"schema":"https://github.com/citation-style-language/schema/raw/master/csl-citation.json"} </w:instrText>
      </w:r>
      <w:r w:rsidR="00F91B01">
        <w:fldChar w:fldCharType="separate"/>
      </w:r>
      <w:r w:rsidR="000A492A" w:rsidRPr="000A492A">
        <w:rPr>
          <w:vertAlign w:val="superscript"/>
        </w:rPr>
        <w:t>308–310</w:t>
      </w:r>
      <w:r w:rsidR="00F91B01">
        <w:fldChar w:fldCharType="end"/>
      </w:r>
      <w:r w:rsidR="00241D87">
        <w:t xml:space="preserve">  According to the National Weight Control Registry,</w:t>
      </w:r>
      <w:r w:rsidR="00615423">
        <w:t xml:space="preserve"> a website tracking over 10,000 people who have lost and maintained weight for long periods of time,</w:t>
      </w:r>
      <w:r w:rsidR="00241D87">
        <w:t xml:space="preserve"> 94% of</w:t>
      </w:r>
      <w:r w:rsidR="00615423">
        <w:t xml:space="preserve"> participants increased activity</w:t>
      </w:r>
      <w:r w:rsidR="00241D87">
        <w:t>, typically through walking</w:t>
      </w:r>
      <w:r w:rsidR="00615423">
        <w:t xml:space="preserve"> during active weight loss.  To maintain their loss, </w:t>
      </w:r>
      <w:r w:rsidR="00241D87">
        <w:t xml:space="preserve">90% </w:t>
      </w:r>
      <w:r w:rsidR="00615423">
        <w:t>report</w:t>
      </w:r>
      <w:r w:rsidR="00241D87">
        <w:t xml:space="preserve"> an average of 1 hour </w:t>
      </w:r>
      <w:r w:rsidR="00E95739">
        <w:t>committed</w:t>
      </w:r>
      <w:r w:rsidR="00241D87">
        <w:t xml:space="preserve"> to daily exercise.</w:t>
      </w:r>
      <w:r w:rsidR="00241D87">
        <w:fldChar w:fldCharType="begin"/>
      </w:r>
      <w:r w:rsidR="000A492A">
        <w:instrText xml:space="preserve"> ADDIN ZOTERO_ITEM CSL_CITATION {"citationID":"pvi06te1k","properties":{"formattedCitation":"{\\rtf \\super 311\\nosupersub{}}","plainCitation":"311"},"citationItems":[{"id":582,"uris":["http://zotero.org/users/171999/items/CTC979NA"],"uri":["http://zotero.org/users/171999/items/CTC979NA"],"itemData":{"id":582,"type":"webpage","title":"National Weight Control Registry","URL":"http://www.nwcr.ws/default.htm","author":[{"family":"National Weight Control Registry","given":""}],"accessed":{"date-parts":[["2012",11,29]]}}}],"schema":"https://github.com/citation-style-language/schema/raw/master/csl-citation.json"} </w:instrText>
      </w:r>
      <w:r w:rsidR="00241D87">
        <w:fldChar w:fldCharType="separate"/>
      </w:r>
      <w:r w:rsidR="000A492A" w:rsidRPr="000A492A">
        <w:rPr>
          <w:vertAlign w:val="superscript"/>
        </w:rPr>
        <w:t>311</w:t>
      </w:r>
      <w:r w:rsidR="00241D87">
        <w:fldChar w:fldCharType="end"/>
      </w:r>
      <w:r w:rsidR="006A44A5">
        <w:t xml:space="preserve">  </w:t>
      </w:r>
      <w:r w:rsidR="00615423">
        <w:t>The American College of Sports Medicine</w:t>
      </w:r>
      <w:r w:rsidR="0060454F">
        <w:t xml:space="preserve"> (ACSM)</w:t>
      </w:r>
      <w:r w:rsidR="00615423">
        <w:t xml:space="preserve"> released a position stand in 2009 outlining appropriate physical activity intervention strategies for weight loss and prevention regain for adults</w:t>
      </w:r>
      <w:r w:rsidR="00B339B3">
        <w:t xml:space="preserve"> </w:t>
      </w:r>
      <w:r w:rsidR="00B339B3">
        <w:rPr>
          <w:color w:val="FF0000"/>
        </w:rPr>
        <w:t>(Table 1)</w:t>
      </w:r>
      <w:r w:rsidR="00615423">
        <w:t>.</w:t>
      </w:r>
      <w:r w:rsidR="00615423">
        <w:fldChar w:fldCharType="begin"/>
      </w:r>
      <w:r w:rsidR="000A492A">
        <w:instrText xml:space="preserve"> ADDIN ZOTERO_ITEM CSL_CITATION {"citationID":"2n20rmeouu","properties":{"formattedCitation":"{\\rtf \\super 312\\nosupersub{}}","plainCitation":"312"},"citationItems":[{"id":1652,"uris":["http://zotero.org/users/171999/items/SGMN9JMZ"],"uri":["http://zotero.org/users/171999/items/SGMN9JMZ"],"itemData":{"id":1652,"type":"article-journal","title":"American College of Sports Medicine Position Stand. Appropriate physical activity intervention strategies for weight loss and prevention of weight regain for adults","container-title":"Medicine and science in sports and exercise","page":"459-471","volume":"41","issue":"2","source":"NCBI PubMed","abstract":"Overweight and obesity affects more than 66% of the adult population and is associated with a variety of chronic diseases. Weight reduction reduces health risks associated with chronic diseases and is therefore encouraged by major health agencies. Guidelines of the National Heart, Lung, and Blood Institute (NHLBI) encourage a 10% reduction in weight, although considerable literature indicates reduction in health risk with 3% to 5% reduction in weight. Physical activity (PA) is recommended as a component of weight management for prevention of weight gain, for weight loss, and for prevention of weight regain after weight loss. In 2001, the American College of Sports Medicine (ACSM) published a Position Stand that recommended a minimum of 150 min wk(-1) of moderate-intensity PA for overweight and obese adults to improve health; however, 200-300 min wk(-1) was recommended for long-term weight loss. More recent evidence has supported this recommendation and has indicated more PA may be necessary to prevent weight regain after weight loss. To this end, we have reexamined the evidence from 1999 to determine whether there is a level at which PA is effective for prevention of weight gain, for weight loss, and prevention of weight regain. Evidence supports moderate-intensity PA between 150 and 250 min wk(-1) to be effective to prevent weight gain. Moderate-intensity PA between 150 and 250 min wk(-1) will provide only modest weight loss. Greater amounts of PA (&gt;250 min wk(-1)) have been associated with clinically significant weight loss. Moderate-intensity PA between 150 and 250 min wk(-1) will improve weight loss in studies that use moderate diet restriction but not severe diet restriction. Cross-sectional and prospective studies indicate that after weight loss, weight maintenance is improved with PA &gt;250 min wk(-1). However, no evidence from well-designed randomized controlled trials exists to judge the effectiveness of PA for prevention of weight regain after weight loss. Resistance training does not enhance weight loss but may increase fat-free mass and increase loss of fat mass and is associated with reductions in health risk. Existing evidence indicates that endurance PA or resistance training without weight loss improves health risk. There is inadequate evidence to determine whether PA prevents or attenuates detrimental changes in chronic disease risk during weight gain.","DOI":"10.1249/MSS.0b013e3181949333","ISSN":"1530-0315","note":"PMID: 19127177","journalAbbreviation":"Med Sci Sports Exerc","language":"eng","author":[{"family":"Donnelly","given":"Joseph E"},{"family":"Blair","given":"Steven N"},{"family":"Jakicic","given":"John M"},{"family":"Manore","given":"Melinda M"},{"family":"Rankin","given":"Janet W"},{"family":"Smith","given":"Bryan K"},{"family":"American College of Sports Medicine","given":""}],"issued":{"date-parts":[["2009",2]]},"PMID":"19127177"}}],"schema":"https://github.com/citation-style-language/schema/raw/master/csl-citation.json"} </w:instrText>
      </w:r>
      <w:r w:rsidR="00615423">
        <w:fldChar w:fldCharType="separate"/>
      </w:r>
      <w:r w:rsidR="000A492A" w:rsidRPr="000A492A">
        <w:rPr>
          <w:vertAlign w:val="superscript"/>
        </w:rPr>
        <w:t>312</w:t>
      </w:r>
      <w:r w:rsidR="00615423">
        <w:fldChar w:fldCharType="end"/>
      </w:r>
      <w:r w:rsidR="00B339B3">
        <w:t xml:space="preserve">  </w:t>
      </w:r>
      <w:r w:rsidR="009C3DA6">
        <w:t>For weight maintenance, t</w:t>
      </w:r>
      <w:r w:rsidR="00B339B3">
        <w:t>he CDC currently recommends 150 min/week of moderate-intensity aerobic activity and 75 min/week of vigorous-intensity aerobic</w:t>
      </w:r>
      <w:r w:rsidR="009C3DA6">
        <w:t xml:space="preserve"> activity (225 min/week total),</w:t>
      </w:r>
      <w:r w:rsidR="00B339B3">
        <w:t xml:space="preserve"> </w:t>
      </w:r>
      <w:r w:rsidR="009C3DA6">
        <w:t xml:space="preserve">falling within the 225 – 500 </w:t>
      </w:r>
      <w:r w:rsidR="00E60E9C">
        <w:t xml:space="preserve">min/week </w:t>
      </w:r>
      <w:r w:rsidR="00E95739">
        <w:t>recommended</w:t>
      </w:r>
      <w:r w:rsidR="009C3DA6">
        <w:t xml:space="preserve"> to lose 5 – 7.5 kg</w:t>
      </w:r>
      <w:r w:rsidR="00B339B3">
        <w:t xml:space="preserve"> from the ACSM report.</w:t>
      </w:r>
      <w:r w:rsidR="00B339B3">
        <w:fldChar w:fldCharType="begin"/>
      </w:r>
      <w:r w:rsidR="000A492A">
        <w:instrText xml:space="preserve"> ADDIN ZOTERO_ITEM CSL_CITATION {"citationID":"t1uindnr2","properties":{"formattedCitation":"{\\rtf \\super 313\\nosupersub{}}","plainCitation":"313"},"citationItems":[{"id":1656,"uris":["http://zotero.org/users/171999/items/H4F4NMX6"],"uri":["http://zotero.org/users/171999/items/H4F4NMX6"],"itemData":{"id":1656,"type":"webpage","title":"Healthy Weight: Physical Activity for a Healthy Weight | DNPAO | CDC","URL":"http://www.cdc.gov/healthyweight/physical_activity/index.html","shortTitle":"Healthy Weight","language":"en-us","accessed":{"date-parts":[["2013",11,9]]}}}],"schema":"https://github.com/citation-style-language/schema/raw/master/csl-citation.json"} </w:instrText>
      </w:r>
      <w:r w:rsidR="00B339B3">
        <w:fldChar w:fldCharType="separate"/>
      </w:r>
      <w:r w:rsidR="000A492A" w:rsidRPr="000A492A">
        <w:rPr>
          <w:vertAlign w:val="superscript"/>
        </w:rPr>
        <w:t>313</w:t>
      </w:r>
      <w:r w:rsidR="00B339B3">
        <w:fldChar w:fldCharType="end"/>
      </w:r>
    </w:p>
    <w:p w:rsidR="00D013B8" w:rsidRDefault="006A44A5" w:rsidP="000B1A75">
      <w:pPr>
        <w:autoSpaceDE w:val="0"/>
        <w:autoSpaceDN w:val="0"/>
        <w:adjustRightInd w:val="0"/>
      </w:pPr>
      <w:r>
        <w:tab/>
        <w:t>There is very limited data regarding</w:t>
      </w:r>
      <w:r w:rsidR="00E409C0">
        <w:t xml:space="preserve"> minimum duration and intensity of</w:t>
      </w:r>
      <w:r>
        <w:t xml:space="preserve"> physical activity </w:t>
      </w:r>
      <w:r w:rsidR="00E409C0">
        <w:t xml:space="preserve">for </w:t>
      </w:r>
      <w:r>
        <w:t xml:space="preserve">weight loss/maintenance in dogs.  </w:t>
      </w:r>
      <w:r w:rsidR="0036669A">
        <w:t xml:space="preserve">Survey data </w:t>
      </w:r>
      <w:r w:rsidR="00E409C0">
        <w:t>of</w:t>
      </w:r>
      <w:r w:rsidR="0036669A">
        <w:t xml:space="preserve"> interview responses from dog-owning households in Perth, Australia show o</w:t>
      </w:r>
      <w:r w:rsidR="00E409C0">
        <w:t>dds of obesity</w:t>
      </w:r>
      <w:r w:rsidR="0036669A">
        <w:t xml:space="preserve"> </w:t>
      </w:r>
      <w:r w:rsidR="00792AB0">
        <w:t xml:space="preserve">decreased </w:t>
      </w:r>
      <w:r w:rsidR="00E409C0">
        <w:t xml:space="preserve">(OR = 0.9) </w:t>
      </w:r>
      <w:r w:rsidR="00792AB0">
        <w:t>for every hour of weekly exercise.</w:t>
      </w:r>
      <w:r w:rsidR="00792AB0">
        <w:fldChar w:fldCharType="begin"/>
      </w:r>
      <w:r w:rsidR="000A492A">
        <w:instrText xml:space="preserve"> ADDIN ZOTERO_ITEM CSL_CITATION {"citationID":"7t1vhbqrh","properties":{"formattedCitation":"{\\rtf \\super 314\\nosupersub{}}","plainCitation":"314"},"citationItems":[{"id":1663,"uris":["http://zotero.org/users/171999/items/PGBCRVSG"],"uri":["http://zotero.org/users/171999/items/PGBCRVSG"],"itemData":{"id":1663,"type":"article-journal","title":"The association of exercise, diet and other factors with owner-perceived obesity in privately owned dogs from metropolitan Perth, WA","container-title":"Preventive veterinary medicine","page":"75-83","volume":"58","issue":"1-2","source":"NCBI PubMed","abstract":"Randomly selected dog-owning households (n=657) were interviewed to identify exercise, dietary and other factors associated with obesity in dogs. Dogs (n=860) were categorised by their owners as underweight, correct-weight or overweight and the weight of 386 dogs was also recorded. Twenty five percent of dogs were reported as overweight. In random-effects logistic regression, overweight dogs had higher odds of being neutered (OR=2.8), fed snacks (OR=1.5), fed once a day (OR=1.4) or living in single-dog households (OR=1.6). For each year of age, the odds of obesity increased (OR=1.1) and for each hour of weekly exercise the odds of obesity decreased (OR=0.9).","ISSN":"0167-5877","note":"PMID: 12628772","journalAbbreviation":"Prev. Vet. Med.","language":"eng","author":[{"family":"Robertson","given":"I D"}],"issued":{"date-parts":[["2003",4,30]]},"PMID":"12628772"}}],"schema":"https://github.com/citation-style-language/schema/raw/master/csl-citation.json"} </w:instrText>
      </w:r>
      <w:r w:rsidR="00792AB0">
        <w:fldChar w:fldCharType="separate"/>
      </w:r>
      <w:r w:rsidR="000A492A" w:rsidRPr="000A492A">
        <w:rPr>
          <w:vertAlign w:val="superscript"/>
        </w:rPr>
        <w:t>314</w:t>
      </w:r>
      <w:r w:rsidR="00792AB0">
        <w:fldChar w:fldCharType="end"/>
      </w:r>
      <w:r w:rsidR="00792AB0">
        <w:t xml:space="preserve">  </w:t>
      </w:r>
      <w:r w:rsidR="000B1A75">
        <w:t>Based on accelerometry data, obese dogs have been shown to spend significantly less time in vigorous daily activity compared to ideal weight dogs (7 ± 3 vs. 21 ± 15 min/day).</w:t>
      </w:r>
      <w:r w:rsidR="000B1A75">
        <w:fldChar w:fldCharType="begin"/>
      </w:r>
      <w:r w:rsidR="000A492A">
        <w:instrText xml:space="preserve"> ADDIN ZOTERO_ITEM CSL_CITATION {"citationID":"196q1h0ks7","properties":{"formattedCitation":"{\\rtf \\super 315\\nosupersub{}}","plainCitation":"315"},"citationItems":[{"id":1660,"uris":["http://zotero.org/users/171999/items/QRXP9WWE"],"uri":["http://zotero.org/users/171999/items/QRXP9WWE"],"itemData":{"id":1660,"type":"article-journal","title":"Associations between obesity and physical activity in dogs: a preliminary investigation","container-title":"The Journal of small animal practice","source":"NCBI PubMed","abstract":"OBJECTIVES: To assess whether obesity has any association with objectively measured physical activity levels in dogs.\nMETHODS: Thirty-nine dogs wore Actigraph GT3X accelerometers (Actigraph) for 7 consecutive days. Each dog was classified as ideal weight, overweight or obese using the 5-point body condition scoring system. Total volume of physical activity and time spent in sedentary behaviour, light-moderate intensity physical activity and vigorous intensity physical activity were compared between body condition categories.\nRESULTS: Valid accelerometry data were returned for 35 of 39 dogs recruited. Eighteen dogs were classed as ideal weight, 9 as overweight and the remaining 8 as obese. All dogs spent a significant proportion of the day sedentary and obese dogs spent significantly less time in vigorous intensity physical activity than ideal weight dogs (7 ±3 minute/day versus 21 ±15 minute/day, P=0·01).\nCLINICAL SIGNIFICANCE: Obesity is associated with lower vigorous intensity physical activity in dogs, as is also thought to occur in humans. These preliminary findings will help inform a future, larger study and may also improve our understanding of the associations between obesity and physical activity in dogs.","DOI":"10.1111/jsap.12142","ISSN":"1748-5827","note":"PMID: 24117778","shortTitle":"Associations between obesity and physical activity in dogs","journalAbbreviation":"J Small Anim Pract","language":"ENG","author":[{"family":"Morrison","given":"R"},{"family":"Penpraze","given":"V"},{"family":"Beber","given":"A"},{"family":"Reilly","given":"J J"},{"family":"Yam","given":"P S"}],"issued":{"date-parts":[["2013",10,9]]},"PMID":"24117778"}}],"schema":"https://github.com/citation-style-language/schema/raw/master/csl-citation.json"} </w:instrText>
      </w:r>
      <w:r w:rsidR="000B1A75">
        <w:fldChar w:fldCharType="separate"/>
      </w:r>
      <w:r w:rsidR="000A492A" w:rsidRPr="000A492A">
        <w:rPr>
          <w:vertAlign w:val="superscript"/>
        </w:rPr>
        <w:t>315</w:t>
      </w:r>
      <w:r w:rsidR="000B1A75">
        <w:fldChar w:fldCharType="end"/>
      </w:r>
      <w:r w:rsidR="000B1A75">
        <w:t xml:space="preserve">  </w:t>
      </w:r>
      <w:r w:rsidR="00490FE8">
        <w:t>Research utilizing pedometers found higher BCS was associated with fewer steps taken per day</w:t>
      </w:r>
      <w:r w:rsidR="000B1A75">
        <w:t xml:space="preserve"> and modest correlation between steps recorded for both dogs and owners (r = 0.469)</w:t>
      </w:r>
      <w:r w:rsidR="00490FE8">
        <w:t>.</w:t>
      </w:r>
      <w:r w:rsidR="00490FE8">
        <w:fldChar w:fldCharType="begin"/>
      </w:r>
      <w:r w:rsidR="000A492A">
        <w:instrText xml:space="preserve"> ADDIN ZOTERO_ITEM CSL_CITATION {"citationID":"164qjni02i","properties":{"formattedCitation":"{\\rtf \\super 316\\nosupersub{}}","plainCitation":"316"},"citationItems":[{"id":1658,"uris":["http://zotero.org/users/171999/items/8SUBRQHB"],"uri":["http://zotero.org/users/171999/items/8SUBRQHB"],"itemData":{"id":1658,"type":"article-journal","title":"Use of pedometers to measure physical activity in dogs","container-title":"Journal of the American Veterinary Medical Association","page":"2010-2015","volume":"226","issue":"12","source":"NCBI PubMed","abstract":"OBJECTIVE: To determine whether pedometers can be used to measure physical activity in dogs.\nDESIGN: Cross-sectional study.\nANIMALS: 26 dogs.\nPROCEDURE: To determine pedometer accuracy, number of steps recorded with the pedometer as dogs walked, trotted, and ran for a distance of approximately 30 m (100 ft) at each gait was compared with actual number of steps. Dogs and owners then wore pedometers for 7 to 14 days, and dog pedometer output was compared with body condition score, owner-reported activity of the dog, and owner pedometer output.\nRESULTS: Most owners classified their dogs as active or quite active and indicated that their dogs exercised 3 to 7 days/wk. For all dogs, body condition score was 5, 6, or 7 on a scale from 1 to 9. At a walk, pedometers overestimated actual number of steps by approximately 17% in large and medium dogs and underestimated actual number of steps by approximately 7% in small dogs. No significant differences between pedometer-recorded and actual number of steps were detected when dogs trotted or ran. Number of steps per day for the dogs was significantly correlated with owner-reported activity of the dog (r = 0.305) and number of steps per day for the owners (r = 0.469) and was inversely correlated with body condition score (r = -0.554).\nCONCLUSIONS AND CLINICAL RELEVANCE: Results suggest that pedometers can measure physical activity in dogs with reasonable accuracy. A lower number of steps per day was associated with a higher body condition score, and less active owners generally had less active dogs.","ISSN":"0003-1488","note":"PMID: 15989183","journalAbbreviation":"J. Am. Vet. Med. Assoc.","language":"eng","author":[{"family":"Chan","given":"Catherine B"},{"family":"Spierenburg","given":"Marguerite"},{"family":"Ihle","given":"Sherri L"},{"family":"Tudor-Locke","given":"Catrine"}],"issued":{"date-parts":[["2005",6,15]]},"PMID":"15989183"}}],"schema":"https://github.com/citation-style-language/schema/raw/master/csl-citation.json"} </w:instrText>
      </w:r>
      <w:r w:rsidR="00490FE8">
        <w:fldChar w:fldCharType="separate"/>
      </w:r>
      <w:r w:rsidR="000A492A" w:rsidRPr="000A492A">
        <w:rPr>
          <w:vertAlign w:val="superscript"/>
        </w:rPr>
        <w:t>316</w:t>
      </w:r>
      <w:r w:rsidR="00490FE8">
        <w:fldChar w:fldCharType="end"/>
      </w:r>
      <w:r w:rsidR="00490FE8">
        <w:t xml:space="preserve">  </w:t>
      </w:r>
      <w:r w:rsidR="000B1A75">
        <w:t>Another pedometer project found every 1000 steps allowed dogs on a weight loss plan to consume 1 kcal/kg</w:t>
      </w:r>
      <w:r w:rsidR="000B1A75">
        <w:rPr>
          <w:vertAlign w:val="superscript"/>
        </w:rPr>
        <w:t>0.75</w:t>
      </w:r>
      <w:r w:rsidR="000B1A75">
        <w:t xml:space="preserve"> more while </w:t>
      </w:r>
      <w:r w:rsidR="00E95739">
        <w:t>maintaining</w:t>
      </w:r>
      <w:r w:rsidR="000B1A75">
        <w:t xml:space="preserve"> a loss of 2%/week.</w:t>
      </w:r>
      <w:r w:rsidR="000B1A75">
        <w:fldChar w:fldCharType="begin"/>
      </w:r>
      <w:r w:rsidR="000A492A">
        <w:instrText xml:space="preserve"> ADDIN ZOTERO_ITEM CSL_CITATION {"citationID":"3nljg8ou1","properties":{"formattedCitation":"{\\rtf \\super 317\\nosupersub{}}","plainCitation":"317"},"citationItems":[{"id":789,"uris":["http://zotero.org/users/171999/items/P5V9N4Q5"],"uri":["http://zotero.org/users/171999/items/P5V9N4Q5"],"itemData":{"id":789,"type":"article-journal","title":"Evaluation of dietary energy intake and physical activity in dogs undergoing a controlled weight-loss program","container-title":"Journal of the American Veterinary Medical Association","page":"413-419","volume":"240","issue":"4","source":"NCBI PubMed","abstract":"OBJECTIVE\n\nTo quantify physical activity and dietary energy intake in dogs enrolled in a controlled weight-loss program and assess relationships between energy intake and physical activity, sex, age, body weight, and body condition score (BCS).\n\n\nDESIGN\n\nProspective clinical study.\n\n\nANIMALS\n\n35 client-owned obese dogs (BCS &gt; 7/9).\n\n\nPROCEDURES\n\nDogs were fed a therapeutic diet with energy intake restrictions to maintain weight loss of approximately 2%/wk. Collar-mounted pedometers were used to record the number of steps taken daily as a measure of activity. Body weight and BCS were assessed at the beginning of the weight-loss program and every 2 weeks thereafter throughout the study. Relationships between energy intake and sex, age, activity, BCS, and body weight at the end of the study were assessed via multivariable linear regression. Variables were compared among dogs stratified post hoc into inactive and active groups on the basis of mean number of steps taken (&lt; or &gt; 7,250 steps/d, respectively).\n\n\nRESULTS\n\nMean ± SD daily energy intake per unit of metabolic body weight (kg(0.75)) of active dogs was significantly greater than that of inactive dogs (53.6 ± 15.2 kcal/kg(0.75) vs 42.2 ± 9.7 kcal/kg(0.75), respectively) while maintaining weight-loss goals. In regression analysis, only the number of steps per day was significantly associated with energy intake.\n\n\nCONCLUSIONS AND CLINICAL RELEVANCE\n\nIncreased physical activity was associated with higher energy intake while maintaining weight-loss goals. Each 1,000-step interval was associated with a 1 kcal/kg(0.75) increase in energy intake.","DOI":"10.2460/javma.240.4.413","ISSN":"1943-569X","note":"PMID: 22309013","journalAbbreviation":"J. Am. Vet. Med. Assoc.","author":[{"family":"Wakshlag","given":"Joseph J"},{"family":"Struble","given":"Angela M"},{"family":"Warren","given":"Barbour S"},{"family":"Maley","given":"Mary"},{"family":"Panasevich","given":"Matthew R"},{"family":"Cummings","given":"Kevin J"},{"family":"Long","given":"Grace M"},{"family":"Laflamme","given":"Dorothy E"}],"issued":{"date-parts":[["2012",2,15]]},"PMID":"22309013"}}],"schema":"https://github.com/citation-style-language/schema/raw/master/csl-citation.json"} </w:instrText>
      </w:r>
      <w:r w:rsidR="000B1A75">
        <w:fldChar w:fldCharType="separate"/>
      </w:r>
      <w:r w:rsidR="000A492A" w:rsidRPr="000A492A">
        <w:rPr>
          <w:vertAlign w:val="superscript"/>
        </w:rPr>
        <w:t>317</w:t>
      </w:r>
      <w:r w:rsidR="000B1A75">
        <w:fldChar w:fldCharType="end"/>
      </w:r>
      <w:r w:rsidR="000B1A75">
        <w:t xml:space="preserve">  </w:t>
      </w:r>
      <w:r w:rsidR="00490FE8">
        <w:t>A pilot study by Chauvet et al demonstrated weight loss achievement while using an underwater treadmill and leash walks over three months, although all dogs were also on restricted energy intake and there was no control group for comparison.</w:t>
      </w:r>
      <w:r w:rsidR="00490FE8">
        <w:fldChar w:fldCharType="begin"/>
      </w:r>
      <w:r w:rsidR="000A492A">
        <w:instrText xml:space="preserve"> ADDIN ZOTERO_ITEM CSL_CITATION {"citationID":"1409pbqcp7","properties":{"formattedCitation":"{\\rtf \\super 318\\nosupersub{}}","plainCitation":"318"},"citationItems":[{"id":527,"uris":["http://zotero.org/users/171999/items/A773BU2U"],"uri":["http://zotero.org/users/171999/items/A773BU2U"],"itemData":{"id":527,"type":"article-journal","title":"Incorporation of exercise, using an underwater treadmill, and active client education into a weight management program for obese dogs","container-title":"The Canadian veterinary journal. La revue vétérinaire canadienne","page":"491-496","volume":"52","issue":"5","source":"NCBI PubMed","abstract":"Physical activity improves outcome of weight loss in obese humans, but limited information exists for dogs. Eight obese dogs (body condition score 5/5), of various breeds and genders, undertook a 3-month weight-loss program which included exercise using lead walks and underwater treadmill exercise. The median number of treadmill exercise sessions per dog was 13 (range: 5 to 17). Median distance walked per session was 0.97 km (range: 0.05 to 2.7 km) (0.6 miles; range: 0.03 to 1.70 miles) and this increased sequentially over the course of the study (P &lt; 0.001). Mean [± standard deviation (s)] percentage of starting weight loss over the 3 mo was 18.9 ± 5.44%, equivalent to a rate of weight loss of 1.5 ± 0.43% per week. Thoracic and abdominal girth also declined significantly during the program (P &lt; 0.0001 for both). This study demonstrates the potential benefit of including an organized exercise regimen, utilizing an underwater treadmill, in conventional canine weight management programs.","ISSN":"0008-5286","note":"PMID: 22043067","journalAbbreviation":"Can. Vet. J.","author":[{"family":"Chauvet","given":"Anne"},{"family":"Laclair","given":"Jim"},{"family":"Elliott","given":"Denise A"},{"family":"German","given":"Alexander J"}],"issued":{"date-parts":[["2011",5]]},"PMID":"22043067"}}],"schema":"https://github.com/citation-style-language/schema/raw/master/csl-citation.json"} </w:instrText>
      </w:r>
      <w:r w:rsidR="00490FE8">
        <w:fldChar w:fldCharType="separate"/>
      </w:r>
      <w:r w:rsidR="000A492A" w:rsidRPr="000A492A">
        <w:rPr>
          <w:vertAlign w:val="superscript"/>
        </w:rPr>
        <w:t>318</w:t>
      </w:r>
      <w:r w:rsidR="00490FE8">
        <w:fldChar w:fldCharType="end"/>
      </w:r>
    </w:p>
    <w:p w:rsidR="00D013B8" w:rsidRDefault="00D013B8" w:rsidP="00D013B8">
      <w:pPr>
        <w:pStyle w:val="Heading3"/>
      </w:pPr>
      <w:bookmarkStart w:id="26" w:name="_Toc376465759"/>
      <w:r>
        <w:t>Drug/nutraceutical strategies</w:t>
      </w:r>
      <w:bookmarkEnd w:id="26"/>
    </w:p>
    <w:p w:rsidR="00362A5B" w:rsidRDefault="00D013B8" w:rsidP="00D013B8">
      <w:r>
        <w:tab/>
        <w:t xml:space="preserve">Anti-obesity medications are another tool for obesity treatment and/or prevention.  Three basic classifications are agents affecting </w:t>
      </w:r>
      <w:r w:rsidR="003E5FA4">
        <w:t>nutrient</w:t>
      </w:r>
      <w:r>
        <w:t xml:space="preserve"> absorption, satiety, and metabolism.  </w:t>
      </w:r>
      <w:r w:rsidR="000E0799">
        <w:t>An exhaustive review of all available</w:t>
      </w:r>
      <w:r w:rsidR="003E5FA4">
        <w:t xml:space="preserve"> agents </w:t>
      </w:r>
      <w:r w:rsidR="000E0799">
        <w:t>is</w:t>
      </w:r>
      <w:r w:rsidR="003E5FA4">
        <w:t xml:space="preserve"> beyond </w:t>
      </w:r>
    </w:p>
    <w:p w:rsidR="00362A5B" w:rsidRDefault="00362A5B" w:rsidP="00362A5B">
      <w:pPr>
        <w:pStyle w:val="Caption"/>
        <w:sectPr w:rsidR="00362A5B" w:rsidSect="00B35180">
          <w:pgSz w:w="12240" w:h="15840" w:code="1"/>
          <w:pgMar w:top="1440" w:right="1800" w:bottom="1872" w:left="1800" w:header="720" w:footer="1440" w:gutter="0"/>
          <w:cols w:space="720"/>
          <w:noEndnote/>
          <w:docGrid w:linePitch="360"/>
        </w:sectPr>
      </w:pPr>
      <w:bookmarkStart w:id="27" w:name="_Toc373267044"/>
    </w:p>
    <w:p w:rsidR="00362A5B" w:rsidRPr="00B339B3" w:rsidRDefault="00362A5B" w:rsidP="00362A5B">
      <w:pPr>
        <w:pStyle w:val="Caption"/>
      </w:pPr>
      <w:bookmarkStart w:id="28" w:name="_Toc376465823"/>
      <w:r>
        <w:lastRenderedPageBreak/>
        <w:t xml:space="preserve">Table </w:t>
      </w:r>
      <w:fldSimple w:instr=" SEQ Table \* ARABIC ">
        <w:r w:rsidR="00736DB0">
          <w:rPr>
            <w:noProof/>
          </w:rPr>
          <w:t>1</w:t>
        </w:r>
      </w:fldSimple>
      <w:r>
        <w:t xml:space="preserve"> </w:t>
      </w:r>
      <w:r w:rsidRPr="00B339B3">
        <w:t>ACSM position regarding physical activity for weight loss and maintenance</w:t>
      </w:r>
      <w:bookmarkEnd w:id="27"/>
      <w:r w:rsidR="00025B7A">
        <w:t>.</w:t>
      </w:r>
      <w:bookmarkEnd w:id="28"/>
    </w:p>
    <w:tbl>
      <w:tblPr>
        <w:tblStyle w:val="TableClassic1"/>
        <w:tblW w:w="0" w:type="auto"/>
        <w:tblLayout w:type="fixed"/>
        <w:tblLook w:val="04A0" w:firstRow="1" w:lastRow="0" w:firstColumn="1" w:lastColumn="0" w:noHBand="0" w:noVBand="1"/>
      </w:tblPr>
      <w:tblGrid>
        <w:gridCol w:w="2369"/>
        <w:gridCol w:w="9079"/>
        <w:gridCol w:w="1296"/>
      </w:tblGrid>
      <w:tr w:rsidR="00362A5B" w:rsidTr="00025B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tcPr>
          <w:p w:rsidR="00362A5B" w:rsidRPr="00B70BA8" w:rsidRDefault="00362A5B" w:rsidP="00025B7A">
            <w:pPr>
              <w:autoSpaceDE w:val="0"/>
              <w:autoSpaceDN w:val="0"/>
              <w:adjustRightInd w:val="0"/>
              <w:rPr>
                <w:b/>
              </w:rPr>
            </w:pPr>
            <w:r w:rsidRPr="00B70BA8">
              <w:rPr>
                <w:b/>
              </w:rPr>
              <w:t>Physical activity category</w:t>
            </w:r>
          </w:p>
        </w:tc>
        <w:tc>
          <w:tcPr>
            <w:tcW w:w="9079" w:type="dxa"/>
            <w:tcBorders>
              <w:top w:val="single" w:sz="12" w:space="0" w:color="000000"/>
              <w:right w:val="single" w:sz="6" w:space="0" w:color="000000"/>
            </w:tcBorders>
          </w:tcPr>
          <w:p w:rsidR="00362A5B" w:rsidRPr="00B70BA8" w:rsidRDefault="00362A5B" w:rsidP="00025B7A">
            <w:pPr>
              <w:autoSpaceDE w:val="0"/>
              <w:autoSpaceDN w:val="0"/>
              <w:adjustRightInd w:val="0"/>
              <w:cnfStyle w:val="100000000000" w:firstRow="1" w:lastRow="0" w:firstColumn="0" w:lastColumn="0" w:oddVBand="0" w:evenVBand="0" w:oddHBand="0" w:evenHBand="0" w:firstRowFirstColumn="0" w:firstRowLastColumn="0" w:lastRowFirstColumn="0" w:lastRowLastColumn="0"/>
              <w:rPr>
                <w:b/>
              </w:rPr>
            </w:pPr>
            <w:r>
              <w:rPr>
                <w:b/>
              </w:rPr>
              <w:t>ACSM position</w:t>
            </w:r>
          </w:p>
        </w:tc>
        <w:tc>
          <w:tcPr>
            <w:tcW w:w="1296" w:type="dxa"/>
            <w:tcBorders>
              <w:left w:val="single" w:sz="6" w:space="0" w:color="000000"/>
            </w:tcBorders>
          </w:tcPr>
          <w:p w:rsidR="00362A5B" w:rsidRDefault="00362A5B" w:rsidP="00025B7A">
            <w:pPr>
              <w:autoSpaceDE w:val="0"/>
              <w:autoSpaceDN w:val="0"/>
              <w:adjustRightInd w:val="0"/>
              <w:cnfStyle w:val="100000000000" w:firstRow="1" w:lastRow="0" w:firstColumn="0" w:lastColumn="0" w:oddVBand="0" w:evenVBand="0" w:oddHBand="0" w:evenHBand="0" w:firstRowFirstColumn="0" w:firstRowLastColumn="0" w:lastRowFirstColumn="0" w:lastRowLastColumn="0"/>
              <w:rPr>
                <w:b/>
              </w:rPr>
            </w:pPr>
            <w:r>
              <w:rPr>
                <w:b/>
              </w:rPr>
              <w:t>Evidence category</w:t>
            </w:r>
          </w:p>
        </w:tc>
      </w:tr>
      <w:tr w:rsidR="00362A5B" w:rsidTr="00025B7A">
        <w:tc>
          <w:tcPr>
            <w:cnfStyle w:val="001000000000" w:firstRow="0" w:lastRow="0" w:firstColumn="1" w:lastColumn="0" w:oddVBand="0" w:evenVBand="0" w:oddHBand="0" w:evenHBand="0" w:firstRowFirstColumn="0" w:firstRowLastColumn="0" w:lastRowFirstColumn="0" w:lastRowLastColumn="0"/>
            <w:tcW w:w="2369" w:type="dxa"/>
          </w:tcPr>
          <w:p w:rsidR="00362A5B" w:rsidRPr="00B70BA8" w:rsidRDefault="00362A5B" w:rsidP="00025B7A">
            <w:pPr>
              <w:autoSpaceDE w:val="0"/>
              <w:autoSpaceDN w:val="0"/>
              <w:adjustRightInd w:val="0"/>
            </w:pPr>
            <w:r w:rsidRPr="00B70BA8">
              <w:t>Weight gain prevention</w:t>
            </w:r>
          </w:p>
        </w:tc>
        <w:tc>
          <w:tcPr>
            <w:tcW w:w="9079" w:type="dxa"/>
            <w:tcBorders>
              <w:right w:val="single" w:sz="6" w:space="0" w:color="000000"/>
            </w:tcBorders>
          </w:tcPr>
          <w:p w:rsidR="00362A5B" w:rsidRPr="00615423"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rsidRPr="00615423">
              <w:t>150 to 250 min</w:t>
            </w:r>
            <w:r>
              <w:t>/week</w:t>
            </w:r>
            <w:r w:rsidRPr="00615423">
              <w:t xml:space="preserve"> </w:t>
            </w:r>
            <w:r>
              <w:t>prevents gain &gt; 3%</w:t>
            </w:r>
          </w:p>
        </w:tc>
        <w:tc>
          <w:tcPr>
            <w:tcW w:w="1296" w:type="dxa"/>
            <w:tcBorders>
              <w:left w:val="single" w:sz="6" w:space="0" w:color="000000"/>
            </w:tcBorders>
          </w:tcPr>
          <w:p w:rsidR="00362A5B" w:rsidRPr="00615423"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A</w:t>
            </w:r>
          </w:p>
        </w:tc>
      </w:tr>
      <w:tr w:rsidR="00362A5B" w:rsidTr="00025B7A">
        <w:tc>
          <w:tcPr>
            <w:cnfStyle w:val="001000000000" w:firstRow="0" w:lastRow="0" w:firstColumn="1" w:lastColumn="0" w:oddVBand="0" w:evenVBand="0" w:oddHBand="0" w:evenHBand="0" w:firstRowFirstColumn="0" w:firstRowLastColumn="0" w:lastRowFirstColumn="0" w:lastRowLastColumn="0"/>
            <w:tcW w:w="2369" w:type="dxa"/>
          </w:tcPr>
          <w:p w:rsidR="00362A5B" w:rsidRPr="00B70BA8" w:rsidRDefault="00362A5B" w:rsidP="00025B7A">
            <w:pPr>
              <w:autoSpaceDE w:val="0"/>
              <w:autoSpaceDN w:val="0"/>
              <w:adjustRightInd w:val="0"/>
            </w:pPr>
            <w:r w:rsidRPr="00B70BA8">
              <w:t>Weight loss</w:t>
            </w:r>
          </w:p>
        </w:tc>
        <w:tc>
          <w:tcPr>
            <w:tcW w:w="9079" w:type="dxa"/>
            <w:tcBorders>
              <w:right w:val="single" w:sz="6" w:space="0" w:color="000000"/>
            </w:tcBorders>
          </w:tcPr>
          <w:p w:rsidR="00362A5B"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&lt;</w:t>
            </w:r>
            <w:r w:rsidRPr="00615423">
              <w:t xml:space="preserve"> 150 </w:t>
            </w:r>
            <w:r>
              <w:t>min/week</w:t>
            </w:r>
            <w:r w:rsidRPr="00615423">
              <w:t xml:space="preserve"> promotes minimal weight loss</w:t>
            </w:r>
          </w:p>
          <w:p w:rsidR="00362A5B"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&gt;</w:t>
            </w:r>
            <w:r w:rsidRPr="00615423">
              <w:t xml:space="preserve"> 150 </w:t>
            </w:r>
            <w:r>
              <w:t>min/week</w:t>
            </w:r>
            <w:r w:rsidRPr="00615423">
              <w:t xml:space="preserve"> results in modest weight loss of </w:t>
            </w:r>
            <w:r>
              <w:t>~</w:t>
            </w:r>
            <w:r w:rsidRPr="00615423">
              <w:t>2–3 kg</w:t>
            </w:r>
          </w:p>
          <w:p w:rsidR="00362A5B" w:rsidRPr="00615423"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&gt;</w:t>
            </w:r>
            <w:r w:rsidRPr="00615423">
              <w:t xml:space="preserve"> 225–420 </w:t>
            </w:r>
            <w:r>
              <w:t xml:space="preserve">min/week </w:t>
            </w:r>
            <w:r w:rsidRPr="00615423">
              <w:t>results in 5</w:t>
            </w:r>
            <w:r>
              <w:t xml:space="preserve"> -</w:t>
            </w:r>
            <w:r w:rsidRPr="00615423">
              <w:t xml:space="preserve"> 7.5</w:t>
            </w:r>
            <w:r>
              <w:t xml:space="preserve"> </w:t>
            </w:r>
            <w:r w:rsidRPr="00615423">
              <w:t>kg weight loss</w:t>
            </w:r>
          </w:p>
        </w:tc>
        <w:tc>
          <w:tcPr>
            <w:tcW w:w="1296" w:type="dxa"/>
            <w:tcBorders>
              <w:left w:val="single" w:sz="6" w:space="0" w:color="000000"/>
            </w:tcBorders>
          </w:tcPr>
          <w:p w:rsidR="00362A5B"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B</w:t>
            </w:r>
          </w:p>
        </w:tc>
      </w:tr>
      <w:tr w:rsidR="00362A5B" w:rsidTr="00025B7A">
        <w:tc>
          <w:tcPr>
            <w:cnfStyle w:val="001000000000" w:firstRow="0" w:lastRow="0" w:firstColumn="1" w:lastColumn="0" w:oddVBand="0" w:evenVBand="0" w:oddHBand="0" w:evenHBand="0" w:firstRowFirstColumn="0" w:firstRowLastColumn="0" w:lastRowFirstColumn="0" w:lastRowLastColumn="0"/>
            <w:tcW w:w="2369" w:type="dxa"/>
          </w:tcPr>
          <w:p w:rsidR="00362A5B" w:rsidRDefault="00362A5B" w:rsidP="00025B7A">
            <w:pPr>
              <w:autoSpaceDE w:val="0"/>
              <w:autoSpaceDN w:val="0"/>
              <w:adjustRightInd w:val="0"/>
            </w:pPr>
            <w:r w:rsidRPr="00B70BA8">
              <w:t>Weight maintenance</w:t>
            </w:r>
          </w:p>
          <w:p w:rsidR="00362A5B" w:rsidRPr="00B70BA8" w:rsidRDefault="00362A5B" w:rsidP="00025B7A">
            <w:pPr>
              <w:autoSpaceDE w:val="0"/>
              <w:autoSpaceDN w:val="0"/>
              <w:adjustRightInd w:val="0"/>
            </w:pPr>
            <w:r w:rsidRPr="00B70BA8">
              <w:t>after weight loss</w:t>
            </w:r>
          </w:p>
        </w:tc>
        <w:tc>
          <w:tcPr>
            <w:tcW w:w="9079" w:type="dxa"/>
            <w:tcBorders>
              <w:right w:val="single" w:sz="6" w:space="0" w:color="000000"/>
            </w:tcBorders>
          </w:tcPr>
          <w:p w:rsidR="00362A5B" w:rsidRPr="00615423"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200 – 300 min/week</w:t>
            </w:r>
            <w:r w:rsidRPr="00615423">
              <w:t xml:space="preserve"> </w:t>
            </w:r>
            <w:r>
              <w:t>supported by some studies, but requires further research</w:t>
            </w:r>
          </w:p>
        </w:tc>
        <w:tc>
          <w:tcPr>
            <w:tcW w:w="1296" w:type="dxa"/>
            <w:tcBorders>
              <w:left w:val="single" w:sz="6" w:space="0" w:color="000000"/>
            </w:tcBorders>
          </w:tcPr>
          <w:p w:rsidR="00362A5B"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B</w:t>
            </w:r>
          </w:p>
        </w:tc>
      </w:tr>
      <w:tr w:rsidR="00362A5B" w:rsidTr="00025B7A">
        <w:tc>
          <w:tcPr>
            <w:cnfStyle w:val="001000000000" w:firstRow="0" w:lastRow="0" w:firstColumn="1" w:lastColumn="0" w:oddVBand="0" w:evenVBand="0" w:oddHBand="0" w:evenHBand="0" w:firstRowFirstColumn="0" w:firstRowLastColumn="0" w:lastRowFirstColumn="0" w:lastRowLastColumn="0"/>
            <w:tcW w:w="2369" w:type="dxa"/>
          </w:tcPr>
          <w:p w:rsidR="00362A5B" w:rsidRPr="00B70BA8" w:rsidRDefault="00362A5B" w:rsidP="00025B7A">
            <w:pPr>
              <w:autoSpaceDE w:val="0"/>
              <w:autoSpaceDN w:val="0"/>
              <w:adjustRightInd w:val="0"/>
            </w:pPr>
            <w:r w:rsidRPr="00B70BA8">
              <w:t>Combined with diet restriction</w:t>
            </w:r>
          </w:p>
        </w:tc>
        <w:tc>
          <w:tcPr>
            <w:tcW w:w="9079" w:type="dxa"/>
            <w:tcBorders>
              <w:right w:val="single" w:sz="6" w:space="0" w:color="000000"/>
            </w:tcBorders>
          </w:tcPr>
          <w:p w:rsidR="00362A5B"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I</w:t>
            </w:r>
            <w:r w:rsidRPr="00615423">
              <w:t>ncrease</w:t>
            </w:r>
            <w:r>
              <w:t>d weight loss with modest</w:t>
            </w:r>
            <w:r w:rsidRPr="00615423">
              <w:t xml:space="preserve"> diet restriction</w:t>
            </w:r>
          </w:p>
          <w:p w:rsidR="00362A5B" w:rsidRPr="00615423"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 xml:space="preserve">No additional effect </w:t>
            </w:r>
            <w:r w:rsidRPr="00615423">
              <w:t xml:space="preserve">if diet restriction is severe (i.e., </w:t>
            </w:r>
            <w:r>
              <w:t>&lt; resting metabolic rate</w:t>
            </w:r>
            <w:r w:rsidRPr="00615423">
              <w:t>)</w:t>
            </w:r>
          </w:p>
        </w:tc>
        <w:tc>
          <w:tcPr>
            <w:tcW w:w="1296" w:type="dxa"/>
            <w:tcBorders>
              <w:left w:val="single" w:sz="6" w:space="0" w:color="000000"/>
            </w:tcBorders>
          </w:tcPr>
          <w:p w:rsidR="00362A5B"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A</w:t>
            </w:r>
          </w:p>
        </w:tc>
      </w:tr>
      <w:tr w:rsidR="00362A5B" w:rsidTr="00025B7A">
        <w:tc>
          <w:tcPr>
            <w:cnfStyle w:val="001000000000" w:firstRow="0" w:lastRow="0" w:firstColumn="1" w:lastColumn="0" w:oddVBand="0" w:evenVBand="0" w:oddHBand="0" w:evenHBand="0" w:firstRowFirstColumn="0" w:firstRowLastColumn="0" w:lastRowFirstColumn="0" w:lastRowLastColumn="0"/>
            <w:tcW w:w="2369" w:type="dxa"/>
            <w:tcBorders>
              <w:bottom w:val="single" w:sz="12" w:space="0" w:color="000000"/>
            </w:tcBorders>
          </w:tcPr>
          <w:p w:rsidR="00362A5B" w:rsidRPr="00B70BA8" w:rsidRDefault="00362A5B" w:rsidP="00025B7A">
            <w:pPr>
              <w:autoSpaceDE w:val="0"/>
              <w:autoSpaceDN w:val="0"/>
              <w:adjustRightInd w:val="0"/>
            </w:pPr>
            <w:r w:rsidRPr="00B70BA8">
              <w:t>Resistance training</w:t>
            </w:r>
          </w:p>
        </w:tc>
        <w:tc>
          <w:tcPr>
            <w:tcW w:w="9079" w:type="dxa"/>
            <w:tcBorders>
              <w:bottom w:val="single" w:sz="12" w:space="0" w:color="000000"/>
              <w:right w:val="single" w:sz="6" w:space="0" w:color="000000"/>
            </w:tcBorders>
          </w:tcPr>
          <w:p w:rsidR="00362A5B"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 xml:space="preserve">Not </w:t>
            </w:r>
            <w:r w:rsidRPr="00615423">
              <w:t>effective for weight loss with or without diet restric</w:t>
            </w:r>
            <w:r>
              <w:t>tion</w:t>
            </w:r>
          </w:p>
          <w:p w:rsidR="00362A5B"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 xml:space="preserve">Limited evidence of lean mass gain/maintenance or </w:t>
            </w:r>
            <w:r w:rsidRPr="00615423">
              <w:t>loss of body fa</w:t>
            </w:r>
            <w:r>
              <w:t>t during energy restriction</w:t>
            </w:r>
          </w:p>
          <w:p w:rsidR="00362A5B" w:rsidRPr="00615423"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S</w:t>
            </w:r>
            <w:r w:rsidRPr="00615423">
              <w:t xml:space="preserve">ome evidence </w:t>
            </w:r>
            <w:r>
              <w:t>of</w:t>
            </w:r>
            <w:r w:rsidRPr="00615423">
              <w:t xml:space="preserve"> improve</w:t>
            </w:r>
            <w:r>
              <w:t>d</w:t>
            </w:r>
            <w:r w:rsidRPr="00615423">
              <w:t xml:space="preserve"> disease risk</w:t>
            </w:r>
            <w:r>
              <w:t xml:space="preserve"> </w:t>
            </w:r>
            <w:r w:rsidRPr="00615423">
              <w:t>factors (i.e., HDL</w:t>
            </w:r>
            <w:r>
              <w:t>, LDL, insulin, BP</w:t>
            </w:r>
            <w:r w:rsidRPr="00615423">
              <w:t>)</w:t>
            </w:r>
          </w:p>
        </w:tc>
        <w:tc>
          <w:tcPr>
            <w:tcW w:w="1296" w:type="dxa"/>
            <w:tcBorders>
              <w:left w:val="single" w:sz="6" w:space="0" w:color="000000"/>
              <w:bottom w:val="single" w:sz="12" w:space="0" w:color="000000"/>
            </w:tcBorders>
          </w:tcPr>
          <w:p w:rsidR="00362A5B" w:rsidRDefault="00362A5B" w:rsidP="00025B7A">
            <w:pPr>
              <w:autoSpaceDE w:val="0"/>
              <w:autoSpaceDN w:val="0"/>
              <w:adjustRightInd w:val="0"/>
              <w:cnfStyle w:val="000000000000" w:firstRow="0" w:lastRow="0" w:firstColumn="0" w:lastColumn="0" w:oddVBand="0" w:evenVBand="0" w:oddHBand="0" w:evenHBand="0" w:firstRowFirstColumn="0" w:firstRowLastColumn="0" w:lastRowFirstColumn="0" w:lastRowLastColumn="0"/>
            </w:pPr>
            <w:r>
              <w:t>B</w:t>
            </w:r>
          </w:p>
        </w:tc>
      </w:tr>
      <w:tr w:rsidR="00362A5B" w:rsidTr="00025B7A">
        <w:tc>
          <w:tcPr>
            <w:cnfStyle w:val="001000000000" w:firstRow="0" w:lastRow="0" w:firstColumn="1" w:lastColumn="0" w:oddVBand="0" w:evenVBand="0" w:oddHBand="0" w:evenHBand="0" w:firstRowFirstColumn="0" w:firstRowLastColumn="0" w:lastRowFirstColumn="0" w:lastRowLastColumn="0"/>
            <w:tcW w:w="12744" w:type="dxa"/>
            <w:gridSpan w:val="3"/>
            <w:tcBorders>
              <w:top w:val="single" w:sz="12" w:space="0" w:color="000000"/>
              <w:bottom w:val="nil"/>
              <w:right w:val="nil"/>
            </w:tcBorders>
          </w:tcPr>
          <w:p w:rsidR="00362A5B" w:rsidRPr="00F6219B" w:rsidRDefault="00362A5B" w:rsidP="00025B7A">
            <w:pPr>
              <w:autoSpaceDE w:val="0"/>
              <w:autoSpaceDN w:val="0"/>
              <w:adjustRightInd w:val="0"/>
              <w:rPr>
                <w:sz w:val="18"/>
                <w:szCs w:val="18"/>
              </w:rPr>
            </w:pPr>
            <w:r w:rsidRPr="00F6219B">
              <w:rPr>
                <w:sz w:val="18"/>
                <w:szCs w:val="18"/>
              </w:rPr>
              <w:t>HDL, high density lipoprotein; LDL, low density lipoprotein; BP, blood pressure</w:t>
            </w:r>
          </w:p>
          <w:p w:rsidR="00362A5B" w:rsidRPr="00F6219B" w:rsidRDefault="00362A5B" w:rsidP="00025B7A">
            <w:pPr>
              <w:autoSpaceDE w:val="0"/>
              <w:autoSpaceDN w:val="0"/>
              <w:adjustRightInd w:val="0"/>
              <w:rPr>
                <w:sz w:val="18"/>
                <w:szCs w:val="18"/>
              </w:rPr>
            </w:pPr>
            <w:r w:rsidRPr="00F6219B">
              <w:rPr>
                <w:sz w:val="18"/>
                <w:szCs w:val="18"/>
              </w:rPr>
              <w:t>Evidence categories of the National Heart, Lung, and Blood Institute (NHLBI); A, randomized controlled trials (rich body of data); B, randomized controlled trials (limited body of data)</w:t>
            </w:r>
            <w:r w:rsidRPr="00F6219B">
              <w:rPr>
                <w:sz w:val="18"/>
                <w:szCs w:val="18"/>
              </w:rPr>
              <w:fldChar w:fldCharType="begin"/>
            </w:r>
            <w:r w:rsidRPr="00F6219B">
              <w:rPr>
                <w:sz w:val="18"/>
                <w:szCs w:val="18"/>
              </w:rPr>
              <w:instrText xml:space="preserve"> ADDIN ZOTERO_ITEM CSL_CITATION {"citationID":"t13Bv1xN","properties":{"formattedCitation":"{\\rtf \\super 25\\nosupersub{}}","plainCitation":"25"},"citationItems":[{"id":41,"uris":["http://zotero.org/users/171999/items/A4BC5B8B"],"uri":["http://zotero.org/users/171999/items/A4BC5B8B"],"itemData":{"id":41,"type":"article-journal","title":"Clinical guidelines on the identification, evaluation, and treatment of overweight and obesity in adults: The evidence report","container-title":"NIH Publication","page":"262","volume":"98","issue":"4083","author":[{"family":"National Heart, Lung, and Blood Institute","given":""},{"family":"The National Institute of Diabetes and Digestive and Kidney Diseases","given":""}],"issued":{"date-parts":[["1998"]]}}}],"schema":"https://github.com/citation-style-language/schema/raw/master/csl-citation.json"} </w:instrText>
            </w:r>
            <w:r w:rsidRPr="00F6219B">
              <w:rPr>
                <w:sz w:val="18"/>
                <w:szCs w:val="18"/>
              </w:rPr>
              <w:fldChar w:fldCharType="separate"/>
            </w:r>
            <w:r w:rsidRPr="00F6219B">
              <w:rPr>
                <w:sz w:val="18"/>
                <w:szCs w:val="18"/>
                <w:vertAlign w:val="superscript"/>
              </w:rPr>
              <w:t>25</w:t>
            </w:r>
            <w:r w:rsidRPr="00F6219B">
              <w:rPr>
                <w:sz w:val="18"/>
                <w:szCs w:val="18"/>
              </w:rPr>
              <w:fldChar w:fldCharType="end"/>
            </w:r>
          </w:p>
          <w:p w:rsidR="00362A5B" w:rsidRDefault="00362A5B" w:rsidP="00025B7A">
            <w:pPr>
              <w:autoSpaceDE w:val="0"/>
              <w:autoSpaceDN w:val="0"/>
              <w:adjustRightInd w:val="0"/>
            </w:pPr>
            <w:r w:rsidRPr="00F6219B">
              <w:rPr>
                <w:sz w:val="18"/>
                <w:szCs w:val="18"/>
              </w:rPr>
              <w:t>Table modified from  Donnelly JE, et al. 2009</w:t>
            </w:r>
            <w:r w:rsidRPr="00F6219B">
              <w:rPr>
                <w:sz w:val="18"/>
                <w:szCs w:val="18"/>
              </w:rPr>
              <w:fldChar w:fldCharType="begin"/>
            </w:r>
            <w:r w:rsidR="000A492A">
              <w:rPr>
                <w:sz w:val="18"/>
                <w:szCs w:val="18"/>
              </w:rPr>
              <w:instrText xml:space="preserve"> ADDIN ZOTERO_ITEM CSL_CITATION {"citationID":"1t35asmri7","properties":{"formattedCitation":"{\\rtf \\super 312\\nosupersub{}}","plainCitation":"312"},"citationItems":[{"id":1652,"uris":["http://zotero.org/users/171999/items/SGMN9JMZ"],"uri":["http://zotero.org/users/171999/items/SGMN9JMZ"],"itemData":{"id":1652,"type":"article-journal","title":"American College of Sports Medicine Position Stand. Appropriate physical activity intervention strategies for weight loss and prevention of weight regain for adults","container-title":"Medicine and science in sports and exercise","page":"459-471","volume":"41","issue":"2","source":"NCBI PubMed","abstract":"Overweight and obesity affects more than 66% of the adult population and is associated with a variety of chronic diseases. Weight reduction reduces health risks associated with chronic diseases and is therefore encouraged by major health agencies. Guidelines of the National Heart, Lung, and Blood Institute (NHLBI) encourage a 10% reduction in weight, although considerable literature indicates reduction in health risk with 3% to 5% reduction in weight. Physical activity (PA) is recommended as a component of weight management for prevention of weight gain, for weight loss, and for prevention of weight regain after weight loss. In 2001, the American College of Sports Medicine (ACSM) published a Position Stand that recommended a minimum of 150 min wk(-1) of moderate-intensity PA for overweight and obese adults to improve health; however, 200-300 min wk(-1) was recommended for long-term weight loss. More recent evidence has supported this recommendation and has indicated more PA may be necessary to prevent weight regain after weight loss. To this end, we have reexamined the evidence from 1999 to determine whether there is a level at which PA is effective for prevention of weight gain, for weight loss, and prevention of weight regain. Evidence supports moderate-intensity PA between 150 and 250 min wk(-1) to be effective to prevent weight gain. Moderate-intensity PA between 150 and 250 min wk(-1) will provide only modest weight loss. Greater amounts of PA (&gt;250 min wk(-1)) have been associated with clinically significant weight loss. Moderate-intensity PA between 150 and 250 min wk(-1) will improve weight loss in studies that use moderate diet restriction but not severe diet restriction. Cross-sectional and prospective studies indicate that after weight loss, weight maintenance is improved with PA &gt;250 min wk(-1). However, no evidence from well-designed randomized controlled trials exists to judge the effectiveness of PA for prevention of weight regain after weight loss. Resistance training does not enhance weight loss but may increase fat-free mass and increase loss of fat mass and is associated with reductions in health risk. Existing evidence indicates that endurance PA or resistance training without weight loss improves health risk. There is inadequate evidence to determine whether PA prevents or attenuates detrimental changes in chronic disease risk during weight gain.","DOI":"10.1249/MSS.0b013e3181949333","ISSN":"1530-0315","note":"PMID: 19127177","journalAbbreviation":"Med Sci Sports Exerc","language":"eng","author":[{"family":"Donnelly","given":"Joseph E"},{"family":"Blair","given":"Steven N"},{"family":"Jakicic","given":"John M"},{"family":"Manore","given":"Melinda M"},{"family":"Rankin","given":"Janet W"},{"family":"Smith","given":"Bryan K"},{"family":"American College of Sports Medicine","given":""}],"issued":{"date-parts":[["2009",2]]},"PMID":"19127177"}}],"schema":"https://github.com/citation-style-language/schema/raw/master/csl-citation.json"} </w:instrText>
            </w:r>
            <w:r w:rsidRPr="00F6219B">
              <w:rPr>
                <w:sz w:val="18"/>
                <w:szCs w:val="18"/>
              </w:rPr>
              <w:fldChar w:fldCharType="separate"/>
            </w:r>
            <w:r w:rsidR="000A492A" w:rsidRPr="000A492A">
              <w:rPr>
                <w:sz w:val="18"/>
                <w:vertAlign w:val="superscript"/>
              </w:rPr>
              <w:t>312</w:t>
            </w:r>
            <w:r w:rsidRPr="00F6219B">
              <w:rPr>
                <w:sz w:val="18"/>
                <w:szCs w:val="18"/>
              </w:rPr>
              <w:fldChar w:fldCharType="end"/>
            </w:r>
          </w:p>
        </w:tc>
      </w:tr>
    </w:tbl>
    <w:p w:rsidR="00362A5B" w:rsidRDefault="00362A5B" w:rsidP="00D013B8">
      <w:pPr>
        <w:sectPr w:rsidR="00362A5B" w:rsidSect="00362A5B">
          <w:pgSz w:w="15840" w:h="12240" w:orient="landscape" w:code="1"/>
          <w:pgMar w:top="1800" w:right="1440" w:bottom="1800" w:left="1872" w:header="720" w:footer="1440" w:gutter="0"/>
          <w:cols w:space="720"/>
          <w:noEndnote/>
          <w:docGrid w:linePitch="360"/>
        </w:sectPr>
      </w:pPr>
    </w:p>
    <w:p w:rsidR="00D013B8" w:rsidRDefault="003E5FA4" w:rsidP="00D013B8">
      <w:proofErr w:type="gramStart"/>
      <w:r>
        <w:lastRenderedPageBreak/>
        <w:t>the</w:t>
      </w:r>
      <w:proofErr w:type="gramEnd"/>
      <w:r>
        <w:t xml:space="preserve"> scope of th</w:t>
      </w:r>
      <w:r w:rsidR="000E0799">
        <w:t xml:space="preserve">is document, but select examples from each classification will be discussed in further detail.  The first example, </w:t>
      </w:r>
      <w:r w:rsidR="00617FB8">
        <w:t>o</w:t>
      </w:r>
      <w:r>
        <w:t>rlistat (alli®, GlaxoSmithKline, Brentford, Middlesex</w:t>
      </w:r>
      <w:r w:rsidR="00B26915">
        <w:t>; Xenical®, Genentech, Inc, San Francisco, CA</w:t>
      </w:r>
      <w:r>
        <w:t>)</w:t>
      </w:r>
      <w:r w:rsidR="000E0799">
        <w:t>, is an agent capable of affecting nutrient absorption.  It</w:t>
      </w:r>
      <w:r>
        <w:t xml:space="preserve"> was intr</w:t>
      </w:r>
      <w:r w:rsidR="00B775F2">
        <w:t>oduced in 1998, is approved for longterm use (</w:t>
      </w:r>
      <w:r w:rsidR="00B775F2">
        <w:rPr>
          <w:u w:val="single"/>
        </w:rPr>
        <w:t>&gt;</w:t>
      </w:r>
      <w:r w:rsidR="00B775F2">
        <w:t>24 weeks), and</w:t>
      </w:r>
      <w:r>
        <w:t xml:space="preserve"> decrease</w:t>
      </w:r>
      <w:r w:rsidR="00B775F2">
        <w:t>s</w:t>
      </w:r>
      <w:r>
        <w:t xml:space="preserve"> fat absorption</w:t>
      </w:r>
      <w:r w:rsidR="00617FB8">
        <w:t xml:space="preserve"> </w:t>
      </w:r>
      <w:r w:rsidR="00665E0F">
        <w:t>v</w:t>
      </w:r>
      <w:r w:rsidR="00617FB8">
        <w:t>ia gastric and pancreatic</w:t>
      </w:r>
      <w:r>
        <w:t xml:space="preserve"> lipase inhibition.</w:t>
      </w:r>
      <w:r>
        <w:fldChar w:fldCharType="begin"/>
      </w:r>
      <w:r w:rsidR="000A492A">
        <w:instrText xml:space="preserve"> ADDIN ZOTERO_ITEM CSL_CITATION {"citationID":"O61culRj","properties":{"formattedCitation":"{\\rtf \\super 319,320\\nosupersub{}}","plainCitation":"319,320"},"citationItems":[{"id":1671,"uris":["http://zotero.org/users/171999/items/65NNNVCI"],"uri":["http://zotero.org/users/171999/items/65NNNVCI"],"itemData":{"id":1671,"type":"article-journal","title":"Pharmacotherapies for obesity: past, current, and future therapies","container-title":"Journal of obesity","page":"179674","volume":"2011","source":"NCBI PubMed","abstract":"Past therapies for the treatment of obesity have typically involved pharmacological agents usually in combination with a calorie-controlled diet. This paper reviews the efficacy and safety of pharmacotherapies for obesity focusing on drugs approved for long-term therapy (orlistat), drugs approved for short-term use (amfepramone [diethylpropion], phentermine), recently withdrawn therapies (rimonabant, sibutamine) and drugs evaluated in Phase III studies (taranabant, pramlintide, lorcaserin and tesofensine and combination therapies of topiramate plus phentermine, bupropion plus naltrexone, and bupropion plus zonisamide). No current pharmacotherapy possesses the efficacy needed to produce substantial weight loss in morbidly obese patients. Meta-analyses support a significant though modest loss in bodyweight with a mean weight difference of 4.7 kg (95% CI 4.1 to 5.3 kg) for rimonabant, 4.2 kg (95% CI 3.6 to 4.8 kg) for sibutramine and 2.9 kg (95% CI 2.5 to 3.2 kg) for orlistat compared to placebo at ≥12 months. Of the Phase III pharmacotherapies, lorcaserin, taranabant, topiramate and bupropion with naltrexone have demonstrated significant weight loss compared to placebo at ≥12 months. Some pharmacotherapies have also demonstrated clinical benefits. Further studies are required in some populations such as younger and older people whilst the long term safety continues to be a major consideration and has led to the withdrawal of several drugs.","DOI":"10.1155/2011/179674","ISSN":"2090-0716","note":"PMID: 21197148","shortTitle":"Pharmacotherapies for obesity","journalAbbreviation":"J Obes","language":"eng","author":[{"family":"Ioannides-Demos","given":"Lisa L"},{"family":"Piccenna","given":"Loretta"},{"family":"McNeil","given":"John J"}],"issued":{"date-parts":[["2011"]]},"PMID":"21197148"}},{"id":1673,"uris":["http://zotero.org/users/171999/items/2Z65RGHC"],"uri":["http://zotero.org/users/171999/items/2Z65RGHC"],"itemData":{"id":1673,"type":"article-journal","title":"The first decade of sibutramine and orlistat: a reappraisal of their expanding roles in the treatment of obesity and associated conditions","container-title":"Arquivos Brasileiros de Endocrinologia &amp;amp; Metabologia","page":"262-270","volume":"53","issue":"2","source":"SciELO","DOI":"10.1590/S0004-27302009000200018","ISSN":"0004-2730","shortTitle":"The first decade of sibutramine and orlistat","author":[{"family":"Coutinho","given":"Walmir"}],"issued":{"date-parts":[["2009",3]]},"accessed":{"date-parts":[["2013",11,10]]}}}],"schema":"https://github.com/citation-style-language/schema/raw/master/csl-citation.json"} </w:instrText>
      </w:r>
      <w:r>
        <w:fldChar w:fldCharType="separate"/>
      </w:r>
      <w:r w:rsidR="000A492A" w:rsidRPr="000A492A">
        <w:rPr>
          <w:vertAlign w:val="superscript"/>
        </w:rPr>
        <w:t>319,320</w:t>
      </w:r>
      <w:r>
        <w:fldChar w:fldCharType="end"/>
      </w:r>
      <w:r w:rsidR="000E0799">
        <w:t xml:space="preserve"> </w:t>
      </w:r>
      <w:r w:rsidR="00F503E4">
        <w:t xml:space="preserve"> </w:t>
      </w:r>
      <w:r w:rsidR="00665E0F">
        <w:t xml:space="preserve">When consuming </w:t>
      </w:r>
      <w:r w:rsidR="00617FB8">
        <w:t>80 g fat/day</w:t>
      </w:r>
      <w:r w:rsidR="00F503E4">
        <w:t xml:space="preserve"> (30% ME), 60 mg of orlistat with each meal (180 mg total dose)</w:t>
      </w:r>
      <w:r w:rsidR="00665E0F">
        <w:t xml:space="preserve"> decrease</w:t>
      </w:r>
      <w:r w:rsidR="00F503E4">
        <w:t>s</w:t>
      </w:r>
      <w:r w:rsidR="00665E0F">
        <w:t xml:space="preserve"> intestinal fat absorption by 30%.</w:t>
      </w:r>
      <w:r w:rsidR="00665E0F">
        <w:fldChar w:fldCharType="begin"/>
      </w:r>
      <w:r w:rsidR="000A492A">
        <w:instrText xml:space="preserve"> ADDIN ZOTERO_ITEM CSL_CITATION {"citationID":"DzJ1vm2q","properties":{"formattedCitation":"{\\rtf \\super 321\\nosupersub{}}","plainCitation":"321"},"citationItems":[{"id":1675,"uris":["http://zotero.org/users/171999/items/I4G6A82H"],"uri":["http://zotero.org/users/171999/items/I4G6A82H"],"itemData":{"id":1675,"type":"article-journal","title":"Initial studies in humans with the novel gastrointestinal lipase inhibitor Ro 18-0647 (tetrahydrolipstatin)","container-title":"The American journal of clinical nutrition","page":"309S-313S","volume":"55","issue":"1 Suppl","source":"NCBI PubMed","abstract":"Excessive intake of dietary fat contributes to the development and maintenance of both obesity and hyperlipidemia. Inhibition of gastrointestinal lipases could decrease the amount of ingested fat that is absorbed systemically by preventing the hydrolysis of triglycerides. Ro 18-0647, a chemically synthesized derivative of the natural product lipstatin, inhibits the action of gastrointestinal lipases. Initial studies in humans have shown that Ro 18-0647 can reliably increase fecal fat excretion. Ro 18-0647 has also been shown to be well tolerated in the majority of normal volunteers and obese patients studied. Further research must be conducted to determine whether clinical endpoints of weight loss or cholesterol lowering can be produced by using this new pharmacologic principle.","ISSN":"0002-9165","note":"PMID: 1728845","journalAbbreviation":"Am. J. Clin. Nutr.","language":"eng","author":[{"family":"Hauptman","given":"J B"},{"family":"Jeunet","given":"F S"},{"family":"Hartmann","given":"D"}],"issued":{"date-parts":[["1992",1]]},"PMID":"1728845"}}],"schema":"https://github.com/citation-style-language/schema/raw/master/csl-citation.json"} </w:instrText>
      </w:r>
      <w:r w:rsidR="00665E0F">
        <w:fldChar w:fldCharType="separate"/>
      </w:r>
      <w:r w:rsidR="000A492A" w:rsidRPr="000A492A">
        <w:rPr>
          <w:vertAlign w:val="superscript"/>
        </w:rPr>
        <w:t>321</w:t>
      </w:r>
      <w:r w:rsidR="00665E0F">
        <w:fldChar w:fldCharType="end"/>
      </w:r>
      <w:r w:rsidR="00F503E4">
        <w:t xml:space="preserve">  </w:t>
      </w:r>
      <w:r w:rsidR="00901A11">
        <w:t>This dose produced 2.44 kg and 2.51 kg more weight loss versus placebo at 1 and 2 years, respectively (based on weighted mean difference, WMD).</w:t>
      </w:r>
      <w:r w:rsidR="00901A11">
        <w:fldChar w:fldCharType="begin"/>
      </w:r>
      <w:r w:rsidR="000A492A">
        <w:instrText xml:space="preserve"> ADDIN ZOTERO_ITEM CSL_CITATION {"citationID":"rrs0s15tp","properties":{"formattedCitation":"{\\rtf \\super 322\\nosupersub{}}","plainCitation":"322"},"citationItems":[{"id":1679,"uris":["http://zotero.org/users/171999/items/9P9G7WD8"],"uri":["http://zotero.org/users/171999/items/9P9G7WD8"],"itemData":{"id":1679,"type":"article-journal","title":"A systematic review of the clinical effectiveness of orlistat used for the management of obesity","container-title":"Obesity reviews: an official journal of the International Association for the Study of Obesity","page":"51-68","volume":"5","issue":"1","source":"NCBI PubMed","abstract":"The aim of this paper is to assess the clinical effectiveness of orlistat used for the management of obesity. Nineteen electronic databases were searched for randomized controlled trials evaluating the effectiveness of orlistat for weight loss or maintenance of weight loss in overweight or obese patients. Each included trial was assessed for methodological quality. Statistical pooling was performed when trials were considered to be sufficiently similar. Twenty-three trials were eligible for inclusion. Placebo-controlled trials recruiting patients with uncomplicated obesity reported statistically significant differences in favour of orlistat for weight loss and changes in obesity-related risk factors at all time points. Trials in obese patients with defined risk factors at baseline showed similar results, however, smaller effect sizes were observed in patients with type 2 diabetes. The effectiveness of orlistat relative to other anti-obesity drugs is currently unclear. When orlistat was added to simvastatin, this proved to be more effective for weight loss than either drug used individually. Orlistat use is associated with a higher incidence of gastrointestinal adverse events compared with placebo. In conclusion, orlistat is more effective than placebo in promoting weight loss, maintenance of weight loss, and improving cardiovascular risk factor profiles. Baseline parameters of patients seen in clinical practice should be taken into account when considering treatment.","ISSN":"1467-7881","note":"PMID: 14969507","journalAbbreviation":"Obes Rev","language":"eng","author":[{"family":"O'Meara","given":"S"},{"family":"Riemsma","given":"R"},{"family":"Shirran","given":"L"},{"family":"Mather","given":"L"},{"family":"ter Riet","given":"G"}],"issued":{"date-parts":[["2004",2]]},"PMID":"14969507"}}],"schema":"https://github.com/citation-style-language/schema/raw/master/csl-citation.json"} </w:instrText>
      </w:r>
      <w:r w:rsidR="00901A11">
        <w:fldChar w:fldCharType="separate"/>
      </w:r>
      <w:r w:rsidR="000A492A" w:rsidRPr="000A492A">
        <w:rPr>
          <w:vertAlign w:val="superscript"/>
        </w:rPr>
        <w:t>322</w:t>
      </w:r>
      <w:r w:rsidR="00901A11">
        <w:fldChar w:fldCharType="end"/>
      </w:r>
      <w:r w:rsidR="00901A11">
        <w:t xml:space="preserve">  Doubling the dose led to 3.19 kg greater loss versus placebo at 1 and 2 years (based on pooled WMD).</w:t>
      </w:r>
      <w:r w:rsidR="00901A11">
        <w:fldChar w:fldCharType="begin"/>
      </w:r>
      <w:r w:rsidR="000A492A">
        <w:instrText xml:space="preserve"> ADDIN ZOTERO_ITEM CSL_CITATION {"citationID":"177eo7t77g","properties":{"formattedCitation":"{\\rtf \\super 322\\nosupersub{}}","plainCitation":"322"},"citationItems":[{"id":1679,"uris":["http://zotero.org/users/171999/items/9P9G7WD8"],"uri":["http://zotero.org/users/171999/items/9P9G7WD8"],"itemData":{"id":1679,"type":"article-journal","title":"A systematic review of the clinical effectiveness of orlistat used for the management of obesity","container-title":"Obesity reviews: an official journal of the International Association for the Study of Obesity","page":"51-68","volume":"5","issue":"1","source":"NCBI PubMed","abstract":"The aim of this paper is to assess the clinical effectiveness of orlistat used for the management of obesity. Nineteen electronic databases were searched for randomized controlled trials evaluating the effectiveness of orlistat for weight loss or maintenance of weight loss in overweight or obese patients. Each included trial was assessed for methodological quality. Statistical pooling was performed when trials were considered to be sufficiently similar. Twenty-three trials were eligible for inclusion. Placebo-controlled trials recruiting patients with uncomplicated obesity reported statistically significant differences in favour of orlistat for weight loss and changes in obesity-related risk factors at all time points. Trials in obese patients with defined risk factors at baseline showed similar results, however, smaller effect sizes were observed in patients with type 2 diabetes. The effectiveness of orlistat relative to other anti-obesity drugs is currently unclear. When orlistat was added to simvastatin, this proved to be more effective for weight loss than either drug used individually. Orlistat use is associated with a higher incidence of gastrointestinal adverse events compared with placebo. In conclusion, orlistat is more effective than placebo in promoting weight loss, maintenance of weight loss, and improving cardiovascular risk factor profiles. Baseline parameters of patients seen in clinical practice should be taken into account when considering treatment.","ISSN":"1467-7881","note":"PMID: 14969507","journalAbbreviation":"Obes Rev","language":"eng","author":[{"family":"O'Meara","given":"S"},{"family":"Riemsma","given":"R"},{"family":"Shirran","given":"L"},{"family":"Mather","given":"L"},{"family":"ter Riet","given":"G"}],"issued":{"date-parts":[["2004",2]]},"PMID":"14969507"}}],"schema":"https://github.com/citation-style-language/schema/raw/master/csl-citation.json"} </w:instrText>
      </w:r>
      <w:r w:rsidR="00901A11">
        <w:fldChar w:fldCharType="separate"/>
      </w:r>
      <w:r w:rsidR="000A492A" w:rsidRPr="000A492A">
        <w:rPr>
          <w:vertAlign w:val="superscript"/>
        </w:rPr>
        <w:t>322</w:t>
      </w:r>
      <w:r w:rsidR="00901A11">
        <w:fldChar w:fldCharType="end"/>
      </w:r>
      <w:r w:rsidR="00901A11">
        <w:t xml:space="preserve">  </w:t>
      </w:r>
      <w:r w:rsidR="00F503E4">
        <w:t>Common side effects are gastrointestinal in nature, including diarrhea, abdominal cramping</w:t>
      </w:r>
      <w:r w:rsidR="00CA1D62">
        <w:t>, and nausea.</w:t>
      </w:r>
      <w:r w:rsidR="00CA1D62">
        <w:fldChar w:fldCharType="begin"/>
      </w:r>
      <w:r w:rsidR="000A492A">
        <w:instrText xml:space="preserve"> ADDIN ZOTERO_ITEM CSL_CITATION {"citationID":"1pjogbj03j","properties":{"formattedCitation":"{\\rtf \\super 321\\nosupersub{}}","plainCitation":"321"},"citationItems":[{"id":1675,"uris":["http://zotero.org/users/171999/items/I4G6A82H"],"uri":["http://zotero.org/users/171999/items/I4G6A82H"],"itemData":{"id":1675,"type":"article-journal","title":"Initial studies in humans with the novel gastrointestinal lipase inhibitor Ro 18-0647 (tetrahydrolipstatin)","container-title":"The American journal of clinical nutrition","page":"309S-313S","volume":"55","issue":"1 Suppl","source":"NCBI PubMed","abstract":"Excessive intake of dietary fat contributes to the development and maintenance of both obesity and hyperlipidemia. Inhibition of gastrointestinal lipases could decrease the amount of ingested fat that is absorbed systemically by preventing the hydrolysis of triglycerides. Ro 18-0647, a chemically synthesized derivative of the natural product lipstatin, inhibits the action of gastrointestinal lipases. Initial studies in humans have shown that Ro 18-0647 can reliably increase fecal fat excretion. Ro 18-0647 has also been shown to be well tolerated in the majority of normal volunteers and obese patients studied. Further research must be conducted to determine whether clinical endpoints of weight loss or cholesterol lowering can be produced by using this new pharmacologic principle.","ISSN":"0002-9165","note":"PMID: 1728845","journalAbbreviation":"Am. J. Clin. Nutr.","language":"eng","author":[{"family":"Hauptman","given":"J B"},{"family":"Jeunet","given":"F S"},{"family":"Hartmann","given":"D"}],"issued":{"date-parts":[["1992",1]]},"PMID":"1728845"}}],"schema":"https://github.com/citation-style-language/schema/raw/master/csl-citation.json"} </w:instrText>
      </w:r>
      <w:r w:rsidR="00CA1D62">
        <w:fldChar w:fldCharType="separate"/>
      </w:r>
      <w:r w:rsidR="000A492A" w:rsidRPr="000A492A">
        <w:rPr>
          <w:vertAlign w:val="superscript"/>
        </w:rPr>
        <w:t>321</w:t>
      </w:r>
      <w:r w:rsidR="00CA1D62">
        <w:fldChar w:fldCharType="end"/>
      </w:r>
    </w:p>
    <w:p w:rsidR="00CA1D62" w:rsidRDefault="00CA1D62" w:rsidP="00CA1D62">
      <w:pPr>
        <w:ind w:firstLine="720"/>
      </w:pPr>
      <w:r w:rsidRPr="003A0EF9">
        <w:t xml:space="preserve">Dirlotapide, </w:t>
      </w:r>
      <w:r>
        <w:t>(SLENTROL®, Zoetis, Florham Park, NJ)</w:t>
      </w:r>
      <w:r w:rsidRPr="003A0EF9">
        <w:t xml:space="preserve"> is the only US Food and Drug Administration (FDA) approved medication for weight loss in dogs.  </w:t>
      </w:r>
      <w:r w:rsidR="00901A11">
        <w:t xml:space="preserve">Like orlistat, it is an agent </w:t>
      </w:r>
      <w:r w:rsidR="00E95739">
        <w:t>affecting</w:t>
      </w:r>
      <w:r w:rsidR="00901A11">
        <w:t xml:space="preserve"> fat absorption, although through a different mechanism of action (MOA).  </w:t>
      </w:r>
      <w:r w:rsidRPr="003A0EF9">
        <w:t xml:space="preserve">It </w:t>
      </w:r>
      <w:r>
        <w:t>is</w:t>
      </w:r>
      <w:r w:rsidRPr="003A0EF9">
        <w:t xml:space="preserve"> a microsomal transport</w:t>
      </w:r>
      <w:r>
        <w:t xml:space="preserve"> protein (MTP)</w:t>
      </w:r>
      <w:r w:rsidRPr="003A0EF9">
        <w:t xml:space="preserve"> inhibitor </w:t>
      </w:r>
      <w:r>
        <w:t xml:space="preserve">and inhibits </w:t>
      </w:r>
      <w:r w:rsidRPr="003A0EF9">
        <w:t>transport of lipids out of enterocyte</w:t>
      </w:r>
      <w:r>
        <w:t>s</w:t>
      </w:r>
      <w:r w:rsidRPr="003A0EF9">
        <w:t xml:space="preserve">, causing lipid accumulation.  As enterocytes are lost through normal intestinal sloughing, the accumulated lipid is lost in fecal matter and not absorbed.  While this loss of lipid absorption does explain a small portion of dirlotapide’s </w:t>
      </w:r>
      <w:r w:rsidR="00901A11">
        <w:t>MOA,</w:t>
      </w:r>
      <w:r w:rsidRPr="003A0EF9">
        <w:t xml:space="preserve"> 90% of the MOA is actually attributed to </w:t>
      </w:r>
      <w:r>
        <w:t>intracellular accumulated fat</w:t>
      </w:r>
      <w:r w:rsidRPr="003A0EF9">
        <w:t xml:space="preserve"> triggering release of intestinal PYY</w:t>
      </w:r>
      <w:r>
        <w:t>, which is anorexigenic.</w:t>
      </w:r>
      <w:r w:rsidRPr="003A0EF9">
        <w:fldChar w:fldCharType="begin"/>
      </w:r>
      <w:r w:rsidR="000A492A">
        <w:instrText xml:space="preserve"> ADDIN ZOTERO_ITEM CSL_CITATION {"citationID":"VImL0gqY","properties":{"formattedCitation":"{\\rtf \\super 323\\nosupersub{}}","plainCitation":"323"},"citationItems":[{"id":358,"uris":["http://zotero.org/users/local/Ry4zHLbn/items/IT2ZRWW5"],"uri":["http://zotero.org/users/local/Ry4zHLbn/items/IT2ZRWW5"],"itemData":{"id":358,"type":"article-journal","title":"Biologic activity of dirlotapide, a novel microsomal triglyceride transfer protein inhibitor, for weight loss in obese dogs","container-title":"Journal of veterinary pharmacology and therapeutics","page":"33-42","volume":"30 Suppl 1","source":"NCBI PubMed","abstract":"Dirlotapide is a novel microsomal triglyceride transfer protein inhibitor intended for the treatment and management of obesity in dogs. The biologic effects of dirlotapide, weight loss, decreased food intake, increased fecal fat, decreased serum cholesterol, and body composition, were evaluated in a controlled, blinded study. Sixteen obese beagles were randomized to treatment with placebo (n = 4) or dirlotapide (n = 12) following a 2-week acclimation period in which baseline data were collected. The dirlotapide dose, adjusted to produce weight loss for 3 months and then stabilize body weight for 1 month (weight management), produced a significant difference (expressed as a percentage of baselines) in weekly weight loss, food intake, fecal fat, serum cholesterol concentration, and body composition (measured by dual energy X-ray absorptiometry) compared with placebo treatment (P &lt; 0.05). The initial dirlotapide dosage of 0.5 mg/kg (10 times the initial label dose) resulted in a high rate of weight loss (3.3% weekly) and anorexia, emesis, and loose stools for some dogs. A 25% dose reduction (mean dosage: 0.36 mg/kg) followed by biweekly 25% dose adjustments based on individual weight loss, produced 1-2% weekly weight loss and total weight loss of 18.8% in 12 weeks at a final mean dosage of 0.41 mg/kg (range: 0.15-0.60); a dosage range of 0.10-0.34 mg/kg stabilized body weight. Body weight changes for placebo-treated dogs were -0.8% to +0.9% weekly; total weight gain during the weight loss phase was 10.6%. No apparent change in food intake, percentage of fecal fat, and serum cholesterol was observed in the placebo group. Food intake and body weight increased when dirlotapide was discontinued. Dirlotapide produced weight loss by both reducing appetite (about 90% of the weight loss activity) and by increasing fecal fat excretion (about 10% of the weight loss activity).","DOI":"10.1111/j.1365-2885.2007.00853.x","ISSN":"0140-7783","note":"PMID: 17567513","journalAbbreviation":"J. Vet. Pharmacol. Ther.","language":"eng","author":[{"family":"Wren","given":"J A"},{"family":"King","given":"V L"},{"family":"Campbell","given":"S L"},{"family":"Hickman","given":"M A"}],"issued":{"date-parts":[["2007",8]]},"PMID":"17567513"}}],"schema":"https://github.com/citation-style-language/schema/raw/master/csl-citation.json"} </w:instrText>
      </w:r>
      <w:r w:rsidRPr="003A0EF9">
        <w:fldChar w:fldCharType="separate"/>
      </w:r>
      <w:r w:rsidR="000A492A" w:rsidRPr="000A492A">
        <w:rPr>
          <w:vertAlign w:val="superscript"/>
        </w:rPr>
        <w:t>323</w:t>
      </w:r>
      <w:r w:rsidRPr="003A0EF9">
        <w:fldChar w:fldCharType="end"/>
      </w:r>
      <w:r w:rsidRPr="003A0EF9">
        <w:t xml:space="preserve">  </w:t>
      </w:r>
      <w:r>
        <w:t xml:space="preserve">Weight loss occurs due to decreased food intake.  </w:t>
      </w:r>
      <w:r w:rsidRPr="003A0EF9">
        <w:t xml:space="preserve">Because of this relationship with fat, a dog receiving dirlotapide must be dosed based on </w:t>
      </w:r>
      <w:r>
        <w:t xml:space="preserve">dietary </w:t>
      </w:r>
      <w:r w:rsidRPr="003A0EF9">
        <w:t xml:space="preserve">fat content </w:t>
      </w:r>
      <w:r>
        <w:t>or the MOA is less efficient</w:t>
      </w:r>
      <w:r w:rsidRPr="003A0EF9">
        <w:t>.</w:t>
      </w:r>
      <w:r w:rsidRPr="003A0EF9">
        <w:fldChar w:fldCharType="begin"/>
      </w:r>
      <w:r w:rsidR="000A492A">
        <w:instrText xml:space="preserve"> ADDIN ZOTERO_ITEM CSL_CITATION {"citationID":"RoJGQlkO","properties":{"formattedCitation":"{\\rtf \\super 324\\nosupersub{}}","plainCitation":"324"},"citationItems":[{"id":360,"uris":["http://zotero.org/users/local/Ry4zHLbn/items/VVE49QDT"],"uri":["http://zotero.org/users/local/Ry4zHLbn/items/VVE49QDT"],"itemData":{"id":360,"type":"article-journal","title":"Dirlotapide: a review of its properties and role in the management of obesity in dogs","container-title":"Journal of veterinary pharmacology and therapeutics","page":"11-16","volume":"30 Suppl 1","source":"NCBI PubMed","abstract":"Dirlotapide is a microsomal triglyceride transfer protein (MTP) inhibitor developed specifically for canine weight reduction. MTP catalyzes the assembly of triglyceride-rich apolipoprotein-B containing lipoproteins to form chylomicrons in the intestinal mucosa and very low-density lipoproteins in the liver. Following oral administration, dirlotapide has in vivo selectivity for intestinal MTP compared with hepatic MTP. In addition to reducing intestinal fat absorption, dirlotapide also reduces food intake in a dose-dependent manner, probably via increased release of peptide YY into the circulation. The decrease in food intake is responsible for the majority of the weight reduction effect. In clinical use, it is recommended to adjust the dose according to the observed weight loss of each individual. The initial dose of 0.05 mg/kg is doubled after 14 days and then adjusted monthly, the maximum permitted daily dose is 1.0 mg/kg, although doses as high as 10 mg/kg have been administered to dogs without severe adverse experience in safety studies. Dirlotapide can be used without necessitating changes to the current feeding or exercise regimens, but it is desirable to monitor the food intake during weight-stabilization to establish revised feeding and exercise routines that will minimize the risk of weight regain post-treatment. The drug offers a novel approach that is applicable in cases where dietary management alone has proved to be unsuccessful.","DOI":"10.1111/j.1365-2885.2007.00864.x","ISSN":"0140-7783","note":"PMID: 17567510","shortTitle":"Dirlotapide","journalAbbreviation":"J. Vet. Pharmacol. Ther.","language":"eng","author":[{"family":"Wren","given":"J A"},{"family":"Gossellin","given":"J"},{"family":"Sunderland","given":"S J"}],"issued":{"date-parts":[["2007",8]]},"PMID":"17567510"}}],"schema":"https://github.com/citation-style-language/schema/raw/master/csl-citation.json"} </w:instrText>
      </w:r>
      <w:r w:rsidRPr="003A0EF9">
        <w:fldChar w:fldCharType="separate"/>
      </w:r>
      <w:r w:rsidR="000A492A" w:rsidRPr="000A492A">
        <w:rPr>
          <w:vertAlign w:val="superscript"/>
        </w:rPr>
        <w:t>324</w:t>
      </w:r>
      <w:r w:rsidRPr="003A0EF9">
        <w:fldChar w:fldCharType="end"/>
      </w:r>
      <w:r w:rsidRPr="003A0EF9">
        <w:t xml:space="preserve">  When fed diets with 5% fat, dogs needed higher doses of dirlotapide compared to when eating diets with 10 or 15% fat on a dry matter basis.</w:t>
      </w:r>
      <w:r w:rsidRPr="003A0EF9">
        <w:fldChar w:fldCharType="begin"/>
      </w:r>
      <w:r w:rsidR="000A492A">
        <w:instrText xml:space="preserve"> ADDIN ZOTERO_ITEM CSL_CITATION {"citationID":"SNDeI6v0","properties":{"formattedCitation":"{\\rtf \\super 325\\nosupersub{}}","plainCitation":"325"},"citationItems":[{"id":362,"uris":["http://zotero.org/users/local/Ry4zHLbn/items/S52KNXND"],"uri":["http://zotero.org/users/local/Ry4zHLbn/items/S52KNXND"],"itemData":{"id":362,"type":"article-journal","title":"Evaluation of dirlotapide for sustained weight loss in overweight Labrador retrievers","container-title":"Journal of veterinary pharmacology and therapeutics","page":"55-65","volume":"30 Suppl 1","source":"NCBI PubMed","abstract":"The effects of dirlotapide on body weight (BW) reduction were investigated in overweight Labradors in two parallel-design studies. Study A involved 42 dogs randomized to 0.0, 0.025, 0.05, 0.1, 0.2 or 0.4 mg dirlotapide/kg/day orally for 4 weeks. Study B involved 72 dogs randomized to nine treatments: placebo (24 weeks); dirlotapide (24 weeks) followed by placebo (28 weeks); or dirlotapide (52 weeks); on diets containing 5%, 10% or 15% fat. Dirlotapide dose (initially 0.1 mg/kg) was adjusted monthly during 24-week weight-loss and subsequent 28-week weight-stabilization phases. Food was offered above maintenance energy requirements (MERx 1.1-1.2) based on initial BW. Body composition (body fat, lean tissue and bone mineral content) was monitored using dual-energy X-ray absorptiometry. After treatment, dogs that had received dirlotapide for 52 weeks were fed 90% of quantity consumed at week 52. In study A, BW and food intake decreased asymptotically with dose: mean weekly weight loss exceeded 1% at 0.1-0.4 mg/kg. In study B, dirlotapide resulted in significant mean weekly weight loss (&gt;0.8%) and decreased food intake over 24 weeks compared with placebo (P = 0.0001) for all diets. Food restriction minimized post-treatment weight rebound. Dirlotapide administered daily to dogs for up to 52 weeks was clinically safe and resulted in sustained weight reduction.","DOI":"10.1111/j.1365-2885.2007.00855.x","ISSN":"0140-7783","note":"PMID: 17567515","journalAbbreviation":"J. Vet. Pharmacol. Ther.","language":"eng","author":[{"family":"Gossellin","given":"J"},{"family":"Peachey","given":"S"},{"family":"Sherington","given":"J"},{"family":"Rowan","given":"T G"},{"family":"Sunderland","given":"S J"}],"issued":{"date-parts":[["2007",8]]},"PMID":"17567515"}}],"schema":"https://github.com/citation-style-language/schema/raw/master/csl-citation.json"} </w:instrText>
      </w:r>
      <w:r w:rsidRPr="003A0EF9">
        <w:fldChar w:fldCharType="separate"/>
      </w:r>
      <w:r w:rsidR="000A492A" w:rsidRPr="000A492A">
        <w:rPr>
          <w:vertAlign w:val="superscript"/>
        </w:rPr>
        <w:t>325</w:t>
      </w:r>
      <w:r w:rsidRPr="003A0EF9">
        <w:fldChar w:fldCharType="end"/>
      </w:r>
      <w:r w:rsidRPr="003A0EF9">
        <w:t xml:space="preserve">  Side effects common to treatment are emesis, especially during initial therapy, and intermittent loose stools throughout use of the drug.</w:t>
      </w:r>
      <w:r w:rsidRPr="003A0EF9">
        <w:fldChar w:fldCharType="begin"/>
      </w:r>
      <w:r w:rsidR="000A492A">
        <w:instrText xml:space="preserve"> ADDIN ZOTERO_ITEM CSL_CITATION {"citationID":"QSFoOrAC","properties":{"formattedCitation":"{\\rtf \\super 326\\nosupersub{}}","plainCitation":"326"},"citationItems":[{"id":364,"uris":["http://zotero.org/users/local/Ry4zHLbn/items/N6IC7E8R"],"uri":["http://zotero.org/users/local/Ry4zHLbn/items/N6IC7E8R"],"itemData":{"id":364,"type":"article-journal","title":"Influence of dirlotapide, a microsomal triglyceride transfer protein inhibitor, on the digestibility of a dry expanded diet in adult dogs","container-title":"Journal of veterinary pharmacology and therapeutics","page":"66-72","volume":"30 Suppl 1","source":"NCBI PubMed","abstract":"The objectives of this study were to evaluate the effects of dirlotapide, a microsomal triglyceride transfer protein inhibitor, on apparent nutrient digestibility of an expanded dry dog food, on defecation frequency and fecal consistency. Eighteen beagles were randomized to either placebo (n = 6) or dirlotapide (n = 12). Testing was divided into a 21-day adaptation phase (days -21 to -1) and a 35-day treatment (digestibility testing) phase (days 0-35). During the treatment phase, dogs were administered oral dirlotapide (0.3 mg/kg) or placebo (0.06 mL/kg) once daily. For digestibility testing, feces were collected over two periods for 7 days each starting on days -9 and 28. All dogs were fed a commercial adult dog food throughout the study. Food intake was adjusted to maintain body weight during adaptation, followed by pair-feeding placebo dogs the amount of food ingested by the dirlotapide dogs during the treatment period. Dogs in both groups had reduced food intake and lost similar amounts of body weight during treatment. Dogs receiving 0.3 mg dirlotapide/kg once daily had a small but significant (P = 0.018) decrease (6.16 +/- 2.22%, mean +/- SD) in crude fat digestibility compared with the placebo-treated food-restricted dogs, but no difference in crude protein, dry matter, or energy digestibility was observed. Fecal consistency and volume and defecation frequency were similar between groups. Dirlotapide effectively reduced appetite and energy intake without affecting nutrient digestibility, except for a minimal decrease in fat digestibility.","DOI":"10.1111/j.1365-2885.2007.00856.x","ISSN":"0140-7783","note":"PMID: 17567516","journalAbbreviation":"J. Vet. Pharmacol. Ther.","language":"eng","author":[{"family":"Kirk","given":"C A"},{"family":"Boucher","given":"J F"},{"family":"Sunderland","given":"S J"},{"family":"Wren","given":"J A"}],"issued":{"date-parts":[["2007",8]]},"PMID":"17567516"}}],"schema":"https://github.com/citation-style-language/schema/raw/master/csl-citation.json"} </w:instrText>
      </w:r>
      <w:r w:rsidRPr="003A0EF9">
        <w:fldChar w:fldCharType="separate"/>
      </w:r>
      <w:r w:rsidR="000A492A" w:rsidRPr="000A492A">
        <w:rPr>
          <w:vertAlign w:val="superscript"/>
        </w:rPr>
        <w:t>326</w:t>
      </w:r>
      <w:r w:rsidRPr="003A0EF9">
        <w:fldChar w:fldCharType="end"/>
      </w:r>
      <w:r w:rsidRPr="003A0EF9">
        <w:t xml:space="preserve">  Fat digestibility is also decreased with dirlotapide therapy, but it is minimal, and therefore is expected to have little effect on bioavailability of lipid soluble vitamins (A, D, E, K).</w:t>
      </w:r>
      <w:r w:rsidRPr="003A0EF9">
        <w:fldChar w:fldCharType="begin"/>
      </w:r>
      <w:r w:rsidR="000A492A">
        <w:instrText xml:space="preserve"> ADDIN ZOTERO_ITEM CSL_CITATION {"citationID":"Zdy2w8PW","properties":{"formattedCitation":"{\\rtf \\super 326\\nosupersub{}}","plainCitation":"326"},"citationItems":[{"id":364,"uris":["http://zotero.org/users/local/Ry4zHLbn/items/N6IC7E8R"],"uri":["http://zotero.org/users/local/Ry4zHLbn/items/N6IC7E8R"],"itemData":{"id":364,"type":"article-journal","title":"Influence of dirlotapide, a microsomal triglyceride transfer protein inhibitor, on the digestibility of a dry expanded diet in adult dogs","container-title":"Journal of veterinary pharmacology and therapeutics","page":"66-72","volume":"30 Suppl 1","source":"NCBI PubMed","abstract":"The objectives of this study were to evaluate the effects of dirlotapide, a microsomal triglyceride transfer protein inhibitor, on apparent nutrient digestibility of an expanded dry dog food, on defecation frequency and fecal consistency. Eighteen beagles were randomized to either placebo (n = 6) or dirlotapide (n = 12). Testing was divided into a 21-day adaptation phase (days -21 to -1) and a 35-day treatment (digestibility testing) phase (days 0-35). During the treatment phase, dogs were administered oral dirlotapide (0.3 mg/kg) or placebo (0.06 mL/kg) once daily. For digestibility testing, feces were collected over two periods for 7 days each starting on days -9 and 28. All dogs were fed a commercial adult dog food throughout the study. Food intake was adjusted to maintain body weight during adaptation, followed by pair-feeding placebo dogs the amount of food ingested by the dirlotapide dogs during the treatment period. Dogs in both groups had reduced food intake and lost similar amounts of body weight during treatment. Dogs receiving 0.3 mg dirlotapide/kg once daily had a small but significant (P = 0.018) decrease (6.16 +/- 2.22%, mean +/- SD) in crude fat digestibility compared with the placebo-treated food-restricted dogs, but no difference in crude protein, dry matter, or energy digestibility was observed. Fecal consistency and volume and defecation frequency were similar between groups. Dirlotapide effectively reduced appetite and energy intake without affecting nutrient digestibility, except for a minimal decrease in fat digestibility.","DOI":"10.1111/j.1365-2885.2007.00856.x","ISSN":"0140-7783","note":"PMID: 17567516","journalAbbreviation":"J. Vet. Pharmacol. Ther.","language":"eng","author":[{"family":"Kirk","given":"C A"},{"family":"Boucher","given":"J F"},{"family":"Sunderland","given":"S J"},{"family":"Wren","given":"J A"}],"issued":{"date-parts":[["2007",8]]},"PMID":"17567516"}}],"schema":"https://github.com/citation-style-language/schema/raw/master/csl-citation.json"} </w:instrText>
      </w:r>
      <w:r w:rsidRPr="003A0EF9">
        <w:fldChar w:fldCharType="separate"/>
      </w:r>
      <w:r w:rsidR="000A492A" w:rsidRPr="000A492A">
        <w:rPr>
          <w:vertAlign w:val="superscript"/>
        </w:rPr>
        <w:t>326</w:t>
      </w:r>
      <w:r w:rsidRPr="003A0EF9">
        <w:fldChar w:fldCharType="end"/>
      </w:r>
      <w:r w:rsidRPr="003A0EF9">
        <w:t xml:space="preserve">  It is important to note that MTP is also present within hepatocytes and dirlotapide can i</w:t>
      </w:r>
      <w:r>
        <w:t>nhibit hepatocyte MTP in non-canine</w:t>
      </w:r>
      <w:r w:rsidRPr="003A0EF9">
        <w:t xml:space="preserve"> species, including cats and people.  For this reason, all dosing instructions for this drug should include warnings against its use in cats and people due to the risk of induced hepatic lipidosis.  Liver function should also be assessed prior to use and dogs with evidence of liver dysfunction should not receive dirlotapide as it may cause minor elevations in alanine aminotransferase (ALT).</w:t>
      </w:r>
      <w:r w:rsidRPr="003A0EF9">
        <w:fldChar w:fldCharType="begin"/>
      </w:r>
      <w:r w:rsidR="000A492A">
        <w:instrText xml:space="preserve"> ADDIN ZOTERO_ITEM CSL_CITATION {"citationID":"GDIgwqC5","properties":{"formattedCitation":"{\\rtf \\super 327\\nosupersub{}}","plainCitation":"327"},"citationItems":[{"id":366,"uris":["http://zotero.org/users/171999/items/G5UEXCVD"],"uri":["http://zotero.org/users/171999/items/G5UEXCVD"],"itemData":{"id":366,"type":"webpage","title":"Slentrol (Dirlotapide) Prescribing Information","URL":"https://online.zoetis.com/US/EN/Products/Pages/Slentrol/Prescribing_Information.aspx","author":[{"family":"Zoetis","given":""}],"issued":{"date-parts":[["2011",4]]},"accessed":{"date-parts":[["2013",10,10]]}}}],"schema":"https://github.com/citation-style-language/schema/raw/master/csl-citation.json"} </w:instrText>
      </w:r>
      <w:r w:rsidRPr="003A0EF9">
        <w:fldChar w:fldCharType="separate"/>
      </w:r>
      <w:r w:rsidR="000A492A" w:rsidRPr="000A492A">
        <w:rPr>
          <w:vertAlign w:val="superscript"/>
        </w:rPr>
        <w:t>327</w:t>
      </w:r>
      <w:r w:rsidRPr="003A0EF9">
        <w:fldChar w:fldCharType="end"/>
      </w:r>
    </w:p>
    <w:p w:rsidR="00B775F2" w:rsidRDefault="00B775F2" w:rsidP="00CA1D62">
      <w:pPr>
        <w:ind w:firstLine="720"/>
      </w:pPr>
      <w:r>
        <w:t xml:space="preserve">Many satiety agents have </w:t>
      </w:r>
      <w:r w:rsidR="00EA6D8B">
        <w:t>been withdrawn from the market due to negative side effects</w:t>
      </w:r>
      <w:r w:rsidR="00B3716D">
        <w:t>, but the FDA has recently approved two new products</w:t>
      </w:r>
      <w:r w:rsidR="00EA6D8B">
        <w:t xml:space="preserve">.  </w:t>
      </w:r>
      <w:r w:rsidR="00B77AF8">
        <w:t>L</w:t>
      </w:r>
      <w:r w:rsidR="00EA6D8B">
        <w:t>orcaserin</w:t>
      </w:r>
      <w:r w:rsidR="00B77AF8">
        <w:t xml:space="preserve"> HCl</w:t>
      </w:r>
      <w:r w:rsidR="00EA6D8B">
        <w:t xml:space="preserve"> (Belviq</w:t>
      </w:r>
      <w:r w:rsidR="00B77AF8">
        <w:t>®, Arena Pharmaceuticals GmBH, Zofingen, Switzerland)</w:t>
      </w:r>
      <w:r w:rsidR="00426F91">
        <w:t>,</w:t>
      </w:r>
      <w:r w:rsidR="00B77AF8">
        <w:t xml:space="preserve"> is a selective serotonin 2c (5-HT</w:t>
      </w:r>
      <w:r w:rsidR="00B77AF8">
        <w:rPr>
          <w:vertAlign w:val="subscript"/>
        </w:rPr>
        <w:t>2C</w:t>
      </w:r>
      <w:r w:rsidR="00B77AF8">
        <w:t xml:space="preserve">) receptor agonist </w:t>
      </w:r>
      <w:r w:rsidR="00B3716D">
        <w:t xml:space="preserve">that causes </w:t>
      </w:r>
      <w:r w:rsidR="00E95739">
        <w:t>pro-opiomelanocortin</w:t>
      </w:r>
      <w:r w:rsidR="00B3716D">
        <w:t xml:space="preserve"> (POMC) system activation.</w:t>
      </w:r>
      <w:r w:rsidR="00B3716D">
        <w:fldChar w:fldCharType="begin"/>
      </w:r>
      <w:r w:rsidR="000A492A">
        <w:instrText xml:space="preserve"> ADDIN ZOTERO_ITEM CSL_CITATION {"citationID":"1l7tu63tlp","properties":{"formattedCitation":"{\\rtf \\super 328\\nosupersub{}}","plainCitation":"328"},"citationItems":[{"id":1669,"uris":["http://zotero.org/users/171999/items/ENUHCN8D"],"uri":["http://zotero.org/users/171999/items/ENUHCN8D"],"itemData":{"id":1669,"type":"article-journal","title":"Efficacy and safety of lorcaserin in obese adults: a meta-analysis of 1-year randomized controlled trials (RCTs) and narrative review on short-term RCTs","container-title":"Obesity reviews: an official journal of the International Association for the Study of Obesity","page":"383-392","volume":"14","issue":"5","source":"NCBI PubMed","abstract":"Lorcaserin is a new anti-obesity drug recently approved by US Food and Drug Administration. We conducted a systematic review and meta-analysis of randomized controlled trials (RCTs) to evaluate the association of lorcaserin therapy with weight loss and adverse events in obese adults (18-65 years old). Weight loss of 3.23 kg (95% confidence interval [CI]: 2.70, 3.75) and body mass index reduction of 1.16 kg m</w:instrText>
      </w:r>
      <w:r w:rsidR="000A492A">
        <w:rPr>
          <w:rFonts w:ascii="Cambria Math" w:hAnsi="Cambria Math" w:cs="Cambria Math"/>
        </w:rPr>
        <w:instrText>⁻</w:instrText>
      </w:r>
      <w:r w:rsidR="000A492A">
        <w:instrText xml:space="preserve">² (95% CI: 0.98, 1.34) was observed compared with placebo in RCTs of 1 year duration. The use of lorcaserin for 8 and 12 weeks reduced weight of 1.60 kg (95% CI: 0.34, 2.86) and 2.9 kg (95% CI: 2.2, 3.5), respectively. In comparison to placebo, lorcaserin decreased waist circumference, blood pressure, total cholesterol, low-density lipoprotein-cholesterol and triglycerides, however did not statistically affect heart rate or high-density lipoprotein-cholesterol. Headache, nausea and dizziness were found to be significantly higher in the patients receiving lorcaserin than patients receiving placebo, whereas diarrhoea is no more likely than in patients receiving placebo. In conclusion, lorcaserin achieves modest weight loss and appears to be well tolerated. Clinical and pharmacovigilance studies with longer study duration are needed to inform of the long-term efficacy and safety of lorcaserin.","DOI":"10.1111/obr.12015","ISSN":"1467-789X","note":"PMID: 23331711","shortTitle":"Efficacy and safety of lorcaserin in obese adults","journalAbbreviation":"Obes Rev","language":"eng","author":[{"family":"Chan","given":"E W"},{"family":"He","given":"Y"},{"family":"Chui","given":"C S L"},{"family":"Wong","given":"A Y S"},{"family":"Lau","given":"W C Y"},{"family":"Wong","given":"I C K"}],"issued":{"date-parts":[["2013",5]]},"PMID":"23331711"}}],"schema":"https://github.com/citation-style-language/schema/raw/master/csl-citation.json"} </w:instrText>
      </w:r>
      <w:r w:rsidR="00B3716D">
        <w:fldChar w:fldCharType="separate"/>
      </w:r>
      <w:r w:rsidR="000A492A" w:rsidRPr="000A492A">
        <w:rPr>
          <w:vertAlign w:val="superscript"/>
        </w:rPr>
        <w:t>328</w:t>
      </w:r>
      <w:r w:rsidR="00B3716D">
        <w:fldChar w:fldCharType="end"/>
      </w:r>
      <w:r w:rsidR="00B3716D">
        <w:t xml:space="preserve">  A meta-analysis of 1-year randomized controlled trials (RCTs) found weight loss of 3.23 kg compared to </w:t>
      </w:r>
      <w:r w:rsidR="00B3716D">
        <w:lastRenderedPageBreak/>
        <w:t>placebo.</w:t>
      </w:r>
      <w:r w:rsidR="00C401E3">
        <w:t xml:space="preserve">  It also led to decreas</w:t>
      </w:r>
      <w:r w:rsidR="00795A43">
        <w:t xml:space="preserve">ed </w:t>
      </w:r>
      <w:r w:rsidR="00C401E3">
        <w:t xml:space="preserve">total </w:t>
      </w:r>
      <w:r w:rsidR="00795A43">
        <w:t>cholesterol, LDL</w:t>
      </w:r>
      <w:r w:rsidR="00C401E3">
        <w:t xml:space="preserve">, triglycerides, blood pressure, and waist circumference.  Negative side effects include </w:t>
      </w:r>
      <w:r w:rsidR="00A5451E">
        <w:t xml:space="preserve">diarrhea, , nausea, fatigue, </w:t>
      </w:r>
      <w:r w:rsidR="00C401E3">
        <w:t xml:space="preserve">headache, </w:t>
      </w:r>
      <w:r w:rsidR="00A5451E">
        <w:t xml:space="preserve">and </w:t>
      </w:r>
      <w:r w:rsidR="00C401E3">
        <w:t>dizziness</w:t>
      </w:r>
      <w:r w:rsidR="00B3716D">
        <w:fldChar w:fldCharType="begin"/>
      </w:r>
      <w:r w:rsidR="000A492A">
        <w:instrText xml:space="preserve"> ADDIN ZOTERO_ITEM CSL_CITATION {"citationID":"fJNS47AV","properties":{"formattedCitation":"{\\rtf \\super 328,329\\nosupersub{}}","plainCitation":"328,329"},"citationItems":[{"id":1669,"uris":["http://zotero.org/users/171999/items/ENUHCN8D"],"uri":["http://zotero.org/users/171999/items/ENUHCN8D"],"itemData":{"id":1669,"type":"article-journal","title":"Efficacy and safety of lorcaserin in obese adults: a meta-analysis of 1-year randomized controlled trials (RCTs) and narrative review on short-term RCTs","container-title":"Obesity reviews: an official journal of the International Association for the Study of Obesity","page":"383-392","volume":"14","issue":"5","source":"NCBI PubMed","abstract":"Lorcaserin is a new anti-obesity drug recently approved by US Food and Drug Administration. We conducted a systematic review and meta-analysis of randomized controlled trials (RCTs) to evaluate the association of lorcaserin therapy with weight loss and adverse events in obese adults (18-65 years old). Weight loss of 3.23 kg (95% confidence interval [CI]: 2.70, 3.75) and body mass index reduction of 1.16 kg m</w:instrText>
      </w:r>
      <w:r w:rsidR="000A492A">
        <w:rPr>
          <w:rFonts w:ascii="Cambria Math" w:hAnsi="Cambria Math" w:cs="Cambria Math"/>
        </w:rPr>
        <w:instrText>⁻</w:instrText>
      </w:r>
      <w:r w:rsidR="000A492A">
        <w:instrText xml:space="preserve">² (95% CI: 0.98, 1.34) was observed compared with placebo in RCTs of 1 year duration. The use of lorcaserin for 8 and 12 weeks reduced weight of 1.60 kg (95% CI: 0.34, 2.86) and 2.9 kg (95% CI: 2.2, 3.5), respectively. In comparison to placebo, lorcaserin decreased waist circumference, blood pressure, total cholesterol, low-density lipoprotein-cholesterol and triglycerides, however did not statistically affect heart rate or high-density lipoprotein-cholesterol. Headache, nausea and dizziness were found to be significantly higher in the patients receiving lorcaserin than patients receiving placebo, whereas diarrhoea is no more likely than in patients receiving placebo. In conclusion, lorcaserin achieves modest weight loss and appears to be well tolerated. Clinical and pharmacovigilance studies with longer study duration are needed to inform of the long-term efficacy and safety of lorcaserin.","DOI":"10.1111/obr.12015","ISSN":"1467-789X","note":"PMID: 23331711","shortTitle":"Efficacy and safety of lorcaserin in obese adults","journalAbbreviation":"Obes Rev","language":"eng","author":[{"family":"Chan","given":"E W"},{"family":"He","given":"Y"},{"family":"Chui","given":"C S L"},{"family":"Wong","given":"A Y S"},{"family":"Lau","given":"W C Y"},{"family":"Wong","given":"I C K"}],"issued":{"date-parts":[["2013",5]]},"PMID":"23331711"}},{"id":1681,"uris":["http://zotero.org/users/171999/items/HAC8GD78"],"uri":["http://zotero.org/users/171999/items/HAC8GD78"],"itemData":{"id":1681,"type":"article-journal","title":"New and emerging pharmacologic therapies for type 2 diabetes, dyslipidemia, and obesity","container-title":"Clinical therapeutics","page":"A3-17","volume":"35","issue":"1","source":"NCBI PubMed","abstract":"BACKGROUND: Type 2 diabetes, dyslipidemia, and obesity continue to be common disorders that many clinicians and patients struggle to control. There are likely numerous reasons for poor control of these diseases, including medication efficacy and adverse effects, access to medications and health care, poor adherence, and lack of lifestyle changes by patients. Several new and emerging medications may help resolve these issues.\nOBJECTIVE: The goal of this article is to review new and emerging medications for type 2 diabetes mellitus, dyslipidemia, and obesity.\nMETHODS: The Food and Drug Administration drug approval list for 2011 and 2012 was searched to identify newly approved drugs for type 2 diabetes, dyslipidemia, and obesity. New drug entities or existing drug entities with a new indication were included. To identify emerging therapies, we performed targeted searches on clinicaltrials.gov using the listed disease states and Phase III studies. PubMed was searched with these drug names to identify clinical trials for inclusion in this review. Preclinical trials and non-English-language publications were excluded, as were trials not evaluating the efficacy of these agents. The websites goodRx.com and rxpriceverify.com were used to identify pricing.\nRESULTS: For type 2 diabetes, exenatide extended-release causes fewer adverse effects and better efficacy than the daily exenatide formulation. The new sodium-glucose cotransporter 2 inhibitor drug class has a unique mechanism of action, hemoglobin A(1c) reductions near 1%, and seemingly few adverse effects. With respect to dyslipidemia, icosapent ethyl effectively lowers triglyceride levels by </w:instrText>
      </w:r>
      <w:r w:rsidR="000A492A">
        <w:rPr>
          <w:rFonts w:ascii="Cambria Math" w:hAnsi="Cambria Math" w:cs="Cambria Math"/>
        </w:rPr>
        <w:instrText>∼</w:instrText>
      </w:r>
      <w:r w:rsidR="000A492A">
        <w:instrText xml:space="preserve">20% to 45% (depending on baseline triglyceride level), with little effect on LDL-C. For treatment of obesity, lorcaserin is a novel anorexic agent that results in an </w:instrText>
      </w:r>
      <w:r w:rsidR="000A492A">
        <w:rPr>
          <w:rFonts w:ascii="Cambria Math" w:hAnsi="Cambria Math" w:cs="Cambria Math"/>
        </w:rPr>
        <w:instrText>∼</w:instrText>
      </w:r>
      <w:r w:rsidR="000A492A">
        <w:instrText xml:space="preserve">5.5-kg mean weight loss, and phentermine-topiramate controlled-release reduces weight by ~12.2 kg.\nCONCLUSION: Although these agents certainly add to our armamentarium, none appear to offer significant advantages over currently available options. High costs will likely prevent these novel agents from being used as first-line agents in most patients. Further studies will help to more clearly define their roles in therapy.","DOI":"10.1016/j.clinthera.2012.12.012","ISSN":"1879-114X","note":"PMID: 23328274","journalAbbreviation":"Clin Ther","language":"eng","author":[{"family":"Taylor","given":"James R"},{"family":"Dietrich","given":"Eric"},{"family":"Powell","given":"Jason G"}],"issued":{"date-parts":[["2013",1]]},"PMID":"23328274"}}],"schema":"https://github.com/citation-style-language/schema/raw/master/csl-citation.json"} </w:instrText>
      </w:r>
      <w:r w:rsidR="00B3716D">
        <w:fldChar w:fldCharType="separate"/>
      </w:r>
      <w:r w:rsidR="000A492A" w:rsidRPr="000A492A">
        <w:rPr>
          <w:vertAlign w:val="superscript"/>
        </w:rPr>
        <w:t>328,329</w:t>
      </w:r>
      <w:r w:rsidR="00B3716D">
        <w:fldChar w:fldCharType="end"/>
      </w:r>
      <w:r w:rsidR="00426F91">
        <w:t xml:space="preserve">  P</w:t>
      </w:r>
      <w:r w:rsidR="00426F91" w:rsidRPr="00426F91">
        <w:t>hentermine</w:t>
      </w:r>
      <w:r w:rsidR="00426F91">
        <w:t>/</w:t>
      </w:r>
      <w:r w:rsidR="00426F91" w:rsidRPr="00426F91">
        <w:t>topiramate (</w:t>
      </w:r>
      <w:r w:rsidR="00426F91">
        <w:t>Q</w:t>
      </w:r>
      <w:r w:rsidR="00426F91" w:rsidRPr="00426F91">
        <w:t>symia</w:t>
      </w:r>
      <w:r w:rsidR="00426F91">
        <w:t>®, VIVUS, Inc, Mountain View, CA)</w:t>
      </w:r>
      <w:r w:rsidR="00A5451E">
        <w:t xml:space="preserve"> combines an anticonvulsant </w:t>
      </w:r>
      <w:r w:rsidR="00254B6C">
        <w:t xml:space="preserve">(topiramate) with an anorexigenic compound (phentermine).  Weight loss is a known side effect of topiramate use; however the exact mechanism of action is unknown.  Phentermine is a sympathomimetic amine, causing catecholamine release in the hypothalamus, and subsequent </w:t>
      </w:r>
      <w:r w:rsidR="00E95739">
        <w:t>appetite</w:t>
      </w:r>
      <w:r w:rsidR="00254B6C">
        <w:t xml:space="preserve"> suppression.</w:t>
      </w:r>
      <w:r w:rsidR="00254B6C">
        <w:fldChar w:fldCharType="begin"/>
      </w:r>
      <w:r w:rsidR="000A492A">
        <w:instrText xml:space="preserve"> ADDIN ZOTERO_ITEM CSL_CITATION {"citationID":"69pmf6c2a","properties":{"formattedCitation":"{\\rtf \\super 329\\nosupersub{}}","plainCitation":"329"},"citationItems":[{"id":1681,"uris":["http://zotero.org/users/171999/items/HAC8GD78"],"uri":["http://zotero.org/users/171999/items/HAC8GD78"],"itemData":{"id":1681,"type":"article-journal","title":"New and emerging pharmacologic therapies for type 2 diabetes, dyslipidemia, and obesity","container-title":"Clinical therapeutics","page":"A3-17","volume":"35","issue":"1","source":"NCBI PubMed","abstract":"BACKGROUND: Type 2 diabetes, dyslipidemia, and obesity continue to be common disorders that many clinicians and patients struggle to control. There are likely numerous reasons for poor control of these diseases, including medication efficacy and adverse effects, access to medications and health care, poor adherence, and lack of lifestyle changes by patients. Several new and emerging medications may help resolve these issues.\nOBJECTIVE: The goal of this article is to review new and emerging medications for type 2 diabetes mellitus, dyslipidemia, and obesity.\nMETHODS: The Food and Drug Administration drug approval list for 2011 and 2012 was searched to identify newly approved drugs for type 2 diabetes, dyslipidemia, and obesity. New drug entities or existing drug entities with a new indication were included. To identify emerging therapies, we performed targeted searches on clinicaltrials.gov using the listed disease states and Phase III studies. PubMed was searched with these drug names to identify clinical trials for inclusion in this review. Preclinical trials and non-English-language publications were excluded, as were trials not evaluating the efficacy of these agents. The websites goodRx.com and rxpriceverify.com were used to identify pricing.\nRESULTS: For type 2 diabetes, exenatide extended-release causes fewer adverse effects and better efficacy than the daily exenatide formulation. The new sodium-glucose cotransporter 2 inhibitor drug class has a unique mechanism of action, hemoglobin A(1c) reductions near 1%, and seemingly few adverse effects. With respect to dyslipidemia, icosapent ethyl effectively lowers triglyceride levels by </w:instrText>
      </w:r>
      <w:r w:rsidR="000A492A">
        <w:rPr>
          <w:rFonts w:ascii="Cambria Math" w:hAnsi="Cambria Math" w:cs="Cambria Math"/>
        </w:rPr>
        <w:instrText>∼</w:instrText>
      </w:r>
      <w:r w:rsidR="000A492A">
        <w:instrText xml:space="preserve">20% to 45% (depending on baseline triglyceride level), with little effect on LDL-C. For treatment of obesity, lorcaserin is a novel anorexic agent that results in an </w:instrText>
      </w:r>
      <w:r w:rsidR="000A492A">
        <w:rPr>
          <w:rFonts w:ascii="Cambria Math" w:hAnsi="Cambria Math" w:cs="Cambria Math"/>
        </w:rPr>
        <w:instrText>∼</w:instrText>
      </w:r>
      <w:r w:rsidR="000A492A">
        <w:instrText xml:space="preserve">5.5-kg mean weight loss, and phentermine-topiramate controlled-release reduces weight by ~12.2 kg.\nCONCLUSION: Although these agents certainly add to our armamentarium, none appear to offer significant advantages over currently available options. High costs will likely prevent these novel agents from being used as first-line agents in most patients. Further studies will help to more clearly define their roles in therapy.","DOI":"10.1016/j.clinthera.2012.12.012","ISSN":"1879-114X","note":"PMID: 23328274","journalAbbreviation":"Clin Ther","language":"eng","author":[{"family":"Taylor","given":"James R"},{"family":"Dietrich","given":"Eric"},{"family":"Powell","given":"Jason G"}],"issued":{"date-parts":[["2013",1]]},"PMID":"23328274"}}],"schema":"https://github.com/citation-style-language/schema/raw/master/csl-citation.json"} </w:instrText>
      </w:r>
      <w:r w:rsidR="00254B6C">
        <w:fldChar w:fldCharType="separate"/>
      </w:r>
      <w:r w:rsidR="000A492A" w:rsidRPr="000A492A">
        <w:rPr>
          <w:vertAlign w:val="superscript"/>
        </w:rPr>
        <w:t>329</w:t>
      </w:r>
      <w:r w:rsidR="00254B6C">
        <w:fldChar w:fldCharType="end"/>
      </w:r>
      <w:r w:rsidR="00254B6C">
        <w:t xml:space="preserve">  </w:t>
      </w:r>
      <w:r w:rsidR="00B73AF9">
        <w:t>From three clinical trials, phentermine/topiramate has produced 5% weight loss in approximately 75% of treated subjects and 10% weight loss in 50% of treated subjects.</w:t>
      </w:r>
      <w:r w:rsidR="00B73AF9">
        <w:fldChar w:fldCharType="begin"/>
      </w:r>
      <w:r w:rsidR="000A492A">
        <w:instrText xml:space="preserve"> ADDIN ZOTERO_ITEM CSL_CITATION {"citationID":"OGxCI22G","properties":{"formattedCitation":"{\\rtf \\super 330\\uc0\\u8211{}333\\nosupersub{}}","plainCitation":"330–333"},"citationItems":[{"id":1683,"uris":["http://zotero.org/users/171999/items/IZ45BIBA"],"uri":["http://zotero.org/users/171999/items/IZ45BIBA"],"itemData":{"id":1683,"type":"article-journal","title":"Anti-Obesity Pharmacotherapy: New Drugs and Emerging Targets","container-title":"Clinical pharmacology and therapeutics","source":"NCBI PubMed","abstract":"Obesity is a growing pandemic and related health and economic costs are staggering. Pharmacotherapy partnered with lifestyle modifications form the core of current strategies to reduce the burden of this disease and its sequelae. However, therapies targeting weight loss have a significant history of safety risks, including cardiovascular and psychiatric events. Here, evolving strategies for developing anti-obesity therapies, including targets, mechanisms, and developmental status are highlighted. Progress in this field is underscored by Belviq® (lorcaserin) and Qsymia® (phentermine/topiramate), the first agents in more than 10 years to achieve regulatory approval for chronic management weight in obese patients. On the horizon, novel insights in metabolism and energy homeostasis reveal cGMP signaling circuits as emerging targets for anti-obesity pharmacotherapy. These innovations in molecular discovery may elegantly align with practical off-the-shelf approaches leveraging existing approved drugs that modulate cGMP levels for the management of obesity.Clinical Pharmacology &amp; Therapeutics (2013); Accepted article preview online 8 October 2013; doi:10.1038/clpt.2013.204.","DOI":"10.1038/clpt.2013.204","ISSN":"1532-6535","note":"PMID: 24105257","shortTitle":"Anti-Obesity Pharmacotherapy","journalAbbreviation":"Clin. Pharmacol. Ther.","language":"ENG","author":[{"family":"Kim","given":"Gilbert W"},{"family":"Lin","given":"Jieru E"},{"family":"Blomain","given":"Erik S"},{"family":"Waldman","given":"Scott A"}],"issued":{"date-parts":[["2013",10,8]]},"PMID":"24105257"}},{"id":1689,"uris":["http://zotero.org/users/171999/items/95M74DWW"],"uri":["http://zotero.org/users/171999/items/95M74DWW"],"itemData":{"id":1689,"type":"article-journal","title":"Controlled-release phentermine/topiramate in severely obese adults: a randomized controlled trial (EQUIP)","container-title":"Obesity (Silver Spring, Md.)","page":"330-342","volume":"20","issue":"2","source":"NCBI PubMed","abstract":"A 56-week randomized controlled trial was conducted to evaluate safety and efficacy of a controlled-release combination of phentermine and topiramate (PHEN/TPM CR) for weight loss (WL) and metabolic improvements. Men and women with class II and III obesity (BMI ≥ 35 kg/m(2)) were randomized to placebo, PHEN/TPM CR 3.75/23 mg, or PHEN/TPM CR 15/92 mg, added to a reduced-energy diet. Primary end points were percent WL and proportions of patients achieving 5% WL. Secondary end points included waist circumference (WC), systolic and diastolic blood pressure (BP), fasting glucose, and lipid measures. In the primary analysis (randomized patients with at least one postbaseline weight measurement who took at least one dose of assigned drug or placebo), patients in the placebo, 3.75/23, and 15/92 groups lost 1.6%, 5.1%, and 10.9% of baseline body weight (BW), respectively, at 56 weeks (P &lt; 0.0001). In categorical analysis, 17.3% of placebo patients, 44.9% of 3.75/23 patients, and 66.7% of 15/92 patients, lost at least 5% of baseline BW at 56 weeks (P &lt; 0.0001). The 15/92 group had significantly greater changes relative to placebo for WC, systolic and diastolic BP, fasting glucose, triglycerides, total cholesterol, low-density lipoprotein (LDL), and high-density lipoprotein (HDL). The most common adverse events were paresthesia, dry mouth, constipation, dysgeusia, and insomnia. Dropout rate from the study was 47.1% for placebo patients, 39.0% for 3.75/23 patients, and 33.6% of 15/92 patients. PHEN/TPM CR demonstrated dose-dependent effects on weight and metabolic variables in the direction expected to be beneficial with no evidence of serious adverse events induced by treatment.","DOI":"10.1038/oby.2011.330","ISSN":"1930-739X","note":"PMID: 22051941","shortTitle":"Controlled-release phentermine/topiramate in severely obese adults","journalAbbreviation":"Obesity (Silver Spring)","language":"eng","author":[{"family":"Allison","given":"David B"},{"family":"Gadde","given":"Kishore M"},{"family":"Garvey","given":"William Timothy"},{"family":"Peterson","given":"Craig A"},{"family":"Schwiers","given":"Michael L"},{"family":"Najarian","given":"Thomas"},{"family":"Tam","given":"Peter Y"},{"family":"Troupin","given":"Barbara"},{"family":"Day","given":"Wesley W"}],"issued":{"date-parts":[["2012",2]]},"PMID":"22051941"}},{"id":1687,"uris":["http://zotero.org/users/171999/items/BQTMGTQ9"],"uri":["http://zotero.org/users/171999/items/BQTMGTQ9"],"itemData":{"id":1687,"type":"article-journal","title":"Effects of low-dose, controlled-release, phentermine plus topiramate combination on weight and associated comorbidities in overweight and obese adults (CONQUER): a randomised, placebo-controlled, phase 3 trial","container-title":"Lancet","page":"1341-1352","volume":"377","issue":"9774","source":"NCBI PubMed","abstract":"BACKGROUND: Obesity is associated with a reduction in life expectancy and an increase in mortality from cardiovascular diseases, cancer, and other causes. We therefore assessed the efficacy and safety of two doses of phentermine plus topiramate controlled-release combination as an adjunct to diet and lifestyle modification for weight loss and metabolic risk reduction in individuals who were overweight and obese, with two or more risk factors.\nMETHODS: In this 56-week phase 3 trial, we randomly assigned overweight or obese adults (aged 18-70 years), with a body-mass index of 27-45 kg/m(2) and two or more comorbidities (hypertension, dyslipidaemia, diabetes or prediabetes, or abdominal obesity) to placebo, once-daily phentermine 7·5 mg plus topiramate 46·0 mg, or once-daily phentermine 15·0 mg plus topiramate 92·0 mg in a 2:1:2 ratio in 93 centres in the USA. Drugs were administered orally. Patients were randomly assigned by use of a computer-generated algorithm that was implemented through an interactive voice response system, and were stratified by sex and diabetic status. Investigators, patients, and study sponsors were masked to treatment. Primary endpoints were the percentage change in bodyweight and the proportion of patients achieving at least 5% weight loss. Analysis was by intention to treat. This study is registered with Clinical Trials.gov, number NCT00553787.\nFINDINGS: Of 2487 patients, 994 were assigned to placebo, 498 to phentermine 7·5 mg plus topiramate 46·0 mg, and 995 to phentermine 15·0 mg plus topiramate 92·0 mg; 979, 488, and 981 patients, respectively, were analysed. At 56 weeks, change in bodyweight was -1·4 kg (least-squares mean -1·2%, 95% CI -1·8 to -0·7), -8·1 kg (-7·8%, -8·5 to -7·1; p&lt;0·0001), and -10·2 kg (-9·8%, -10·4 to -9·3; p&lt;0·0001) in the patients assigned to placebo, phentermine 7·5 mg plus topiramate 46·0 mg, and phentermine 15·0 mg plus topiramate 92·0 mg, respectively. 204 (21%) patients achieved at least 5% weight loss with placebo, 303 (62%; odds ratio 6·3, 95% CI 4·9 to 8·0; p&lt;0·0001) with phentermine 7·5 mg plus topiramate 46·0 mg, and 687 (70%; 9·0, 7·3 to 11·1; p&lt;0·0001) with phentermine 15·0 mg plus topiramate 92·0 mg; for ≥10% weight loss, the corresponding numbers were 72 (7%), 182 (37%; 7·6, 5·6 to 10·2; p&lt;0·0001), and 467 (48%; 11·7, 8·9 to 15·4; p&lt;0·0001). The most common adverse events were dry mouth (24 [2%], 67 [13%], and 207 [21%] in the groups assigned to placebo, phentermine 7·5 mg plus topiramate 46·0 mg, and phentermine 15·0 mg plus topiramate 92·0 mg, respectively), paraesthesia (20 [2%], 68 [14%], and 204 [21%], respectively), constipation (59 [6%], 75 [15%], and 173 [17%], respectively), insomnia (47 [5%], 29 [6%], and 102 [10%], respectively), dizziness (31 [3%], 36 [7%], 99 [10%], respectively), and dysgeusia (11 [1%], 37 [7%], and 103 [10%], respectively). 38 (4%) patients assigned to placebo, 19 (4%) to phentermine 7·5 mg plus topiramate 46·0 mg, and 73 (7%) to phentermine 15·0 mg plus topiramate 92·0 mg had depression-related adverse events; and 28 (3%), 24 (5%), and 77 (8%), respectively, had anxiety-related adverse events.\nINTERPRETATION: The combination of phentermine and topiramate, with office-based lifestyle interventions, might be a valuable treatment for obesity that can be provided by family doctors.\nFUNDING: Vivus.","DOI":"10.1016/S0140-6736(11)60205-5","ISSN":"1474-547X","note":"PMID: 21481449","shortTitle":"Effects of low-dose, controlled-release, phentermine plus topiramate combination on weight and associated comorbidities in overweight and obese adults (CONQUER)","journalAbbreviation":"Lancet","language":"eng","author":[{"family":"Gadde","given":"Kishore M"},{"family":"Allison","given":"David B"},{"family":"Ryan","given":"Donna H"},{"family":"Peterson","given":"Craig A"},{"family":"Troupin","given":"Barbara"},{"family":"Schwiers","given":"Michael L"},{"family":"Day","given":"Wesley W"}],"issued":{"date-parts":[["2011",4,16]]},"PMID":"21481449"}},{"id":1691,"uris":["http://zotero.org/users/171999/items/TAN3IZCI"],"uri":["http://zotero.org/users/171999/items/TAN3IZCI"],"itemData":{"id":1691,"type":"article-journal","title":"Two-year sustained weight loss and metabolic benefits with controlled-release phentermine/topiramate in obese and overweight adults (SEQUEL): a randomized, placebo-controlled, phase 3 extension study","container-title":"The American journal of clinical nutrition","page":"297-308","volume":"95","issue":"2","source":"NCBI PubMed","abstract":"BACKGROUND: Obesity is a serious chronic disease. Controlled-release phentermine/topiramate (PHEN/TPM CR), as an adjunct to lifestyle modification, has previously shown significant weight loss compared with placebo in a 56-wk study in overweight and obese subjects with ≥2 weight-related comorbidities.\nOBJECTIVE: This study evaluated the long-term efficacy and safety of PHEN/TPM CR in overweight and obese subjects with cardiometabolic disease.\nDESIGN: This was a placebo-controlled, double-blind, 52-wk extension study; volunteers at selected sites continued with original randomly assigned treatment [placebo, 7.5 mg phentermine/46 mg controlled-release topiramate (7.5/46), or 15 mg phentermine/92 mg controlled-release topiramate (15/92)] to complete a total of 108 wk. All subjects participated in a lifestyle-modification program.\nRESULTS: Of 866 eligible subjects, 676 (78%) elected to continue in the extension. Overall, 84.0% of subjects completed the study, with similar completion rates between treatment groups. At week 108, PHEN/TPM CR was associated with significant, sustained weight loss (intent-to-treat with last observation carried forward; P &lt; 0.0001 compared with placebo); least-squares mean percentage changes from baseline in body weight were -1.8%, -9.3%, and -10.5% for placebo, 7.5/46, and 15/92, respectively. Significantly more PHEN/TPM CR-treated subjects at each dose achieved ≥5%, ≥10%, ≥15%, and ≥20% weight loss compared with placebo (P &lt; 0.001). PHEN/TPM CR improved cardiovascular and metabolic variables and decreased rates of incident diabetes in comparison with placebo. PHEN/TPM CR was well tolerated over 108 wk, with reduced rates of adverse events occurring between weeks 56 and 108 compared with rates between weeks 0 and 56.\nCONCLUSION: PHEN/TPM CR in conjunction with lifestyle modification may provide a well-tolerated and effective option for the sustained treatment of obesity complicated by cardiometabolic disease. This trial was registered at clinicaltrials.gov as NCT00796367.","DOI":"10.3945/ajcn.111.024927","ISSN":"1938-3207","note":"PMID: 22158731","shortTitle":"Two-year sustained weight loss and metabolic benefits with controlled-release phentermine/topiramate in obese and overweight adults (SEQUEL)","journalAbbreviation":"Am. J. Clin. Nutr.","language":"eng","author":[{"family":"Garvey","given":"W Timothy"},{"family":"Ryan","given":"Donna H"},{"family":"Look","given":"Michelle"},{"family":"Gadde","given":"Kishore M"},{"family":"Allison","given":"David B"},{"family":"Peterson","given":"Craig A"},{"family":"Schwiers","given":"Michael"},{"family":"Day","given":"Wesley W"},{"family":"Bowden","given":"Charles H"}],"issued":{"date-parts":[["2012",2]]},"PMID":"22158731"}}],"schema":"https://github.com/citation-style-language/schema/raw/master/csl-citation.json"} </w:instrText>
      </w:r>
      <w:r w:rsidR="00B73AF9">
        <w:fldChar w:fldCharType="separate"/>
      </w:r>
      <w:r w:rsidR="000A492A" w:rsidRPr="000A492A">
        <w:rPr>
          <w:vertAlign w:val="superscript"/>
        </w:rPr>
        <w:t>330–333</w:t>
      </w:r>
      <w:r w:rsidR="00B73AF9">
        <w:fldChar w:fldCharType="end"/>
      </w:r>
      <w:r w:rsidR="00B73AF9">
        <w:t xml:space="preserve">  As with lorcaserin, decreased blood pressure, waist circumference, </w:t>
      </w:r>
      <w:r w:rsidR="00BE7116">
        <w:t>and improved serum lipid profiles have been observed.</w:t>
      </w:r>
      <w:r w:rsidR="00BE7116">
        <w:fldChar w:fldCharType="begin"/>
      </w:r>
      <w:r w:rsidR="000A492A">
        <w:instrText xml:space="preserve"> ADDIN ZOTERO_ITEM CSL_CITATION {"citationID":"7bvc23jjq","properties":{"formattedCitation":"{\\rtf \\super 331\\nosupersub{}}","plainCitation":"331"},"citationItems":[{"id":1689,"uris":["http://zotero.org/users/171999/items/95M74DWW"],"uri":["http://zotero.org/users/171999/items/95M74DWW"],"itemData":{"id":1689,"type":"article-journal","title":"Controlled-release phentermine/topiramate in severely obese adults: a randomized controlled trial (EQUIP)","container-title":"Obesity (Silver Spring, Md.)","page":"330-342","volume":"20","issue":"2","source":"NCBI PubMed","abstract":"A 56-week randomized controlled trial was conducted to evaluate safety and efficacy of a controlled-release combination of phentermine and topiramate (PHEN/TPM CR) for weight loss (WL) and metabolic improvements. Men and women with class II and III obesity (BMI ≥ 35 kg/m(2)) were randomized to placebo, PHEN/TPM CR 3.75/23 mg, or PHEN/TPM CR 15/92 mg, added to a reduced-energy diet. Primary end points were percent WL and proportions of patients achieving 5% WL. Secondary end points included waist circumference (WC), systolic and diastolic blood pressure (BP), fasting glucose, and lipid measures. In the primary analysis (randomized patients with at least one postbaseline weight measurement who took at least one dose of assigned drug or placebo), patients in the placebo, 3.75/23, and 15/92 groups lost 1.6%, 5.1%, and 10.9% of baseline body weight (BW), respectively, at 56 weeks (P &lt; 0.0001). In categorical analysis, 17.3% of placebo patients, 44.9% of 3.75/23 patients, and 66.7% of 15/92 patients, lost at least 5% of baseline BW at 56 weeks (P &lt; 0.0001). The 15/92 group had significantly greater changes relative to placebo for WC, systolic and diastolic BP, fasting glucose, triglycerides, total cholesterol, low-density lipoprotein (LDL), and high-density lipoprotein (HDL). The most common adverse events were paresthesia, dry mouth, constipation, dysgeusia, and insomnia. Dropout rate from the study was 47.1% for placebo patients, 39.0% for 3.75/23 patients, and 33.6% of 15/92 patients. PHEN/TPM CR demonstrated dose-dependent effects on weight and metabolic variables in the direction expected to be beneficial with no evidence of serious adverse events induced by treatment.","DOI":"10.1038/oby.2011.330","ISSN":"1930-739X","note":"PMID: 22051941","shortTitle":"Controlled-release phentermine/topiramate in severely obese adults","journalAbbreviation":"Obesity (Silver Spring)","language":"eng","author":[{"family":"Allison","given":"David B"},{"family":"Gadde","given":"Kishore M"},{"family":"Garvey","given":"William Timothy"},{"family":"Peterson","given":"Craig A"},{"family":"Schwiers","given":"Michael L"},{"family":"Najarian","given":"Thomas"},{"family":"Tam","given":"Peter Y"},{"family":"Troupin","given":"Barbara"},{"family":"Day","given":"Wesley W"}],"issued":{"date-parts":[["2012",2]]},"PMID":"22051941"}}],"schema":"https://github.com/citation-style-language/schema/raw/master/csl-citation.json"} </w:instrText>
      </w:r>
      <w:r w:rsidR="00BE7116">
        <w:fldChar w:fldCharType="separate"/>
      </w:r>
      <w:r w:rsidR="000A492A" w:rsidRPr="000A492A">
        <w:rPr>
          <w:vertAlign w:val="superscript"/>
        </w:rPr>
        <w:t>331</w:t>
      </w:r>
      <w:r w:rsidR="00BE7116">
        <w:fldChar w:fldCharType="end"/>
      </w:r>
      <w:r w:rsidR="00BE7116">
        <w:t xml:space="preserve">  </w:t>
      </w:r>
      <w:r w:rsidR="00254B6C">
        <w:t>Paraesthesia, dizziness</w:t>
      </w:r>
      <w:r w:rsidR="00B26915">
        <w:t>, insomnia, and constipation are a few of the negative side effects noted with use.</w:t>
      </w:r>
      <w:r w:rsidR="00BE7116">
        <w:fldChar w:fldCharType="begin"/>
      </w:r>
      <w:r w:rsidR="000A492A">
        <w:instrText xml:space="preserve"> ADDIN ZOTERO_ITEM CSL_CITATION {"citationID":"pruhvsfmd","properties":{"formattedCitation":"{\\rtf \\super 332\\nosupersub{}}","plainCitation":"332"},"citationItems":[{"id":1687,"uris":["http://zotero.org/users/171999/items/BQTMGTQ9"],"uri":["http://zotero.org/users/171999/items/BQTMGTQ9"],"itemData":{"id":1687,"type":"article-journal","title":"Effects of low-dose, controlled-release, phentermine plus topiramate combination on weight and associated comorbidities in overweight and obese adults (CONQUER): a randomised, placebo-controlled, phase 3 trial","container-title":"Lancet","page":"1341-1352","volume":"377","issue":"9774","source":"NCBI PubMed","abstract":"BACKGROUND: Obesity is associated with a reduction in life expectancy and an increase in mortality from cardiovascular diseases, cancer, and other causes. We therefore assessed the efficacy and safety of two doses of phentermine plus topiramate controlled-release combination as an adjunct to diet and lifestyle modification for weight loss and metabolic risk reduction in individuals who were overweight and obese, with two or more risk factors.\nMETHODS: In this 56-week phase 3 trial, we randomly assigned overweight or obese adults (aged 18-70 years), with a body-mass index of 27-45 kg/m(2) and two or more comorbidities (hypertension, dyslipidaemia, diabetes or prediabetes, or abdominal obesity) to placebo, once-daily phentermine 7·5 mg plus topiramate 46·0 mg, or once-daily phentermine 15·0 mg plus topiramate 92·0 mg in a 2:1:2 ratio in 93 centres in the USA. Drugs were administered orally. Patients were randomly assigned by use of a computer-generated algorithm that was implemented through an interactive voice response system, and were stratified by sex and diabetic status. Investigators, patients, and study sponsors were masked to treatment. Primary endpoints were the percentage change in bodyweight and the proportion of patients achieving at least 5% weight loss. Analysis was by intention to treat. This study is registered with Clinical Trials.gov, number NCT00553787.\nFINDINGS: Of 2487 patients, 994 were assigned to placebo, 498 to phentermine 7·5 mg plus topiramate 46·0 mg, and 995 to phentermine 15·0 mg plus topiramate 92·0 mg; 979, 488, and 981 patients, respectively, were analysed. At 56 weeks, change in bodyweight was -1·4 kg (least-squares mean -1·2%, 95% CI -1·8 to -0·7), -8·1 kg (-7·8%, -8·5 to -7·1; p&lt;0·0001), and -10·2 kg (-9·8%, -10·4 to -9·3; p&lt;0·0001) in the patients assigned to placebo, phentermine 7·5 mg plus topiramate 46·0 mg, and phentermine 15·0 mg plus topiramate 92·0 mg, respectively. 204 (21%) patients achieved at least 5% weight loss with placebo, 303 (62%; odds ratio 6·3, 95% CI 4·9 to 8·0; p&lt;0·0001) with phentermine 7·5 mg plus topiramate 46·0 mg, and 687 (70%; 9·0, 7·3 to 11·1; p&lt;0·0001) with phentermine 15·0 mg plus topiramate 92·0 mg; for ≥10% weight loss, the corresponding numbers were 72 (7%), 182 (37%; 7·6, 5·6 to 10·2; p&lt;0·0001), and 467 (48%; 11·7, 8·9 to 15·4; p&lt;0·0001). The most common adverse events were dry mouth (24 [2%], 67 [13%], and 207 [21%] in the groups assigned to placebo, phentermine 7·5 mg plus topiramate 46·0 mg, and phentermine 15·0 mg plus topiramate 92·0 mg, respectively), paraesthesia (20 [2%], 68 [14%], and 204 [21%], respectively), constipation (59 [6%], 75 [15%], and 173 [17%], respectively), insomnia (47 [5%], 29 [6%], and 102 [10%], respectively), dizziness (31 [3%], 36 [7%], 99 [10%], respectively), and dysgeusia (11 [1%], 37 [7%], and 103 [10%], respectively). 38 (4%) patients assigned to placebo, 19 (4%) to phentermine 7·5 mg plus topiramate 46·0 mg, and 73 (7%) to phentermine 15·0 mg plus topiramate 92·0 mg had depression-related adverse events; and 28 (3%), 24 (5%), and 77 (8%), respectively, had anxiety-related adverse events.\nINTERPRETATION: The combination of phentermine and topiramate, with office-based lifestyle interventions, might be a valuable treatment for obesity that can be provided by family doctors.\nFUNDING: Vivus.","DOI":"10.1016/S0140-6736(11)60205-5","ISSN":"1474-547X","note":"PMID: 21481449","shortTitle":"Effects of low-dose, controlled-release, phentermine plus topiramate combination on weight and associated comorbidities in overweight and obese adults (CONQUER)","journalAbbreviation":"Lancet","language":"eng","author":[{"family":"Gadde","given":"Kishore M"},{"family":"Allison","given":"David B"},{"family":"Ryan","given":"Donna H"},{"family":"Peterson","given":"Craig A"},{"family":"Troupin","given":"Barbara"},{"family":"Schwiers","given":"Michael L"},{"family":"Day","given":"Wesley W"}],"issued":{"date-parts":[["2011",4,16]]},"PMID":"21481449"}}],"schema":"https://github.com/citation-style-language/schema/raw/master/csl-citation.json"} </w:instrText>
      </w:r>
      <w:r w:rsidR="00BE7116">
        <w:fldChar w:fldCharType="separate"/>
      </w:r>
      <w:r w:rsidR="000A492A" w:rsidRPr="000A492A">
        <w:rPr>
          <w:vertAlign w:val="superscript"/>
        </w:rPr>
        <w:t>332</w:t>
      </w:r>
      <w:r w:rsidR="00BE7116">
        <w:fldChar w:fldCharType="end"/>
      </w:r>
    </w:p>
    <w:p w:rsidR="00BE7116" w:rsidRPr="003A0EF9" w:rsidRDefault="00BE7116" w:rsidP="00BE7116">
      <w:pPr>
        <w:ind w:firstLine="720"/>
      </w:pPr>
      <w:r>
        <w:t xml:space="preserve">There are no FDA approved agents targeting satiety or metabolism in dogs, although there are a few nutraceuticals with purported metabolism effects.  </w:t>
      </w:r>
      <w:r w:rsidRPr="003A0EF9">
        <w:t>White kidney bean (</w:t>
      </w:r>
      <w:r w:rsidRPr="003A0EF9">
        <w:rPr>
          <w:i/>
        </w:rPr>
        <w:t>Phaseolus vulgaris</w:t>
      </w:r>
      <w:r w:rsidRPr="003A0EF9">
        <w:t>) extract contains amylase inhibitors, which may help prevent complex carbohydrate digestion.</w:t>
      </w:r>
      <w:r w:rsidRPr="003A0EF9">
        <w:fldChar w:fldCharType="begin"/>
      </w:r>
      <w:r w:rsidR="000A492A">
        <w:instrText xml:space="preserve"> ADDIN ZOTERO_ITEM CSL_CITATION {"citationID":"d7kNymYm","properties":{"formattedCitation":"{\\rtf \\super 334\\nosupersub{}}","plainCitation":"334"},"citationItems":[{"id":331,"uris":["http://zotero.org/users/local/Ry4zHLbn/items/8I5KRV8K"],"uri":["http://zotero.org/users/local/Ry4zHLbn/items/8I5KRV8K"],"itemData":{"id":331,"type":"article-journal","title":"An evidence-based review of the use of nutraceuticals and dietary supplementation for the management of obese and overweight pets","container-title":"Journal of the American Veterinary Medical Association","page":"1646-1655","volume":"232","issue":"11","source":"NCBI PubMed","DOI":"10.2460/javma.232.11.1646","ISSN":"0003-1488","note":"PMID: 18518805","journalAbbreviation":"J. Am. Vet. Med. Assoc.","language":"eng","author":[{"family":"Roudebush","given":"Philip"},{"family":"Schoenherr","given":"William D"},{"family":"Delaney","given":"Sean J"}],"issued":{"date-parts":[["2008",6,1]]},"PMID":"18518805"}}],"schema":"https://github.com/citation-style-language/schema/raw/master/csl-citation.json"} </w:instrText>
      </w:r>
      <w:r w:rsidRPr="003A0EF9">
        <w:fldChar w:fldCharType="separate"/>
      </w:r>
      <w:r w:rsidR="000A492A" w:rsidRPr="000A492A">
        <w:rPr>
          <w:vertAlign w:val="superscript"/>
        </w:rPr>
        <w:t>334</w:t>
      </w:r>
      <w:r w:rsidRPr="003A0EF9">
        <w:fldChar w:fldCharType="end"/>
      </w:r>
      <w:r w:rsidRPr="003A0EF9">
        <w:t xml:space="preserve">  Multiple prod</w:t>
      </w:r>
      <w:r w:rsidR="00AF310C">
        <w:t xml:space="preserve">ucts labeled for dogs </w:t>
      </w:r>
      <w:r w:rsidRPr="003A0EF9">
        <w:t>contain white kidney bean extract as an active ingredi</w:t>
      </w:r>
      <w:r w:rsidR="00AF310C">
        <w:t>ent</w:t>
      </w:r>
      <w:r w:rsidRPr="003A0EF9">
        <w:t>.  A single clinical study was conducted in overweight or obese dogs receiving 500 – 1,000 mg white bean extract sprinkled on their food.  There was an average weight loss of 1.2 kg, representing a 3.61% average body weight loss per dog over 8 weeks.</w:t>
      </w:r>
      <w:r w:rsidRPr="003A0EF9">
        <w:fldChar w:fldCharType="begin"/>
      </w:r>
      <w:r w:rsidR="000A492A">
        <w:instrText xml:space="preserve"> ADDIN ZOTERO_ITEM CSL_CITATION {"citationID":"vaOvKdzg","properties":{"formattedCitation":"{\\rtf \\super 335\\nosupersub{}}","plainCitation":"335"},"citationItems":[{"id":333,"uris":["http://zotero.org/users/171999/items/8T65SDXR"],"uri":["http://zotero.org/users/171999/items/8T65SDXR"],"itemData":{"id":333,"type":"article-journal","title":"Use of commercial starch blockers in canine weight loss","container-title":"Journal of the American Holistic Veterinary Medical Association","page":"43-45","journalAbbreviation":"J Am Holis Vet med Assoc","author":[{"family":"Rosenblatt","given":"S"},{"family":"Willauer","given":"C"},{"family":"Timmel","given":"A"},{"family":"Ota","given":"B"}],"issued":{"date-parts":[["2004"]]}}}],"schema":"https://github.com/citation-style-language/schema/raw/master/csl-citation.json"} </w:instrText>
      </w:r>
      <w:r w:rsidRPr="003A0EF9">
        <w:fldChar w:fldCharType="separate"/>
      </w:r>
      <w:r w:rsidR="000A492A" w:rsidRPr="000A492A">
        <w:rPr>
          <w:vertAlign w:val="superscript"/>
        </w:rPr>
        <w:t>335</w:t>
      </w:r>
      <w:r w:rsidRPr="003A0EF9">
        <w:fldChar w:fldCharType="end"/>
      </w:r>
      <w:r>
        <w:t xml:space="preserve">  This translates into a</w:t>
      </w:r>
      <w:r w:rsidRPr="003A0EF9">
        <w:t xml:space="preserve"> loss of 0.45% per week.  While the results are intriguing, there was no placebo control or food intake data.  Since owner assessment of food consumption is not discussed, it is possible the supplement caused a degree of food aversion and noted weight loss may be due to decreased food intake rather than inhibition of carbohydrate digestion.  Amylase inhibitors can also be extracted from wheat and have been shown to have 100 times more inhibitory activity versus bean inhibitors in people.</w:t>
      </w:r>
      <w:r w:rsidRPr="003A0EF9">
        <w:fldChar w:fldCharType="begin"/>
      </w:r>
      <w:r w:rsidR="000A492A">
        <w:instrText xml:space="preserve"> ADDIN ZOTERO_ITEM CSL_CITATION {"citationID":"RhZO9Sbj","properties":{"formattedCitation":"{\\rtf \\super 336\\nosupersub{}}","plainCitation":"336"},"citationItems":[{"id":334,"uris":["http://zotero.org/users/local/Ry4zHLbn/items/UA8FZF74"],"uri":["http://zotero.org/users/local/Ry4zHLbn/items/UA8FZF74"],"itemData":{"id":334,"type":"article-journal","title":"Effect of a wheat amylase inhibitor on canine carbohydrate digestion, gastrointestinal function, and pancreatic growth","container-title":"Gastroenterology","page":"1221-1229","volume":"108","issue":"4","source":"NCBI PubMed","abstract":"BACKGROUND/AIMS: Chronic amylase inhibition might be useful to treat diabetes mellitus and obesity. Duodenal and ileal cannulas were placed in 8 dogs to determine if long-term ingestion of a wheat amylase inhibitor maintained amylase inhibition or affected gastrointestinal or metabolic function or pancreatic growth.\nMETHODS: Five dogs were fed and 3 were not fed 1.5 g of the inhibitor with meals for 9 weeks. Postprandial and cholecystokinin octapeptide stimulated pancreatic secretion, and fecal balance studies were performed at intervals. After the experiment, the pancreas was analyzed.\nRESULTS: Weight loss was similar in both groups. Amylase inhibition persisted throughout the 9 weeks; it declined from 91% to 37% from the first to the sixth postprandial hour. Amylase inhibition decreased plasma glucose levels during the first hour (P &lt; 0.05), increased carbohydrate delivery to the ileum (315 vs. 555 mg/h; P = 0.002), and increased cholecystokinin octapeptide-stimulated amylase secretion. However, amylase inhibition did not significantly change plasma concentrations of insulin, peptide YY or neurotensin, postprandial pancreatic secretion, gastrointestinal transit or pancreatic weight, and protein or DNA content.\nCONCLUSIONS: Prandial ingestion of 1.5 g of the inhibitor for 9 weeks reduces postprandial amylase levels enough to delay carbohydrate digestion and absorption and lower plasma glucose levels without altering pancreatic growth. This dose may be effective to treat diabetes mellitus but not obesity.","ISSN":"0016-5085","note":"PMID: 7535274","journalAbbreviation":"Gastroenterology","language":"eng","author":[{"family":"Koike","given":"D"},{"family":"Yamadera","given":"K"},{"family":"DiMagno","given":"E P"}],"issued":{"date-parts":[["1995",4]]},"PMID":"7535274"}}],"schema":"https://github.com/citation-style-language/schema/raw/master/csl-citation.json"} </w:instrText>
      </w:r>
      <w:r w:rsidRPr="003A0EF9">
        <w:fldChar w:fldCharType="separate"/>
      </w:r>
      <w:r w:rsidR="000A492A" w:rsidRPr="000A492A">
        <w:rPr>
          <w:vertAlign w:val="superscript"/>
        </w:rPr>
        <w:t>336</w:t>
      </w:r>
      <w:r w:rsidRPr="003A0EF9">
        <w:fldChar w:fldCharType="end"/>
      </w:r>
      <w:r w:rsidRPr="003A0EF9">
        <w:t xml:space="preserve">  When tested in dogs for 9 weeks, dogs fed 1.5 g of the wheat amylase inhibitor had similar weight loss values versus control dogs (1.4 ± 0.7 vs. 1.1 ± 0.2 kg).  Amylase inhibitor dogs did exhibit delayed carbohydrate digestion and absorption with lowered blood glucose levels without affecting pancreas size.</w:t>
      </w:r>
      <w:r w:rsidRPr="003A0EF9">
        <w:fldChar w:fldCharType="begin"/>
      </w:r>
      <w:r w:rsidR="000A492A">
        <w:instrText xml:space="preserve"> ADDIN ZOTERO_ITEM CSL_CITATION {"citationID":"vl5tSaj2","properties":{"formattedCitation":"{\\rtf \\super 336\\nosupersub{}}","plainCitation":"336"},"citationItems":[{"id":334,"uris":["http://zotero.org/users/local/Ry4zHLbn/items/UA8FZF74"],"uri":["http://zotero.org/users/local/Ry4zHLbn/items/UA8FZF74"],"itemData":{"id":334,"type":"article-journal","title":"Effect of a wheat amylase inhibitor on canine carbohydrate digestion, gastrointestinal function, and pancreatic growth","container-title":"Gastroenterology","page":"1221-1229","volume":"108","issue":"4","source":"NCBI PubMed","abstract":"BACKGROUND/AIMS: Chronic amylase inhibition might be useful to treat diabetes mellitus and obesity. Duodenal and ileal cannulas were placed in 8 dogs to determine if long-term ingestion of a wheat amylase inhibitor maintained amylase inhibition or affected gastrointestinal or metabolic function or pancreatic growth.\nMETHODS: Five dogs were fed and 3 were not fed 1.5 g of the inhibitor with meals for 9 weeks. Postprandial and cholecystokinin octapeptide stimulated pancreatic secretion, and fecal balance studies were performed at intervals. After the experiment, the pancreas was analyzed.\nRESULTS: Weight loss was similar in both groups. Amylase inhibition persisted throughout the 9 weeks; it declined from 91% to 37% from the first to the sixth postprandial hour. Amylase inhibition decreased plasma glucose levels during the first hour (P &lt; 0.05), increased carbohydrate delivery to the ileum (315 vs. 555 mg/h; P = 0.002), and increased cholecystokinin octapeptide-stimulated amylase secretion. However, amylase inhibition did not significantly change plasma concentrations of insulin, peptide YY or neurotensin, postprandial pancreatic secretion, gastrointestinal transit or pancreatic weight, and protein or DNA content.\nCONCLUSIONS: Prandial ingestion of 1.5 g of the inhibitor for 9 weeks reduces postprandial amylase levels enough to delay carbohydrate digestion and absorption and lower plasma glucose levels without altering pancreatic growth. This dose may be effective to treat diabetes mellitus but not obesity.","ISSN":"0016-5085","note":"PMID: 7535274","journalAbbreviation":"Gastroenterology","language":"eng","author":[{"family":"Koike","given":"D"},{"family":"Yamadera","given":"K"},{"family":"DiMagno","given":"E P"}],"issued":{"date-parts":[["1995",4]]},"PMID":"7535274"}}],"schema":"https://github.com/citation-style-language/schema/raw/master/csl-citation.json"} </w:instrText>
      </w:r>
      <w:r w:rsidRPr="003A0EF9">
        <w:fldChar w:fldCharType="separate"/>
      </w:r>
      <w:r w:rsidR="000A492A" w:rsidRPr="000A492A">
        <w:rPr>
          <w:vertAlign w:val="superscript"/>
        </w:rPr>
        <w:t>336</w:t>
      </w:r>
      <w:r w:rsidRPr="003A0EF9">
        <w:fldChar w:fldCharType="end"/>
      </w:r>
      <w:r w:rsidRPr="003A0EF9">
        <w:t xml:space="preserve">  The authors concluded the amylase inhibitor shows promise as diabetes mellitus therapy, but is not an effective means of weight loss.</w:t>
      </w:r>
      <w:r w:rsidRPr="003A0EF9">
        <w:fldChar w:fldCharType="begin"/>
      </w:r>
      <w:r w:rsidR="000A492A">
        <w:instrText xml:space="preserve"> ADDIN ZOTERO_ITEM CSL_CITATION {"citationID":"joIZodLJ","properties":{"formattedCitation":"{\\rtf \\super 336\\nosupersub{}}","plainCitation":"336"},"citationItems":[{"id":334,"uris":["http://zotero.org/users/local/Ry4zHLbn/items/UA8FZF74"],"uri":["http://zotero.org/users/local/Ry4zHLbn/items/UA8FZF74"],"itemData":{"id":334,"type":"article-journal","title":"Effect of a wheat amylase inhibitor on canine carbohydrate digestion, gastrointestinal function, and pancreatic growth","container-title":"Gastroenterology","page":"1221-1229","volume":"108","issue":"4","source":"NCBI PubMed","abstract":"BACKGROUND/AIMS: Chronic amylase inhibition might be useful to treat diabetes mellitus and obesity. Duodenal and ileal cannulas were placed in 8 dogs to determine if long-term ingestion of a wheat amylase inhibitor maintained amylase inhibition or affected gastrointestinal or metabolic function or pancreatic growth.\nMETHODS: Five dogs were fed and 3 were not fed 1.5 g of the inhibitor with meals for 9 weeks. Postprandial and cholecystokinin octapeptide stimulated pancreatic secretion, and fecal balance studies were performed at intervals. After the experiment, the pancreas was analyzed.\nRESULTS: Weight loss was similar in both groups. Amylase inhibition persisted throughout the 9 weeks; it declined from 91% to 37% from the first to the sixth postprandial hour. Amylase inhibition decreased plasma glucose levels during the first hour (P &lt; 0.05), increased carbohydrate delivery to the ileum (315 vs. 555 mg/h; P = 0.002), and increased cholecystokinin octapeptide-stimulated amylase secretion. However, amylase inhibition did not significantly change plasma concentrations of insulin, peptide YY or neurotensin, postprandial pancreatic secretion, gastrointestinal transit or pancreatic weight, and protein or DNA content.\nCONCLUSIONS: Prandial ingestion of 1.5 g of the inhibitor for 9 weeks reduces postprandial amylase levels enough to delay carbohydrate digestion and absorption and lower plasma glucose levels without altering pancreatic growth. This dose may be effective to treat diabetes mellitus but not obesity.","ISSN":"0016-5085","note":"PMID: 7535274","journalAbbreviation":"Gastroenterology","language":"eng","author":[{"family":"Koike","given":"D"},{"family":"Yamadera","given":"K"},{"family":"DiMagno","given":"E P"}],"issued":{"date-parts":[["1995",4]]},"PMID":"7535274"}}],"schema":"https://github.com/citation-style-language/schema/raw/master/csl-citation.json"} </w:instrText>
      </w:r>
      <w:r w:rsidRPr="003A0EF9">
        <w:fldChar w:fldCharType="separate"/>
      </w:r>
      <w:r w:rsidR="000A492A" w:rsidRPr="000A492A">
        <w:rPr>
          <w:vertAlign w:val="superscript"/>
        </w:rPr>
        <w:t>336</w:t>
      </w:r>
      <w:r w:rsidRPr="003A0EF9">
        <w:fldChar w:fldCharType="end"/>
      </w:r>
    </w:p>
    <w:p w:rsidR="00BE7116" w:rsidRPr="003A0EF9" w:rsidRDefault="00BE7116" w:rsidP="00BE7116">
      <w:pPr>
        <w:ind w:firstLine="720"/>
      </w:pPr>
      <w:r w:rsidRPr="003A0EF9">
        <w:t xml:space="preserve">Green tea (derived from </w:t>
      </w:r>
      <w:r w:rsidRPr="003A0EF9">
        <w:rPr>
          <w:i/>
        </w:rPr>
        <w:t>Camellia sinensis</w:t>
      </w:r>
      <w:r w:rsidRPr="003A0EF9">
        <w:t>) is dried and steamed in a manner that does not activate polyphenol oxidase, the enzyme responsible for polyphenol oxidation in black tea.  This is an important distinction between the two types of tea because it is the polyphenols left behind in green tea that are considered to be of pharmacological interest.</w:t>
      </w:r>
      <w:r w:rsidRPr="003A0EF9">
        <w:fldChar w:fldCharType="begin"/>
      </w:r>
      <w:r w:rsidR="000A492A">
        <w:instrText xml:space="preserve"> ADDIN ZOTERO_ITEM CSL_CITATION {"citationID":"L865eBC6","properties":{"formattedCitation":"{\\rtf \\super 337\\nosupersub{}}","plainCitation":"337"},"citationItems":[{"id":336,"uris":["http://zotero.org/users/local/Ry4zHLbn/items/2QF5FIQ5"],"uri":["http://zotero.org/users/local/Ry4zHLbn/items/2QF5FIQ5"],"itemData":{"id":336,"type":"article-journal","title":"The putative effects of green tea on body fat: an evaluation of the evidence and a review of the potential mechanisms","container-title":"The British journal of nutrition","page":"1297-1309","volume":"106","issue":"9","source":"NCBI PubMed","abstract":"The increase in the prevalence of obesity in recent years has prompted research into alternative methods of modulating body weight and body fat. The last decade has reflected this with a surge in studies investigating the potential of green tea as a natural agent of weight loss, with a view to confirming and elucidating the mechanisms underlying its effect on the body. Currently, it is widely believed that the polyphenolic components present in green tea have an anti-obesogenic effect on fat homeostasis, by increasing thermogenesis or reducing fat absorption among other ways. The data published to date, however, are inconsistent, with numerous putative modes of action suggested therein. While several unimodal mechanisms have been postulated, a more plausible explanation of the observed results might involve a multimodal approach. Such a mechanism is suggested here, involving simultaneous inhibition of the enzymes catechol-O-methyltransferase, acetyl-CoA carboxylase, fatty acid synthase and impeding absorption of fat via the gut. An evaluation of the available evidence supports a role of green tea in weight loss; however the extent of the effects obtained is still subject to debate, and requires more objective quantification in future research.","DOI":"10.1017/S0007114511003849","ISSN":"1475-2662","note":"PMID: 21810286","shortTitle":"The putative effects of green tea on body fat","journalAbbreviation":"Br. J. Nutr.","language":"eng","author":[{"family":"Thavanesan","given":"Navamayooran"}],"issued":{"date-parts":[["2011",11]]},"PMID":"21810286"}}],"schema":"https://github.com/citation-style-language/schema/raw/master/csl-citation.json"} </w:instrText>
      </w:r>
      <w:r w:rsidRPr="003A0EF9">
        <w:fldChar w:fldCharType="separate"/>
      </w:r>
      <w:r w:rsidR="000A492A" w:rsidRPr="000A492A">
        <w:rPr>
          <w:vertAlign w:val="superscript"/>
        </w:rPr>
        <w:t>337</w:t>
      </w:r>
      <w:r w:rsidRPr="003A0EF9">
        <w:fldChar w:fldCharType="end"/>
      </w:r>
      <w:r w:rsidRPr="003A0EF9">
        <w:t xml:space="preserve">  Of these polyphenols, epigallocatechin gallate (EGCG) has garnered much attention and has been included as an active ingredient in many weight loss supplements geared toward both people and their pets.</w:t>
      </w:r>
      <w:r w:rsidRPr="003A0EF9">
        <w:fldChar w:fldCharType="begin"/>
      </w:r>
      <w:r w:rsidR="000A492A">
        <w:instrText xml:space="preserve"> ADDIN ZOTERO_ITEM CSL_CITATION {"citationID":"E7XvGIWC","properties":{"formattedCitation":"{\\rtf \\super 338\\nosupersub{}}","plainCitation":"338"},"citationItems":[{"id":338,"uris":["http://zotero.org/users/local/Ry4zHLbn/items/IRHGQH7S"],"uri":["http://zotero.org/users/local/Ry4zHLbn/items/IRHGQH7S"],"itemData":{"id":338,"type":"article-journal","title":"Modulation of endocrine systems and food intake by green tea epigallocatechin gallate","container-title":"Endocrinology","page":"980-987","volume":"141","issue":"3","source":"NCBI PubMed","abstract":"Green tea polyphenols, especially the catechin, (-)-epigallocatechin gallate (EGCG), have been proposed as a cancer chemopreventative based on a variety of laboratory studies. For clear assessment of the possible physiological effects of green tea consumption, we injected pure green tea catechins ip into rats and studied their acute effects on endocrine systems. We found that EGCG, but not related catechins, significantly reduced food intake; body weight; blood levels of testosterone, estradiol, leptin, insulin, insulin-like growth factor I, LH, glucose, cholesterol, and triglyceride; as well as growth of the prostate, uterus, and ovary. Similar effects were observed in lean and obese male Zucker rats, suggesting that the effect of EGCG was independent of an intact leptin receptor. EGCG may interact specifically with a component of a leptin-independent appetite control pathway. Endocrine changes induced by parenteral administration of EGCG may relate to the observed growth inhibition and regression of human prostate and breast tumors in athymic mice treated with EGCG as well as play a role in the mechanism by which EGCG inhibits cancer initiation and promotion in various animal models of cancer.","ISSN":"0013-7227","note":"PMID: 10698173","journalAbbreviation":"Endocrinology","language":"eng","author":[{"family":"Kao","given":"Y H"},{"family":"Hiipakka","given":"R A"},{"family":"Liao","given":"S"}],"issued":{"date-parts":[["2000",3]]},"PMID":"10698173"}}],"schema":"https://github.com/citation-style-language/schema/raw/master/csl-citation.json"} </w:instrText>
      </w:r>
      <w:r w:rsidRPr="003A0EF9">
        <w:fldChar w:fldCharType="separate"/>
      </w:r>
      <w:r w:rsidR="000A492A" w:rsidRPr="000A492A">
        <w:rPr>
          <w:vertAlign w:val="superscript"/>
        </w:rPr>
        <w:t>338</w:t>
      </w:r>
      <w:r w:rsidRPr="003A0EF9">
        <w:fldChar w:fldCharType="end"/>
      </w:r>
      <w:r w:rsidRPr="003A0EF9">
        <w:t xml:space="preserve">  It is currently believed, although supportive literature is inconclusive, that the polyphenols of green tea are able to increase </w:t>
      </w:r>
      <w:r w:rsidRPr="003A0EF9">
        <w:lastRenderedPageBreak/>
        <w:t>thermogenesis or fat oxidation, with an overall effect of decreased fat accumulation.</w:t>
      </w:r>
      <w:r w:rsidRPr="003A0EF9">
        <w:fldChar w:fldCharType="begin"/>
      </w:r>
      <w:r w:rsidR="000A492A">
        <w:instrText xml:space="preserve"> ADDIN ZOTERO_ITEM CSL_CITATION {"citationID":"gMdKjzgT","properties":{"formattedCitation":"{\\rtf \\super 337,339\\nosupersub{}}","plainCitation":"337,339"},"citationItems":[{"id":336,"uris":["http://zotero.org/users/local/Ry4zHLbn/items/2QF5FIQ5"],"uri":["http://zotero.org/users/local/Ry4zHLbn/items/2QF5FIQ5"],"itemData":{"id":336,"type":"article-journal","title":"The putative effects of green tea on body fat: an evaluation of the evidence and a review of the potential mechanisms","container-title":"The British journal of nutrition","page":"1297-1309","volume":"106","issue":"9","source":"NCBI PubMed","abstract":"The increase in the prevalence of obesity in recent years has prompted research into alternative methods of modulating body weight and body fat. The last decade has reflected this with a surge in studies investigating the potential of green tea as a natural agent of weight loss, with a view to confirming and elucidating the mechanisms underlying its effect on the body. Currently, it is widely believed that the polyphenolic components present in green tea have an anti-obesogenic effect on fat homeostasis, by increasing thermogenesis or reducing fat absorption among other ways. The data published to date, however, are inconsistent, with numerous putative modes of action suggested therein. While several unimodal mechanisms have been postulated, a more plausible explanation of the observed results might involve a multimodal approach. Such a mechanism is suggested here, involving simultaneous inhibition of the enzymes catechol-O-methyltransferase, acetyl-CoA carboxylase, fatty acid synthase and impeding absorption of fat via the gut. An evaluation of the available evidence supports a role of green tea in weight loss; however the extent of the effects obtained is still subject to debate, and requires more objective quantification in future research.","DOI":"10.1017/S0007114511003849","ISSN":"1475-2662","note":"PMID: 21810286","shortTitle":"The putative effects of green tea on body fat","journalAbbreviation":"Br. J. Nutr.","language":"eng","author":[{"family":"Thavanesan","given":"Navamayooran"}],"issued":{"date-parts":[["2011",11]]},"PMID":"21810286"}},{"id":340,"uris":["http://zotero.org/users/local/Ry4zHLbn/items/9UDRJ69C"],"uri":["http://zotero.org/users/local/Ry4zHLbn/items/9UDRJ69C"],"itemData":{"id":340,"type":"article-journal","title":"The effect of green tea extract on fat oxidation at rest and during exercise: evidence of efficacy and proposed mechanisms","container-title":"Advances in nutrition (Bethesda, Md.)","page":"129-140","volume":"4","issue":"2","source":"NCBI PubMed","abstract":"Green tea is made from the leaves of the Camellia sinensis L plant, which is rich in polyphenol catechins and caffeine. There is increasing interest in the potential role of green tea extract (GTE) in fat metabolism and its influence on health and exercise performance. A number of studies have observed positive effects of GTE on fat metabolism at rest and during exercise, following both shorter and longer term intake. However, overall, the literature is inconclusive. The fact that not all studies observed effects may be related to differences in study designs, GTE bioavailability, and variation of the measurement (fat oxidation). In addition, the precise mechanisms of GTE in the human body that increase fat oxidation are unclear. The often-cited in vitro catechol-O-methyltransferase mechanism is used to explain the changes in substrate metabolism with little in vivo evidence to support it. Also, changes in expression of fat metabolism genes with longer term GTE intake have been implicated at rest and with exercise training, including the upregulation of fat metabolism enzyme gene expression in the skeletal muscle and downregulation of adipogenic genes in the liver. The exact molecular signaling that activates changes to fat metabolism gene expression is unclear but may be driven by PPAR-γ coactivator 1-α and PPARs. However, to date, evidence from human studies to support these adaptations is lacking. Clearly, more studies have to be performed to elucidate the effects of GTE on fat metabolism as well as improve our understanding of the underlying mechanisms.","DOI":"10.3945/an.112.003269","ISSN":"2156-5376","note":"PMID: 23493529","shortTitle":"The effect of green tea extract on fat oxidation at rest and during exercise","journalAbbreviation":"Adv Nutr","language":"eng","author":[{"family":"Hodgson","given":"Adrian B"},{"family":"Randell","given":"Rebecca K"},{"family":"Jeukendrup","given":"Asker E"}],"issued":{"date-parts":[["2013",3]]},"PMID":"23493529"}}],"schema":"https://github.com/citation-style-language/schema/raw/master/csl-citation.json"} </w:instrText>
      </w:r>
      <w:r w:rsidRPr="003A0EF9">
        <w:fldChar w:fldCharType="separate"/>
      </w:r>
      <w:r w:rsidR="000A492A" w:rsidRPr="000A492A">
        <w:rPr>
          <w:vertAlign w:val="superscript"/>
        </w:rPr>
        <w:t>337,339</w:t>
      </w:r>
      <w:r w:rsidRPr="003A0EF9">
        <w:fldChar w:fldCharType="end"/>
      </w:r>
      <w:r w:rsidRPr="003A0EF9">
        <w:t xml:space="preserve">  While being fed an excess level of calories, one study in obese dogs did find that nutritional (as opposed to pharmacological doses) of green tea extract (80 mg/kg/d) may improve insulin sensitivity and lipid profiles and alter glucose and lipid homeostasis gene expression, but there was no difference in body composition or food intake over 12 weeks.</w:t>
      </w:r>
      <w:r w:rsidRPr="003A0EF9">
        <w:fldChar w:fldCharType="begin"/>
      </w:r>
      <w:r w:rsidR="000A492A">
        <w:instrText xml:space="preserve"> ADDIN ZOTERO_ITEM CSL_CITATION {"citationID":"o1iXa0f9","properties":{"formattedCitation":"{\\rtf \\super 340\\nosupersub{}}","plainCitation":"340"},"citationItems":[{"id":342,"uris":["http://zotero.org/users/local/Ry4zHLbn/items/CVT2DHUA"],"uri":["http://zotero.org/users/local/Ry4zHLbn/items/CVT2DHUA"],"itemData":{"id":342,"type":"article-journal","title":"Effects of green tea on insulin sensitivity, lipid profile and expression of PPARalpha and PPARgamma and their target genes in obese dogs","container-title":"The British journal of nutrition","page":"1208-1216","volume":"99","issue":"6","source":"NCBI PubMed","abstract":"As in man, canine obesity is associated with insulin resistance, dyslipidaemia and other chronic diseases. This study was designed to examine the effects of a nutritional supplement (green tea) on insulin sensitivity and plasma lipid concentrations in an obese insulin-resistant dog model. We also determined mRNA expression of two transcription factors, PPARgamma and PPARalpha, and some of their target genes, including GLUT4, lipoprotein lipase (LPL) and adiponectin. Obese dogs were divided into two groups: a green tea group (n 6); a control group (n 4). Dogs in the green tea group were given green tea extract (80 mg/kg per d) orally, just before their single daily meal, for 12 weeks. Insulin sensitivity (using a euglycaemic-hyperinsulinaemic clamp) and concentrations of plasma TAG, total cholesterol and NEFA were assessed in each group. Gene expression was measured in visceral and subcutaneous adipose tissues and in liver and skeletal muscle, by real-time PCR. At 12 weeks in the green tea group, mean insulin sensitivity index was 60 (SEM 11) % higher (P &lt; 0.05) and TAG concentration 50 (SEM 10) % lower (P &lt; 0.001), than baseline. PPARgamma, GLUT4, LPL and adiponectin expression were significantly higher in both adipose tissues, whilst PPARalpha and LPL expression were significantly higher in skeletal muscle, compared with baseline. These findings show that nutritional doses of green tea extract may improve insulin sensitivity and lipid profile and alter the expression of genes involved in glucose and lipid homeostasis.","DOI":"10.1017/S0007114507862386","ISSN":"1475-2662","note":"PMID: 18053305","journalAbbreviation":"Br. J. Nutr.","language":"eng","author":[{"family":"Serisier","given":"Samuel"},{"family":"Leray","given":"Veronique"},{"family":"Poudroux","given":"Wilfried"},{"family":"Magot","given":"Thierry"},{"family":"Ouguerram","given":"Khadija"},{"family":"Nguyen","given":"Patrick"}],"issued":{"date-parts":[["2008",6]]},"PMID":"18053305"}}],"schema":"https://github.com/citation-style-language/schema/raw/master/csl-citation.json"} </w:instrText>
      </w:r>
      <w:r w:rsidRPr="003A0EF9">
        <w:fldChar w:fldCharType="separate"/>
      </w:r>
      <w:r w:rsidR="000A492A" w:rsidRPr="000A492A">
        <w:rPr>
          <w:vertAlign w:val="superscript"/>
        </w:rPr>
        <w:t>340</w:t>
      </w:r>
      <w:r w:rsidRPr="003A0EF9">
        <w:fldChar w:fldCharType="end"/>
      </w:r>
      <w:r w:rsidRPr="003A0EF9">
        <w:t xml:space="preserve">  To the author’s knowledge, there are no studies into the effectiveness of green tea extract on weight loss in companion animals fed maintenance levels of calories.  Despite the lack of efficacy evidence, there are canine and feline specific weight loss products on the market containing green tea extract.</w:t>
      </w:r>
    </w:p>
    <w:p w:rsidR="00BE7116" w:rsidRPr="00901A11" w:rsidRDefault="00BE7116" w:rsidP="00BE7116">
      <w:pPr>
        <w:ind w:firstLine="720"/>
      </w:pPr>
      <w:r w:rsidRPr="003A0EF9">
        <w:t>The final bioactive component that is a common ingredient in companion animal weight loss supplements is chromium, an essential trace mineral with roles in glucose and insulin metabolism.  In people, it is reported to improve insulin sensitivity and potentiate insulin’s actions at its receptor.</w:t>
      </w:r>
      <w:r w:rsidRPr="003A0EF9">
        <w:fldChar w:fldCharType="begin"/>
      </w:r>
      <w:r w:rsidR="000A492A">
        <w:instrText xml:space="preserve"> ADDIN ZOTERO_ITEM CSL_CITATION {"citationID":"3YyN5lxU","properties":{"formattedCitation":"{\\rtf \\super 341,342\\nosupersub{}}","plainCitation":"341,342"},"citationItems":[{"id":344,"uris":["http://zotero.org/users/local/Ry4zHLbn/items/HHZJEI77"],"uri":["http://zotero.org/users/local/Ry4zHLbn/items/HHZJEI77"],"itemData":{"id":344,"type":"article-journal","title":"Chromium, glucose intolerance and diabetes","container-title":"Journal of the American College of Nutrition","page":"548-555","volume":"17","issue":"6","source":"NCBI PubMed","abstract":"Within the last 5 years chromium (Cr) has been shown to play a role in glucose intolerance, Type 2 diabetes mellitus (Type 2 DM), and gestational diabetes. In addition, diabetes and the neuropathy of a patient on home parenteral nutrition were alleviated when supplemental Cr was added to total parenteral nutrition (TPN) solutions. In a study conducted in China that has been supported by studies in the United States, supplemental Cr as Cr picolinate improved the blood glucose, insulin, cholesterol, and hemoglobin A1C in people with Type 2 DM in a dose dependent manner. Follow-up studies of &gt; 1 year have confirmed these studies. The requirement for Cr is related to the degree of glucose intolerance: 200 microg/day of supplemental Cr is adequate to improve glucose variables of those who are mildly glucose intolerant. However, people with more overt impairments in glucose tolerance and diabetes usually require more than 200 microg/day. Daily intake of 8 microg of Cr per kg body weight was also more effective than 4 microg/kg in women with gestational diabetes. The mechanism of action of Cr involves increased insulin binding, increased insulin receptor number, and increased insulin receptor phosphorylation. In summary, supplemental Cr has been shown to have beneficial effects without any documented side effects on people with varying degrees of glucose intolerance ranging from mild glucose intolerance to overt Type 2 DM.","ISSN":"0731-5724","note":"PMID: 9853533","journalAbbreviation":"J Am Coll Nutr","language":"eng","author":[{"family":"Anderson","given":"R A"}],"issued":{"date-parts":[["1998",12]]},"PMID":"9853533"}},{"id":346,"uris":["http://zotero.org/users/local/Ry4zHLbn/items/R436V3T4"],"uri":["http://zotero.org/users/local/Ry4zHLbn/items/R436V3T4"],"itemData":{"id":346,"type":"article-journal","title":"Mechanisms of chromium action: low-molecular-weight chromium-binding substance","container-title":"Journal of the American College of Nutrition","page":"6-12","volume":"18","issue":"1","source":"NCBI PubMed","abstract":"Chromium has long been known to be essential for proper lipid and carbohydrate metabolism in mammals, with chromium deficiency leading to symptoms associated with adult-onset diabetes and cardiovascular disease. Elucidating the structure, function, and mode of action of the biologically active form of chromium has proved enigmatic. However, a naturally-occurring oligopeptide, low-molecular-weight chromium-binding substance (LMWCr), has been found in our laboratory to activate insulin receptor kinase activity up to 7-fold with a dissociation constant of 250 picomolar in the presence of 100 nanomolar insulin, and it has been partially characterized in terms of structural and spectroscopic properties. LMWCr may function in a manner similar to that of the calcium-binding signal protein calmodulin. In other words, LMWCr is maintained in its active apo-oligopeptide form; in response to a chromium flux, LMWCr binds 4 chromic ions. The holoprotein is then capable of binding to insulin receptor (and perhaps other enzymes) activating the enzyme. Establishing a link between the nutrient chromium, LMWCr's activation of insulin receptor kinase activity, and adult-onset diabetes and related conditions could result in a new treatment for these conditions.","ISSN":"0731-5724","note":"PMID: 10067653","shortTitle":"Mechanisms of chromium action","journalAbbreviation":"J Am Coll Nutr","language":"eng","author":[{"family":"Vincent","given":"J B"}],"issued":{"date-parts":[["1999",2]]},"PMID":"10067653"}}],"schema":"https://github.com/citation-style-language/schema/raw/master/csl-citation.json"} </w:instrText>
      </w:r>
      <w:r w:rsidRPr="003A0EF9">
        <w:fldChar w:fldCharType="separate"/>
      </w:r>
      <w:r w:rsidR="000A492A" w:rsidRPr="000A492A">
        <w:rPr>
          <w:vertAlign w:val="superscript"/>
        </w:rPr>
        <w:t>341,342</w:t>
      </w:r>
      <w:r w:rsidRPr="003A0EF9">
        <w:fldChar w:fldCharType="end"/>
      </w:r>
      <w:r w:rsidRPr="003A0EF9">
        <w:t xml:space="preserve">  Two recent meta-analyses of data in people suggest chromium supplementation causes statistically significant, but clinically marginal reductions in body weight.</w:t>
      </w:r>
      <w:r w:rsidRPr="003A0EF9">
        <w:fldChar w:fldCharType="begin"/>
      </w:r>
      <w:r w:rsidR="000A492A">
        <w:instrText xml:space="preserve"> ADDIN ZOTERO_ITEM CSL_CITATION {"citationID":"n6t9NVzK","properties":{"formattedCitation":"{\\rtf \\super 343,344\\nosupersub{}}","plainCitation":"343,344"},"citationItems":[{"id":348,"uris":["http://zotero.org/users/local/Ry4zHLbn/items/BCNWSQNB"],"uri":["http://zotero.org/users/local/Ry4zHLbn/items/BCNWSQNB"],"itemData":{"id":348,"type":"article-journal","title":"Chromium supplementation in overweight and obesity: a systematic review and meta-analysis of randomized clinical trials","container-title":"Obesity reviews: an official journal of the International Association for the Study of Obesity","page":"496-507","volume":"14","issue":"6","source":"NCBI PubMed","abstract":"The increased prevalence of obesity has made the use of dietary supplements as weight reducing agents highly popular, but their efficacy has not been proven. One such supplement is chromium. The purpose of this review was to evaluate the evidence for or against the efficacy of chromium supplementation in overweight and obese individuals. Electronic searches were conducted in Medline, Embase, Amed and The Cochrane Library. The bibliographies of located articles were also searched. No age, gender or language restrictions were imposed. The reporting quality of identified randomized clinical trials (RCTs) was assessed using a methodological checklist adapted from the Consolidated Standard of Reporting Trials Statement and Preferred Reporting Items for Systematic Reviews and Meta-Analyses guidelines. Thirty-nine trials were identified and 20 were included. There were variations in reporting quality of included studies. A meta-analysis of 11 studies showed a statistically significant difference in weight loss favouring chromium over placebo (mean difference (MD): -0.50 kg; 95% confidence interval (CI): -0.97, -0.03). There was a high statistical heterogeneity. Adverse events included watery stools, vertigo, headaches and urticaria. The evidence from available RCTs shows that chromium supplementation generates statistically significant reductions in body weight. The magnitude of the effect is small, and the clinical relevance is uncertain. Future trials should last at least 16 weeks and greater uniformity in the measuring and assessment tools for body composition is recommended.","DOI":"10.1111/obr.12026","ISSN":"1467-789X","note":"PMID: 23495911","shortTitle":"Chromium supplementation in overweight and obesity","journalAbbreviation":"Obes Rev","language":"eng","author":[{"family":"Onakpoya","given":"I"},{"family":"Posadzki","given":"P"},{"family":"Ernst","given":"E"}],"issued":{"date-parts":[["2013",6]]},"PMID":"23495911"}},{"id":350,"uris":["http://zotero.org/users/local/Ry4zHLbn/items/6RSC9ARW"],"uri":["http://zotero.org/users/local/Ry4zHLbn/items/6RSC9ARW"],"itemData":{"id":350,"type":"article-journal","title":"Chromium picolinate for reducing body weight: meta-analysis of randomized trials","container-title":"International journal of obesity and related metabolic disorders: journal of the International Association for the Study of Obesity","page":"522-529","volume":"27","issue":"4","source":"NCBI PubMed","abstract":"The aim of this meta-analysis was to assess the evidence of chromium picolinate for reducing body weight. Literature searches were conducted on Medline, Embase, The Cochrane Library, Amed and Ciscom. Nine experts and four manufacturers of commercial preparations containing chromium picolinate were asked to contribute published and unpublished studies. There were no restrictions regarding the language of publication. The screening of studies, selection, data extraction, validation and the assessment of methodological quality were performed independently by two reviewers. To be included, studies were required to state that they were randomized, double-blind and placebo-controlled, and report on body weight. Ten trials met all inclusion criteria and provided data, which were suitable for statistical pooling. For body weight a significant differential effect was found in favour of chromium picolinate (weighted mean difference: -1.1 kg; 95% confidence interval (CI): -1.8 to -0.4 kg, n=489). Sensitivity analysis suggests that this effect is largely dependent on the results of a single trial (weighted mean difference: -0.9 kg; 95% CI: -2.0 to 0.2 kg, n=335). Three of the reviewed trials reported on adverse events, indicating their absence in the treatment groups. In conclusion, our meta-analysis suggests a relatively small effect of chromium picolinate compared with placebo for reducing body weight. The clinical relevance of the effect is debatable and the lack of robustness means that the result has to be interpreted with caution.","DOI":"10.1038/sj.ijo.0802262","ISSN":"0307-0565","note":"PMID: 12664086","shortTitle":"Chromium picolinate for reducing body weight","journalAbbreviation":"Int. J. Obes. Relat. Metab. Disord.","language":"eng","author":[{"family":"Pittler","given":"M H"},{"family":"Stevinson","given":"C"},{"family":"Ernst","given":"E"}],"issued":{"date-parts":[["2003",4]]},"PMID":"12664086"}}],"schema":"https://github.com/citation-style-language/schema/raw/master/csl-citation.json"} </w:instrText>
      </w:r>
      <w:r w:rsidRPr="003A0EF9">
        <w:fldChar w:fldCharType="separate"/>
      </w:r>
      <w:r w:rsidR="000A492A" w:rsidRPr="000A492A">
        <w:rPr>
          <w:vertAlign w:val="superscript"/>
        </w:rPr>
        <w:t>343,344</w:t>
      </w:r>
      <w:r w:rsidRPr="003A0EF9">
        <w:fldChar w:fldCharType="end"/>
      </w:r>
      <w:r w:rsidRPr="003A0EF9">
        <w:t xml:space="preserve">  To the author’s knowledge, there is no canine or feline data to support or refute the use of chromium as a weight loss supplement; however it has been investigated for glucose tolerance/insulin sensitivity effects in both species.  Oral doses of chromium picolinate (20-60 µg/kg/d) did not allow for parenteral insulin dose reduction in dogs with naturally acquired diabetes mellitus, nor did it cause any harmful effects.</w:t>
      </w:r>
      <w:r w:rsidRPr="003A0EF9">
        <w:fldChar w:fldCharType="begin"/>
      </w:r>
      <w:r w:rsidR="000A492A">
        <w:instrText xml:space="preserve"> ADDIN ZOTERO_ITEM CSL_CITATION {"citationID":"0MLhAlR2","properties":{"formattedCitation":"{\\rtf \\super 345\\nosupersub{}}","plainCitation":"345"},"citationItems":[{"id":352,"uris":["http://zotero.org/users/local/Ry4zHLbn/items/S4CBVPQ5"],"uri":["http://zotero.org/users/local/Ry4zHLbn/items/S4CBVPQ5"],"itemData":{"id":352,"type":"article-journal","title":"Oral chromium picolinate and control of glycemia in insulin-treated diabetic dogs","container-title":"Journal of veterinary internal medicine / American College of Veterinary Internal Medicine","page":"379-384","volume":"15","issue":"4","source":"NCBI PubMed","abstract":"Chromium is an essential dietary trace mineral involved in carbohydrate and lipid metabolism. Chromium is required for cellular uptake of glucose, and chromium deficiency causes insulin resistance. Chromium supplementation may improve insulin sensitivity and has been used as adjunct treatment of diabetes mellitus in humans. In this study, 13 dogs with naturally acquired diabetes mellitus were treated with insulin for 3 months, then with insulin and chromium picolinate for 3 months. Dogs weighing &lt;15 kg (33 lb: n = 9) were administered 200 microg of chromium picolinate PO once daily for I month, then 200 microg of chromium picolinate twice daily for 2 months. Dogs weighing &gt;15 kg (n = 4) received 200 microg of chromium picolinate once daily for 2 weeks, then 200 microg twice daily for 2 weeks, then 400 microg twice daily for 2 months. Type of insulin, frequency of insulin administration, and diet were kept constant, and insulin dosage was adjusted, as needed, to maintain optimal control of glycemia. Mean body weight, daily insulin dosage, daily caloric intake, 10-hour mean blood glucose concentration, blood glycated hemoglobin concentration, and serum fructosamine concentration were not markedly different when dogs were treated with insulin and chromium picolinate, compared with insulin alone. Adverse effects were not identified with chromium picolinate administration. Results of this study suggest that, at a dosage range of 20-60 microg/kg/d, chromium picolinate caused no beneficial or harmful effects in insulin-treated diabetic dogs.","ISSN":"0891-6640","note":"PMID: 11467597","journalAbbreviation":"J. Vet. Intern. Med.","language":"eng","author":[{"family":"Schachter","given":"S"},{"family":"Nelson","given":"R W"},{"family":"Kirk","given":"C A"}],"issued":{"date-parts":[["2001",8]]},"PMID":"11467597"}}],"schema":"https://github.com/citation-style-language/schema/raw/master/csl-citation.json"} </w:instrText>
      </w:r>
      <w:r w:rsidRPr="003A0EF9">
        <w:fldChar w:fldCharType="separate"/>
      </w:r>
      <w:r w:rsidR="000A492A" w:rsidRPr="000A492A">
        <w:rPr>
          <w:vertAlign w:val="superscript"/>
        </w:rPr>
        <w:t>345</w:t>
      </w:r>
      <w:r w:rsidRPr="003A0EF9">
        <w:fldChar w:fldCharType="end"/>
      </w:r>
      <w:r w:rsidRPr="003A0EF9">
        <w:t xml:space="preserve">  A recent review of these studies and additional data concluded there is no clear benefit of chromium supplementa</w:t>
      </w:r>
      <w:r w:rsidR="00AF310C">
        <w:t>tion for weight loss</w:t>
      </w:r>
      <w:r w:rsidRPr="003A0EF9">
        <w:t xml:space="preserve"> dogs.</w:t>
      </w:r>
      <w:r w:rsidRPr="003A0EF9">
        <w:fldChar w:fldCharType="begin"/>
      </w:r>
      <w:r w:rsidR="000A492A">
        <w:instrText xml:space="preserve"> ADDIN ZOTERO_ITEM CSL_CITATION {"citationID":"aHGdN3id","properties":{"formattedCitation":"{\\rtf \\super 334\\nosupersub{}}","plainCitation":"334"},"citationItems":[{"id":331,"uris":["http://zotero.org/users/local/Ry4zHLbn/items/8I5KRV8K"],"uri":["http://zotero.org/users/local/Ry4zHLbn/items/8I5KRV8K"],"itemData":{"id":331,"type":"article-journal","title":"An evidence-based review of the use of nutraceuticals and dietary supplementation for the management of obese and overweight pets","container-title":"Journal of the American Veterinary Medical Association","page":"1646-1655","volume":"232","issue":"11","source":"NCBI PubMed","DOI":"10.2460/javma.232.11.1646","ISSN":"0003-1488","note":"PMID: 18518805","journalAbbreviation":"J. Am. Vet. Med. Assoc.","language":"eng","author":[{"family":"Roudebush","given":"Philip"},{"family":"Schoenherr","given":"William D"},{"family":"Delaney","given":"Sean J"}],"issued":{"date-parts":[["2008",6,1]]},"PMID":"18518805"}}],"schema":"https://github.com/citation-style-language/schema/raw/master/csl-citation.json"} </w:instrText>
      </w:r>
      <w:r w:rsidRPr="003A0EF9">
        <w:fldChar w:fldCharType="separate"/>
      </w:r>
      <w:r w:rsidR="000A492A" w:rsidRPr="000A492A">
        <w:rPr>
          <w:vertAlign w:val="superscript"/>
        </w:rPr>
        <w:t>334</w:t>
      </w:r>
      <w:r w:rsidRPr="003A0EF9">
        <w:fldChar w:fldCharType="end"/>
      </w:r>
    </w:p>
    <w:p w:rsidR="00BE7116" w:rsidRDefault="00953E2D" w:rsidP="00953E2D">
      <w:pPr>
        <w:pStyle w:val="Heading2"/>
      </w:pPr>
      <w:bookmarkStart w:id="29" w:name="_Toc376465760"/>
      <w:r>
        <w:t>NuShape</w:t>
      </w:r>
      <w:r w:rsidR="00AD4A82">
        <w:t>®</w:t>
      </w:r>
      <w:r>
        <w:t xml:space="preserve">: a leucine/pyridoxine </w:t>
      </w:r>
      <w:r w:rsidR="00EA7410">
        <w:t>nutraceutical</w:t>
      </w:r>
      <w:bookmarkEnd w:id="29"/>
    </w:p>
    <w:p w:rsidR="00625917" w:rsidRDefault="009F3581" w:rsidP="00625917">
      <w:r>
        <w:tab/>
        <w:t>A new metabolic agent available for people combines leucine and pyridoxine (NuShape</w:t>
      </w:r>
      <w:r w:rsidR="00D8114C">
        <w:t xml:space="preserve">®, </w:t>
      </w:r>
      <w:r w:rsidR="00FD0189">
        <w:t xml:space="preserve">NuSirt Sciences, </w:t>
      </w:r>
      <w:proofErr w:type="gramStart"/>
      <w:r w:rsidR="00D8114C">
        <w:t>Nashville</w:t>
      </w:r>
      <w:proofErr w:type="gramEnd"/>
      <w:r w:rsidR="00D8114C">
        <w:t xml:space="preserve">, TN) </w:t>
      </w:r>
      <w:r w:rsidR="00046DD8">
        <w:t xml:space="preserve">and is </w:t>
      </w:r>
      <w:r w:rsidR="00D8114C">
        <w:t>designed to encourage lipolysis while maintaining lean tissue mass.  Leucine is a</w:t>
      </w:r>
      <w:r w:rsidR="00A143E7">
        <w:t>n essential ketogenic</w:t>
      </w:r>
      <w:r w:rsidR="00D8114C">
        <w:t xml:space="preserve"> branched chain amino acid</w:t>
      </w:r>
      <w:r w:rsidR="00036037">
        <w:t xml:space="preserve"> (BCAA)</w:t>
      </w:r>
      <w:r w:rsidR="00046DD8">
        <w:t>, with highest concentrations (g leucine/100 g food item) in eggs, soy-derived products, and dairy products.</w:t>
      </w:r>
      <w:r w:rsidR="00046DD8">
        <w:fldChar w:fldCharType="begin"/>
      </w:r>
      <w:r w:rsidR="000A492A">
        <w:instrText xml:space="preserve"> ADDIN ZOTERO_ITEM CSL_CITATION {"citationID":"28mafulolo","properties":{"formattedCitation":"{\\rtf \\super 346\\nosupersub{}}","plainCitation":"346"},"citationItems":[{"id":824,"uris":["http://zotero.org/users/171999/items/QTUZIS9Q"],"uri":["http://zotero.org/users/171999/items/QTUZIS9Q"],"itemData":{"id":824,"type":"webpage","title":"USDA National Nutrient Database for Standard Reference","container-title":"USDA Agriculture Research Service Nutrient Data Laboratory","genre":"Database","URL":"http://www.nal.usda.gov/fnic/foodcomp/search/","author":[{"family":"USDA","given":""}],"accessed":{"date-parts":[["2010",8,3]]}}}],"schema":"https://github.com/citation-style-language/schema/raw/master/csl-citation.json"} </w:instrText>
      </w:r>
      <w:r w:rsidR="00046DD8">
        <w:fldChar w:fldCharType="separate"/>
      </w:r>
      <w:r w:rsidR="000A492A" w:rsidRPr="000A492A">
        <w:rPr>
          <w:vertAlign w:val="superscript"/>
        </w:rPr>
        <w:t>346</w:t>
      </w:r>
      <w:r w:rsidR="00046DD8">
        <w:fldChar w:fldCharType="end"/>
      </w:r>
      <w:r w:rsidR="00046DD8">
        <w:t xml:space="preserve">  </w:t>
      </w:r>
      <w:r w:rsidR="00D8114C">
        <w:t>Leucine has been shown to modulate fat oxidation and energy partitioning between adipose tissue and skeletal muscle.  The cross-talk that occurs causes diminished adipocyte lipid storage, increased net fat oxidation, and decreased overall adiposity.</w:t>
      </w:r>
      <w:r w:rsidR="00D8114C">
        <w:fldChar w:fldCharType="begin"/>
      </w:r>
      <w:r w:rsidR="000A492A">
        <w:instrText xml:space="preserve"> ADDIN ZOTERO_ITEM CSL_CITATION {"citationID":"JRMyxoGB","properties":{"formattedCitation":"{\\rtf \\super 347\\uc0\\u8211{}352\\nosupersub{}}","plainCitation":"347–352"},"citationItems":[{"id":"OzdjOHfW/SN0Qknzb","uris":["http://zotero.org/users/local/Ry4zHLbn/items/GJKIQNPJ"],"uri":["http://zotero.org/users/local/Ry4zHLbn/items/GJKIQNPJ"],"itemData":{"id":"OzdjOHfW/SN0Qknzb","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B"},{"family":"Bruckbauer","given":"Antje"}],"issued":{"year":2013},"PMID":"24003309","page-first":"309","container-title-short":"Diabetes Metab Syndr Obes"}},{"id":1693,"uris":["http://zotero.org/users/171999/items/7S98DPBI"],"uri":["http://zotero.org/users/171999/items/7S98DPBI"],"itemData":{"id":1693,"type":"article-journal","title":"Leucine and calcium regulate fat metabolism and energy partitioning in murine adipocytes and muscle cells","container-title":"Lipids","page":"297-305","volume":"42","issue":"4","source":"NCBI PubMed","abstract":"Dietary calcium modulation of adiposity is mediated, in part, by suppression of calcitriol, while the additional effect of dairy products is mediated by additional components; these include the high concentration of leucine, a key factor in the regulation of muscle protein turnover. We investigated the effect of leucine, calcitriol and calcium on energy metabolism in murine adipocytes and muscle cells and on energy partitioning between adipocytes and skeletal muscle. Leucine induced a marked increase in fatty acid oxidation in C2C12 muscle cells (P&lt;0.001) and decreased FAS expression by 66% (P&lt;0.001) in 3T3-L1 adipocytes. Calcitriol decreased muscle cell fatty acid oxidation by 37% (P&lt;0.001) and increased adipocyte FAS gene expression by threefold (P&lt;0.05); these effects were partially reversed by either leucine or calcium channel antagonism with nifedipine. Co-culture of muscle cells with adipocytes or incubation with 48-h adipocyte conditioned medium decreased muscle fatty acid oxidation by 62% (P&lt;0.001), but treating adipocytes with leucine and/or nifedipine attenuated this effect. Leucine, nifedipine and calcitriol also modulated adiponectin production and thereby exerted additional indirect effects on fatty acid oxidation in C2C12 myotubes. Adiponectin increased IL-15 and IL-6 release by myotubes and partially reversed the inhibitory effects of calcitriol. Comparable effects of leucine, calcitriol and adiponectin were found in myotubes treated with conditioned medium derived from adipocytes or co-cultured with adipocytes. These data suggest that leucine and nifedipine promote energy partitioning from adipocytes to muscle cells, resulting in decreased energy storage in adipocytes and increasing fatty acid utilization in muscle.","DOI":"10.1007/s11745-007-3029-5","ISSN":"0024-4201","note":"PMID: 17406924","journalAbbreviation":"Lipids","language":"eng","author":[{"family":"Sun","given":"Xiaocun"},{"family":"Zemel","given":"Michael B"}],"issued":{"date-parts":[["2007",4]]},"PMID":"17406924"}},{"id":1695,"uris":["http://zotero.org/users/171999/items/RCRVB9BJ"],"uri":["http://zotero.org/users/171999/items/RCRVB9BJ"],"itemData":{"id":1695,"type":"article-journal","title":"Leucine modulation of mitochondrial mass and oxygen consumption in skeletal muscle cells and adipocytes","container-title":"Nutrition &amp; metabolism","page":"26","volume":"6","source":"NCBI PubMed","abstract":"BACKGROUND: The effects of dairy on energy metabolism appear to be mediated, in part, by leucine and calcium which regulate both adipocyte and skeletal muscle energy metabolism. We recently demonstrated that leucine and calcitriol regulate fatty acid oxidation in skeletal muscle cells in vitro, with leucine promoting and calcitriol suppressing fatty acid oxidation. Moreover, leucine coordinately regulated adipocyte lipid metabolism to promote flux of lipid to skeletal muscle and regulate metabolic flexibility. We have now investigated the role of mitochondrial biogenesis in mediating these effects.\nMETHODS: We tested the effect of leucine, calcitriol and calcium in regulation of mitochondrial mass using a fluorescence method and tested mitochondrial biogenesis regulatory genes as well mitochondrial component genes using real-time PCR. We also evaluated the effect of leucine on oxygen consumption with a modified perfusion system.\nRESULTS: Leucine (0.5 mM) increased mitochondrial mass by 30% and 53% in C2C12 myocytes and 3T3-L1 adipocytes, respectively, while calcitriol (10 nM) decreased mitochondrial abundance by 37% and 27% (p &lt; 0.02). Leucine also stimulated mitochondrial biogenesis genes SIRT-1, PGC-1alpha and NRF-1 as well as mitochondrial component genes UCP3, COX, and NADH expression by 3-5 fold in C2C12 cells (p &lt; 0.003). Adipocyte-conditioned medium reduced mitochondrial abundance (p &lt; 0.001) and decreased UCP3 but increased PGC-1alpha expression in myocytes, suggesting a feedback stimulation of mitochondrial biogenesis. Similar data were observed in C2C12 myocytes co-cultured with adipocytes, with co-culture markedly suppressing mitochondrial abundance (p &lt; 0.02). Leucine stimulated oxygen consumption in both C2C12 cells and adipocytes compared with either control or valine-treated cells. Transfection of C2C12 myocytes with SIRT-1 siRNA resulted in parallel suppression of SIRT-1 expression and leucine-induced stimulation of PGC-1alpha and NRF-1, indicating that SIRT-1 mediates leucine induced mitochondrial biogenesis in muscle cells.\nCONCLUSION: These data suggest that leucine and calcitriol modulation of muscle and adipocyte energy metabolism is mediated, in part, by mitochondrial biogenesis.","DOI":"10.1186/1743-7075-6-26","ISSN":"1743-7075","note":"PMID: 19500359","journalAbbreviation":"Nutr Metab (Lond)","language":"eng","author":[{"family":"Sun","given":"Xiaocun"},{"family":"Zemel","given":"Michael B"}],"issued":{"date-parts":[["2009"]]},"PMID":"19500359"}},{"id":1697,"uris":["http://zotero.org/users/171999/items/AK5ER7R4"],"uri":["http://zotero.org/users/171999/items/AK5ER7R4"],"itemData":{"id":1697,"type":"article-journal","title":"Dietary leucine--an environmental modifier of insulin resistance acting on multiple levels of metabolism","container-title":"PloS one","page":"e21187","volume":"6","issue":"6","source":"NCBI PubMed","abstract":"Environmental factors, such as the macronutrient composition of the diet, can have a profound impact on risk of diabetes and metabolic syndrome. In the present study we demonstrate how a single, simple dietary factor--leucine--can modify insulin resistance by acting on multiple tissues and at multiple levels of metabolism. Mice were placed on a normal or high fat diet (HFD). Dietary leucine was doubled by addition to the drinking water. mRNA, protein and complete metabolomic profiles were assessed in the major insulin sensitive tissues and serum, and correlated with changes in glucose homeostasis and insulin signaling. After 8 weeks on HFD, mice developed obesity, fatty liver, inflammatory changes in adipose tissue and insulin resistance at the level of IRS-1 phosphorylation, as well as alterations in metabolomic profile of amino acid metabolites, TCA cycle intermediates, glucose and cholesterol metabolites, and fatty acids in liver, muscle, fat and serum. Doubling dietary leucine reversed many of the metabolite abnormalities and caused a marked improvement in glucose tolerance and insulin signaling without altering food intake or weight gain. Increased dietary leucine was also associated with a decrease in hepatic steatosis and a decrease in inflammation in adipose tissue. These changes occurred despite an increase in insulin-stimulated phosphorylation of p70S6 kinase indicating enhanced activation of mTOR, a phenomenon normally associated with insulin resistance. These data indicate that modest changes in a single environmental/nutrient factor can modify multiple metabolic and signaling pathways and modify HFD induced metabolic syndrome by acting at a systemic level on multiple tissues. These data also suggest that increasing dietary leucine may provide an adjunct in the management of obesity-related insulin resistance.","DOI":"10.1371/journal.pone.0021187","ISSN":"1932-6203","note":"PMID: 21731668","journalAbbreviation":"PLoS ONE","language":"eng","author":[{"family":"Macotela","given":"Yazmin"},{"family":"Emanuelli","given":"Brice"},{"family":"Bång","given":"Anneli M"},{"family":"Espinoza","given":"Daniel O"},{"family":"Boucher","given":"Jeremie"},{"family":"Beebe","given":"Kirk"},{"family":"Gall","given":"Walter"},{"family":"Kahn","given":"C Ronald"}],"issued":{"date-parts":[["2011"]]},"PMID":"21731668"}},{"id":1701,"uris":["http://zotero.org/users/171999/items/GM59NI4T"],"uri":["http://zotero.org/users/171999/items/GM59NI4T"],"itemData":{"id":1701,"type":"article-journal","title":"Increasing dietary leucine intake reduces diet-induced obesity and improves glucose and cholesterol metabolism in mice via multimechanisms","container-title":"Diabetes","page":"1647-1654","volume":"56","issue":"6","source":"NCBI PubMed","abstract":"Leucine, as an essential amino acid and activator of mTOR (mammalian target of rapamycin), promotes protein synthesis and suppresses protein catabolism. However, the effect of leucine on overall glucose and energy metabolism remains unclear, and whether leucine has beneficial effects as a long-term dietary supplement has not been examined. In the present study, we doubled dietary leucine intake via leucine-containing drinking water in mice with free excess to either a rodent chow or a high-fat diet (HFD). While it produced no major metabolic effects in chow-fed mice, increasing leucine intake resulted in up to 32% reduction of weight gain (P &lt; 0.05) and a 25% decrease in adiposity (P &lt; 0.01) in HFD-fed mice. The reduction of adiposity resulted from increased resting energy expenditure associated with increased expression of uncoupling protein 3 in brown and white adipose tissues and in skeletal muscle, while food intake was not decreased. Increasing leucine intake also prevented HFD-induced hyperglycemia, which was associated with improved insulin sensitivity, decreased plasma concentrations of glucagon and glucogenic amino acids, and downregulation of hepatic glucose-6-phosphatase. Additionally, plasma levels of total and LDL cholesterol were decreased by 27% (P &lt; 0.001) and 53% (P &lt; 0.001), respectively, in leucine supplemented HFD-fed mice compared with the control mice fed the same diet. The reduction in cholesterol levels was largely independent of leucine-induced changes in adiposity. In conclusion, increases in dietary leucine intake substantially decrease diet-induced obesity, hyperglycemia, and hypercholesterolemia in mice with ad libitum consumption of HFD likely via multiple mechanisms.","DOI":"10.2337/db07-0123","ISSN":"1939-327X","note":"PMID: 17360978","journalAbbreviation":"Diabetes","language":"eng","author":[{"family":"Zhang","given":"Yiying"},{"family":"Guo","given":"Kaiying"},{"family":"LeBlanc","given":"Robert E"},{"family":"Loh","given":"Daniella"},{"family":"Schwartz","given":"Gary J"},{"family":"Yu","given":"Yi-Hao"}],"issued":{"date-parts":[["2007",6]]},"PMID":"17360978"}},{"id":1699,"uris":["http://zotero.org/users/171999/items/ZTVFI488"],"uri":["http://zotero.org/users/171999/items/ZTVFI488"],"itemData":{"id":1699,"type":"article-journal","title":"Effects of leucine supplementation on the body composition and protein status of rats submitted to food restriction","container-title":"Nutrition (Burbank, Los Angeles County, Calif.)","page":"520-527","volume":"22","issue":"5","source":"NCBI PubMed","abstract":"OBJECTIVE: Acute administration of leucine has been shown to stimulate certain protein synthesis related anabolic processes. However, the effect of chronic leucine administration in a catabolic situation caused by food restriction (FR) has not been established. We therefore evaluated the effect of chronic leucine supplementation on the body composition and some indicators of protein nutritional status of rats submitted to FR.\nMETHODS: Adult male Wistar rats were submitted to 50% FR for 6 weeks. The control group received the AIN-93M diet and the leucine group received the same diet supplemented with 5.91 g L-leucine/kg ration. We then determined carcass chemical composition, serum leptin, albumin and total protein concentrations, and protein, DNA and RNA concentrations in gastrocnemius muscle and liver.\nRESULTS: No difference in final body weight was observed between groups. However, the leucine group presented a lower amount of body fat (P &lt; 0.05). Leptin concentration showed a directly proportional correlation with the amount of body fat (r = 0.88, P &lt; 0.05), but no significant difference in serum leptin concentration was observed between groups (P = 0.08). Regarding protein nutritional status, liver protein concentration was higher in the leucine group (P &lt; 0.05). In the gastrocnemius muscle, a higher RNA concentration (P &lt; 0.05) and a tendency towards higher DNA concentration (P = 0.06) were observed in the leucine group.\nCONCLUSION: The results indicate that low-dose leucine supplementation increases body fat loss and improves liver protein status and the capacity of muscle protein synthesis in rats submitted to FR.","DOI":"10.1016/j.nut.2005.12.008","ISSN":"0899-9007","note":"PMID: 16600817","journalAbbreviation":"Nutrition","language":"eng","author":[{"family":"Donato","given":"Jose, Jr"},{"family":"Pedrosa","given":"Rogerio Graça"},{"family":"Cruzat","given":"Vinicius Fernandes"},{"family":"Pires","given":"Ivanir Santana de Oliveira"},{"family":"Tirapegui","given":"Julio"}],"issued":{"date-parts":[["2006",5]]},"PMID":"16600817"}}],"schema":"https://github.com/citation-style-language/schema/raw/master/csl-citation.json"} </w:instrText>
      </w:r>
      <w:r w:rsidR="00D8114C">
        <w:fldChar w:fldCharType="separate"/>
      </w:r>
      <w:r w:rsidR="000A492A" w:rsidRPr="000A492A">
        <w:rPr>
          <w:vertAlign w:val="superscript"/>
        </w:rPr>
        <w:t>347–352</w:t>
      </w:r>
      <w:r w:rsidR="00D8114C">
        <w:fldChar w:fldCharType="end"/>
      </w:r>
      <w:r w:rsidR="00625917">
        <w:t xml:space="preserve">  </w:t>
      </w:r>
      <w:proofErr w:type="gramStart"/>
      <w:r w:rsidR="000E1B14">
        <w:t>Pyridoxine</w:t>
      </w:r>
      <w:proofErr w:type="gramEnd"/>
      <w:r w:rsidR="000E1B14">
        <w:t xml:space="preserve"> (vitamin B</w:t>
      </w:r>
      <w:r w:rsidR="000E1B14">
        <w:rPr>
          <w:vertAlign w:val="subscript"/>
        </w:rPr>
        <w:t>6</w:t>
      </w:r>
      <w:r w:rsidR="000E1B14">
        <w:t>) is</w:t>
      </w:r>
      <w:r w:rsidR="00965138">
        <w:t xml:space="preserve"> a cofactor for various macronutrient metabolism enzymes in its active form, pyridoxal 5’phosphate</w:t>
      </w:r>
      <w:r w:rsidR="00297516">
        <w:t xml:space="preserve"> (PLP)</w:t>
      </w:r>
      <w:r w:rsidR="00965138">
        <w:t>.  It is essential for other functions including hemoglobin, neurotransmitter, nucleic acid, and one carbon unit synthesis or metabolism.</w:t>
      </w:r>
      <w:r w:rsidR="00965138">
        <w:fldChar w:fldCharType="begin"/>
      </w:r>
      <w:r w:rsidR="000A492A">
        <w:instrText xml:space="preserve"> ADDIN ZOTERO_ITEM CSL_CITATION {"citationID":"a594vo9tf","properties":{"formattedCitation":"{\\rtf \\super 353\\nosupersub{}}","plainCitation":"353"},"citationItems":[{"id":1784,"uris":["http://zotero.org/users/171999/items/8VWGUUE3"],"uri":["http://zotero.org/users/171999/items/8VWGUUE3"],"itemData":{"id":1784,"type":"article-journal","title":"Mechanistic perspective on the relationship between pyridoxal 5'-phosphate and inflammation","container-title":"Nutrition reviews","page":"239-244","volume":"71","issue":"4","source":"NCBI PubMed","abstract":"A variety of inflammatory disease conditions have been found to be associated with low levels of plasma pyridoxal 5'-phosphate (PLP), the active form of vitamin B6 , without any indication of a lower dietary intake of vitamin B6 , excessive catabolism of the vitamin, or congenital defects in its metabolism. The present review was conducted to examine the existing literature in this regard. Current evidence suggests that the inverse association between plasma PLP and inflammation may be the result of mobilization of this coenzyme to the site of inflammation, for use by the PLP-dependent enzymes of the kynurenine pathway of tryptophan degradation, metabolism of the immunomodulatory sphingolipids, ceramide and sphingosine 1-phosphate, and for serine hydroxymethylase for immune cell proliferation.","DOI":"10.1111/nure.12014","ISSN":"1753-4887","note":"PMID: 23550784","journalAbbreviation":"Nutr. Rev.","language":"eng","author":[{"family":"Paul","given":"Ligi"},{"family":"Ueland","given":"Per Magne"},{"family":"Selhub","given":"Jacob"}],"issued":{"date-parts":[["2013",4]]},"PMID":"23550784"}}],"schema":"https://github.com/citation-style-language/schema/raw/master/csl-citation.json"} </w:instrText>
      </w:r>
      <w:r w:rsidR="00965138">
        <w:fldChar w:fldCharType="separate"/>
      </w:r>
      <w:r w:rsidR="000A492A" w:rsidRPr="000A492A">
        <w:rPr>
          <w:vertAlign w:val="superscript"/>
        </w:rPr>
        <w:t>353</w:t>
      </w:r>
      <w:r w:rsidR="00965138">
        <w:fldChar w:fldCharType="end"/>
      </w:r>
      <w:r w:rsidR="00965138">
        <w:t xml:space="preserve">  It tends to be highest in </w:t>
      </w:r>
      <w:r w:rsidR="00297516">
        <w:t>fortified foods, but naturally occurring sources of pyridoxine with hig</w:t>
      </w:r>
      <w:r w:rsidR="0068541F">
        <w:t>h</w:t>
      </w:r>
      <w:r w:rsidR="00297516">
        <w:t xml:space="preserve"> concentrations (mg pyridoxine/100 g food item) are pistachios, wheat and rice bran, garlic, sunflower seeds, and various spices.</w:t>
      </w:r>
      <w:r w:rsidR="00297516">
        <w:fldChar w:fldCharType="begin"/>
      </w:r>
      <w:r w:rsidR="000A492A">
        <w:instrText xml:space="preserve"> ADDIN ZOTERO_ITEM CSL_CITATION {"citationID":"24pm9qko7n","properties":{"formattedCitation":"{\\rtf \\super 346\\nosupersub{}}","plainCitation":"346"},"citationItems":[{"id":824,"uris":["http://zotero.org/users/171999/items/QTUZIS9Q"],"uri":["http://zotero.org/users/171999/items/QTUZIS9Q"],"itemData":{"id":824,"type":"webpage","title":"USDA National Nutrient Database for Standard Reference","container-title":"USDA Agriculture Research Service Nutrient Data Laboratory","genre":"Database","URL":"http://www.nal.usda.gov/fnic/foodcomp/search/","author":[{"family":"USDA","given":""}],"accessed":{"date-parts":[["2010",8,3]]}}}],"schema":"https://github.com/citation-style-language/schema/raw/master/csl-citation.json"} </w:instrText>
      </w:r>
      <w:r w:rsidR="00297516">
        <w:fldChar w:fldCharType="separate"/>
      </w:r>
      <w:r w:rsidR="000A492A" w:rsidRPr="000A492A">
        <w:rPr>
          <w:vertAlign w:val="superscript"/>
        </w:rPr>
        <w:t>346</w:t>
      </w:r>
      <w:r w:rsidR="00297516">
        <w:fldChar w:fldCharType="end"/>
      </w:r>
      <w:r w:rsidR="00297516">
        <w:t xml:space="preserve">  PLP is specifically used in this supplement for its attenuation of calcium signaling and overall decreased net lipid storage.</w:t>
      </w:r>
      <w:r w:rsidR="00297516">
        <w:fldChar w:fldCharType="begin"/>
      </w:r>
      <w:r w:rsidR="000A492A">
        <w:instrText xml:space="preserve"> ADDIN ZOTERO_ITEM CSL_CITATION {"citationID":"g5djb9r26","properties":{"formattedCitation":"{\\rtf \\super 347,354\\nosupersub{}}","plainCitation":"347,354"},"citationItems":[{"id":"OzdjOHfW/SN0Qknzb","uris":["http://zotero.org/users/local/Ry4zHLbn/items/GJKIQNPJ"],"uri":["http://zotero.org/users/local/Ry4zHLbn/items/GJKIQNPJ"],"itemData":{"id":"OzdjOHfW/SN0Qknzb","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B"},{"family":"Bruckbauer","given":"Antje"}],"issued":{"year":2013},"PMID":"24003309","page-first":"309","container-title-short":"Diabetes Metab Syndr Obes"}},{"id":"OzdjOHfW/8Cff0d1I","uris":["http://zotero.org/users/local/Ry4zHLbn/items/WZP424QN"],"uri":["http://zotero.org/users/local/Ry4zHLbn/items/WZP424QN"],"itemData":{"id":"OzdjOHfW/8Cff0d1I","type":"article-journal","title":"Effects of a leucine and pyridoxine-containing nutraceutical on fat oxidation, and oxidative and inflammatory stress in overweight and obese subjects","container-title":"Nutrients","page":"529-541","volume":"4","issue":"6","source":"NCBI PubMed","abstract":"Leucine stimulates tissue protein synthesis and may also attenuate adiposity by increasing fatty acid oxidation and mitochondrial biogenesis in muscle and adipocytes. Accordingly, the effects of a nutraceutical containing 2.25 g leucine and 30 mg pyridoxine (Vitamin B6) (NuFit active blend) were tested in cell culture and in a clinical trial. 3T3L1 adipocytes were treated with leucine (0.25 mM or 0.5 mM) and/or Pyridoxal Phosphate (PLP) (50 nM or 100 nM) for 48 h. For the clinical trial, twenty overweight or obese subjects received the NuFit active blend or placebo three times/day for 4 weeks without energy restriction. Leucine decreased fatty acid synthase (FAS) expression and triglyceride content in adipocytes, and PLP addition significantly augmented this effect. Administration of NuFit active blend in the clinical trial increased fat oxidation by 33.6 g/day (p &lt; 0.04), decreased respiratory quotient, improved HOMA(IR), reduced oxidative and inflammatory biomarkers (plasma MDA, 8-isoprostane-F(2α), TNF-α, C-reactive protein), and increased the anti-inflammatory marker adiponectin. These data indicate that the NuFit active blend significantly increased fat oxidation and insulin sensitivity, and reduced oxidative and inflammatory stress. Therefore, the NuFit active blend appears to be a useful nutraceutical in the management of obesity and associated co-morbidities.","DOI":"10.3390/nu4060529","ISSN":"2072-6643","note":"PMID: 22822451","journalAbbreviation":"Nutrients","language":"eng","author":[{"family":"Zemel","given":"Michael B"},{"family":"Bruckbauer","given":"Antje"}],"issued":{"year":2012,"month":6},"PMID":"22822451","page-first":"529","container-title-short":"Nutrients"}}],"schema":"https://github.com/citation-style-language/schema/raw/master/csl-citation.json"} </w:instrText>
      </w:r>
      <w:r w:rsidR="00297516">
        <w:fldChar w:fldCharType="separate"/>
      </w:r>
      <w:r w:rsidR="000A492A" w:rsidRPr="000A492A">
        <w:rPr>
          <w:vertAlign w:val="superscript"/>
        </w:rPr>
        <w:t>347,354</w:t>
      </w:r>
      <w:r w:rsidR="00297516">
        <w:fldChar w:fldCharType="end"/>
      </w:r>
      <w:r w:rsidR="00297516">
        <w:t xml:space="preserve">  The e</w:t>
      </w:r>
      <w:r w:rsidR="00625917">
        <w:t>ffects</w:t>
      </w:r>
      <w:r w:rsidR="00297516">
        <w:t xml:space="preserve"> of both leucine and PLP</w:t>
      </w:r>
      <w:r w:rsidR="00625917">
        <w:t xml:space="preserve"> have been determined </w:t>
      </w:r>
      <w:r w:rsidR="00625917">
        <w:lastRenderedPageBreak/>
        <w:t xml:space="preserve">through </w:t>
      </w:r>
      <w:r w:rsidR="00625917">
        <w:rPr>
          <w:i/>
        </w:rPr>
        <w:t xml:space="preserve">in vitro </w:t>
      </w:r>
      <w:r w:rsidR="00625917">
        <w:t xml:space="preserve">and </w:t>
      </w:r>
      <w:r w:rsidR="00625917">
        <w:rPr>
          <w:i/>
        </w:rPr>
        <w:t>in vivo</w:t>
      </w:r>
      <w:r w:rsidR="00625917">
        <w:t xml:space="preserve"> research, mostly in rodents</w:t>
      </w:r>
      <w:r w:rsidR="0085060E">
        <w:t>,</w:t>
      </w:r>
      <w:r w:rsidR="00625917">
        <w:t xml:space="preserve"> and an overview of pertinent results is discussed below.</w:t>
      </w:r>
    </w:p>
    <w:p w:rsidR="000E1B14" w:rsidRDefault="000E1B14" w:rsidP="000E1B14">
      <w:pPr>
        <w:pStyle w:val="Heading3"/>
      </w:pPr>
      <w:bookmarkStart w:id="30" w:name="_Toc376465761"/>
      <w:r>
        <w:t>Leucine</w:t>
      </w:r>
      <w:bookmarkEnd w:id="30"/>
    </w:p>
    <w:p w:rsidR="00963AE7" w:rsidRPr="003B1C9B" w:rsidRDefault="00625917" w:rsidP="00347E50">
      <w:pPr>
        <w:ind w:firstLine="720"/>
      </w:pPr>
      <w:r>
        <w:t xml:space="preserve">Leucine has been shown to increase muscle fatty acid oxidation and UCP3 expression and </w:t>
      </w:r>
      <w:r w:rsidR="00B913A8">
        <w:t xml:space="preserve">to </w:t>
      </w:r>
      <w:r>
        <w:t xml:space="preserve">decrease adipocyte fatty acid synthase (FASN) </w:t>
      </w:r>
      <w:r w:rsidR="0085060E">
        <w:t>and PPARγ</w:t>
      </w:r>
      <w:r>
        <w:t xml:space="preserve"> expression </w:t>
      </w:r>
      <w:r w:rsidRPr="00625917">
        <w:rPr>
          <w:i/>
        </w:rPr>
        <w:t>in vitro</w:t>
      </w:r>
      <w:r w:rsidRPr="000560D3">
        <w:t>.</w:t>
      </w:r>
      <w:r w:rsidRPr="00625917">
        <w:rPr>
          <w:i/>
        </w:rPr>
        <w:fldChar w:fldCharType="begin"/>
      </w:r>
      <w:r w:rsidR="000A492A">
        <w:rPr>
          <w:i/>
        </w:rPr>
        <w:instrText xml:space="preserve"> ADDIN ZOTERO_ITEM CSL_CITATION {"citationID":"wlJQ038h","properties":{"formattedCitation":"{\\rtf \\super 348\\nosupersub{}}","plainCitation":"348"},"citationItems":[{"id":1693,"uris":["http://zotero.org/users/171999/items/7S98DPBI"],"uri":["http://zotero.org/users/171999/items/7S98DPBI"],"itemData":{"id":1693,"type":"article-journal","title":"Leucine and calcium regulate fat metabolism and energy partitioning in murine adipocytes and muscle cells","container-title":"Lipids","page":"297-305","volume":"42","issue":"4","source":"NCBI PubMed","abstract":"Dietary calcium modulation of adiposity is mediated, in part, by suppression of calcitriol, while the additional effect of dairy products is mediated by additional components; these include the high concentration of leucine, a key factor in the regulation of muscle protein turnover. We investigated the effect of leucine, calcitriol and calcium on energy metabolism in murine adipocytes and muscle cells and on energy partitioning between adipocytes and skeletal muscle. Leucine induced a marked increase in fatty acid oxidation in C2C12 muscle cells (P&lt;0.001) and decreased FAS expression by 66% (P&lt;0.001) in 3T3-L1 adipocytes. Calcitriol decreased muscle cell fatty acid oxidation by 37% (P&lt;0.001) and increased adipocyte FAS gene expression by threefold (P&lt;0.05); these effects were partially reversed by either leucine or calcium channel antagonism with nifedipine. Co-culture of muscle cells with adipocytes or incubation with 48-h adipocyte conditioned medium decreased muscle fatty acid oxidation by 62% (P&lt;0.001), but treating adipocytes with leucine and/or nifedipine attenuated this effect. Leucine, nifedipine and calcitriol also modulated adiponectin production and thereby exerted additional indirect effects on fatty acid oxidation in C2C12 myotubes. Adiponectin increased IL-15 and IL-6 release by myotubes and partially reversed the inhibitory effects of calcitriol. Comparable effects of leucine, calcitriol and adiponectin were found in myotubes treated with conditioned medium derived from adipocytes or co-cultured with adipocytes. These data suggest that leucine and nifedipine promote energy partitioning from adipocytes to muscle cells, resulting in decreased energy storage in adipocytes and increasing fatty acid utilization in muscle.","DOI":"10.1007/s11745-007-3029-5","ISSN":"0024-4201","note":"PMID: 17406924","journalAbbreviation":"Lipids","language":"eng","author":[{"family":"Sun","given":"Xiaocun"},{"family":"Zemel","given":"Michael B"}],"issued":{"date-parts":[["2007",4]]},"PMID":"17406924"}}],"schema":"https://github.com/citation-style-language/schema/raw/master/csl-citation.json"} </w:instrText>
      </w:r>
      <w:r w:rsidRPr="00625917">
        <w:rPr>
          <w:i/>
        </w:rPr>
        <w:fldChar w:fldCharType="separate"/>
      </w:r>
      <w:r w:rsidR="000A492A" w:rsidRPr="000A492A">
        <w:rPr>
          <w:vertAlign w:val="superscript"/>
        </w:rPr>
        <w:t>348</w:t>
      </w:r>
      <w:r w:rsidRPr="00625917">
        <w:rPr>
          <w:i/>
        </w:rPr>
        <w:fldChar w:fldCharType="end"/>
      </w:r>
      <w:r w:rsidR="0085060E">
        <w:t xml:space="preserve">  As its name implies, FASN is integral to fat production by catalyzing palmitate production from acetyl CoA and malonyl CoA.</w:t>
      </w:r>
      <w:r w:rsidR="00E945BF">
        <w:t xml:space="preserve">  PPARγ stimulates lipid uptake and production within adipocytes and UCP3 causes </w:t>
      </w:r>
      <w:r w:rsidR="00963AE7">
        <w:t>oxidative phosphorylation</w:t>
      </w:r>
      <w:r w:rsidR="00347E50">
        <w:t>, mainly</w:t>
      </w:r>
      <w:r w:rsidR="00E945BF">
        <w:t xml:space="preserve"> in skeletal muscle.  </w:t>
      </w:r>
      <w:r w:rsidR="00347E50">
        <w:t xml:space="preserve">In mice fed a high fat diet (HFD) </w:t>
      </w:r>
      <w:r w:rsidR="00347E50">
        <w:rPr>
          <w:i/>
        </w:rPr>
        <w:t>ad libitum</w:t>
      </w:r>
      <w:r w:rsidR="00347E50">
        <w:t xml:space="preserve"> and consuming leucine via drinking water, total weight gain and adiposity were reduced compared to HFD without leucine.  Decreased adiposity was attributed to increased UCP3 expression.  Insulin </w:t>
      </w:r>
      <w:r w:rsidR="00E95739">
        <w:t>sensitivity</w:t>
      </w:r>
      <w:r w:rsidR="00347E50">
        <w:t xml:space="preserve"> was also improved in these mice as exhibited by decre</w:t>
      </w:r>
      <w:r w:rsidR="0085328A">
        <w:t xml:space="preserve">ased glucagon, </w:t>
      </w:r>
      <w:r w:rsidR="00E95739">
        <w:t>gluconeogenic</w:t>
      </w:r>
      <w:r w:rsidR="0085328A">
        <w:t xml:space="preserve"> amino acids</w:t>
      </w:r>
      <w:r w:rsidR="00347E50">
        <w:t>, and hepatic glucose 6 phosphate activity.</w:t>
      </w:r>
      <w:r w:rsidR="00347E50">
        <w:fldChar w:fldCharType="begin"/>
      </w:r>
      <w:r w:rsidR="000A492A">
        <w:instrText xml:space="preserve"> ADDIN ZOTERO_ITEM CSL_CITATION {"citationID":"3i2prs0h6","properties":{"formattedCitation":"{\\rtf \\super 351\\nosupersub{}}","plainCitation":"351"},"citationItems":[{"id":1701,"uris":["http://zotero.org/users/171999/items/GM59NI4T"],"uri":["http://zotero.org/users/171999/items/GM59NI4T"],"itemData":{"id":1701,"type":"article-journal","title":"Increasing dietary leucine intake reduces diet-induced obesity and improves glucose and cholesterol metabolism in mice via multimechanisms","container-title":"Diabetes","page":"1647-1654","volume":"56","issue":"6","source":"NCBI PubMed","abstract":"Leucine, as an essential amino acid and activator of mTOR (mammalian target of rapamycin), promotes protein synthesis and suppresses protein catabolism. However, the effect of leucine on overall glucose and energy metabolism remains unclear, and whether leucine has beneficial effects as a long-term dietary supplement has not been examined. In the present study, we doubled dietary leucine intake via leucine-containing drinking water in mice with free excess to either a rodent chow or a high-fat diet (HFD). While it produced no major metabolic effects in chow-fed mice, increasing leucine intake resulted in up to 32% reduction of weight gain (P &lt; 0.05) and a 25% decrease in adiposity (P &lt; 0.01) in HFD-fed mice. The reduction of adiposity resulted from increased resting energy expenditure associated with increased expression of uncoupling protein 3 in brown and white adipose tissues and in skeletal muscle, while food intake was not decreased. Increasing leucine intake also prevented HFD-induced hyperglycemia, which was associated with improved insulin sensitivity, decreased plasma concentrations of glucagon and glucogenic amino acids, and downregulation of hepatic glucose-6-phosphatase. Additionally, plasma levels of total and LDL cholesterol were decreased by 27% (P &lt; 0.001) and 53% (P &lt; 0.001), respectively, in leucine supplemented HFD-fed mice compared with the control mice fed the same diet. The reduction in cholesterol levels was largely independent of leucine-induced changes in adiposity. In conclusion, increases in dietary leucine intake substantially decrease diet-induced obesity, hyperglycemia, and hypercholesterolemia in mice with ad libitum consumption of HFD likely via multiple mechanisms.","DOI":"10.2337/db07-0123","ISSN":"1939-327X","note":"PMID: 17360978","journalAbbreviation":"Diabetes","language":"eng","author":[{"family":"Zhang","given":"Yiying"},{"family":"Guo","given":"Kaiying"},{"family":"LeBlanc","given":"Robert E"},{"family":"Loh","given":"Daniella"},{"family":"Schwartz","given":"Gary J"},{"family":"Yu","given":"Yi-Hao"}],"issued":{"date-parts":[["2007",6]]},"PMID":"17360978"}}],"schema":"https://github.com/citation-style-language/schema/raw/master/csl-citation.json"} </w:instrText>
      </w:r>
      <w:r w:rsidR="00347E50">
        <w:fldChar w:fldCharType="separate"/>
      </w:r>
      <w:r w:rsidR="000A492A" w:rsidRPr="000A492A">
        <w:rPr>
          <w:vertAlign w:val="superscript"/>
        </w:rPr>
        <w:t>351</w:t>
      </w:r>
      <w:r w:rsidR="00347E50">
        <w:fldChar w:fldCharType="end"/>
      </w:r>
      <w:r w:rsidR="00347E50">
        <w:t xml:space="preserve">  </w:t>
      </w:r>
      <w:r w:rsidR="00E945BF">
        <w:t xml:space="preserve">These results collectively indicate </w:t>
      </w:r>
      <w:r w:rsidR="004C0563">
        <w:t xml:space="preserve">improved glucose </w:t>
      </w:r>
      <w:r w:rsidR="00E95739">
        <w:t>homeostasis</w:t>
      </w:r>
      <w:r w:rsidR="004C0563">
        <w:t xml:space="preserve">, </w:t>
      </w:r>
      <w:r w:rsidR="00E945BF">
        <w:t>a shift toward muscle oxidative phosphorylation</w:t>
      </w:r>
      <w:r w:rsidR="004C0563">
        <w:t>,</w:t>
      </w:r>
      <w:r w:rsidR="00E945BF">
        <w:t xml:space="preserve"> and</w:t>
      </w:r>
      <w:r w:rsidR="00B913A8">
        <w:t xml:space="preserve"> a shift</w:t>
      </w:r>
      <w:r w:rsidR="00E945BF">
        <w:t xml:space="preserve"> away from adipocyte</w:t>
      </w:r>
      <w:r w:rsidR="00633F2F">
        <w:t xml:space="preserve"> fat production and storage.</w:t>
      </w:r>
      <w:r w:rsidR="00963AE7" w:rsidRPr="00963AE7">
        <w:t xml:space="preserve"> </w:t>
      </w:r>
      <w:r w:rsidR="00963AE7">
        <w:t xml:space="preserve"> </w:t>
      </w:r>
    </w:p>
    <w:p w:rsidR="00F24BC1" w:rsidRDefault="00772721" w:rsidP="00F24BC1">
      <w:pPr>
        <w:ind w:firstLine="720"/>
      </w:pPr>
      <w:r>
        <w:t>Leucine</w:t>
      </w:r>
      <w:r w:rsidR="003B1C9B">
        <w:t xml:space="preserve"> increases mitochondrial mass in both muscle and fat cells </w:t>
      </w:r>
      <w:r w:rsidR="003B1C9B" w:rsidRPr="00347E50">
        <w:rPr>
          <w:i/>
        </w:rPr>
        <w:t>in vitro</w:t>
      </w:r>
      <w:r w:rsidR="003B1C9B">
        <w:t xml:space="preserve"> with a corresponding increase in</w:t>
      </w:r>
      <w:r w:rsidR="00B913A8">
        <w:t xml:space="preserve"> </w:t>
      </w:r>
      <w:r w:rsidR="00710FD9">
        <w:t>expression of</w:t>
      </w:r>
      <w:r w:rsidR="003B1C9B">
        <w:t xml:space="preserve"> mitochondrial biogenesis genes </w:t>
      </w:r>
      <w:r w:rsidR="00BE349E">
        <w:t>(</w:t>
      </w:r>
      <w:r w:rsidR="003B1C9B">
        <w:t>SIRT1, PGC1α, and NRF1</w:t>
      </w:r>
      <w:r w:rsidR="00BE349E">
        <w:t>)</w:t>
      </w:r>
      <w:r w:rsidR="003B1C9B">
        <w:t xml:space="preserve"> and mitochondrial component gene</w:t>
      </w:r>
      <w:r w:rsidR="00710FD9">
        <w:t xml:space="preserve">s </w:t>
      </w:r>
      <w:r w:rsidR="00BE349E">
        <w:t>(</w:t>
      </w:r>
      <w:r w:rsidR="00922865">
        <w:t>UCP3, Cox</w:t>
      </w:r>
      <w:r w:rsidR="00710FD9">
        <w:t>, and NADH</w:t>
      </w:r>
      <w:r w:rsidR="00BE349E">
        <w:t>)</w:t>
      </w:r>
      <w:r w:rsidR="003B1C9B">
        <w:t>.</w:t>
      </w:r>
      <w:r w:rsidR="00F24BC1">
        <w:fldChar w:fldCharType="begin"/>
      </w:r>
      <w:r w:rsidR="000A492A">
        <w:instrText xml:space="preserve"> ADDIN ZOTERO_ITEM CSL_CITATION {"citationID":"1io6g94dja","properties":{"formattedCitation":"{\\rtf \\super 349\\nosupersub{}}","plainCitation":"349"},"citationItems":[{"id":1695,"uris":["http://zotero.org/users/171999/items/RCRVB9BJ"],"uri":["http://zotero.org/users/171999/items/RCRVB9BJ"],"itemData":{"id":1695,"type":"article-journal","title":"Leucine modulation of mitochondrial mass and oxygen consumption in skeletal muscle cells and adipocytes","container-title":"Nutrition &amp; metabolism","page":"26","volume":"6","source":"NCBI PubMed","abstract":"BACKGROUND: The effects of dairy on energy metabolism appear to be mediated, in part, by leucine and calcium which regulate both adipocyte and skeletal muscle energy metabolism. We recently demonstrated that leucine and calcitriol regulate fatty acid oxidation in skeletal muscle cells in vitro, with leucine promoting and calcitriol suppressing fatty acid oxidation. Moreover, leucine coordinately regulated adipocyte lipid metabolism to promote flux of lipid to skeletal muscle and regulate metabolic flexibility. We have now investigated the role of mitochondrial biogenesis in mediating these effects.\nMETHODS: We tested the effect of leucine, calcitriol and calcium in regulation of mitochondrial mass using a fluorescence method and tested mitochondrial biogenesis regulatory genes as well mitochondrial component genes using real-time PCR. We also evaluated the effect of leucine on oxygen consumption with a modified perfusion system.\nRESULTS: Leucine (0.5 mM) increased mitochondrial mass by 30% and 53% in C2C12 myocytes and 3T3-L1 adipocytes, respectively, while calcitriol (10 nM) decreased mitochondrial abundance by 37% and 27% (p &lt; 0.02). Leucine also stimulated mitochondrial biogenesis genes SIRT-1, PGC-1alpha and NRF-1 as well as mitochondrial component genes UCP3, COX, and NADH expression by 3-5 fold in C2C12 cells (p &lt; 0.003). Adipocyte-conditioned medium reduced mitochondrial abundance (p &lt; 0.001) and decreased UCP3 but increased PGC-1alpha expression in myocytes, suggesting a feedback stimulation of mitochondrial biogenesis. Similar data were observed in C2C12 myocytes co-cultured with adipocytes, with co-culture markedly suppressing mitochondrial abundance (p &lt; 0.02). Leucine stimulated oxygen consumption in both C2C12 cells and adipocytes compared with either control or valine-treated cells. Transfection of C2C12 myocytes with SIRT-1 siRNA resulted in parallel suppression of SIRT-1 expression and leucine-induced stimulation of PGC-1alpha and NRF-1, indicating that SIRT-1 mediates leucine induced mitochondrial biogenesis in muscle cells.\nCONCLUSION: These data suggest that leucine and calcitriol modulation of muscle and adipocyte energy metabolism is mediated, in part, by mitochondrial biogenesis.","DOI":"10.1186/1743-7075-6-26","ISSN":"1743-7075","note":"PMID: 19500359","journalAbbreviation":"Nutr Metab (Lond)","language":"eng","author":[{"family":"Sun","given":"Xiaocun"},{"family":"Zemel","given":"Michael B"}],"issued":{"date-parts":[["2009"]]},"PMID":"19500359"}}],"schema":"https://github.com/citation-style-language/schema/raw/master/csl-citation.json"} </w:instrText>
      </w:r>
      <w:r w:rsidR="00F24BC1">
        <w:fldChar w:fldCharType="separate"/>
      </w:r>
      <w:r w:rsidR="000A492A" w:rsidRPr="000A492A">
        <w:rPr>
          <w:vertAlign w:val="superscript"/>
        </w:rPr>
        <w:t>349</w:t>
      </w:r>
      <w:r w:rsidR="00F24BC1">
        <w:fldChar w:fldCharType="end"/>
      </w:r>
      <w:r w:rsidR="003B1C9B">
        <w:t xml:space="preserve">  </w:t>
      </w:r>
      <w:r w:rsidR="000E1B14">
        <w:t xml:space="preserve">Another </w:t>
      </w:r>
      <w:r w:rsidR="000E1B14">
        <w:rPr>
          <w:i/>
        </w:rPr>
        <w:t>in vitro</w:t>
      </w:r>
      <w:r w:rsidR="000E1B14">
        <w:t xml:space="preserve"> study examined differences in adipocytes and myocytes exposed to serum from overweight and obese people fed low or high dairy diets for 28 days.  High dairy adipocytes had increased change from baseline values for SIRT1 activity and gene expression.  </w:t>
      </w:r>
      <w:r w:rsidR="00922865">
        <w:t>UCP2,</w:t>
      </w:r>
      <w:r w:rsidR="000E1B14">
        <w:t xml:space="preserve"> PGC1α</w:t>
      </w:r>
      <w:r w:rsidR="00922865">
        <w:t>, NADH dehydrogenase, cytochrome C oxidase (Cox 7c), NRF1, and UCP3</w:t>
      </w:r>
      <w:r w:rsidR="000E1B14">
        <w:t xml:space="preserve"> activity and expression </w:t>
      </w:r>
      <w:r w:rsidR="00922865">
        <w:t>were upregulated</w:t>
      </w:r>
      <w:r w:rsidR="000E1B14">
        <w:t>, indicating increased mitochon</w:t>
      </w:r>
      <w:r w:rsidR="00735B8D">
        <w:t>drial biogenesis and component gene</w:t>
      </w:r>
      <w:r w:rsidR="00922865">
        <w:t xml:space="preserve"> activation</w:t>
      </w:r>
      <w:r w:rsidR="000E1B14">
        <w:t>.  In dairy myocytes, similar results were noted with increased SIRT1, Cox 7c, NRF1, and UCP3.  Leucine was also specifically cultured with recombinant human</w:t>
      </w:r>
      <w:r w:rsidR="00922865">
        <w:t xml:space="preserve"> SIRT1</w:t>
      </w:r>
      <w:r w:rsidR="000E1B14">
        <w:t xml:space="preserve"> enzyme, causing an almost 50% increase </w:t>
      </w:r>
      <w:r w:rsidR="00922865">
        <w:t xml:space="preserve">of SIRT1 activity </w:t>
      </w:r>
      <w:r w:rsidR="000E1B14">
        <w:t>from baseline.</w:t>
      </w:r>
      <w:r w:rsidR="000E1B14">
        <w:fldChar w:fldCharType="begin"/>
      </w:r>
      <w:r w:rsidR="000A492A">
        <w:instrText xml:space="preserve"> ADDIN ZOTERO_ITEM CSL_CITATION {"citationID":"XnUN6f4N","properties":{"formattedCitation":"{\\rtf \\super 355\\nosupersub{}}","plainCitation":"355"},"citationItems":[{"id":1778,"uris":["http://zotero.org/users/171999/items/HW346HK8"],"uri":["http://zotero.org/users/171999/items/HW346HK8"],"itemData":{"id":1778,"type":"article-journal","title":"Effects of dairy consumption on SIRT1 and mitochondrial biogenesis in adipocytes and muscle cells","container-title":"Nutrition &amp; metabolism","page":"91","volume":"8","source":"NCBI PubMed","abstract":"BACKGROUND: Recent data from this laboratory suggest that components of dairy foods may serve as activators of SIRT1 (Silent Information Regulator Transcript 1), and thereby participate in regulation of glucose and lipid metabolism. In this study, an ex-vivo/in-vitro approach was used to examine the integrated effects of dairy diets on SIRT1 activation in two key target tissues (adipose and muscle tissue).\nMETHODS: Serum from overweight and obese subjects fed low or high dairy diets for 28 days was added to culture medium (similar to conditioned media) to treat cultured adipocytes and muscle cells for 48 hours.\nRESULTS: Treatment with high dairy group conditioned media resulted in 40% increased SIRT1 gene expression in both tissues (p &lt; 0.01) and 13% increased enzyme activity in adipose tissue compared to baseline. This was associated with increased gene expression of peroxisome proliferator-activated receptor-gamma coactivator 1 alpha (PGC-1α), nuclear respiratory factor 1 (NRF1), cytochrome oxidase c subunit 7 (Cox 7), NADH dehydrogenase and uncoupling protein 2 (UCP2) in adipocytes as well as uncoupling protein 3 (UCP3), NRF1 and Cox 7 in muscle cells (p &lt; 0.05). Further, direct incubation of physiological concentrations of leucine and its metabolites α-Ketoisocaproic acid (KIC) and β-hydroxy-methylbuteric acid (HMB) with recombinant human SIRT1 enzyme resulted in 30 to 50% increase of SIRT1 activity (p &lt; 0.05).\nCONCLUSIONS: These data indicate that dairy consumption leads to systemic effects, which may promote mitochondrial biogenesis in key target tissues such as muscle and adipose tissue both by direct activation of SIRT1 as well as by SIRT1-independent pathways.","DOI":"10.1186/1743-7075-8-91","ISSN":"1743-7075","note":"PMID: 22185590","journalAbbreviation":"Nutr Metab (Lond)","language":"eng","author":[{"family":"Bruckbauer","given":"Antje"},{"family":"Zemel","given":"Michael B"}],"issued":{"date-parts":[["2011"]]},"PMID":"22185590"}}],"schema":"https://github.com/citation-style-language/schema/raw/master/csl-citation.json"} </w:instrText>
      </w:r>
      <w:r w:rsidR="000E1B14">
        <w:fldChar w:fldCharType="separate"/>
      </w:r>
      <w:r w:rsidR="000A492A" w:rsidRPr="000A492A">
        <w:rPr>
          <w:vertAlign w:val="superscript"/>
        </w:rPr>
        <w:t>355</w:t>
      </w:r>
      <w:r w:rsidR="000E1B14">
        <w:fldChar w:fldCharType="end"/>
      </w:r>
      <w:r w:rsidR="000E1B14">
        <w:t xml:space="preserve">  </w:t>
      </w:r>
      <w:r w:rsidR="00F731F6">
        <w:t>SIRT1 transfection into myocytes suppressed</w:t>
      </w:r>
      <w:r w:rsidR="00981EEA">
        <w:t xml:space="preserve"> both</w:t>
      </w:r>
      <w:r w:rsidR="00F731F6">
        <w:t xml:space="preserve"> SIRT1 expression and PGC1α and NRF1 expression</w:t>
      </w:r>
      <w:r w:rsidR="00735B8D">
        <w:t>, which is normally stimulated by leucine.  This implicates</w:t>
      </w:r>
      <w:r w:rsidR="00F731F6">
        <w:t xml:space="preserve"> SIRT1 as a mediator of myocyte mitochondrial biogenesis.</w:t>
      </w:r>
      <w:r w:rsidR="00981EEA">
        <w:fldChar w:fldCharType="begin"/>
      </w:r>
      <w:r w:rsidR="000A492A">
        <w:instrText xml:space="preserve"> ADDIN ZOTERO_ITEM CSL_CITATION {"citationID":"1ngvc4moeh","properties":{"formattedCitation":"{\\rtf \\super 349\\nosupersub{}}","plainCitation":"349"},"citationItems":[{"id":1695,"uris":["http://zotero.org/users/171999/items/RCRVB9BJ"],"uri":["http://zotero.org/users/171999/items/RCRVB9BJ"],"itemData":{"id":1695,"type":"article-journal","title":"Leucine modulation of mitochondrial mass and oxygen consumption in skeletal muscle cells and adipocytes","container-title":"Nutrition &amp; metabolism","page":"26","volume":"6","source":"NCBI PubMed","abstract":"BACKGROUND: The effects of dairy on energy metabolism appear to be mediated, in part, by leucine and calcium which regulate both adipocyte and skeletal muscle energy metabolism. We recently demonstrated that leucine and calcitriol regulate fatty acid oxidation in skeletal muscle cells in vitro, with leucine promoting and calcitriol suppressing fatty acid oxidation. Moreover, leucine coordinately regulated adipocyte lipid metabolism to promote flux of lipid to skeletal muscle and regulate metabolic flexibility. We have now investigated the role of mitochondrial biogenesis in mediating these effects.\nMETHODS: We tested the effect of leucine, calcitriol and calcium in regulation of mitochondrial mass using a fluorescence method and tested mitochondrial biogenesis regulatory genes as well mitochondrial component genes using real-time PCR. We also evaluated the effect of leucine on oxygen consumption with a modified perfusion system.\nRESULTS: Leucine (0.5 mM) increased mitochondrial mass by 30% and 53% in C2C12 myocytes and 3T3-L1 adipocytes, respectively, while calcitriol (10 nM) decreased mitochondrial abundance by 37% and 27% (p &lt; 0.02). Leucine also stimulated mitochondrial biogenesis genes SIRT-1, PGC-1alpha and NRF-1 as well as mitochondrial component genes UCP3, COX, and NADH expression by 3-5 fold in C2C12 cells (p &lt; 0.003). Adipocyte-conditioned medium reduced mitochondrial abundance (p &lt; 0.001) and decreased UCP3 but increased PGC-1alpha expression in myocytes, suggesting a feedback stimulation of mitochondrial biogenesis. Similar data were observed in C2C12 myocytes co-cultured with adipocytes, with co-culture markedly suppressing mitochondrial abundance (p &lt; 0.02). Leucine stimulated oxygen consumption in both C2C12 cells and adipocytes compared with either control or valine-treated cells. Transfection of C2C12 myocytes with SIRT-1 siRNA resulted in parallel suppression of SIRT-1 expression and leucine-induced stimulation of PGC-1alpha and NRF-1, indicating that SIRT-1 mediates leucine induced mitochondrial biogenesis in muscle cells.\nCONCLUSION: These data suggest that leucine and calcitriol modulation of muscle and adipocyte energy metabolism is mediated, in part, by mitochondrial biogenesis.","DOI":"10.1186/1743-7075-6-26","ISSN":"1743-7075","note":"PMID: 19500359","journalAbbreviation":"Nutr Metab (Lond)","language":"eng","author":[{"family":"Sun","given":"Xiaocun"},{"family":"Zemel","given":"Michael B"}],"issued":{"date-parts":[["2009"]]},"PMID":"19500359"}}],"schema":"https://github.com/citation-style-language/schema/raw/master/csl-citation.json"} </w:instrText>
      </w:r>
      <w:r w:rsidR="00981EEA">
        <w:fldChar w:fldCharType="separate"/>
      </w:r>
      <w:r w:rsidR="000A492A" w:rsidRPr="000A492A">
        <w:rPr>
          <w:vertAlign w:val="superscript"/>
        </w:rPr>
        <w:t>349</w:t>
      </w:r>
      <w:r w:rsidR="00981EEA">
        <w:fldChar w:fldCharType="end"/>
      </w:r>
      <w:r w:rsidR="00F731F6">
        <w:t xml:space="preserve">  </w:t>
      </w:r>
      <w:r>
        <w:t>Myocyte culture in adipocyte-conditioned medium was associated with</w:t>
      </w:r>
      <w:r w:rsidR="003B1C9B">
        <w:t xml:space="preserve"> </w:t>
      </w:r>
      <w:r>
        <w:t xml:space="preserve">decreased </w:t>
      </w:r>
      <w:r w:rsidR="003B1C9B">
        <w:t>mitochondria</w:t>
      </w:r>
      <w:r>
        <w:t>l abundance</w:t>
      </w:r>
      <w:r w:rsidR="002A007D">
        <w:t xml:space="preserve"> and UCP3 expression</w:t>
      </w:r>
      <w:r w:rsidR="003B1C9B">
        <w:t xml:space="preserve"> </w:t>
      </w:r>
      <w:r>
        <w:t>with increased</w:t>
      </w:r>
      <w:r w:rsidR="002A007D">
        <w:t xml:space="preserve"> PGC1α expression.  The authors suggest</w:t>
      </w:r>
      <w:r>
        <w:t>ed</w:t>
      </w:r>
      <w:r w:rsidR="002A007D">
        <w:t xml:space="preserve"> this data and evidence of decreased abundance in myocyte and adipocyte co-cultures indicate feedback stimulation of mitochondrial biogenesis</w:t>
      </w:r>
      <w:r w:rsidR="00F731F6">
        <w:t xml:space="preserve"> in which adipocytes are able to attenuate myocyte effects</w:t>
      </w:r>
      <w:r w:rsidR="002A007D">
        <w:t>.</w:t>
      </w:r>
      <w:r w:rsidR="00710FD9">
        <w:fldChar w:fldCharType="begin"/>
      </w:r>
      <w:r w:rsidR="000A492A">
        <w:instrText xml:space="preserve"> ADDIN ZOTERO_ITEM CSL_CITATION {"citationID":"RGE2Cc8I","properties":{"formattedCitation":"{\\rtf \\super 349\\nosupersub{}}","plainCitation":"349"},"citationItems":[{"id":1695,"uris":["http://zotero.org/users/171999/items/RCRVB9BJ"],"uri":["http://zotero.org/users/171999/items/RCRVB9BJ"],"itemData":{"id":1695,"type":"article-journal","title":"Leucine modulation of mitochondrial mass and oxygen consumption in skeletal muscle cells and adipocytes","container-title":"Nutrition &amp; metabolism","page":"26","volume":"6","source":"NCBI PubMed","abstract":"BACKGROUND: The effects of dairy on energy metabolism appear to be mediated, in part, by leucine and calcium which regulate both adipocyte and skeletal muscle energy metabolism. We recently demonstrated that leucine and calcitriol regulate fatty acid oxidation in skeletal muscle cells in vitro, with leucine promoting and calcitriol suppressing fatty acid oxidation. Moreover, leucine coordinately regulated adipocyte lipid metabolism to promote flux of lipid to skeletal muscle and regulate metabolic flexibility. We have now investigated the role of mitochondrial biogenesis in mediating these effects.\nMETHODS: We tested the effect of leucine, calcitriol and calcium in regulation of mitochondrial mass using a fluorescence method and tested mitochondrial biogenesis regulatory genes as well mitochondrial component genes using real-time PCR. We also evaluated the effect of leucine on oxygen consumption with a modified perfusion system.\nRESULTS: Leucine (0.5 mM) increased mitochondrial mass by 30% and 53% in C2C12 myocytes and 3T3-L1 adipocytes, respectively, while calcitriol (10 nM) decreased mitochondrial abundance by 37% and 27% (p &lt; 0.02). Leucine also stimulated mitochondrial biogenesis genes SIRT-1, PGC-1alpha and NRF-1 as well as mitochondrial component genes UCP3, COX, and NADH expression by 3-5 fold in C2C12 cells (p &lt; 0.003). Adipocyte-conditioned medium reduced mitochondrial abundance (p &lt; 0.001) and decreased UCP3 but increased PGC-1alpha expression in myocytes, suggesting a feedback stimulation of mitochondrial biogenesis. Similar data were observed in C2C12 myocytes co-cultured with adipocytes, with co-culture markedly suppressing mitochondrial abundance (p &lt; 0.02). Leucine stimulated oxygen consumption in both C2C12 cells and adipocytes compared with either control or valine-treated cells. Transfection of C2C12 myocytes with SIRT-1 siRNA resulted in parallel suppression of SIRT-1 expression and leucine-induced stimulation of PGC-1alpha and NRF-1, indicating that SIRT-1 mediates leucine induced mitochondrial biogenesis in muscle cells.\nCONCLUSION: These data suggest that leucine and calcitriol modulation of muscle and adipocyte energy metabolism is mediated, in part, by mitochondrial biogenesis.","DOI":"10.1186/1743-7075-6-26","ISSN":"1743-7075","note":"PMID: 19500359","journalAbbreviation":"Nutr Metab (Lond)","language":"eng","author":[{"family":"Sun","given":"Xiaocun"},{"family":"Zemel","given":"Michael B"}],"issued":{"date-parts":[["2009"]]},"PMID":"19500359"}}],"schema":"https://github.com/citation-style-language/schema/raw/master/csl-citation.json"} </w:instrText>
      </w:r>
      <w:r w:rsidR="00710FD9">
        <w:fldChar w:fldCharType="separate"/>
      </w:r>
      <w:r w:rsidR="000A492A" w:rsidRPr="000A492A">
        <w:rPr>
          <w:vertAlign w:val="superscript"/>
        </w:rPr>
        <w:t>349</w:t>
      </w:r>
      <w:r w:rsidR="00710FD9">
        <w:fldChar w:fldCharType="end"/>
      </w:r>
      <w:r w:rsidR="00F24BC1" w:rsidRPr="00F24BC1">
        <w:t xml:space="preserve"> </w:t>
      </w:r>
      <w:r w:rsidR="00EB6A6E">
        <w:t xml:space="preserve"> Overall, there is evidence of mitochondrial component gene generation and increased mitochondrial biogenesis in both muscle and fat tissue after leucine supplementation.</w:t>
      </w:r>
    </w:p>
    <w:p w:rsidR="00DC7C0D" w:rsidRPr="0035299A" w:rsidRDefault="00F24BC1" w:rsidP="0035299A">
      <w:pPr>
        <w:ind w:firstLine="720"/>
      </w:pPr>
      <w:r>
        <w:t xml:space="preserve">Cultured </w:t>
      </w:r>
      <w:r w:rsidR="00E91E26">
        <w:t>a</w:t>
      </w:r>
      <w:r>
        <w:t xml:space="preserve">dipocytes and obese mice treated with leucine (0.5 mM or 24 g/kg diet) with or without resveratrol were studied.  </w:t>
      </w:r>
      <w:r w:rsidR="00E91E26">
        <w:t>Positive effects were seen with leucine alone, but t</w:t>
      </w:r>
      <w:r>
        <w:t xml:space="preserve">he highest gene activity was seen when leucine and </w:t>
      </w:r>
      <w:r>
        <w:lastRenderedPageBreak/>
        <w:t>resveratrol were combined</w:t>
      </w:r>
      <w:r w:rsidR="00E91E26">
        <w:t xml:space="preserve">. </w:t>
      </w:r>
      <w:r>
        <w:t xml:space="preserve"> </w:t>
      </w:r>
      <w:r w:rsidR="00E91E26">
        <w:t>I</w:t>
      </w:r>
      <w:r>
        <w:t>ncreased fatty acid oxidation, AMPK, SIRT1, and SIRT3 activity in cultured adipocytes and increased adipose SIRT1 activity, insulin sensitivity, and adiponectin with reduced adiposity and</w:t>
      </w:r>
      <w:r w:rsidR="00E91E26">
        <w:t xml:space="preserve"> the inflammatory cytokine</w:t>
      </w:r>
      <w:r>
        <w:t xml:space="preserve"> IL6 in obese mice</w:t>
      </w:r>
      <w:r w:rsidR="00E91E26">
        <w:t xml:space="preserve"> were noted</w:t>
      </w:r>
      <w:r>
        <w:t>.</w:t>
      </w:r>
      <w:r>
        <w:fldChar w:fldCharType="begin"/>
      </w:r>
      <w:r w:rsidR="000A492A">
        <w:instrText xml:space="preserve"> ADDIN ZOTERO_ITEM CSL_CITATION {"citationID":"dt2ugorrd","properties":{"formattedCitation":"{\\rtf \\super 356\\nosupersub{}}","plainCitation":"356"},"citationItems":[{"id":1782,"uris":["http://zotero.org/users/171999/items/U4JG9983"],"uri":["http://zotero.org/users/171999/items/U4JG9983"],"itemData":{"id":1782,"type":"article-journal","title":"Synergistic effects of leucine and resveratrol on insulin sensitivity and fat metabolism in adipocytes and mice","container-title":"Nutrition &amp; metabolism","page":"77","volume":"9","issue":"1","source":"NCBI PubMed","abstract":"BACKGROUND: Sirtuins are important regulators of glucose and fat metabolism, and sirtuin activation has been proposed as a therapeutic target for insulin resistance and diabetes. We have shown leucine to increase mitochondrial biogenesis and fat oxidation via Sirt1 dependent pathways. Resveratrol is a widely recognized activator of Sirt; however, the biologically-effective high concentrations used in cell and animal studies are generally impractical or difficult to achieve in humans. Accordingly, we sought to determine whether leucine would exhibit synergy with low levels of resveratrol on sirtuin-dependent outcomes in adipocytes and in diet-induced obese (DIO) mice.\nMETHODS: 3T3-L1 mouse adipocytes were treated with Leucine (0.5 mM), β-hydroxy-β-methyl butyrate (HMB) (5 μM) or Resveratrol (200 nM) alone or in combination. In addition, diet-induced obese mice were treated for 6-weeks with low (2 g/kg diet) or high (10 g/kg diet) dose HMB, Leucine (24 g/kg diet; 200% of normal level) or low (12.5 mg/kg diet) or high (225 mg/kg diet) dose resveratrol, alone or as combination with leucine-resveratrol or HMB-resveratrol.\nRESULTS: Fatty acid oxidation, AMPK, Sirt1 and Sirt3 activity in 3T3-L1 adipocytes and in muscle cells, were significantly increased by the combinations compared to the individual treatments. Similarly, 6-week feeding of low-dose resveratrol combined with either leucine or its metabolite HMB to DIO mice increased adipose Sirt1 activity, muscle glucose and palmitate uptake (measured via PET/CT), insulin sensitivity (HOMAIR), improved inflammatory stress biomarkers (CRP, IL-6, MCP-1, adiponectin) and reduced adiposity comparable to the effects of high dose resveratrol, while low-dose resveratrol exerted no independent effect.\nCONCLUSION: These data demonstrate that either leucine or its metabolite HMB may be combined with a low concentration of resveratrol to exert synergistic effects on Sirt1-dependent outcomes; this may result in more practical dosing of resveratrol in the management of obesity, insulin-resistance and diabetes.","DOI":"10.1186/1743-7075-9-77","ISSN":"1743-7075","note":"PMID: 22913271","journalAbbreviation":"Nutr Metab (Lond)","language":"eng","author":[{"family":"Bruckbauer","given":"Antje"},{"family":"Zemel","given":"Michael B"},{"family":"Thorpe","given":"Teresa"},{"family":"Akula","given":"Murthy R"},{"family":"Stuckey","given":"Alan C"},{"family":"Osborne","given":"Dustin"},{"family":"Martin","given":"Emily B"},{"family":"Kennel","given":"Stephen"},{"family":"Wall","given":"Jonathan S"}],"issued":{"date-parts":[["2012"]]},"PMID":"22913271"}}],"schema":"https://github.com/citation-style-language/schema/raw/master/csl-citation.json"} </w:instrText>
      </w:r>
      <w:r>
        <w:fldChar w:fldCharType="separate"/>
      </w:r>
      <w:r w:rsidR="000A492A" w:rsidRPr="000A492A">
        <w:rPr>
          <w:vertAlign w:val="superscript"/>
        </w:rPr>
        <w:t>356</w:t>
      </w:r>
      <w:r>
        <w:fldChar w:fldCharType="end"/>
      </w:r>
      <w:r>
        <w:t xml:space="preserve">  </w:t>
      </w:r>
      <w:r w:rsidR="001A4422">
        <w:t xml:space="preserve">When </w:t>
      </w:r>
      <w:r w:rsidR="00B84CFE">
        <w:t xml:space="preserve">consuming a high fat diet (HFD) for 8 weeks, mice developed obesity, hepatic lipidosis, inflammatory changes in adipose tissue, insulin resistance, and other metabolic profile alterations.  Leucine </w:t>
      </w:r>
      <w:r w:rsidR="001A4422">
        <w:t>added to dr</w:t>
      </w:r>
      <w:r w:rsidR="00B84CFE">
        <w:t>inking water of mice consuming the HFD</w:t>
      </w:r>
      <w:r w:rsidR="001A4422">
        <w:t xml:space="preserve"> caused improved glucose tolerance</w:t>
      </w:r>
      <w:r w:rsidR="008537F1">
        <w:t xml:space="preserve"> via </w:t>
      </w:r>
      <w:r w:rsidR="00B84CFE">
        <w:t>decrease peak glucose from 420 ± 21 to 356 ± 25 mg/dl</w:t>
      </w:r>
      <w:r w:rsidR="008537F1">
        <w:t xml:space="preserve">.  It also improved </w:t>
      </w:r>
      <w:r w:rsidR="001A4422">
        <w:t>insulin signaling</w:t>
      </w:r>
      <w:r w:rsidR="008537F1">
        <w:t xml:space="preserve"> via return to insulin injection induced phosphorylation levels of insulin receptor, insulin receptor substrate1 (IRS1), and protein kinase B (</w:t>
      </w:r>
      <w:r w:rsidR="00735B8D">
        <w:t>PKB/Akt</w:t>
      </w:r>
      <w:r w:rsidR="008537F1">
        <w:t>) in muscle, liver, and fat</w:t>
      </w:r>
      <w:r w:rsidR="00734882">
        <w:t xml:space="preserve"> (</w:t>
      </w:r>
      <w:r w:rsidR="00734882">
        <w:rPr>
          <w:color w:val="FF0000"/>
        </w:rPr>
        <w:t>Figure 9)</w:t>
      </w:r>
      <w:r w:rsidR="00B84CFE">
        <w:t>.  L</w:t>
      </w:r>
      <w:r w:rsidR="001A4422">
        <w:t xml:space="preserve">eucine </w:t>
      </w:r>
      <w:r w:rsidR="00B84CFE">
        <w:t xml:space="preserve">also </w:t>
      </w:r>
      <w:r w:rsidR="001A4422">
        <w:t>decreased hepatic steatosis</w:t>
      </w:r>
      <w:r w:rsidR="00B84CFE">
        <w:t>, noted via histologic examination and return to baseline expression levels of</w:t>
      </w:r>
      <w:r w:rsidR="00734882">
        <w:t xml:space="preserve"> fatty acid biosynthesis enzymes</w:t>
      </w:r>
      <w:r w:rsidR="00B84CFE">
        <w:t xml:space="preserve"> FASN and acetyl CoA carboxylase.</w:t>
      </w:r>
      <w:r w:rsidR="000D201B">
        <w:t xml:space="preserve">  These results indicate improved insulin sensitivity and decreased net lipid production and storage with leucine supplementation.</w:t>
      </w:r>
    </w:p>
    <w:p w:rsidR="00DC7C0D" w:rsidRPr="00F96D37" w:rsidRDefault="0035299A" w:rsidP="00F96D37">
      <w:pPr>
        <w:ind w:firstLine="720"/>
      </w:pPr>
      <w:r>
        <w:t>In addition to effects on insulin, fat metabolism, and mitochondria, l</w:t>
      </w:r>
      <w:r w:rsidR="00DC7C0D">
        <w:t>eucine stimulates protein synthesis in skeletal muscle via mammalian target of rapamycin (mTOR) dependent and independent pathways.</w:t>
      </w:r>
      <w:r w:rsidR="00DC7C0D">
        <w:fldChar w:fldCharType="begin"/>
      </w:r>
      <w:r w:rsidR="000A492A">
        <w:instrText xml:space="preserve"> ADDIN ZOTERO_ITEM CSL_CITATION {"citationID":"nslB1MMK","properties":{"formattedCitation":"{\\rtf \\super 357,357\\uc0\\u8211{}362\\nosupersub{}}","plainCitation":"357,357–362"},"citationItems":[{"id":1717,"uris":["http://zotero.org/users/171999/items/DHV9VK5S"],"uri":["http://zotero.org/users/171999/items/DHV9VK5S"],"itemData":{"id":1717,"type":"article-journal","title":"Leucine. A possible regulator of protein turnover in muscle","container-title":"The Journal of clinical investigation","page":"1250-1261","volume":"56","issue":"5","source":"NCBI PubMed","abstract":"Incorporation of radiolabeled precursors into muscle proteins was studied in isolated rat hemidiaphragms. A mixture of three branched-chain amino acids (0.3 mM each) added to media containing glucose stimulated the incorporation of [14C]lysine into proteins. When tested separately, valine was ineffective, isoleucine was inhibitory, but 0.5 mM leucine increased the specific activity of muscle proteins during incubation with [14C]lysine or [14C]acetate in hemidiaphragms from fed or fasted rats incubated with or without insulin. Preincubation with 0.5 mM leucine increased the specific activity of muscle proteins during a subsequent 30- or 60-min incubation with [14C]lysine or [14C]pyruvate without leucine. Preincubation with other amino acids (glutamate, histidine, methionine, phenylalanine, or tryptophan) did not exert this effect. When hemidiaphragms were incubated with a mixture of amino acids at concentrations found in rat serum and a [14C]lysine tracer, the specific activity of muscle proteins increased when leucine in the medium was raised from 0.1 to 0.5 mM. Experiments with actinomycin D and cycloheximide suggested that neither RNA synthesis nor protein synthesis are required for the initiation of the leucine effect. Leucine was not effective when added after 1 h preincubation without leucine. The concentration of lysine in the tissue water of diaphragms decreased during incubation with 0.5 mM leucine in the presence or absence of cycloheximide, suggesting that leucine inhibited protein degradation. During incubation with [3h]tyrosine (0.35 mM) the addition of 0.5 mM leucine increased the specific activity of muscle proteins, while the specific activity of intracellular tyrosine remained constant and its concentration decreased, suggesting that leucine also promoted protein synthesis. The concentration of leucine in muscle cells or a compartment thereof may play a role in regulating the turnover of muscle proteins and influence the transition to negative nitrogen balance during fasting, uncontrolled diabetes, and the posttraumatic state. Leucine may play a pivotal role in the protein-sparing effect of amino aicds.","DOI":"10.1172/JCI108201","ISSN":"0021-9738","note":"PMID: 1237498","journalAbbreviation":"J. Clin. Invest.","language":"eng","author":[{"family":"Buse","given":"M G"},{"family":"Reid","given":"S S"}],"issued":{"date-parts":[["1975",11]]},"PMID":"1237498"}},{"id":1717,"uris":["http://zotero.org/users/171999/items/DHV9VK5S"],"uri":["http://zotero.org/users/171999/items/DHV9VK5S"],"itemData":{"id":1717,"type":"article-journal","title":"Leucine. A possible regulator of protein turnover in muscle","container-title":"The Journal of clinical investigation","page":"1250-1261","volume":"56","issue":"5","source":"NCBI PubMed","abstract":"Incorporation of radiolabeled precursors into muscle proteins was studied in isolated rat hemidiaphragms. A mixture of three branched-chain amino acids (0.3 mM each) added to media containing glucose stimulated the incorporation of [14C]lysine into proteins. When tested separately, valine was ineffective, isoleucine was inhibitory, but 0.5 mM leucine increased the specific activity of muscle proteins during incubation with [14C]lysine or [14C]acetate in hemidiaphragms from fed or fasted rats incubated with or without insulin. Preincubation with 0.5 mM leucine increased the specific activity of muscle proteins during a subsequent 30- or 60-min incubation with [14C]lysine or [14C]pyruvate without leucine. Preincubation with other amino acids (glutamate, histidine, methionine, phenylalanine, or tryptophan) did not exert this effect. When hemidiaphragms were incubated with a mixture of amino acids at concentrations found in rat serum and a [14C]lysine tracer, the specific activity of muscle proteins increased when leucine in the medium was raised from 0.1 to 0.5 mM. Experiments with actinomycin D and cycloheximide suggested that neither RNA synthesis nor protein synthesis are required for the initiation of the leucine effect. Leucine was not effective when added after 1 h preincubation without leucine. The concentration of lysine in the tissue water of diaphragms decreased during incubation with 0.5 mM leucine in the presence or absence of cycloheximide, suggesting that leucine inhibited protein degradation. During incubation with [3h]tyrosine (0.35 mM) the addition of 0.5 mM leucine increased the specific activity of muscle proteins, while the specific activity of intracellular tyrosine remained constant and its concentration decreased, suggesting that leucine also promoted protein synthesis. The concentration of leucine in muscle cells or a compartment thereof may play a role in regulating the turnover of muscle proteins and influence the transition to negative nitrogen balance during fasting, uncontrolled diabetes, and the posttraumatic state. Leucine may play a pivotal role in the protein-sparing effect of amino aicds.","DOI":"10.1172/JCI108201","ISSN":"0021-9738","note":"PMID: 1237498","journalAbbreviation":"J. Clin. Invest.","language":"eng","author":[{"family":"Buse","given":"M G"},{"family":"Reid","given":"S S"}],"issued":{"date-parts":[["1975",11]]},"PMID":"1237498"}},{"id":1719,"uris":["http://zotero.org/users/171999/items/GMA96WD5"],"uri":["http://zotero.org/users/171999/items/GMA96WD5"],"itemData":{"id":1719,"type":"article-journal","title":"Orally administered leucine stimulates protein synthesis in skeletal muscle of postabsorptive rats in association with increased eIF4F formation","container-title":"The Journal of nutrition","page":"139-145","volume":"130","issue":"2","source":"NCBI PubMed","abstract":"We investigated the protein synthetic response of skeletal muscle to an orally administered dose of leucine given alone or in combination with carbohydrate. Male rats were freely fed (F) or food deprived for 18 h; food-deprived rats were then administered saline (S), carbohydrate (CHO), leucine (L) or a combination of carbohydrate plus leucine (CL). CHO and CL meals were isocaloric and provided 15% of daily energy requirements. L and CL meals each delivered 270 mg leucine. Muscle protein synthesis in S was 65% of F (P&lt;0.01) 1 h after meal administration. Concomitant with lower rates of protein synthesis, phosphorylation of the translational repressor, eukaryotic initiation factor (eIF)4E-binding protein 1 (4E-BP1), was less in S, leading to greater association of 4E-BP1.eIF4E, and reduced formation of the active eIF4G.eIF4E complex compared with F (P&lt;0.01). Oral administration of leucine (L or CL), but not CHO, restored protein synthesis equal to that in F and resulted in 4E-BP1 phosphorylation that was threefold greater than that of S (P&lt;0.01). Consequently, formation of 4E-BP1.eIF4E was inhibited and eIF4G.eIF4E was not different from F. The amount of eIF4E in the phosphorylated form was greater in S and CHO (P&lt;0.01) than in all other groups. In contrast, no differences in the phosphorylation state of eIF2alpha or the activity of eIF2B were noted among treatment groups. Serum insulin was elevated 2.6- and 3.7-fold in CHO and CL, respectively, but was not different in L, compared with S (P&lt;0.05). These results suggest that leucine stimulates protein synthesis in skeletal muscle by enhancing eIF4F formation independently of increases in serum insulin.","ISSN":"0022-3166","note":"PMID: 10720160","journalAbbreviation":"J. Nutr.","language":"eng","author":[{"family":"Anthony","given":"J C"},{"family":"Anthony","given":"T G"},{"family":"Kimball","given":"S R"},{"family":"Vary","given":"T C"},{"family":"Jefferson","given":"L S"}],"issued":{"date-parts":[["2000",2]]},"PMID":"10720160"}},{"id":1723,"uris":["http://zotero.org/users/171999/items/GMPTRJJS"],"uri":["http://zotero.org/users/171999/items/GMPTRJJS"],"itemData":{"id":1723,"type":"article-journal","title":"Influence of amino acid availability on protein turnover in perfused skeletal muscle","container-title":"Biochimica et biophysica acta","page":"351-359","volume":"544","issue":"2","source":"NCBI PubMed","ISSN":"0006-3002","note":"PMID: 719005","journalAbbreviation":"Biochim. Biophys. Acta","language":"eng","author":[{"family":"Li","given":"J B"},{"family":"Jefferson","given":"L S"}],"issued":{"date-parts":[["1978",12,1]]},"PMID":"719005"}},{"id":1725,"uris":["http://zotero.org/users/171999/items/F29Q7D88"],"uri":["http://zotero.org/users/171999/items/F29Q7D88"],"itemData":{"id":1725,"type":"article-journal","title":"Effects of leucine on in vitro protein synthesis and degradation in rat skeletal muscles","container-title":"The Journal of nutrition","page":"1204-1212","volume":"114","issue":"7","source":"NCBI PubMed","abstract":"Weanling rats were used to examine the role of leucine in in vitro protein turnover in skeletal muscles. In three experiments, rats were subjected to 24 or 72 hours of food deprivation or 5 days of consuming a protein-free diet or injection of streptozotocin. The soleus and extensor digitorum longus muscles were removed and utilized for measures of protein synthesis or degradation by using the isolated, incubated muscle technique of Li et al. These experiments demonstrate that supplementation of the incubation media with 0.5 mM leucine stimulates protein synthesis in these catabolic muscles and that during total starvation the stimulation decreases as the severity of the condition increases. Leucine supplementation failed to affect protein degradation in these skeletal muscles. This study demonstrates that the branched-chain amino acid leucine has the potential to stimulate protein synthesis in skeletal muscles, at least under specific catabolic conditions, but does not affect protein degradation in skeletal muscles under the conditions studied.","ISSN":"0022-3166","note":"PMID: 6737085","journalAbbreviation":"J. Nutr.","language":"eng","author":[{"family":"Hong","given":"S O"},{"family":"Layman","given":"D K"}],"issued":{"date-parts":[["1984",7]]},"PMID":"6737085"}},{"id":1705,"uris":["http://zotero.org/users/171999/items/83N6VMVK"],"uri":["http://zotero.org/users/171999/items/83N6VMVK"],"itemData":{"id":1705,"type":"article-journal","title":"Signaling pathways involved in translational control of protein synthesis in skeletal muscle by leucine","container-title":"The Journal of nutrition","page":"856S-860S","volume":"131","issue":"3","source":"NCBI PubMed","abstract":"Numerous reports established that in skeletal muscle the indispensable branched-chain amino acid leucine is unique in its ability to initiate signal transduction pathways that modulate translation initiation. Oral administration of leucine stimulates protein synthesis in association with hyperphosphorylation of the translational repressor, eukaryotic initiation factor (eIF) 4E binding protein 1 (4E-BP1), resulting in enhanced availability of the mRNA cap-binding protein eIF4E, for binding eIF4G and forming the active eIF4F complex. In addition, leucine enhances phosphorylation of the 70-kDa ribosomal protein S6 kinase (S6K1). These results suggest that leucine upregulates protein synthesis in skeletal muscle by enhancing both the activity and synthesis of proteins involved in mRNA translation. The stimulatory effects of leucine on translation initiation are mediated in part through the protein kinase mammalian target of rapamycin (mTOR), where both insulin signaling and leucine signaling converge to promote a maximal response.","ISSN":"0022-3166","note":"PMID: 11238774","journalAbbreviation":"J. Nutr.","language":"eng","author":[{"family":"Anthony","given":"J C"},{"family":"Anthony","given":"T G"},{"family":"Kimball","given":"S R"},{"family":"Jefferson","given":"L S"}],"issued":{"date-parts":[["2001",3]]},"PMID":"11238774"}},{"id":1729,"uris":["http://zotero.org/users/171999/items/Q7K7DJBC"],"uri":["http://zotero.org/users/171999/items/Q7K7DJBC"],"itemData":{"id":1729,"type":"article-journal","title":"Leucine and protein synthesis: mTOR and beyond","container-title":"Nutrition reviews","page":"122-129","volume":"65","issue":"3","source":"NCBI PubMed","abstract":"The effects of amino acid intake on protein synthesis in the intact rat appear to be mediated almost entirely by a single amino acid: leucine. The effect of leucine on protein synthesis appears to be closely associated with eIF4G phosphorylation and its association with eIF4E, but whether eIF4G phosphorylation actually mediates the effects of leucine or is merely associated with these events has not been elucidated. Additional research is needed to determine whether leucine effects eIF4G phosphorylation, whether eIF4G phosphorylation is essential for the effect of leucine on protein synthesis, and whether mTOR (mammalian target of rapamycin) or another component of the mTOR complex is somehow involved in leucine-specific signaling.","ISSN":"0029-6643","note":"PMID: 17425063","shortTitle":"Leucine and protein synthesis","journalAbbreviation":"Nutr. Rev.","language":"eng","author":[{"family":"Stipanuk","given":"Martha H"}],"issued":{"date-parts":[["2007",3]]},"PMID":"17425063"}}],"schema":"https://github.com/citation-style-language/schema/raw/master/csl-citation.json"} </w:instrText>
      </w:r>
      <w:r w:rsidR="00DC7C0D">
        <w:fldChar w:fldCharType="separate"/>
      </w:r>
      <w:r w:rsidR="000A492A" w:rsidRPr="000A492A">
        <w:rPr>
          <w:vertAlign w:val="superscript"/>
        </w:rPr>
        <w:t>357,357–362</w:t>
      </w:r>
      <w:r w:rsidR="00DC7C0D">
        <w:fldChar w:fldCharType="end"/>
      </w:r>
      <w:r w:rsidR="00DC7C0D">
        <w:t xml:space="preserve">  mTOR is a serine/threonine kinase that mediates the </w:t>
      </w:r>
      <w:r w:rsidR="00EE2905">
        <w:t xml:space="preserve">stimulatory </w:t>
      </w:r>
      <w:r w:rsidR="00DC7C0D">
        <w:t>effects of insulin on protein synthesis.</w:t>
      </w:r>
      <w:r w:rsidR="00DC7C0D">
        <w:fldChar w:fldCharType="begin"/>
      </w:r>
      <w:r w:rsidR="000A492A">
        <w:instrText xml:space="preserve"> ADDIN ZOTERO_ITEM CSL_CITATION {"citationID":"Ed1mtneu","properties":{"formattedCitation":"{\\rtf \\super 362\\nosupersub{}}","plainCitation":"362"},"citationItems":[{"id":1729,"uris":["http://zotero.org/users/171999/items/Q7K7DJBC"],"uri":["http://zotero.org/users/171999/items/Q7K7DJBC"],"itemData":{"id":1729,"type":"article-journal","title":"Leucine and protein synthesis: mTOR and beyond","container-title":"Nutrition reviews","page":"122-129","volume":"65","issue":"3","source":"NCBI PubMed","abstract":"The effects of amino acid intake on protein synthesis in the intact rat appear to be mediated almost entirely by a single amino acid: leucine. The effect of leucine on protein synthesis appears to be closely associated with eIF4G phosphorylation and its association with eIF4E, but whether eIF4G phosphorylation actually mediates the effects of leucine or is merely associated with these events has not been elucidated. Additional research is needed to determine whether leucine effects eIF4G phosphorylation, whether eIF4G phosphorylation is essential for the effect of leucine on protein synthesis, and whether mTOR (mammalian target of rapamycin) or another component of the mTOR complex is somehow involved in leucine-specific signaling.","ISSN":"0029-6643","note":"PMID: 17425063","shortTitle":"Leucine and protein synthesis","journalAbbreviation":"Nutr. Rev.","language":"eng","author":[{"family":"Stipanuk","given":"Martha H"}],"issued":{"date-parts":[["2007",3]]},"PMID":"17425063"}}],"schema":"https://github.com/citation-style-language/schema/raw/master/csl-citation.json"} </w:instrText>
      </w:r>
      <w:r w:rsidR="00DC7C0D">
        <w:fldChar w:fldCharType="separate"/>
      </w:r>
      <w:r w:rsidR="000A492A" w:rsidRPr="000A492A">
        <w:rPr>
          <w:vertAlign w:val="superscript"/>
        </w:rPr>
        <w:t>362</w:t>
      </w:r>
      <w:r w:rsidR="00DC7C0D">
        <w:fldChar w:fldCharType="end"/>
      </w:r>
      <w:r w:rsidR="00DC7C0D">
        <w:t xml:space="preserve">  </w:t>
      </w:r>
      <w:r w:rsidR="003C7C6A">
        <w:t>There are at least two mTOR multiprotein complexes, mTORC1 and mTORC2, with mTORC1 being the complex involved in cell growth and metabolism.</w:t>
      </w:r>
      <w:r w:rsidR="003C7C6A">
        <w:fldChar w:fldCharType="begin"/>
      </w:r>
      <w:r w:rsidR="000A492A">
        <w:instrText xml:space="preserve"> ADDIN ZOTERO_ITEM CSL_CITATION {"citationID":"26pbaingtb","properties":{"formattedCitation":"{\\rtf \\super 363\\nosupersub{}}","plainCitation":"363"},"citationItems":[{"id":1738,"uris":["http://zotero.org/users/171999/items/J2BC5EGS"],"uri":["http://zotero.org/users/171999/items/J2BC5EGS"],"itemData":{"id":1738,"type":"article-journal","title":"mTOR signaling at a glance","container-title":"Journal of cell science","page":"3589-3594","volume":"122","issue":"Pt 20","source":"NCBI PubMed","DOI":"10.1242/jcs.051011","ISSN":"1477-9137","note":"PMID: 19812304","journalAbbreviation":"J. Cell. Sci.","language":"eng","author":[{"family":"Laplante","given":"Mathieu"},{"family":"Sabatini","given":"David M"}],"issued":{"date-parts":[["2009",10,15]]},"PMID":"19812304"}}],"schema":"https://github.com/citation-style-language/schema/raw/master/csl-citation.json"} </w:instrText>
      </w:r>
      <w:r w:rsidR="003C7C6A">
        <w:fldChar w:fldCharType="separate"/>
      </w:r>
      <w:r w:rsidR="000A492A" w:rsidRPr="000A492A">
        <w:rPr>
          <w:vertAlign w:val="superscript"/>
        </w:rPr>
        <w:t>363</w:t>
      </w:r>
      <w:r w:rsidR="003C7C6A">
        <w:fldChar w:fldCharType="end"/>
      </w:r>
      <w:r w:rsidR="003C7C6A">
        <w:t xml:space="preserve">  </w:t>
      </w:r>
      <w:r w:rsidR="00DC7C0D">
        <w:t>Mammalian protein synthesis is regulated at two steps during translation initiation.  The first step involves formation of the 43S pre-initiation complex, which scans mRNA for the start codon.  The second regulation step is recognition of the</w:t>
      </w:r>
      <w:r w:rsidR="00085149">
        <w:t xml:space="preserve"> 5’</w:t>
      </w:r>
      <w:r w:rsidR="00DC7C0D">
        <w:t xml:space="preserve"> mRNA cap structure and subsequent formation of a ribosome binding site/translation start site.</w:t>
      </w:r>
      <w:r w:rsidR="003C7C6A">
        <w:t xml:space="preserve">  Eukaryotic initiation factor</w:t>
      </w:r>
      <w:r w:rsidR="00DC7C0D">
        <w:t xml:space="preserve"> (eIF)</w:t>
      </w:r>
      <w:r w:rsidR="003C7C6A">
        <w:t xml:space="preserve"> 4F complex contains three eIF subunits (eIF4A, eIF4E, and eIF4G) and</w:t>
      </w:r>
      <w:r w:rsidR="00DC7C0D">
        <w:t xml:space="preserve"> is required for this second step</w:t>
      </w:r>
      <w:r w:rsidR="003C7C6A">
        <w:t>.  I</w:t>
      </w:r>
      <w:r w:rsidR="00DC7C0D">
        <w:t xml:space="preserve">ts activity is inhibited by eIF4E binding protein (4EBP1).  </w:t>
      </w:r>
      <w:proofErr w:type="gramStart"/>
      <w:r w:rsidR="00DC7C0D">
        <w:t>mTOR</w:t>
      </w:r>
      <w:proofErr w:type="gramEnd"/>
      <w:r w:rsidR="00DC7C0D">
        <w:t xml:space="preserve"> phosphorylates 4EBP1, preventing it from binding eIF4E, allowing for increased protein translation</w:t>
      </w:r>
      <w:r w:rsidR="00085149">
        <w:t xml:space="preserve"> (</w:t>
      </w:r>
      <w:r w:rsidR="00085149" w:rsidRPr="00F96D37">
        <w:rPr>
          <w:color w:val="FF0000"/>
        </w:rPr>
        <w:t xml:space="preserve">Figure </w:t>
      </w:r>
      <w:r w:rsidR="00C45CA9">
        <w:rPr>
          <w:color w:val="FF0000"/>
        </w:rPr>
        <w:t>10)</w:t>
      </w:r>
      <w:r w:rsidR="00DC7C0D">
        <w:t xml:space="preserve">.  </w:t>
      </w:r>
      <w:proofErr w:type="gramStart"/>
      <w:r w:rsidR="00DC7C0D">
        <w:t>mTOR</w:t>
      </w:r>
      <w:proofErr w:type="gramEnd"/>
      <w:r w:rsidR="00DC7C0D">
        <w:t xml:space="preserve"> also phosphorylates ribosomal protein S6 kinase (S6K1).  In this case, S6K1 is activated by phosphorylation, causing three downstream effects: (1) protein synthesis initiation factor 4B (eIF4B) activation; (2) 40S ribosomal protein (S6) activation; (3) elongation factor 2 kinase (eEF2K) inhibition.</w:t>
      </w:r>
      <w:r w:rsidR="00DC7C0D">
        <w:fldChar w:fldCharType="begin"/>
      </w:r>
      <w:r w:rsidR="000A492A">
        <w:instrText xml:space="preserve"> ADDIN ZOTERO_ITEM CSL_CITATION {"citationID":"0jFlT9y6","properties":{"formattedCitation":"{\\rtf \\super 358,363\\uc0\\u8211{}365\\nosupersub{}}","plainCitation":"358,363–365"},"citationItems":[{"id":1738,"uris":["http://zotero.org/users/171999/items/J2BC5EGS"],"uri":["http://zotero.org/users/171999/items/J2BC5EGS"],"itemData":{"id":1738,"type":"article-journal","title":"mTOR signaling at a glance","container-title":"Journal of cell science","page":"3589-3594","volume":"122","issue":"Pt 20","source":"NCBI PubMed","DOI":"10.1242/jcs.051011","ISSN":"1477-9137","note":"PMID: 19812304","journalAbbreviation":"J. Cell. Sci.","language":"eng","author":[{"family":"Laplante","given":"Mathieu"},{"family":"Sabatini","given":"David M"}],"issued":{"date-parts":[["2009",10,15]]},"PMID":"19812304"}},{"id":1735,"uris":["http://zotero.org/users/171999/items/JWQ42XIJ"],"uri":["http://zotero.org/users/171999/items/JWQ42XIJ"],"itemData":{"id":1735,"type":"article-journal","title":"Nutrient overload, insulin resistance, and ribosomal protein S6 kinase 1, S6K1","container-title":"Cell Metabolism","page":"393-402","volume":"3","issue":"6","source":"ScienceDirect","abstract":"Nutrient overload leads to obesity, insulin resistance, and often type 2 diabetes. Whereas increased fat intake is commonly cited as the major factor in diet-induced dysmetabolic states, increased protein consumption also contributes, through elevated circulating amino acids. Recent studies have revealed that ribosomal protein S6 kinase 1, S6K1, an effector of mTOR, is sensitive to both insulin and nutrients, including amino acids. Although S6K1 is an effector of growth, recent reports show that amino acids also negatively affect insulin signaling through mTOR/S6K1 phosphorylation of IRS1. Moreover, rather than signaling through the class 1 PI3K pathway, amino acids appear to mediate mTOR activation through class 3 PI3K, or hVps34. Consistent with this, infusion of amino acids into humans leads to S6K1 activation, inhibition of insulin-induced class 1 PI3K activation, and insulin resistance. Thus, S6K1 may mediate deleterious effects, like insulin resistance, and potentially type 2 diabetes in the face of nutrient excess.","DOI":"10.1016/j.cmet.2006.05.003","ISSN":"1550-4131","journalAbbreviation":"Cell Metabolism","author":[{"family":"Um","given":"Sung Hee"},{"family":"D'Alessio","given":"David"},{"family":"Thomas","given":"George"}],"issued":{"date-parts":[["2006",6]]},"accessed":{"date-parts":[["2013",11,11]]}}},{"id":1731,"uris":["http://zotero.org/users/171999/items/P9MP4VHR"],"uri":["http://zotero.org/users/171999/items/P9MP4VHR"],"itemData":{"id":1731,"type":"article-journal","title":"Upstream and downstream of mTOR","container-title":"Genes &amp; Development","page":"1926-1945","volume":"18","issue":"16","source":"genesdev.cshlp.org","abstract":"The evolutionarily conserved checkpoint protein kinase, TOR (target of rapamycin), has emerged as a major effector of cell growth and proliferation via the regulation of protein synthesis. Work in the last decade clearly demonstrates that TOR controls protein synthesis through a stunning number of downstream targets. Some of the targets are phosphorylated directly by TOR, but many are phosphorylated indirectly. In this review, we summarize some recent developments in this fast-evolving field. We describe both the upstream components of the signaling pathway(s) that activates mammalian TOR (mTOR) and the downstream targets that affect protein synthesis. We also summarize the roles of mTOR in the control of cell growth and proliferation, as well as its relevance to cancer and synaptic plasticity.","DOI":"10.1101/gad.1212704","ISSN":"0890-9369, 1549-5477","note":"PMID: 15314020","journalAbbreviation":"Genes Dev.","language":"en","author":[{"family":"Hay","given":"Nissim"},{"family":"Sonenberg","given":"Nahum"}],"issued":{"date-parts":[["2004",8,15]]},"accessed":{"date-parts":[["2013",11,10]]},"PMID":"15314020"}},{"id":1719,"uris":["http://zotero.org/users/171999/items/GMA96WD5"],"uri":["http://zotero.org/users/171999/items/GMA96WD5"],"itemData":{"id":1719,"type":"article-journal","title":"Orally administered leucine stimulates protein synthesis in skeletal muscle of postabsorptive rats in association with increased eIF4F formation","container-title":"The Journal of nutrition","page":"139-145","volume":"130","issue":"2","source":"NCBI PubMed","abstract":"We investigated the protein synthetic response of skeletal muscle to an orally administered dose of leucine given alone or in combination with carbohydrate. Male rats were freely fed (F) or food deprived for 18 h; food-deprived rats were then administered saline (S), carbohydrate (CHO), leucine (L) or a combination of carbohydrate plus leucine (CL). CHO and CL meals were isocaloric and provided 15% of daily energy requirements. L and CL meals each delivered 270 mg leucine. Muscle protein synthesis in S was 65% of F (P&lt;0.01) 1 h after meal administration. Concomitant with lower rates of protein synthesis, phosphorylation of the translational repressor, eukaryotic initiation factor (eIF)4E-binding protein 1 (4E-BP1), was less in S, leading to greater association of 4E-BP1.eIF4E, and reduced formation of the active eIF4G.eIF4E complex compared with F (P&lt;0.01). Oral administration of leucine (L or CL), but not CHO, restored protein synthesis equal to that in F and resulted in 4E-BP1 phosphorylation that was threefold greater than that of S (P&lt;0.01). Consequently, formation of 4E-BP1.eIF4E was inhibited and eIF4G.eIF4E was not different from F. The amount of eIF4E in the phosphorylated form was greater in S and CHO (P&lt;0.01) than in all other groups. In contrast, no differences in the phosphorylation state of eIF2alpha or the activity of eIF2B were noted among treatment groups. Serum insulin was elevated 2.6- and 3.7-fold in CHO and CL, respectively, but was not different in L, compared with S (P&lt;0.05). These results suggest that leucine stimulates protein synthesis in skeletal muscle by enhancing eIF4F formation independently of increases in serum insulin.","ISSN":"0022-3166","note":"PMID: 10720160","journalAbbreviation":"J. Nutr.","language":"eng","author":[{"family":"Anthony","given":"J C"},{"family":"Anthony","given":"T G"},{"family":"Kimball","given":"S R"},{"family":"Vary","given":"T C"},{"family":"Jefferson","given":"L S"}],"issued":{"date-parts":[["2000",2]]},"PMID":"10720160"}}],"schema":"https://github.com/citation-style-language/schema/raw/master/csl-citation.json"} </w:instrText>
      </w:r>
      <w:r w:rsidR="00DC7C0D">
        <w:fldChar w:fldCharType="separate"/>
      </w:r>
      <w:r w:rsidR="000A492A" w:rsidRPr="000A492A">
        <w:rPr>
          <w:vertAlign w:val="superscript"/>
        </w:rPr>
        <w:t>358,363–365</w:t>
      </w:r>
      <w:r w:rsidR="00DC7C0D">
        <w:fldChar w:fldCharType="end"/>
      </w:r>
    </w:p>
    <w:p w:rsidR="00362A5B" w:rsidRDefault="00DC7C0D" w:rsidP="00373605">
      <w:pPr>
        <w:ind w:firstLine="720"/>
      </w:pPr>
      <w:r>
        <w:t xml:space="preserve">The exact mechanism by which leucine exerts its mTOR-independent protein synthesis is unknown, but evidence of the association does exist.  The same research laboratory investigated responses in rats after 18 hours of food derivation followed by various refeeding conditions.  Leucine restored protein synthesis to free feeding levels with leucine or leucine/CHO supplemented diets, but not with CHO alone.  </w:t>
      </w:r>
      <w:r w:rsidR="00113A23">
        <w:t>4EBP1 phosphorylation was increased, inhibiting its ability to phosphorylate eIF4E in the leucine supplemented rats</w:t>
      </w:r>
      <w:r w:rsidR="00113A23">
        <w:fldChar w:fldCharType="begin"/>
      </w:r>
      <w:r w:rsidR="000A492A">
        <w:instrText xml:space="preserve"> ADDIN ZOTERO_ITEM CSL_CITATION {"citationID":"5cq1deeli","properties":{"formattedCitation":"{\\rtf \\super 358\\nosupersub{}}","plainCitation":"358"},"citationItems":[{"id":1719,"uris":["http://zotero.org/users/171999/items/GMA96WD5"],"uri":["http://zotero.org/users/171999/items/GMA96WD5"],"itemData":{"id":1719,"type":"article-journal","title":"Orally administered leucine stimulates protein synthesis in skeletal muscle of postabsorptive rats in association with increased eIF4F formation","container-title":"The Journal of nutrition","page":"139-145","volume":"130","issue":"2","source":"NCBI PubMed","abstract":"We investigated the protein synthetic response of skeletal muscle to an orally administered dose of leucine given alone or in combination with carbohydrate. Male rats were freely fed (F) or food deprived for 18 h; food-deprived rats were then administered saline (S), carbohydrate (CHO), leucine (L) or a combination of carbohydrate plus leucine (CL). CHO and CL meals were isocaloric and provided 15% of daily energy requirements. L and CL meals each delivered 270 mg leucine. Muscle protein synthesis in S was 65% of F (P&lt;0.01) 1 h after meal administration. Concomitant with lower rates of protein synthesis, phosphorylation of the translational repressor, eukaryotic initiation factor (eIF)4E-binding protein 1 (4E-BP1), was less in S, leading to greater association of 4E-BP1.eIF4E, and reduced formation of the active eIF4G.eIF4E complex compared with F (P&lt;0.01). Oral administration of leucine (L or CL), but not CHO, restored protein synthesis equal to that in F and resulted in 4E-BP1 phosphorylation that was threefold greater than that of S (P&lt;0.01). Consequently, formation of 4E-BP1.eIF4E was inhibited and eIF4G.eIF4E was not different from F. The amount of eIF4E in the phosphorylated form was greater in S and CHO (P&lt;0.01) than in all other groups. In contrast, no differences in the phosphorylation state of eIF2alpha or the activity of eIF2B were noted among treatment groups. Serum insulin was elevated 2.6- and 3.7-fold in CHO and CL, respectively, but was not different in L, compared with S (P&lt;0.05). These results suggest that leucine stimulates protein synthesis in skeletal muscle by enhancing eIF4F formation independently of increases in serum insulin.","ISSN":"0022-3166","note":"PMID: 10720160","journalAbbreviation":"J. Nutr.","language":"eng","author":[{"family":"Anthony","given":"J C"},{"family":"Anthony","given":"T G"},{"family":"Kimball","given":"S R"},{"family":"Vary","given":"T C"},{"family":"Jefferson","given":"L S"}],"issued":{"date-parts":[["2000",2]]},"PMID":"10720160"}}],"schema":"https://github.com/citation-style-language/schema/raw/master/csl-citation.json"} </w:instrText>
      </w:r>
      <w:r w:rsidR="00113A23">
        <w:fldChar w:fldCharType="separate"/>
      </w:r>
      <w:r w:rsidR="000A492A" w:rsidRPr="000A492A">
        <w:rPr>
          <w:vertAlign w:val="superscript"/>
        </w:rPr>
        <w:t>358</w:t>
      </w:r>
      <w:r w:rsidR="00113A23">
        <w:fldChar w:fldCharType="end"/>
      </w:r>
      <w:r w:rsidR="00113A23">
        <w:t xml:space="preserve">  When in the presence of insulin, leucine was able to enhance production of eIF4E and eIF4G and increase phosphorylation 4EBP1, S6K1, and S6.  </w:t>
      </w:r>
      <w:r>
        <w:t xml:space="preserve">When insulin release after a meal was inhibited by somatostatin administration, protein synthesis in these </w:t>
      </w:r>
    </w:p>
    <w:p w:rsidR="00D8733D" w:rsidRDefault="00362A5B" w:rsidP="00D8733D">
      <w:pPr>
        <w:keepNext/>
      </w:pPr>
      <w:r>
        <w:rPr>
          <w:noProof/>
        </w:rPr>
        <w:lastRenderedPageBreak/>
        <w:drawing>
          <wp:inline distT="0" distB="0" distL="0" distR="0" wp14:anchorId="10A3B3F0" wp14:editId="733AB45C">
            <wp:extent cx="5486400" cy="3556000"/>
            <wp:effectExtent l="0" t="0" r="0" b="6350"/>
            <wp:docPr id="25" name="Picture 25" descr="The TORrid affairs of viruses: effects of mammalian DNA viruses on the PI3K|[ndash]|Akt|[ndash]|mTOR signalling path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The TORrid affairs of viruses: effects of mammalian DNA viruses on the PI3K|[ndash]|Akt|[ndash]|mTOR signalling pathway"/>
                    <pic:cNvPicPr>
                      <a:picLocks noChangeAspect="1" noChangeArrowheads="1"/>
                    </pic:cNvPicPr>
                  </pic:nvPicPr>
                  <pic:blipFill rotWithShape="1">
                    <a:blip r:embed="rId19">
                      <a:extLst>
                        <a:ext uri="{28A0092B-C50C-407E-A947-70E740481C1C}">
                          <a14:useLocalDpi xmlns:a14="http://schemas.microsoft.com/office/drawing/2010/main" val="0"/>
                        </a:ext>
                      </a:extLst>
                    </a:blip>
                    <a:srcRect b="13946"/>
                    <a:stretch/>
                  </pic:blipFill>
                  <pic:spPr bwMode="auto">
                    <a:xfrm>
                      <a:off x="0" y="0"/>
                      <a:ext cx="5486400" cy="3556000"/>
                    </a:xfrm>
                    <a:prstGeom prst="rect">
                      <a:avLst/>
                    </a:prstGeom>
                    <a:noFill/>
                    <a:ln>
                      <a:noFill/>
                    </a:ln>
                    <a:extLst>
                      <a:ext uri="{53640926-AAD7-44D8-BBD7-CCE9431645EC}">
                        <a14:shadowObscured xmlns:a14="http://schemas.microsoft.com/office/drawing/2010/main"/>
                      </a:ext>
                    </a:extLst>
                  </pic:spPr>
                </pic:pic>
              </a:graphicData>
            </a:graphic>
          </wp:inline>
        </w:drawing>
      </w:r>
    </w:p>
    <w:p w:rsidR="00362A5B" w:rsidRDefault="00D8733D" w:rsidP="00D8733D">
      <w:pPr>
        <w:pStyle w:val="Caption"/>
      </w:pPr>
      <w:bookmarkStart w:id="31" w:name="_Toc376465869"/>
      <w:r>
        <w:t xml:space="preserve">Figure </w:t>
      </w:r>
      <w:fldSimple w:instr=" SEQ Figure \* ARABIC ">
        <w:r w:rsidR="00DE5561">
          <w:rPr>
            <w:noProof/>
          </w:rPr>
          <w:t>9</w:t>
        </w:r>
      </w:fldSimple>
      <w:r>
        <w:t xml:space="preserve"> mTOR control of cap-dependent translation.</w:t>
      </w:r>
      <w:bookmarkEnd w:id="31"/>
    </w:p>
    <w:p w:rsidR="00D8733D" w:rsidRPr="00085149" w:rsidRDefault="00D8733D" w:rsidP="00D8733D">
      <w:pPr>
        <w:rPr>
          <w:color w:val="FF0000"/>
        </w:rPr>
      </w:pPr>
      <w:r>
        <w:t xml:space="preserve">The eukaryotic initiation factor (eIF) 4F complex consists of: eIF4E, the subunit that binds to the 5' cap and thus brings the complex to the mRNA; eIF4G, the scaffolding protein to which the other components bind; mitogen-activated protein kinase-interacting kinase 1 (Mnk1), an eIF4E kinase; and eIF4A, an RNA helicase. The functionality of the eIF4F complex relies on the association between eIF4E and eIF4G. However, the binding of 4E-BP to eIF4E displaces eIF4E from eIF4G and the remainder of the complex, and thus inhibits cap-dependent translation. </w:t>
      </w:r>
      <w:proofErr w:type="gramStart"/>
      <w:r>
        <w:t>mTOR</w:t>
      </w:r>
      <w:proofErr w:type="gramEnd"/>
      <w:r>
        <w:t xml:space="preserve"> complex 1 (mTORC1) controls whether or not 4E-BP binds eIF4E by controlling 4E-BP phosphorylation. When mTORC1 is active, under positive growth conditions (</w:t>
      </w:r>
      <w:r>
        <w:rPr>
          <w:rStyle w:val="b"/>
        </w:rPr>
        <w:t>a</w:t>
      </w:r>
      <w:r>
        <w:t>), it phosphorylates 4E-BP, which is therefore unable to bind to eIF4E. Thus, eIF4E is free to bind to eIF4G, which completes the eIF4F complex on the 5' cap and permits translation to proceed. Under negative growth conditions, for example, during stress or the inhibition of mTORC1 by rapamycin (</w:t>
      </w:r>
      <w:r>
        <w:rPr>
          <w:rStyle w:val="b"/>
        </w:rPr>
        <w:t>b</w:t>
      </w:r>
      <w:r>
        <w:t>), mTORC1 is inactive; 4E-BP therefore becomes hypophosphorylated and binds efficiently to eIF4E, thereby removing it from the eIF4F complex and inhibiting cap-dependent translation.</w:t>
      </w:r>
      <w:r w:rsidR="006F1A3F">
        <w:t xml:space="preserve"> </w:t>
      </w:r>
      <w:r>
        <w:t xml:space="preserve"> </w:t>
      </w:r>
      <w:proofErr w:type="gramStart"/>
      <w:r w:rsidR="006F1A3F">
        <w:t>Reprinted by permission from Macmillan Publishers Ltd: [NATURE REVIEWS MICROBIOLOGY</w:t>
      </w:r>
      <w:r w:rsidR="006F1A3F" w:rsidRPr="000A2582">
        <w:t>] (</w:t>
      </w:r>
      <w:r w:rsidR="006F1A3F" w:rsidRPr="006F1A3F">
        <w:t>Buchkovich NJ, Yu Y, Zampieri CA, et al.</w:t>
      </w:r>
      <w:proofErr w:type="gramEnd"/>
      <w:r w:rsidR="006F1A3F" w:rsidRPr="006F1A3F">
        <w:t xml:space="preserve"> The TORrid affairs of viruses: effects of mammalian DNA viruses on the PI3K–Akt–mTOR signalling pathway. Nat Rev Microbiol 2008;6:266–275</w:t>
      </w:r>
      <w:r w:rsidR="006F1A3F">
        <w:t>), Copyright © 2008.</w:t>
      </w:r>
      <w:r>
        <w:rPr>
          <w:color w:val="FF0000"/>
        </w:rPr>
        <w:fldChar w:fldCharType="begin"/>
      </w:r>
      <w:r w:rsidR="000A492A">
        <w:rPr>
          <w:color w:val="FF0000"/>
        </w:rPr>
        <w:instrText xml:space="preserve"> ADDIN ZOTERO_ITEM CSL_CITATION {"citationID":"11d6l2l6ru","properties":{"formattedCitation":"{\\rtf \\super 366\\nosupersub{}}","plainCitation":"366"},"citationItems":[{"id":1754,"uris":["http://zotero.org/users/171999/items/SJ59RS5H"],"uri":["http://zotero.org/users/171999/items/SJ59RS5H"],"itemData":{"id":1754,"type":"article-journal","title":"The TORrid affairs of viruses: effects of mammalian DNA viruses on the PI3K–Akt–mTOR signalling pathway","container-title":"Nature Reviews Microbiology","page":"266-275","volume":"6","issue":"4","source":"www.nature.com","abstract":"The successful replication of mammalian DNA viruses requires that they gain control of key cellular signalling pathways that affect broad aspects of cellular macromolecular synthesis, metabolism, growth and survival. The phosphatidylinositol 3′-kinase–Akt–mammalian target of rapamycin (PI3K–Akt–mTOR) pathway is one such pathway. Mammalian DNA viruses have evolved various mechanisms to activate this pathway to obtain the benefits of Akt activation, including the maintenance of translation through the activation of mTOR. In addition, viruses must overcome the inhibition of this pathway that results from the activation of cellular stress responses during viral infection. This Review will discuss the range of mechanisms that mammalian DNA viruses use to activate this pathway, as well as the multiple mechanisms these viruses have evolved to circumvent inhibitory stress signalling.","DOI":"10.1038/nrmicro1855","ISSN":"1740-1526","shortTitle":"The TORrid affairs of viruses","journalAbbreviation":"Nat Rev Micro","language":"en","author":[{"family":"Buchkovich","given":"Nicholas J."},{"family":"Yu","given":"Yongjun"},{"family":"Zampieri","given":"Carisa A."},{"family":"Alwine","given":"James C."}],"issued":{"date-parts":[["2008",4]]},"accessed":{"date-parts":[["2013",11,11]]}}}],"schema":"https://github.com/citation-style-language/schema/raw/master/csl-citation.json"} </w:instrText>
      </w:r>
      <w:r>
        <w:rPr>
          <w:color w:val="FF0000"/>
        </w:rPr>
        <w:fldChar w:fldCharType="separate"/>
      </w:r>
      <w:r w:rsidR="000A492A" w:rsidRPr="000A492A">
        <w:rPr>
          <w:vertAlign w:val="superscript"/>
        </w:rPr>
        <w:t>366</w:t>
      </w:r>
      <w:r>
        <w:rPr>
          <w:color w:val="FF0000"/>
        </w:rPr>
        <w:fldChar w:fldCharType="end"/>
      </w:r>
    </w:p>
    <w:p w:rsidR="00D8733D" w:rsidRPr="00D8733D" w:rsidRDefault="00D8733D" w:rsidP="00D8733D"/>
    <w:p w:rsidR="00362A5B" w:rsidRDefault="00362A5B" w:rsidP="00362A5B"/>
    <w:p w:rsidR="00CA3387" w:rsidRDefault="00CA3387" w:rsidP="00CA3387">
      <w:pPr>
        <w:pStyle w:val="Caption"/>
      </w:pPr>
      <w:bookmarkStart w:id="32" w:name="_Toc376465870"/>
      <w:r>
        <w:lastRenderedPageBreak/>
        <w:t xml:space="preserve">Figure </w:t>
      </w:r>
      <w:fldSimple w:instr=" SEQ Figure \* ARABIC ">
        <w:r w:rsidR="00DE5561">
          <w:rPr>
            <w:noProof/>
          </w:rPr>
          <w:t>10</w:t>
        </w:r>
      </w:fldSimple>
      <w:r>
        <w:t xml:space="preserve"> </w:t>
      </w:r>
      <w:proofErr w:type="gramStart"/>
      <w:r>
        <w:t>The</w:t>
      </w:r>
      <w:proofErr w:type="gramEnd"/>
      <w:r>
        <w:t xml:space="preserve"> mTORC1 pathway.</w:t>
      </w:r>
      <w:bookmarkEnd w:id="32"/>
    </w:p>
    <w:p w:rsidR="00CA3387" w:rsidRPr="00F96D37" w:rsidRDefault="00CA3387" w:rsidP="00CA3387">
      <w:pPr>
        <w:rPr>
          <w:color w:val="FF0000"/>
        </w:rPr>
      </w:pPr>
      <w:r>
        <w:t xml:space="preserve">The mammalian target of rapamycin complex 1 (mTORC1) pathway can be activated by hormones, growth factors and nutrients. Various upstream kinases [e.g. extracellular signal-regulated kinases1/2 (ERK1/2), phosphoinositide 3-kinase (PI3 K/Akt), AMP-activated protein kinase (AMPK)] that converge on the tuberous sclerosis complex (TSC1/TSC2), regulate mTORC1 activity. High-glucose levels inhibit AMPK, whereas low-glucose and low-ATP levels lead to the AMPK dependent activation of TSC2, which inhibits mTORC1 signaling. AMPK also directly inhibits mTORC1 by phosphorylating Raptor, a component of mTORC1. Hormones such as insulin signal to mTORC1 through PI3 K and Akt, which inactivates TSC2 to prevent TSC2 inhibition of mTORC1. Activation of mTORC1 leads to phosphorylation of its downstream targets ribosomal protein S6 kinase (S6K1), eukaryotic initiation factor 4E-binding protein (4E-BP) and ribosomal protein S6 (S6). Prolonged or constitutive activation of mTORC1/S6K1 signaling attenuates insulin-dependent PI3 K/Akt activity by inhibiting insulin receptor substrate (IRS) proteins. Amino acids increase mTORC1 signaling by favoring Rag protein action on mTORC1 and its translocation to the lysosome, a phenomenon that leads to autophagy inhibition, and by inducing a Ca2 </w:t>
      </w:r>
      <w:r>
        <w:rPr>
          <w:rFonts w:ascii="Advsymbl" w:hAnsi="Advsymbl" w:cs="Advsymbl"/>
          <w:sz w:val="11"/>
          <w:szCs w:val="11"/>
        </w:rPr>
        <w:t xml:space="preserve">+ </w:t>
      </w:r>
      <w:r>
        <w:t xml:space="preserve">/calmodulin-mediated activation of the class III PI3 K human vacuolar protein sorting-34 (hVPS34). Certain fatty acids have been shown to activate mTORC1 downstream targets, but actual mechanisms of actions are currently unknown. Once activated the mTORC1 pathway affects the hypothalamic control of energy balance and regulates protein synthesis, whole body glucose metabolism, insulin sensitivity, lipogenesis and adipogenesis. </w:t>
      </w:r>
      <w:proofErr w:type="gramStart"/>
      <w:r>
        <w:t>BCAA, branched-chain amino acid.</w:t>
      </w:r>
      <w:proofErr w:type="gramEnd"/>
      <w:r w:rsidR="0092071F">
        <w:t xml:space="preserve"> </w:t>
      </w:r>
      <w:r>
        <w:t xml:space="preserve"> </w:t>
      </w:r>
      <w:r w:rsidR="006F1A3F">
        <w:t xml:space="preserve">Reprinted by permission from </w:t>
      </w:r>
      <w:r w:rsidR="0092071F">
        <w:t>Cambridge University Press</w:t>
      </w:r>
      <w:r w:rsidR="006F1A3F">
        <w:t>: [</w:t>
      </w:r>
      <w:r w:rsidR="0092071F">
        <w:t>PROCEEDINGS OF THE NUTRITION SOCIETY</w:t>
      </w:r>
      <w:r w:rsidR="006F1A3F" w:rsidRPr="000A2582">
        <w:t>] (</w:t>
      </w:r>
      <w:r w:rsidR="0092071F" w:rsidRPr="0092071F">
        <w:t>André C, Cota D. Coupling nutrient sensing to metabolic homoeostasis: the role of the mammalian target of rapamycin complex 1 pathway. Proc Nutr Soc 2012;71:502–510</w:t>
      </w:r>
      <w:r w:rsidR="006F1A3F">
        <w:t xml:space="preserve">), Copyright © </w:t>
      </w:r>
      <w:r w:rsidR="0092071F">
        <w:t>2012</w:t>
      </w:r>
      <w:r>
        <w:rPr>
          <w:color w:val="FF0000"/>
        </w:rPr>
        <w:t>.</w:t>
      </w:r>
      <w:r>
        <w:rPr>
          <w:color w:val="FF0000"/>
        </w:rPr>
        <w:fldChar w:fldCharType="begin"/>
      </w:r>
      <w:r>
        <w:rPr>
          <w:color w:val="FF0000"/>
        </w:rPr>
        <w:instrText xml:space="preserve"> ADDIN ZOTERO_ITEM CSL_CITATION {"citationID":"h2nln5mii","properties":{"formattedCitation":"{\\rtf \\super 367\\nosupersub{}}","plainCitation":"367"},"citationItems":[{"id":1769,"uris":["http://zotero.org/users/171999/items/K7N74CPT"],"uri":["http://zotero.org/users/171999/items/K7N74CPT"],"itemData":{"id":1769,"type":"article-journal","title":"Coupling nutrient sensing to metabolic homoeostasis: the role of the mammalian target of rapamycin complex 1 pathway","container-title":"Proceedings of the Nutrition Society","page":"502-510","volume":"71","issue":"04","source":"Cambridge Journals Online","abstract":"The mammalian target of rapamycin complex 1 (mTORC1) pathway is known to couple different environmental cues to the regulation of several energy-demanding functions within the cell, spanning from protein translation to mitochondrial activity. As a result, at the organism level, mTORC1 activity affects energy balance and general metabolic homoeostasis by modulating both the activity of neuronal populations that play key roles in the control of food intake and body weight, as well as by determining storage and use of fuel substrates in peripheral tissues. This review focuses on recent advances made in understanding the role of the mTORC1 pathway in the regulation of energy balance. More particularly, it aims at providing an overview of the status of knowledge regarding the mechanisms underlying the ability of certain amino acids, glucose and fatty acids, to affect mTORC1 activity and in turn illustrates how the mTORC1 pathway couples nutrient sensing to the hypothalamic regulation of the organisms’ energy homoeostasis and to the control of intracellular metabolic processes, such as glucose uptake, protein and lipid biosynthesis. The evidence reviewed pinpoints the mTORC1 pathway as an integrator of the actions of nutrients on metabolic health and provides insight into the relevance of this intracellular pathway as a potential target for the therapy of metabolic diseases such as obesity and type-2 diabetes.","DOI":"10.1017/S0029665112000754","shortTitle":"Coupling nutrient sensing to metabolic homoeostasis","author":[{"family":"André","given":"Caroline"},{"family":"Cota","given":"Daniela"}],"issued":{"date-parts":[["2012"]]}}}],"schema":"https://github.com/citation-style-language/schema/raw/master/csl-citation.json"} </w:instrText>
      </w:r>
      <w:r>
        <w:rPr>
          <w:color w:val="FF0000"/>
        </w:rPr>
        <w:fldChar w:fldCharType="separate"/>
      </w:r>
      <w:r w:rsidRPr="000A492A">
        <w:rPr>
          <w:vertAlign w:val="superscript"/>
        </w:rPr>
        <w:t>367</w:t>
      </w:r>
      <w:r>
        <w:rPr>
          <w:color w:val="FF0000"/>
        </w:rPr>
        <w:fldChar w:fldCharType="end"/>
      </w:r>
    </w:p>
    <w:p w:rsidR="00CA3387" w:rsidRDefault="00CA3387" w:rsidP="00362A5B"/>
    <w:p w:rsidR="00CA3387" w:rsidRDefault="00CA3387" w:rsidP="00362A5B"/>
    <w:p w:rsidR="00CA3387" w:rsidRDefault="00CA3387" w:rsidP="00362A5B"/>
    <w:p w:rsidR="00CA3387" w:rsidRDefault="00CA3387" w:rsidP="00362A5B"/>
    <w:p w:rsidR="00CA3387" w:rsidRDefault="00CA3387" w:rsidP="00362A5B"/>
    <w:p w:rsidR="00CA3387" w:rsidRDefault="00CA3387" w:rsidP="00362A5B"/>
    <w:p w:rsidR="00CA3387" w:rsidRDefault="00CA3387" w:rsidP="00362A5B"/>
    <w:p w:rsidR="00CA3387" w:rsidRDefault="00CA3387" w:rsidP="00362A5B"/>
    <w:p w:rsidR="00CA3387" w:rsidRDefault="00CA3387" w:rsidP="00362A5B"/>
    <w:p w:rsidR="00CA3387" w:rsidRDefault="00CA3387" w:rsidP="00362A5B"/>
    <w:p w:rsidR="00CA3387" w:rsidRDefault="00CA3387" w:rsidP="00362A5B"/>
    <w:p w:rsidR="00D8733D" w:rsidRDefault="00D8733D" w:rsidP="00D8733D">
      <w:pPr>
        <w:keepNext/>
      </w:pPr>
      <w:r>
        <w:rPr>
          <w:noProof/>
        </w:rPr>
        <w:lastRenderedPageBreak/>
        <w:drawing>
          <wp:inline distT="0" distB="0" distL="0" distR="0" wp14:anchorId="56704F59" wp14:editId="2DA0E92B">
            <wp:extent cx="5563335" cy="595630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28009" t="15185" r="26157" b="6297"/>
                    <a:stretch/>
                  </pic:blipFill>
                  <pic:spPr bwMode="auto">
                    <a:xfrm>
                      <a:off x="0" y="0"/>
                      <a:ext cx="5563335" cy="5956300"/>
                    </a:xfrm>
                    <a:prstGeom prst="rect">
                      <a:avLst/>
                    </a:prstGeom>
                    <a:ln>
                      <a:noFill/>
                    </a:ln>
                    <a:extLst>
                      <a:ext uri="{53640926-AAD7-44D8-BBD7-CCE9431645EC}">
                        <a14:shadowObscured xmlns:a14="http://schemas.microsoft.com/office/drawing/2010/main"/>
                      </a:ext>
                    </a:extLst>
                  </pic:spPr>
                </pic:pic>
              </a:graphicData>
            </a:graphic>
          </wp:inline>
        </w:drawing>
      </w:r>
    </w:p>
    <w:p w:rsidR="00D8733D" w:rsidRPr="00D8733D" w:rsidRDefault="00D8733D" w:rsidP="00D8733D"/>
    <w:p w:rsidR="00D8733D" w:rsidRDefault="00D8733D" w:rsidP="00362A5B"/>
    <w:p w:rsidR="00D8733D" w:rsidRDefault="00D8733D" w:rsidP="00362A5B"/>
    <w:p w:rsidR="00D8733D" w:rsidRDefault="00D8733D" w:rsidP="00362A5B"/>
    <w:p w:rsidR="00D8733D" w:rsidRDefault="00D8733D" w:rsidP="00362A5B"/>
    <w:p w:rsidR="00D8733D" w:rsidRDefault="00D8733D" w:rsidP="00362A5B"/>
    <w:p w:rsidR="00D8733D" w:rsidRDefault="00D8733D" w:rsidP="00362A5B"/>
    <w:p w:rsidR="00D8733D" w:rsidRDefault="00D8733D" w:rsidP="00362A5B"/>
    <w:p w:rsidR="00D8733D" w:rsidRDefault="00D8733D" w:rsidP="00362A5B"/>
    <w:p w:rsidR="00D8733D" w:rsidRDefault="00D8733D" w:rsidP="00362A5B"/>
    <w:p w:rsidR="00373605" w:rsidRPr="00025B5D" w:rsidRDefault="00DC7C0D" w:rsidP="00362A5B">
      <w:pPr>
        <w:rPr>
          <w:color w:val="FF0000"/>
        </w:rPr>
      </w:pPr>
      <w:proofErr w:type="gramStart"/>
      <w:r>
        <w:lastRenderedPageBreak/>
        <w:t>rats</w:t>
      </w:r>
      <w:proofErr w:type="gramEnd"/>
      <w:r>
        <w:t xml:space="preserve"> did not increase, despite leucine supplementation.  Phosphorylation of 4EBP1, S6K1, and S6 was attenuated, but lack of insulin release did not affect eIF4G and eIF4E production.</w:t>
      </w:r>
      <w:r>
        <w:fldChar w:fldCharType="begin"/>
      </w:r>
      <w:r w:rsidR="000A492A">
        <w:instrText xml:space="preserve"> ADDIN ZOTERO_ITEM CSL_CITATION {"citationID":"1erpjpqumn","properties":{"formattedCitation":"{\\rtf \\super 368\\nosupersub{}}","plainCitation":"368"},"citationItems":[{"id":1746,"uris":["http://zotero.org/users/171999/items/NQRJQAAW"],"uri":["http://zotero.org/users/171999/items/NQRJQAAW"],"itemData":{"id":1746,"type":"article-journal","title":"Contribution of insulin to the translational control of protein synthesis in skeletal muscle by leucine","container-title":"American journal of physiology. Endocrinology and metabolism","page":"E1092-1101","volume":"282","issue":"5","source":"NCBI PubMed","abstract":"Enhanced protein synthesis in skeletal muscle after ingestion of a balanced meal in postabsorptive rats is mimicked by oral leucine administration. To assess the contribution of insulin to the protein synthetic response to leucine, food-deprived (18 h) male rats (approximately 200 g) were intravenously administered a primed-constant infusion of somatostatin (60 microg + 3 microg.kg(-1).h(-1)) or vehicle beginning 1 h before administration of leucine (1.35 g L-leucine/kg) or saline (control). Rats were killed 15, 30, 45, 60, or 120 min after leucine administration. Compared with controls, serum insulin concentrations were elevated between 15 and 45 min after leucine administration but returned to basal values by 60 min. Somatostatin maintained insulin concentrations at basal levels throughout the time course. Protein synthesis was increased between 30 and 60 min, and this effect was blocked by somatostatin. Enhanced assembly of the mRNA cap-binding complex (composed of eukaryotic initiation factors eIF4E and eIF4G) and hyperphosphorylation of the eIF4E-binding protein 1 (4E-BP1), the 70-kDa ribosomal protein S6 kinase (S6K1), and the ribosomal protein S6 (rp S6) were observed as early as 15 min and persisted for at least 60 min. Somatostatin attenuated the leucine-induced changes in 4E-BP1 and S6K1 phosphorylation and completely blocked the change in rp S6 phosphorylation but had no effect on eIF4G small middle dot eIF4E assembly. Overall, the results suggest that the leucine-induced enhancement of protein synthesis and the phosphorylation states of 4E-BP1 and S6K1 are facilitated by the transient increase in serum insulin. In contrast, assembly of the mRNA cap-binding complex occurs independently of increases in insulin and, by itself, is insufficient to stimulate rates of protein synthesis in skeletal muscle after leucine administration.","DOI":"10.1152/ajpendo.00208.2001","ISSN":"0193-1849","note":"PMID: 11934675","journalAbbreviation":"Am. J. Physiol. Endocrinol. Metab.","language":"eng","author":[{"family":"Anthony","given":"Joshua C"},{"family":"Lang","given":"Charles H"},{"family":"Crozier","given":"Stephen J"},{"family":"Anthony","given":"Tracy G"},{"family":"MacLean","given":"David A"},{"family":"Kimball","given":"Scot R"},{"family":"Jefferson","given":"Leonard S"}],"issued":{"date-parts":[["2002",5]]},"PMID":"11934675"}}],"schema":"https://github.com/citation-style-language/schema/raw/master/csl-citation.json"} </w:instrText>
      </w:r>
      <w:r>
        <w:fldChar w:fldCharType="separate"/>
      </w:r>
      <w:r w:rsidR="000A492A" w:rsidRPr="000A492A">
        <w:rPr>
          <w:vertAlign w:val="superscript"/>
        </w:rPr>
        <w:t>368</w:t>
      </w:r>
      <w:r>
        <w:fldChar w:fldCharType="end"/>
      </w:r>
      <w:r>
        <w:t xml:space="preserve">  Leucine fed rats exhibited stimulated adipose, skeletal muscle and renal protein synthesis, while the synthesis in CHO fed rats was unchanged, despite an increase in insulin level.</w:t>
      </w:r>
      <w:r>
        <w:fldChar w:fldCharType="begin"/>
      </w:r>
      <w:r w:rsidR="000A492A">
        <w:instrText xml:space="preserve"> ADDIN ZOTERO_ITEM CSL_CITATION {"citationID":"2bjp1uv3tg","properties":{"formattedCitation":"{\\rtf \\super 369\\nosupersub{}}","plainCitation":"369"},"citationItems":[{"id":1748,"uris":["http://zotero.org/users/171999/items/FJH5PKSQ"],"uri":["http://zotero.org/users/171999/items/FJH5PKSQ"],"itemData":{"id":1748,"type":"article-journal","title":"Leucine is a direct-acting nutrient signal that regulates protein synthesis in adipose tissue","container-title":"American journal of physiology. Endocrinology and metabolism","page":"E503-513","volume":"283","issue":"3","source":"NCBI PubMed","abstract":"In freshly isolated rat adipocytes, leucine or its analog norleucine activates the mammalian target of rapamycin (mTOR)-signaling pathway. This results in phosphorylation of the ribosomal protein S6 kinase 1 (S6K1) and eukaryotic initiation factor 4E-binding protein-1 (4E-BP1), two proteins involved in the initiation phase of protein synthesis. The purpose of the studies reported herein was to address the question of whether or not these in vitro effects of leucine and norleucine on adipocytes could be extended to the intact animal and to other tissues. To accomplish this, food-deprived (18 h) male Sprague-Dawley rats were orally administered solutions (2.5 ml/100 g body wt) containing normal saline (0.9% NaCl), a carbohydrate mixture (26.2% D-glucose and 26.2% sucrose), leucine (5.4%), or norleucine (5.4%). The protein synthetic responses of adipose tissue were measured and compared with those of other tissues. In addition, S6K1 and 4E-BP1 phosphorylation was measured, as was the plasma concentration of insulin and tissue ATP concentrations. Leucine administration stimulated protein synthesis in adipose tissue, gastrocnemius, and kidney but not in liver and heart. Norleucine stimulated protein synthesis in all of the tissues tested but, in contrast to leucine, without affecting plasma insulin concentrations. The carbohydrate meal had no effect on protein synthesis in any tissue tested but elicited a robust increase in plasma insulin. These findings provide support for a role of leucine as a direct-acting nutrient signal for stimulation of protein synthesis in adipose tissue as well as other select tissues. In adipose tissue, the effects of the different treatment conditions on the acute regulation of protein synthesis closely correlated with changes in phosphorylation of S6K1 and 4E-BP1; however, this correlation did not exist in all tissues examined. This result implies that leucine or norleucine may acutely stimulate protein synthesis, at least in some tissues, by a mechanism that is independent of both S6K1 and 4E-BP1 phosphorylation.","DOI":"10.1152/ajpendo.00084.2002","ISSN":"0193-1849","note":"PMID: 12169444","journalAbbreviation":"Am. J. Physiol. Endocrinol. Metab.","language":"eng","author":[{"family":"Lynch","given":"Christopher J"},{"family":"Patson","given":"Brian J"},{"family":"Anthony","given":"Joshua"},{"family":"Vaval","given":"Alain"},{"family":"Jefferson","given":"Leonard S"},{"family":"Vary","given":"Thomas C"}],"issued":{"date-parts":[["2002",9]]},"PMID":"12169444"}}],"schema":"https://github.com/citation-style-language/schema/raw/master/csl-citation.json"} </w:instrText>
      </w:r>
      <w:r>
        <w:fldChar w:fldCharType="separate"/>
      </w:r>
      <w:r w:rsidR="000A492A" w:rsidRPr="000A492A">
        <w:rPr>
          <w:vertAlign w:val="superscript"/>
        </w:rPr>
        <w:t>369</w:t>
      </w:r>
      <w:r>
        <w:fldChar w:fldCharType="end"/>
      </w:r>
      <w:r w:rsidR="00EE2905">
        <w:t xml:space="preserve">  Leucine was even</w:t>
      </w:r>
      <w:r>
        <w:t xml:space="preserve"> effective at lower doses than previously tested (0.135 vs. 1.35 g/kg BW).  Amplitude of the effect on eIF4G and eIF4E was unchanged, but 4EBP1 and S6K1 effects exhibited a leucine dose response.</w:t>
      </w:r>
      <w:r>
        <w:fldChar w:fldCharType="begin"/>
      </w:r>
      <w:r w:rsidR="000A492A">
        <w:instrText xml:space="preserve"> ADDIN ZOTERO_ITEM CSL_CITATION {"citationID":"2cv1eclt9b","properties":{"formattedCitation":"{\\rtf \\super 370\\nosupersub{}}","plainCitation":"370"},"citationItems":[{"id":1750,"uris":["http://zotero.org/users/171999/items/XCWABTDB"],"uri":["http://zotero.org/users/171999/items/XCWABTDB"],"itemData":{"id":1750,"type":"article-journal","title":"Oral leucine administration stimulates protein synthesis in rat skeletal muscle","container-title":"The Journal of nutrition","page":"376-382","volume":"135","issue":"3","source":"NCBI PubMed","abstract":"Oral administration of a single bolus of leucine in an amount equivalent to the daily intake (1.35 g/kg body wt) enhances skeletal muscle protein synthesis in food-deprived rats. To elucidate whether smaller amounts of leucine can also stimulate protein synthesis, rats were administered the amino acid at concentrations ranging from 0.068 to 1.35 g/kg body wt by oral gavage. Thirty minutes following the administration of doses of leucine as low as 0.135 g/kg body wt, skeletal muscle protein synthesis was significantly greater than control values. The increase in protein synthesis was associated with changes in the regulation of biomarkers of mRNA translation initiation as evidenced by upregulated phosphorylation of the translational repressor, eukaryotic initiation factor (eIF)4E-binding protein 1 (4E-BP1), the association of eIF4G with the mRNA cap binding protein eIF4E, and the phosphorylation of the 70-kDa ribosomal protein S6 kinase. Alterations in the phosphorylation of eIF4G, as well as the association of 4E-BP1 with eIF4E, were observed following leucine administration; however, these changes appeared to be biphasic with maximal changes occurring when circulating insulin concentrations were elevated. Thus it appears that leucine administration affects mRNA translation and skeletal muscle protein synthesis through modulation of multiple biomarkers of mRNA translation. The ability of small doses of leucine to stimulate skeletal muscle protein synthesis suggests that future research on the regulation of skeletal muscle protein synthesis by orally administered leucine will be feasible in humans.","ISSN":"0022-3166","note":"PMID: 15735066","journalAbbreviation":"J. Nutr.","language":"eng","author":[{"family":"Crozier","given":"Stephen J"},{"family":"Kimball","given":"Scot R"},{"family":"Emmert","given":"Sans W"},{"family":"Anthony","given":"Joshua C"},{"family":"Jefferson","given":"Leonard S"}],"issued":{"date-parts":[["2005",3]]},"PMID":"15735066"}}],"schema":"https://github.com/citation-style-language/schema/raw/master/csl-citation.json"} </w:instrText>
      </w:r>
      <w:r>
        <w:fldChar w:fldCharType="separate"/>
      </w:r>
      <w:r w:rsidR="000A492A" w:rsidRPr="000A492A">
        <w:rPr>
          <w:vertAlign w:val="superscript"/>
        </w:rPr>
        <w:t>370</w:t>
      </w:r>
      <w:r>
        <w:fldChar w:fldCharType="end"/>
      </w:r>
      <w:r w:rsidR="00B37F75" w:rsidRPr="00B37F75">
        <w:t xml:space="preserve"> </w:t>
      </w:r>
      <w:r w:rsidR="00EE2905">
        <w:t xml:space="preserve"> In </w:t>
      </w:r>
      <w:r w:rsidR="00B37F75">
        <w:t xml:space="preserve">tumor bearing rats </w:t>
      </w:r>
      <w:r w:rsidR="00113A23">
        <w:t>receiving</w:t>
      </w:r>
      <w:r w:rsidR="00B37F75">
        <w:t xml:space="preserve"> 1 g/kg/day leucine</w:t>
      </w:r>
      <w:r w:rsidR="00EE2905">
        <w:t>,</w:t>
      </w:r>
      <w:r w:rsidR="00B37F75">
        <w:t xml:space="preserve"> reduced body weight loss and protein </w:t>
      </w:r>
      <w:r w:rsidR="00113A23">
        <w:t>degradation</w:t>
      </w:r>
      <w:r w:rsidR="00B37F75">
        <w:t xml:space="preserve"> compared to control rats</w:t>
      </w:r>
      <w:r w:rsidR="00EE2905">
        <w:t xml:space="preserve"> was observed.  The leucine rats</w:t>
      </w:r>
      <w:r w:rsidR="00B37F75">
        <w:t xml:space="preserve"> had increased phosphorylation of mTOR, p70S6K, and 4EBP1 with subsequently increased levels of the eIF4G-eIF4E complex and reduced eEF2 phosphorylation versus control.</w:t>
      </w:r>
      <w:r w:rsidR="00B37F75">
        <w:fldChar w:fldCharType="begin"/>
      </w:r>
      <w:r w:rsidR="000A492A">
        <w:instrText xml:space="preserve"> ADDIN ZOTERO_ITEM CSL_CITATION {"citationID":"s3imcqcbt","properties":{"formattedCitation":"{\\rtf \\super 371\\nosupersub{}}","plainCitation":"371"},"citationItems":[{"id":1767,"uris":["http://zotero.org/users/171999/items/Z8SE693Z"],"uri":["http://zotero.org/users/171999/items/Z8SE693Z"],"itemData":{"id":1767,"type":"article-journal","title":"Effect of branched-chain amino acids on muscle atrophy in cancer cachexia","container-title":"The Biochemical journal","page":"113-120","volume":"407","issue":"1","source":"NCBI PubMed","abstract":"In the present study, the BCAAs (branched-chain amino acids) leucine and valine caused a significant suppression in the loss of body weight in mice bearing a cachexia-inducing tumour (MAC16), producing a significant increase in skeletal muscle wet weight, through an increase in protein synthesis and a decrease in degradation. Leucine attenuated the increased phosphorylation of PKR (double-stranded-RNA-dependent protein kinase) and eIF2alpha (eukaryotic initiation factor 2alpha) in skeletal muscle of mice bearing the MAC16 tumour, due to an increased expression of PP1 (protein phosphatase 1). Weight loss in mice bearing the MAC16 tumour was associated with an increased amount of eIF4E bound to its binding protein 4E-BP1 (eIF4E-binding protein 1), and a progressive decrease in the active eIF4G-eIF4E complex due to hypophosphorylation of 4E-BP1. This may be due to a reduction in the phosphorylation of mTOR (mammalian target of rapamycin), which may also be responsible for the decreased phosphorylation of p70(S6k) (70 kDa ribosomal S6 kinase). There was also a 5-fold increase in the phosphorylation of eEF2 (eukaryotic elongation factor 2), which would also decrease protein synthesis through a decrease in translation elongation. Treatment with leucine increased phosphorylation of mTOR and p70(S6k), caused hyperphosphorylation of 4E-BP1, reduced the amount of 4E-BP1 associated with eIF4E and caused an increase in the eIF4G-eIF4E complex, together with a reduction in phosphorylation of eEF2. These changes would be expected to increase protein synthesis, whereas a reduction in the activation of PKR would be expected to attenuate the increased protein degradation.","DOI":"10.1042/BJ20070651","ISSN":"1470-8728","note":"PMID: 17623010","journalAbbreviation":"Biochem. J.","language":"eng","author":[{"family":"Eley","given":"Helen L"},{"family":"Russell","given":"Steven T"},{"family":"Tisdale","given":"Michael J"}],"issued":{"date-parts":[["2007",10,1]]},"PMID":"17623010"}}],"schema":"https://github.com/citation-style-language/schema/raw/master/csl-citation.json"} </w:instrText>
      </w:r>
      <w:r w:rsidR="00B37F75">
        <w:fldChar w:fldCharType="separate"/>
      </w:r>
      <w:r w:rsidR="000A492A" w:rsidRPr="000A492A">
        <w:rPr>
          <w:vertAlign w:val="superscript"/>
        </w:rPr>
        <w:t>371</w:t>
      </w:r>
      <w:r w:rsidR="00B37F75">
        <w:fldChar w:fldCharType="end"/>
      </w:r>
      <w:r w:rsidR="00C45CA9">
        <w:t xml:space="preserve">  This all provides evidence of leucine’s ability to stimulate muscle protein synthesis independent of insulin.  </w:t>
      </w:r>
      <w:r w:rsidR="00025B5D">
        <w:t xml:space="preserve">The relationship between leucine, insulin, glucose, and mTOR is shown in </w:t>
      </w:r>
      <w:r w:rsidR="00025B5D">
        <w:rPr>
          <w:color w:val="FF0000"/>
        </w:rPr>
        <w:t>Figure 11.</w:t>
      </w:r>
    </w:p>
    <w:p w:rsidR="00DC7C0D" w:rsidRDefault="00DC7C0D" w:rsidP="00373605">
      <w:pPr>
        <w:ind w:firstLine="720"/>
      </w:pPr>
      <w:r>
        <w:t xml:space="preserve">Leucine </w:t>
      </w:r>
      <w:r w:rsidR="00025B5D">
        <w:t xml:space="preserve">is </w:t>
      </w:r>
      <w:r>
        <w:t>also</w:t>
      </w:r>
      <w:r w:rsidR="00025B5D">
        <w:t xml:space="preserve"> able to maintain muscle mass via</w:t>
      </w:r>
      <w:r>
        <w:t xml:space="preserve"> an </w:t>
      </w:r>
      <w:r w:rsidR="00863D06">
        <w:t>a</w:t>
      </w:r>
      <w:r>
        <w:t>ntiproteolytic effect.</w:t>
      </w:r>
      <w:r w:rsidR="00D236F7">
        <w:t xml:space="preserve">  Under normal resting conditions, protein synthesis will decrease in skeletal muscle when fasting and will increase after a meal, but will net no change in total protein mass.</w:t>
      </w:r>
      <w:r w:rsidR="00FE2609">
        <w:fldChar w:fldCharType="begin"/>
      </w:r>
      <w:r w:rsidR="000A492A">
        <w:instrText xml:space="preserve"> ADDIN ZOTERO_ITEM CSL_CITATION {"citationID":"2aool2tttj","properties":{"formattedCitation":"{\\rtf \\super 372\\nosupersub{}}","plainCitation":"372"},"citationItems":[{"id":1761,"uris":["http://zotero.org/users/171999/items/X3A87AGG"],"uri":["http://zotero.org/users/171999/items/X3A87AGG"],"itemData":{"id":1761,"type":"article-journal","title":"A leucine-supplemented diet restores the defective postprandial inhibition of proteasome-dependent proteolysis in aged rat skeletal muscle","container-title":"The Journal of physiology","page":"489-499","volume":"569","issue":"Pt 2","source":"NCBI PubMed","abstract":"We tested the hypothesis that skeletal muscle ubiquitin-proteasome-dependent proteolysis is dysregulated in ageing in response to feeding. In Experiment 1 we measured rates of proteasome-dependent proteolysis in incubated muscles from 8- and 22-month-old rats, proteasome activities, and rates of ubiquitination, in the postprandial and postabsorptive states. Peptidase activities of the proteasome decreased in the postabsorptive state in 22-month-old rats compared with 8-month-old animals, while the rate of ubiquitination was not altered. Furthermore, the down-regulation of in vitro proteasome-dependent proteolysis that prevailed in the postprandial state in 8-month-old rats was defective in 22-month-old rats. Next, we tested the hypothesis that the ingestion of a 5% leucine-supplemented diet may correct this defect. Leucine supplementation restored the postprandial inhibition of in vitro proteasome-dependent proteolysis in 22-month-old animals, by down-regulating both rates of ubiquitination and proteasome activities. In Experiment 2, we verified that dietary leucine supplementation had long-lasting effects by comparing 8- and 22-month-old rats that were fed either a leucine-supplemented diet or an alanine-supplemented diet for 10 days. The inhibited in vitro proteolysis was maintained in the postprandial state in the 22-month-old rats fed the leucine-supplemented diet. Moreover, elevated mRNA levels for ubiquitin, 14-kDa ubiquitin-conjugating enzyme E2, and C2 and X subunits of the 20S proteasome that were characteristic of aged muscle were totally suppressed in 22-month-old animals chronically fed the leucine-supplemented diet, demonstrating an in vivo effect. Thus the defective postprandial down-regulation of in vitro proteasome-dependent proteolysis in 22-month-old rats was restored in animals chronically fed a leucine-supplemented diet.","DOI":"10.1113/jphysiol.2005.098004","ISSN":"0022-3751","note":"PMID: 16195315","journalAbbreviation":"J. Physiol. (Lond.)","language":"eng","author":[{"family":"Combaret","given":"Lydie"},{"family":"Dardevet","given":"Dominique"},{"family":"Rieu","given":"Isabelle"},{"family":"Pouch","given":"Marie-Noëlle"},{"family":"Béchet","given":"Daniel"},{"family":"Taillandier","given":"Daniel"},{"family":"Grizard","given":"Jean"},{"family":"Attaix","given":"Didier"}],"issued":{"date-parts":[["2005",12,1]]},"PMID":"16195315"}}],"schema":"https://github.com/citation-style-language/schema/raw/master/csl-citation.json"} </w:instrText>
      </w:r>
      <w:r w:rsidR="00FE2609">
        <w:fldChar w:fldCharType="separate"/>
      </w:r>
      <w:r w:rsidR="000A492A" w:rsidRPr="000A492A">
        <w:rPr>
          <w:vertAlign w:val="superscript"/>
        </w:rPr>
        <w:t>372</w:t>
      </w:r>
      <w:r w:rsidR="00FE2609">
        <w:fldChar w:fldCharType="end"/>
      </w:r>
      <w:r w:rsidR="00D236F7">
        <w:t xml:space="preserve">  </w:t>
      </w:r>
      <w:r w:rsidR="000E2C05">
        <w:t xml:space="preserve">The ubiquitin proteasome pathway acts to maintain net protein mass by initiating proteolysis.  </w:t>
      </w:r>
      <w:r w:rsidR="0013021C">
        <w:t>After mRNA translation, an ubiquitin protein will attach to a substrate protein in a series of steps requiring an ubiquitin activating enzyme</w:t>
      </w:r>
      <w:r w:rsidR="000E2C05">
        <w:t xml:space="preserve"> (E1)</w:t>
      </w:r>
      <w:r w:rsidR="0013021C">
        <w:t>, ubiquitin carrier protein</w:t>
      </w:r>
      <w:r w:rsidR="000E2C05">
        <w:t xml:space="preserve"> (E2)</w:t>
      </w:r>
      <w:r w:rsidR="0013021C">
        <w:t>, and ubiquitin protein ligase</w:t>
      </w:r>
      <w:r w:rsidR="000E2C05">
        <w:t xml:space="preserve"> (E3)</w:t>
      </w:r>
      <w:r w:rsidR="0013021C">
        <w:t>.</w:t>
      </w:r>
      <w:r w:rsidR="000E2C05">
        <w:t xml:space="preserve">  After four or more ubiquitins are attached in a chain, the 26S proteasome degrades the substrate protein into short peptides (</w:t>
      </w:r>
      <w:r w:rsidR="000E2C05" w:rsidRPr="00373605">
        <w:rPr>
          <w:color w:val="FF0000"/>
        </w:rPr>
        <w:t xml:space="preserve">Figure </w:t>
      </w:r>
      <w:r w:rsidR="00734882">
        <w:rPr>
          <w:color w:val="FF0000"/>
        </w:rPr>
        <w:t>12</w:t>
      </w:r>
      <w:r w:rsidR="000E2C05" w:rsidRPr="00373605">
        <w:rPr>
          <w:color w:val="FF0000"/>
        </w:rPr>
        <w:t>)</w:t>
      </w:r>
      <w:r w:rsidR="0013021C">
        <w:t>.</w:t>
      </w:r>
      <w:r w:rsidR="000E2C05">
        <w:fldChar w:fldCharType="begin"/>
      </w:r>
      <w:r w:rsidR="000A492A">
        <w:instrText xml:space="preserve"> ADDIN ZOTERO_ITEM CSL_CITATION {"citationID":"1c8eg4ktlv","properties":{"formattedCitation":"{\\rtf \\super 373\\nosupersub{}}","plainCitation":"373"},"citationItems":[{"id":1757,"uris":["http://zotero.org/users/171999/items/65I8I4ZH"],"uri":["http://zotero.org/users/171999/items/65I8I4ZH"],"itemData":{"id":1757,"type":"article-journal","title":"Proteolysis, the ubiquitin-proteasome system, and renal diseases","container-title":"American Journal of Physiology - Renal Physiology","page":"F1-F8","volume":"285","issue":"1","source":"ajprenal.physiology.org","abstract":"Protein degradation is a critical process for the growth and function of cells. Proteolysis eliminates abnormal proteins, controls many cellular regulatory processes, and supplies amino acids for cellular remodeling. When substrates of proteolytic pathways are poorly recognized or there is mistiming of proteolysis, profound changes in cell function can occur. Based on these potential problems, it is not surprising that alterations in proteolytic enzymes/cofactors or in the structure of protein substrates that render them more or less susceptible to degradation are responsible for disorders associated with kidney cell malfunctions. Multiple pathways exist for protein degradation. The best-described proteolytic system is the ubiquitin-proteasome pathway, which requires ATP and degrades the bulk of cellular and some membrane proteins. This review will survey examples of renal abnormalities that are associated with defective protein degradation involving the ubiquitin-proteasome pathway. Loss of muscle mass associated with chronic renal failure, von Hippel-Lindau disease, Liddle syndrome, and ischemic acute renal failure will be discussed. These examples are indicative of the diverse roles of the ubiquitin-proteasome system in renal-associated pathological conditions.","DOI":"10.1152/ajprenal.00244.2002","note":"Protein degradation is a critical process for the growth and function of cells. Proteolysis eliminates abnormal proteins, controls many cellular regulatory processes, and supplies amino acids for cellular remodeling. When substrates of proteolytic pathways are poorly recognized or there is mistiming of proteolysis, profound changes in cell function can occur. Based on these potential problems, it is not surprising that alterations in proteolytic enzymes/cofactors or in the structure of protein substrates that render them more or less susceptible to degradation are responsible for disorders associated with kidney cell malfunctions. Multiple pathways exist for protein degradation. The best-described proteolytic system is the ubiquitin-proteasome pathway, which requires ATP and degrades the bulk of cellular and some membrane proteins. This review will survey examples of renal abnormalities that are associated with defective protein degradation involving the ubiquitin-proteasome pathway. Loss of muscle mass associated with chronic renal failure, von Hippel-Lindau disease, Liddle syndrome, and ischemic acute renal failure will be discussed. These examples are indicative of the diverse roles of the ubiquitin-proteasome system in renal-associated pathological conditions.\nPMID: 12788783","language":"en","author":[{"family":"Debigaré","given":"Richard"},{"family":"Price","given":"S. Russ"}],"issued":{"date-parts":[["2003",7,1]]},"accessed":{"date-parts":[["2013",11,11]]},"PMID":"12788783"}}],"schema":"https://github.com/citation-style-language/schema/raw/master/csl-citation.json"} </w:instrText>
      </w:r>
      <w:r w:rsidR="000E2C05">
        <w:fldChar w:fldCharType="separate"/>
      </w:r>
      <w:r w:rsidR="000A492A" w:rsidRPr="000A492A">
        <w:rPr>
          <w:vertAlign w:val="superscript"/>
        </w:rPr>
        <w:t>373</w:t>
      </w:r>
      <w:r w:rsidR="000E2C05">
        <w:fldChar w:fldCharType="end"/>
      </w:r>
      <w:r w:rsidR="0013021C">
        <w:t xml:space="preserve">  </w:t>
      </w:r>
      <w:r w:rsidR="00D236F7">
        <w:t xml:space="preserve">When chronically administered over 10 days, </w:t>
      </w:r>
      <w:r w:rsidR="00E51812">
        <w:t>leucine supplemented diets (5% of diet, ~0.7 g/kg/day) were associated with down regulated ubiquination and proteasome activity in rats.</w:t>
      </w:r>
      <w:r w:rsidR="00E51812">
        <w:fldChar w:fldCharType="begin"/>
      </w:r>
      <w:r w:rsidR="000A492A">
        <w:instrText xml:space="preserve"> ADDIN ZOTERO_ITEM CSL_CITATION {"citationID":"zDzXS5ij","properties":{"formattedCitation":"{\\rtf \\super 372,374\\nosupersub{}}","plainCitation":"372,374"},"citationItems":[{"id":1761,"uris":["http://zotero.org/users/171999/items/X3A87AGG"],"uri":["http://zotero.org/users/171999/items/X3A87AGG"],"itemData":{"id":1761,"type":"article-journal","title":"A leucine-supplemented diet restores the defective postprandial inhibition of proteasome-dependent proteolysis in aged rat skeletal muscle","container-title":"The Journal of physiology","page":"489-499","volume":"569","issue":"Pt 2","source":"NCBI PubMed","abstract":"We tested the hypothesis that skeletal muscle ubiquitin-proteasome-dependent proteolysis is dysregulated in ageing in response to feeding. In Experiment 1 we measured rates of proteasome-dependent proteolysis in incubated muscles from 8- and 22-month-old rats, proteasome activities, and rates of ubiquitination, in the postprandial and postabsorptive states. Peptidase activities of the proteasome decreased in the postabsorptive state in 22-month-old rats compared with 8-month-old animals, while the rate of ubiquitination was not altered. Furthermore, the down-regulation of in vitro proteasome-dependent proteolysis that prevailed in the postprandial state in 8-month-old rats was defective in 22-month-old rats. Next, we tested the hypothesis that the ingestion of a 5% leucine-supplemented diet may correct this defect. Leucine supplementation restored the postprandial inhibition of in vitro proteasome-dependent proteolysis in 22-month-old animals, by down-regulating both rates of ubiquitination and proteasome activities. In Experiment 2, we verified that dietary leucine supplementation had long-lasting effects by comparing 8- and 22-month-old rats that were fed either a leucine-supplemented diet or an alanine-supplemented diet for 10 days. The inhibited in vitro proteolysis was maintained in the postprandial state in the 22-month-old rats fed the leucine-supplemented diet. Moreover, elevated mRNA levels for ubiquitin, 14-kDa ubiquitin-conjugating enzyme E2, and C2 and X subunits of the 20S proteasome that were characteristic of aged muscle were totally suppressed in 22-month-old animals chronically fed the leucine-supplemented diet, demonstrating an in vivo effect. Thus the defective postprandial down-regulation of in vitro proteasome-dependent proteolysis in 22-month-old rats was restored in animals chronically fed a leucine-supplemented diet.","DOI":"10.1113/jphysiol.2005.098004","ISSN":"0022-3751","note":"PMID: 16195315","journalAbbreviation":"J. Physiol. (Lond.)","language":"eng","author":[{"family":"Combaret","given":"Lydie"},{"family":"Dardevet","given":"Dominique"},{"family":"Rieu","given":"Isabelle"},{"family":"Pouch","given":"Marie-Noëlle"},{"family":"Béchet","given":"Daniel"},{"family":"Taillandier","given":"Daniel"},{"family":"Grizard","given":"Jean"},{"family":"Attaix","given":"Didier"}],"issued":{"date-parts":[["2005",12,1]]},"PMID":"16195315"}},{"id":1740,"uris":["http://zotero.org/users/171999/items/KS66TX9T"],"uri":["http://zotero.org/users/171999/items/KS66TX9T"],"itemData":{"id":1740,"type":"article-journal","title":"Potential antiproteolytic effects of L-leucine: observations of in vitro and in vivo studies","container-title":"Nutrition &amp; metabolism","page":"20","volume":"5","source":"NCBI PubMed","abstract":"The purpose of present review is to describe the effect of leucine supplementation on skeletal muscle proteolysis suppression in both in vivo and in vitro studies. Most studies, using in vitro methodology, incubated skeletal muscles with leucine with different doses and the results suggests that there is a dose-dependent effect. The same responses can be observed in in vivo studies. Importantly, the leucine effects on skeletal muscle protein synthesis are not always connected to the inhibition of skeletal muscle proteolysis. As a matter of fact, high doses of leucine incubation can promote suppression of muscle proteolysis without additional effects on protein synthesis, and low leucine doses improve skeletal muscle protein ynthesis but have no effect on skeletal muscle proteolysis. These research findings may have an important clinical relevancy, because muscle loss in atrophic states would be reversed by specific leucine supplementation doses. Additionally, it has been clearly demonstrated that leucine administration suppresses skeletal muscle proteolysis in various catabolic states. Thus, if protein metabolism changes during different atrophic conditions, it is not surprising that the leucine dose-effect relationship must also change, according to atrophy or pathological state and catabolism magnitude. In conclusion, leucine has a potential role on attenuate skeletal muscle proteolysis. Future studies will help to sharpen the leucine efficacy on skeletal muscle protein degradation during several atrophic states.","DOI":"10.1186/1743-7075-5-20","ISSN":"1743-7075","note":"PMID: 18637185","shortTitle":"Potential antiproteolytic effects of L-leucine","journalAbbreviation":"Nutr Metab (Lond)","language":"eng","author":[{"family":"Zanchi","given":"Nelo E"},{"family":"Nicastro","given":"Humberto"},{"family":"Lancha","given":"Antonio H, Jr"}],"issued":{"date-parts":[["2008"]]},"PMID":"18637185"}}],"schema":"https://github.com/citation-style-language/schema/raw/master/csl-citation.json"} </w:instrText>
      </w:r>
      <w:r w:rsidR="00E51812">
        <w:fldChar w:fldCharType="separate"/>
      </w:r>
      <w:r w:rsidR="000A492A" w:rsidRPr="000A492A">
        <w:rPr>
          <w:vertAlign w:val="superscript"/>
        </w:rPr>
        <w:t>372,374</w:t>
      </w:r>
      <w:r w:rsidR="00E51812">
        <w:fldChar w:fldCharType="end"/>
      </w:r>
      <w:r w:rsidR="00E51812">
        <w:t xml:space="preserve">  </w:t>
      </w:r>
      <w:r w:rsidR="00374F09">
        <w:t xml:space="preserve">When given to tumor bearing cachectic rats, leucine (3% of diet) over 20 days reduced protein </w:t>
      </w:r>
      <w:r w:rsidR="00113A23">
        <w:t>degradation</w:t>
      </w:r>
      <w:r w:rsidR="00374F09">
        <w:t xml:space="preserve"> compared to control rats.</w:t>
      </w:r>
      <w:r w:rsidR="00374F09">
        <w:fldChar w:fldCharType="begin"/>
      </w:r>
      <w:r w:rsidR="000A492A">
        <w:instrText xml:space="preserve"> ADDIN ZOTERO_ITEM CSL_CITATION {"citationID":"1l06jnpv9f","properties":{"formattedCitation":"{\\rtf \\super 375\\nosupersub{}}","plainCitation":"375"},"citationItems":[{"id":1763,"uris":["http://zotero.org/users/171999/items/P5XVG9UH"],"uri":["http://zotero.org/users/171999/items/P5XVG9UH"],"itemData":{"id":1763,"type":"article-journal","title":"Proteasome activity is altered in skeletal muscle tissue of tumour-bearing rats a leucine-rich diet","container-title":"Endocrine-related cancer","page":"887-895","volume":"11","issue":"4","source":"NCBI PubMed","abstract":"Leucine can modulate skeletal muscle metabolism by enhancing protein synthesis and decreasing proteolysis. In this study, we investigated the effects of leucine on the ubiquitin-proteasome system in skeletal muscle of pregnant tumour-bearing rats fed a leucine-rich diet. Pregnant Wistar rats were distributed into three groups that were fed a semi-purified control diet (C, control; W, Walker tumour-bearing; P, pair-fed) and three other groups of pregnant rats fed a semi-purified leucine-rich diet (L, leucine; WL, Walker tumour-bearing; PL, pair-fed). The tumour-bearing rats were injected subcutaneously with a suspension of Walker 256 tumour cells. Protein synthesis and degradation were measured in gastrocnemius muscle; the total protein content and tissue chymotrypsin-like and alkaline phosphatase enzyme activities were also determined. Muscle protein extracts were run on SDS-PAGE to assess the expression of the myosin heavy chain (MHC), 20S alpha proteasome subunit, 19S MSSI ATPase regulator subunit and 11S alpha subunit. Although tumour growth decreased the incorporation of [3H]-Phe, the concomitant feeding of a leucine-rich diet increased the rate of protein synthesis. Muscle proteolysis in both tumour-bearing groups was increased more than in the respective control groups. Conversely, the leucine-rich diet caused less protein breakdown in the WL group than in the W group. Only the W group showed a significant reduction (71%) in the myosin content. In WL rats, the 20S proteasome content (32 kDa band) was reduced, while the expression of the 19S subunit was 3-fold less than in the W group and the 11S proteasome subunit reduced, to around 32% less than in the W group. These findings clearly indicate that leucine can stimulate protein synthesis and inhibit protein breakdown in pregnant rats, probably by modulating the activation of the ubiquitin-proteasome system during tumour growth.","DOI":"10.1677/erc.1.00828","ISSN":"1351-0088","note":"PMID: 15613461","journalAbbreviation":"Endocr. Relat. Cancer","language":"eng","author":[{"family":"Ventrucci","given":"G"},{"family":"Mello","given":"M A R"},{"family":"Gomes-Marcondes","given":"M C C"}],"issued":{"date-parts":[["2004",12]]},"PMID":"15613461"}}],"schema":"https://github.com/citation-style-language/schema/raw/master/csl-citation.json"} </w:instrText>
      </w:r>
      <w:r w:rsidR="00374F09">
        <w:fldChar w:fldCharType="separate"/>
      </w:r>
      <w:r w:rsidR="000A492A" w:rsidRPr="000A492A">
        <w:rPr>
          <w:vertAlign w:val="superscript"/>
        </w:rPr>
        <w:t>375</w:t>
      </w:r>
      <w:r w:rsidR="00374F09">
        <w:fldChar w:fldCharType="end"/>
      </w:r>
      <w:r w:rsidR="00374F09">
        <w:t xml:space="preserve">  </w:t>
      </w:r>
      <w:r w:rsidR="00B37F75">
        <w:t xml:space="preserve">A </w:t>
      </w:r>
      <w:proofErr w:type="gramStart"/>
      <w:r w:rsidR="00B37F75">
        <w:t>review</w:t>
      </w:r>
      <w:proofErr w:type="gramEnd"/>
      <w:r w:rsidR="00B37F75">
        <w:t xml:space="preserve"> by Zanchi et al identified two studies in people resulting in proteolysis inhibition without increased protein synthesis, and one study resulting in increased protein synthesis without inhibition of proteolysis.  This data, along with all of the rodent research reviewed, led the authors to conclude varying results are most likely related to leucine dose and methodology difference</w:t>
      </w:r>
      <w:r w:rsidR="00025B5D">
        <w:t>s</w:t>
      </w:r>
      <w:r w:rsidR="00B37F75">
        <w:t xml:space="preserve"> related to proteolysis quantification.</w:t>
      </w:r>
      <w:r w:rsidR="00B37F75">
        <w:fldChar w:fldCharType="begin"/>
      </w:r>
      <w:r w:rsidR="000A492A">
        <w:instrText xml:space="preserve"> ADDIN ZOTERO_ITEM CSL_CITATION {"citationID":"866sjvrc3","properties":{"formattedCitation":"{\\rtf \\super 374\\nosupersub{}}","plainCitation":"374"},"citationItems":[{"id":1740,"uris":["http://zotero.org/users/171999/items/KS66TX9T"],"uri":["http://zotero.org/users/171999/items/KS66TX9T"],"itemData":{"id":1740,"type":"article-journal","title":"Potential antiproteolytic effects of L-leucine: observations of in vitro and in vivo studies","container-title":"Nutrition &amp; metabolism","page":"20","volume":"5","source":"NCBI PubMed","abstract":"The purpose of present review is to describe the effect of leucine supplementation on skeletal muscle proteolysis suppression in both in vivo and in vitro studies. Most studies, using in vitro methodology, incubated skeletal muscles with leucine with different doses and the results suggests that there is a dose-dependent effect. The same responses can be observed in in vivo studies. Importantly, the leucine effects on skeletal muscle protein synthesis are not always connected to the inhibition of skeletal muscle proteolysis. As a matter of fact, high doses of leucine incubation can promote suppression of muscle proteolysis without additional effects on protein synthesis, and low leucine doses improve skeletal muscle protein ynthesis but have no effect on skeletal muscle proteolysis. These research findings may have an important clinical relevancy, because muscle loss in atrophic states would be reversed by specific leucine supplementation doses. Additionally, it has been clearly demonstrated that leucine administration suppresses skeletal muscle proteolysis in various catabolic states. Thus, if protein metabolism changes during different atrophic conditions, it is not surprising that the leucine dose-effect relationship must also change, according to atrophy or pathological state and catabolism magnitude. In conclusion, leucine has a potential role on attenuate skeletal muscle proteolysis. Future studies will help to sharpen the leucine efficacy on skeletal muscle protein degradation during several atrophic states.","DOI":"10.1186/1743-7075-5-20","ISSN":"1743-7075","note":"PMID: 18637185","shortTitle":"Potential antiproteolytic effects of L-leucine","journalAbbreviation":"Nutr Metab (Lond)","language":"eng","author":[{"family":"Zanchi","given":"Nelo E"},{"family":"Nicastro","given":"Humberto"},{"family":"Lancha","given":"Antonio H, Jr"}],"issued":{"date-parts":[["2008"]]},"PMID":"18637185"}}],"schema":"https://github.com/citation-style-language/schema/raw/master/csl-citation.json"} </w:instrText>
      </w:r>
      <w:r w:rsidR="00B37F75">
        <w:fldChar w:fldCharType="separate"/>
      </w:r>
      <w:r w:rsidR="000A492A" w:rsidRPr="000A492A">
        <w:rPr>
          <w:vertAlign w:val="superscript"/>
        </w:rPr>
        <w:t>374</w:t>
      </w:r>
      <w:r w:rsidR="00B37F75">
        <w:fldChar w:fldCharType="end"/>
      </w:r>
    </w:p>
    <w:p w:rsidR="00D8733D" w:rsidRDefault="000235E8" w:rsidP="006835C8">
      <w:pPr>
        <w:ind w:firstLine="720"/>
      </w:pPr>
      <w:r>
        <w:t xml:space="preserve">Evidence supporting leucine’s role in thermogenesis has been shown in multiple </w:t>
      </w:r>
      <w:r w:rsidR="00644CFF">
        <w:fldChar w:fldCharType="begin"/>
      </w:r>
      <w:r w:rsidR="000A492A">
        <w:instrText xml:space="preserve"> ADDIN ZOTERO_ITEM CSL_CITATION {"citationID":"qipe3a9oh","properties":{"formattedCitation":"{\\rtf \\super 376\\nosupersub{}}","plainCitation":"376"},"citationItems":[{"id":1794,"uris":["http://zotero.org/users/171999/items/QGGX3UT2"],"uri":["http://zotero.org/users/171999/items/QGGX3UT2"],"itemData":{"id":1794,"type":"article-journal","title":"A central role for neuronal AMP-activated protein kinase (AMPK) and mammalian target of rapamycin (mTOR) in high-protein diet-induced weight loss","container-title":"Diabetes","page":"594-605","volume":"57","issue":"3","source":"NCBI PubMed","abstract":"OBJECTIVE: A high-protein diet (HPD) is known to promote the reduction of body fat, but the mechanisms underlying this change are unclear. AMP-activated protein kinase (AMPK) and mammalian target of rapamycin (mTOR) function as majors regulators of cellular metabolism that respond to changes in energy status, and recent data demonstrated that they also play a critical role in systemic energy balance. Here, we sought to determine whether the response of the AMPK and mTOR pathways could contribute to the molecular effects of an HPD.\nRESEARCH DESIGN AND METHODS: Western blotting, confocal microscopy, chromatography, light microscopy, and RT-PCR assays were combined to explore the anorexigenic effects of an HPD.\nRESULTS: An HPD reduced food intake and induced weight loss in both normal rats and ob/ob mice. The intracerebroventricular administration of leucine reduced food intake, and the magnitude of weight loss and reduction of food intake in a leucine-supplemented diet are similar to that achieved by HPD in normal rats and in ob/ob mice, suggesting that leucine is a major component of the effects of an HPD. Leucine and HPD decrease AMPK and increase mTOR activity in the hypothalamus, leading to inhibition of neuropeptide Y and stimulation of pro-opiomelanocortin expression. Consistent with a cross-regulation between AMPK and mTOR to control food intake, our data show that the activation of these enzymes occurs in the same specific neuronal subtypes.\nCONCLUSIONS: These findings provide support for the hypothesis that AMPK and mTOR interact in the hypothalamus to regulate feeding during HPD in a leucine-dependent manner.","DOI":"10.2337/db07-0573","ISSN":"1939-327X","note":"PMID: 18057094","journalAbbreviation":"Diabetes","language":"eng","author":[{"family":"Ropelle","given":"Eduardo R"},{"family":"Pauli","given":"José R"},{"family":"Fernandes","given":"Maria Fernanda A"},{"family":"Rocco","given":"Silvana A"},{"family":"Marin","given":"Rodrigo M"},{"family":"Morari","given":"Joseane"},{"family":"Souza","given":"Kellen K"},{"family":"Dias","given":"Marília M"},{"family":"Gomes-Marcondes","given":"Maria C"},{"family":"Gontijo","given":"José A R"},{"family":"Franchini","given":"Kleber G"},{"family":"Velloso","given":"Lício A"},{"family":"Saad","given":"Mario J A"},{"family":"Carvalheira","given":"José B C"}],"issued":{"date-parts":[["2008",3]]},"PMID":"18057094"}}],"schema":"https://github.com/citation-style-language/schema/raw/master/csl-citation.json"} </w:instrText>
      </w:r>
      <w:r w:rsidR="00644CFF">
        <w:fldChar w:fldCharType="separate"/>
      </w:r>
      <w:r w:rsidR="000A492A" w:rsidRPr="000A492A">
        <w:rPr>
          <w:vertAlign w:val="superscript"/>
        </w:rPr>
        <w:t>376</w:t>
      </w:r>
      <w:r w:rsidR="00644CFF">
        <w:fldChar w:fldCharType="end"/>
      </w:r>
      <w:r>
        <w:t>studies in which uncoupling protein expression increased.</w:t>
      </w:r>
      <w:r>
        <w:fldChar w:fldCharType="begin"/>
      </w:r>
      <w:r w:rsidR="000A492A">
        <w:instrText xml:space="preserve"> ADDIN ZOTERO_ITEM CSL_CITATION {"citationID":"166jn5cr4n","properties":{"formattedCitation":"{\\rtf \\super 348,349,351,355\\nosupersub{}}","plainCitation":"348,349,351,355"},"citationItems":[{"id":1778,"uris":["http://zotero.org/users/171999/items/HW346HK8"],"uri":["http://zotero.org/users/171999/items/HW346HK8"],"itemData":{"id":1778,"type":"article-journal","title":"Effects of dairy consumption on SIRT1 and mitochondrial biogenesis in adipocytes and muscle cells","container-title":"Nutrition &amp; metabolism","page":"91","volume":"8","source":"NCBI PubMed","abstract":"BACKGROUND: Recent data from this laboratory suggest that components of dairy foods may serve as activators of SIRT1 (Silent Information Regulator Transcript 1), and thereby participate in regulation of glucose and lipid metabolism. In this study, an ex-vivo/in-vitro approach was used to examine the integrated effects of dairy diets on SIRT1 activation in two key target tissues (adipose and muscle tissue).\nMETHODS: Serum from overweight and obese subjects fed low or high dairy diets for 28 days was added to culture medium (similar to conditioned media) to treat cultured adipocytes and muscle cells for 48 hours.\nRESULTS: Treatment with high dairy group conditioned media resulted in 40% increased SIRT1 gene expression in both tissues (p &lt; 0.01) and 13% increased enzyme activity in adipose tissue compared to baseline. This was associated with increased gene expression of peroxisome proliferator-activated receptor-gamma coactivator 1 alpha (PGC-1α), nuclear respiratory factor 1 (NRF1), cytochrome oxidase c subunit 7 (Cox 7), NADH dehydrogenase and uncoupling protein 2 (UCP2) in adipocytes as well as uncoupling protein 3 (UCP3), NRF1 and Cox 7 in muscle cells (p &lt; 0.05). Further, direct incubation of physiological concentrations of leucine and its metabolites α-Ketoisocaproic acid (KIC) and β-hydroxy-methylbuteric acid (HMB) with recombinant human SIRT1 enzyme resulted in 30 to 50% increase of SIRT1 activity (p &lt; 0.05).\nCONCLUSIONS: These data indicate that dairy consumption leads to systemic effects, which may promote mitochondrial biogenesis in key target tissues such as muscle and adipose tissue both by direct activation of SIRT1 as well as by SIRT1-independent pathways.","DOI":"10.1186/1743-7075-8-91","ISSN":"1743-7075","note":"PMID: 22185590","journalAbbreviation":"Nutr Metab (Lond)","language":"eng","author":[{"family":"Bruckbauer","given":"Antje"},{"family":"Zemel","given":"Michael B"}],"issued":{"date-parts":[["2011"]]},"PMID":"22185590"}},{"id":1693,"uris":["http://zotero.org/users/171999/items/7S98DPBI"],"uri":["http://zotero.org/users/171999/items/7S98DPBI"],"itemData":{"id":1693,"type":"article-journal","title":"Leucine and calcium regulate fat metabolism and energy partitioning in murine adipocytes and muscle cells","container-title":"Lipids","page":"297-305","volume":"42","issue":"4","source":"NCBI PubMed","abstract":"Dietary calcium modulation of adiposity is mediated, in part, by suppression of calcitriol, while the additional effect of dairy products is mediated by additional components; these include the high concentration of leucine, a key factor in the regulation of muscle protein turnover. We investigated the effect of leucine, calcitriol and calcium on energy metabolism in murine adipocytes and muscle cells and on energy partitioning between adipocytes and skeletal muscle. Leucine induced a marked increase in fatty acid oxidation in C2C12 muscle cells (P&lt;0.001) and decreased FAS expression by 66% (P&lt;0.001) in 3T3-L1 adipocytes. Calcitriol decreased muscle cell fatty acid oxidation by 37% (P&lt;0.001) and increased adipocyte FAS gene expression by threefold (P&lt;0.05); these effects were partially reversed by either leucine or calcium channel antagonism with nifedipine. Co-culture of muscle cells with adipocytes or incubation with 48-h adipocyte conditioned medium decreased muscle fatty acid oxidation by 62% (P&lt;0.001), but treating adipocytes with leucine and/or nifedipine attenuated this effect. Leucine, nifedipine and calcitriol also modulated adiponectin production and thereby exerted additional indirect effects on fatty acid oxidation in C2C12 myotubes. Adiponectin increased IL-15 and IL-6 release by myotubes and partially reversed the inhibitory effects of calcitriol. Comparable effects of leucine, calcitriol and adiponectin were found in myotubes treated with conditioned medium derived from adipocytes or co-cultured with adipocytes. These data suggest that leucine and nifedipine promote energy partitioning from adipocytes to muscle cells, resulting in decreased energy storage in adipocytes and increasing fatty acid utilization in muscle.","DOI":"10.1007/s11745-007-3029-5","ISSN":"0024-4201","note":"PMID: 17406924","journalAbbreviation":"Lipids","language":"eng","author":[{"family":"Sun","given":"Xiaocun"},{"family":"Zemel","given":"Michael B"}],"issued":{"date-parts":[["2007",4]]},"PMID":"17406924"}},{"id":1695,"uris":["http://zotero.org/users/171999/items/RCRVB9BJ"],"uri":["http://zotero.org/users/171999/items/RCRVB9BJ"],"itemData":{"id":1695,"type":"article-journal","title":"Leucine modulation of mitochondrial mass and oxygen consumption in skeletal muscle cells and adipocytes","container-title":"Nutrition &amp; metabolism","page":"26","volume":"6","source":"NCBI PubMed","abstract":"BACKGROUND: The effects of dairy on energy metabolism appear to be mediated, in part, by leucine and calcium which regulate both adipocyte and skeletal muscle energy metabolism. We recently demonstrated that leucine and calcitriol regulate fatty acid oxidation in skeletal muscle cells in vitro, with leucine promoting and calcitriol suppressing fatty acid oxidation. Moreover, leucine coordinately regulated adipocyte lipid metabolism to promote flux of lipid to skeletal muscle and regulate metabolic flexibility. We have now investigated the role of mitochondrial biogenesis in mediating these effects.\nMETHODS: We tested the effect of leucine, calcitriol and calcium in regulation of mitochondrial mass using a fluorescence method and tested mitochondrial biogenesis regulatory genes as well mitochondrial component genes using real-time PCR. We also evaluated the effect of leucine on oxygen consumption with a modified perfusion system.\nRESULTS: Leucine (0.5 mM) increased mitochondrial mass by 30% and 53% in C2C12 myocytes and 3T3-L1 adipocytes, respectively, while calcitriol (10 nM) decreased mitochondrial abundance by 37% and 27% (p &lt; 0.02). Leucine also stimulated mitochondrial biogenesis genes SIRT-1, PGC-1alpha and NRF-1 as well as mitochondrial component genes UCP3, COX, and NADH expression by 3-5 fold in C2C12 cells (p &lt; 0.003). Adipocyte-conditioned medium reduced mitochondrial abundance (p &lt; 0.001) and decreased UCP3 but increased PGC-1alpha expression in myocytes, suggesting a feedback stimulation of mitochondrial biogenesis. Similar data were observed in C2C12 myocytes co-cultured with adipocytes, with co-culture markedly suppressing mitochondrial abundance (p &lt; 0.02). Leucine stimulated oxygen consumption in both C2C12 cells and adipocytes compared with either control or valine-treated cells. Transfection of C2C12 myocytes with SIRT-1 siRNA resulted in parallel suppression of SIRT-1 expression and leucine-induced stimulation of PGC-1alpha and NRF-1, indicating that SIRT-1 mediates leucine induced mitochondrial biogenesis in muscle cells.\nCONCLUSION: These data suggest that leucine and calcitriol modulation of muscle and adipocyte energy metabolism is mediated, in part, by mitochondrial biogenesis.","DOI":"10.1186/1743-7075-6-26","ISSN":"1743-7075","note":"PMID: 19500359","journalAbbreviation":"Nutr Metab (Lond)","language":"eng","author":[{"family":"Sun","given":"Xiaocun"},{"family":"Zemel","given":"Michael B"}],"issued":{"date-parts":[["2009"]]},"PMID":"19500359"}},{"id":1701,"uris":["http://zotero.org/users/171999/items/GM59NI4T"],"uri":["http://zotero.org/users/171999/items/GM59NI4T"],"itemData":{"id":1701,"type":"article-journal","title":"Increasing dietary leucine intake reduces diet-induced obesity and improves glucose and cholesterol metabolism in mice via multimechanisms","container-title":"Diabetes","page":"1647-1654","volume":"56","issue":"6","source":"NCBI PubMed","abstract":"Leucine, as an essential amino acid and activator of mTOR (mammalian target of rapamycin), promotes protein synthesis and suppresses protein catabolism. However, the effect of leucine on overall glucose and energy metabolism remains unclear, and whether leucine has beneficial effects as a long-term dietary supplement has not been examined. In the present study, we doubled dietary leucine intake via leucine-containing drinking water in mice with free excess to either a rodent chow or a high-fat diet (HFD). While it produced no major metabolic effects in chow-fed mice, increasing leucine intake resulted in up to 32% reduction of weight gain (P &lt; 0.05) and a 25% decrease in adiposity (P &lt; 0.01) in HFD-fed mice. The reduction of adiposity resulted from increased resting energy expenditure associated with increased expression of uncoupling protein 3 in brown and white adipose tissues and in skeletal muscle, while food intake was not decreased. Increasing leucine intake also prevented HFD-induced hyperglycemia, which was associated with improved insulin sensitivity, decreased plasma concentrations of glucagon and glucogenic amino acids, and downregulation of hepatic glucose-6-phosphatase. Additionally, plasma levels of total and LDL cholesterol were decreased by 27% (P &lt; 0.001) and 53% (P &lt; 0.001), respectively, in leucine supplemented HFD-fed mice compared with the control mice fed the same diet. The reduction in cholesterol levels was largely independent of leucine-induced changes in adiposity. In conclusion, increases in dietary leucine intake substantially decrease diet-induced obesity, hyperglycemia, and hypercholesterolemia in mice with ad libitum consumption of HFD likely via multiple mechanisms.","DOI":"10.2337/db07-0123","ISSN":"1939-327X","note":"PMID: 17360978","journalAbbreviation":"Diabetes","language":"eng","author":[{"family":"Zhang","given":"Yiying"},{"family":"Guo","given":"Kaiying"},{"family":"LeBlanc","given":"Robert E"},{"family":"Loh","given":"Daniella"},{"family":"Schwartz","given":"Gary J"},{"family":"Yu","given":"Yi-Hao"}],"issued":{"date-parts":[["2007",6]]},"PMID":"17360978"}}],"schema":"https://github.com/citation-style-language/schema/raw/master/csl-citation.json"} </w:instrText>
      </w:r>
      <w:r>
        <w:fldChar w:fldCharType="separate"/>
      </w:r>
      <w:r w:rsidR="000A492A" w:rsidRPr="000A492A">
        <w:rPr>
          <w:vertAlign w:val="superscript"/>
        </w:rPr>
        <w:t>348,349,351,355</w:t>
      </w:r>
      <w:r>
        <w:fldChar w:fldCharType="end"/>
      </w:r>
      <w:r w:rsidR="00283D25">
        <w:t xml:space="preserve">  The resulting uncoupling process generates heat and increases energy expenditure.</w:t>
      </w:r>
      <w:r w:rsidR="00283D25">
        <w:fldChar w:fldCharType="begin"/>
      </w:r>
      <w:r w:rsidR="000A492A">
        <w:instrText xml:space="preserve"> ADDIN ZOTERO_ITEM CSL_CITATION {"citationID":"nGS4TYTl","properties":{"formattedCitation":"{\\rtf \\super 183,377\\nosupersub{}}","plainCitation":"183,377"},"citationItems":[{"id":1405,"uris":["http://zotero.org/users/171999/items/XIDBCXJU"],"uri":["http://zotero.org/users/171999/items/XIDBCXJU"],"itemData":{"id":1405,"type":"article-journal","title":"The on-off switches of the mitochondrial uncoupling proteins","container-title":"Trends in biochemical sciences","page":"298-307","volume":"35","issue":"5","source":"NCBI PubMed","abstract":"Mitochondrial uncoupling proteins disengage substrate oxidation from ADP phosphorylation by dissipating the proton electrochemical gradient that is required for ATP synthesis. In doing this, the archetypal uncoupling protein, UCP1, mediates adaptive thermogenesis. By contrast, its paralogues UCP2 and UCP3 are not thought to mediate whole body thermogenesis in mammals. Instead, they have been implicated in a variety of physiological and pathological processes, including protection from oxidative stress, negative regulation of glucose sensing systems and the adaptation of fatty acid oxidation capacity to starving. Although much work has been devoted to how these proteins are activated, little is known of the mechanisms that reverse this activation.","DOI":"10.1016/j.tibs.2009.11.001","ISSN":"0968-0004","note":"PMID: 20006514","journalAbbreviation":"Trends Biochem. Sci.","language":"eng","author":[{"family":"Azzu","given":"Vian"},{"family":"Brand","given":"Martin D"}],"issued":{"date-parts":[["2010",5]]},"PMID":"20006514"}},{"id":1792,"uris":["http://zotero.org/users/171999/items/DSKJINN9"],"uri":["http://zotero.org/users/171999/items/DSKJINN9"],"itemData":{"id":1792,"type":"article-journal","title":"Impact of leucine on energy balance","container-title":"Journal of physiology and biochemistry","page":"155-163","volume":"69","issue":"1","source":"NCBI PubMed","abstract":"Body weight is determined by the balance between energy intake and energy expenditure. When energy intake exceeds energy expenditure, the surplus energy is stored as fat in the adipose tissue, which causes its expansion and may even lead to the development of obesity. Thus, there is a growing interest to develop dietary interventions that could reduce the current obesity epidemic. In this regard, data from a number of in vivo and in vitro studies suggest that the branched-chain amino acid leucine influences energy balance. However, this has not been consistently reported. Here, we review the literature related to the effects of leucine on energy intake, energy expenditure and lipid metabolism as well as its effects on the cellular activity in the brain (hypothalamus) and in peripheral tissues (gastro-intestinal tract, adipose tissue, liver and muscle) regulating the above physiological processes. Moreover, we discuss how obesity may influence the actions of this amino acid.","DOI":"10.1007/s13105-012-0170-2","ISSN":"1877-8755","note":"PMID: 22535285","journalAbbreviation":"J. Physiol. Biochem.","language":"eng","author":[{"family":"McAllan","given":"Liam"},{"family":"Cotter","given":"Paul D"},{"family":"Roche","given":"Helen M"},{"family":"Korpela","given":"Riitta"},{"family":"Nilaweera","given":"Kanishka N"}],"issued":{"date-parts":[["2013",3]]},"PMID":"22535285"}}],"schema":"https://github.com/citation-style-language/schema/raw/master/csl-citation.json"} </w:instrText>
      </w:r>
      <w:r w:rsidR="00283D25">
        <w:fldChar w:fldCharType="separate"/>
      </w:r>
      <w:r w:rsidR="000A492A" w:rsidRPr="000A492A">
        <w:rPr>
          <w:vertAlign w:val="superscript"/>
        </w:rPr>
        <w:t>183,377</w:t>
      </w:r>
      <w:r w:rsidR="00283D25">
        <w:fldChar w:fldCharType="end"/>
      </w:r>
      <w:r w:rsidR="001560AB">
        <w:t xml:space="preserve">  </w:t>
      </w:r>
      <w:r w:rsidR="002A242F">
        <w:t xml:space="preserve">In mice fed a high fat diet (HFD) </w:t>
      </w:r>
      <w:r w:rsidR="002A242F">
        <w:rPr>
          <w:i/>
        </w:rPr>
        <w:t>ad libitum</w:t>
      </w:r>
      <w:r w:rsidR="002A242F">
        <w:t xml:space="preserve"> and consuming leucine via drinking water, increased energy consumption (measured as </w:t>
      </w:r>
      <w:r w:rsidR="00D22EBF">
        <w:t>oxygen consumption, VO</w:t>
      </w:r>
      <w:r w:rsidR="00D22EBF">
        <w:rPr>
          <w:vertAlign w:val="subscript"/>
        </w:rPr>
        <w:t>2</w:t>
      </w:r>
      <w:r w:rsidR="00D22EBF">
        <w:t>) was higher</w:t>
      </w:r>
      <w:r w:rsidR="002A242F">
        <w:t xml:space="preserve"> compared to HFD without leucine.</w:t>
      </w:r>
      <w:r w:rsidR="002A242F">
        <w:fldChar w:fldCharType="begin"/>
      </w:r>
      <w:r w:rsidR="000A492A">
        <w:instrText xml:space="preserve"> ADDIN ZOTERO_ITEM CSL_CITATION {"citationID":"8by3Hk6t","properties":{"formattedCitation":"{\\rtf \\super 351\\nosupersub{}}","plainCitation":"351"},"citationItems":[{"id":1701,"uris":["http://zotero.org/users/171999/items/GM59NI4T"],"uri":["http://zotero.org/users/171999/items/GM59NI4T"],"itemData":{"id":1701,"type":"article-journal","title":"Increasing dietary leucine intake reduces diet-induced obesity and improves glucose and cholesterol metabolism in mice via multimechanisms","container-title":"Diabetes","page":"1647-1654","volume":"56","issue":"6","source":"NCBI PubMed","abstract":"Leucine, as an essential amino acid and activator of mTOR (mammalian target of rapamycin), promotes protein synthesis and suppresses protein catabolism. However, the effect of leucine on overall glucose and energy metabolism remains unclear, and whether leucine has beneficial effects as a long-term dietary supplement has not been examined. In the present study, we doubled dietary leucine intake via leucine-containing drinking water in mice with free excess to either a rodent chow or a high-fat diet (HFD). While it produced no major metabolic effects in chow-fed mice, increasing leucine intake resulted in up to 32% reduction of weight gain (P &lt; 0.05) and a 25% decrease in adiposity (P &lt; 0.01) in HFD-fed mice. The reduction of adiposity resulted from increased resting energy expenditure associated with increased expression of uncoupling protein 3 in brown and white adipose tissues and in skeletal muscle, while food intake was not decreased. Increasing leucine intake also prevented HFD-induced hyperglycemia, which was associated with improved insulin sensitivity, decreased plasma concentrations of glucagon and glucogenic amino acids, and downregulation of hepatic glucose-6-phosphatase. Additionally, plasma levels of total and LDL cholesterol were decreased by 27% (P &lt; 0.001) and 53% (P &lt; 0.001), respectively, in leucine supplemented HFD-fed mice compared with the control mice fed the same diet. The reduction in cholesterol levels was largely independent of leucine-induced changes in adiposity. In conclusion, increases in dietary leucine intake substantially decrease diet-induced obesity, hyperglycemia, and hypercholesterolemia in mice with ad libitum consumption of HFD likely via multiple mechanisms.","DOI":"10.2337/db07-0123","ISSN":"1939-327X","note":"PMID: 17360978","journalAbbreviation":"Diabetes","language":"eng","author":[{"family":"Zhang","given":"Yiying"},{"family":"Guo","given":"Kaiying"},{"family":"LeBlanc","given":"Robert E"},{"family":"Loh","given":"Daniella"},{"family":"Schwartz","given":"Gary J"},{"family":"Yu","given":"Yi-Hao"}],"issued":{"date-parts":[["2007",6]]},"PMID":"17360978"}}],"schema":"https://github.com/citation-style-language/schema/raw/master/csl-citation.json"} </w:instrText>
      </w:r>
      <w:r w:rsidR="002A242F">
        <w:fldChar w:fldCharType="separate"/>
      </w:r>
      <w:r w:rsidR="000A492A" w:rsidRPr="000A492A">
        <w:rPr>
          <w:vertAlign w:val="superscript"/>
        </w:rPr>
        <w:t>351</w:t>
      </w:r>
      <w:r w:rsidR="002A242F">
        <w:fldChar w:fldCharType="end"/>
      </w:r>
      <w:r w:rsidR="002A242F">
        <w:t xml:space="preserve">  </w:t>
      </w:r>
      <w:r w:rsidR="00D22EBF">
        <w:t xml:space="preserve">Measured in a novel system as the </w:t>
      </w:r>
      <w:r w:rsidR="007C33F4">
        <w:t xml:space="preserve">monotonic decrease in dissolved oxygen in parts per million (ppm), oxygen consumption was stimulated by </w:t>
      </w:r>
      <w:r w:rsidR="007C33F4" w:rsidRPr="007C33F4">
        <w:rPr>
          <w:i/>
        </w:rPr>
        <w:t>In vitro</w:t>
      </w:r>
      <w:r w:rsidR="007C33F4">
        <w:t xml:space="preserve"> exposure of myocytes and adipocytes to leucine.</w:t>
      </w:r>
      <w:r w:rsidR="0035299A">
        <w:fldChar w:fldCharType="begin"/>
      </w:r>
      <w:r w:rsidR="000A492A">
        <w:instrText xml:space="preserve"> ADDIN ZOTERO_ITEM CSL_CITATION {"citationID":"tpusPdaZ","properties":{"formattedCitation":"{\\rtf \\super 349\\nosupersub{}}","plainCitation":"349"},"citationItems":[{"id":1695,"uris":["http://zotero.org/users/171999/items/RCRVB9BJ"],"uri":["http://zotero.org/users/171999/items/RCRVB9BJ"],"itemData":{"id":1695,"type":"article-journal","title":"Leucine modulation of mitochondrial mass and oxygen consumption in skeletal muscle cells and adipocytes","container-title":"Nutrition &amp; metabolism","page":"26","volume":"6","source":"NCBI PubMed","abstract":"BACKGROUND: The effects of dairy on energy metabolism appear to be mediated, in part, by leucine and calcium which regulate both adipocyte and skeletal muscle energy metabolism. We recently demonstrated that leucine and calcitriol regulate fatty acid oxidation in skeletal muscle cells in vitro, with leucine promoting and calcitriol suppressing fatty acid oxidation. Moreover, leucine coordinately regulated adipocyte lipid metabolism to promote flux of lipid to skeletal muscle and regulate metabolic flexibility. We have now investigated the role of mitochondrial biogenesis in mediating these effects.\nMETHODS: We tested the effect of leucine, calcitriol and calcium in regulation of mitochondrial mass using a fluorescence method and tested mitochondrial biogenesis regulatory genes as well mitochondrial component genes using real-time PCR. We also evaluated the effect of leucine on oxygen consumption with a modified perfusion system.\nRESULTS: Leucine (0.5 mM) increased mitochondrial mass by 30% and 53% in C2C12 myocytes and 3T3-L1 adipocytes, respectively, while calcitriol (10 nM) decreased mitochondrial abundance by 37% and 27% (p &lt; 0.02). Leucine also stimulated mitochondrial biogenesis genes SIRT-1, PGC-1alpha and NRF-1 as well as mitochondrial component genes UCP3, COX, and NADH expression by 3-5 fold in C2C12 cells (p &lt; 0.003). Adipocyte-conditioned medium reduced mitochondrial abundance (p &lt; 0.001) and decreased UCP3 but increased PGC-1alpha expression in myocytes, suggesting a feedback stimulation of mitochondrial biogenesis. Similar data were observed in C2C12 myocytes co-cultured with adipocytes, with co-culture markedly suppressing mitochondrial abundance (p &lt; 0.02). Leucine stimulated oxygen consumption in both C2C12 cells and adipocytes compared with either control or valine-treated cells. Transfection of C2C12 myocytes with SIRT-1 siRNA resulted in parallel suppression of SIRT-1 expression and leucine-induced stimulation of PGC-1alpha and NRF-1, indicating that SIRT-1 mediates leucine induced mitochondrial biogenesis in muscle cells.\nCONCLUSION: These data suggest that leucine and calcitriol modulation of muscle and adipocyte energy metabolism is mediated, in part, by mitochondrial biogenesis.","DOI":"10.1186/1743-7075-6-26","ISSN":"1743-7075","note":"PMID: 19500359","journalAbbreviation":"Nutr Metab (Lond)","language":"eng","author":[{"family":"Sun","given":"Xiaocun"},{"family":"Zemel","given":"Michael B"}],"issued":{"date-parts":[["2009"]]},"PMID":"19500359"}}],"schema":"https://github.com/citation-style-language/schema/raw/master/csl-citation.json"} </w:instrText>
      </w:r>
      <w:r w:rsidR="0035299A">
        <w:fldChar w:fldCharType="separate"/>
      </w:r>
      <w:r w:rsidR="000A492A" w:rsidRPr="000A492A">
        <w:rPr>
          <w:vertAlign w:val="superscript"/>
        </w:rPr>
        <w:t>349</w:t>
      </w:r>
      <w:r w:rsidR="0035299A">
        <w:fldChar w:fldCharType="end"/>
      </w:r>
      <w:r w:rsidR="0035299A">
        <w:t xml:space="preserve">  </w:t>
      </w:r>
      <w:r>
        <w:t>These data s</w:t>
      </w:r>
      <w:r w:rsidR="0035299A">
        <w:t>uppo</w:t>
      </w:r>
      <w:r w:rsidR="001560AB">
        <w:t>rt the role of</w:t>
      </w:r>
      <w:r>
        <w:t xml:space="preserve"> leucine as </w:t>
      </w:r>
    </w:p>
    <w:p w:rsidR="00D8733D" w:rsidRDefault="00D8733D" w:rsidP="00D8733D"/>
    <w:p w:rsidR="00025B7A" w:rsidRDefault="00025B7A" w:rsidP="00025B7A">
      <w:pPr>
        <w:keepNext/>
      </w:pPr>
      <w:r>
        <w:rPr>
          <w:noProof/>
        </w:rPr>
        <w:lastRenderedPageBreak/>
        <w:drawing>
          <wp:inline distT="0" distB="0" distL="0" distR="0" wp14:anchorId="111DD650" wp14:editId="40B37DAD">
            <wp:extent cx="5486400" cy="3798325"/>
            <wp:effectExtent l="0" t="0" r="0" b="0"/>
            <wp:docPr id="27" name="Picture 27" descr="http://ajprenal.physiology.org/content/ajprenal/285/1/F1/F1.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ajprenal.physiology.org/content/ajprenal/285/1/F1/F1.larg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3798325"/>
                    </a:xfrm>
                    <a:prstGeom prst="rect">
                      <a:avLst/>
                    </a:prstGeom>
                    <a:noFill/>
                    <a:ln>
                      <a:noFill/>
                    </a:ln>
                  </pic:spPr>
                </pic:pic>
              </a:graphicData>
            </a:graphic>
          </wp:inline>
        </w:drawing>
      </w:r>
    </w:p>
    <w:p w:rsidR="00D8733D" w:rsidRDefault="00025B7A" w:rsidP="00025B7A">
      <w:pPr>
        <w:pStyle w:val="Caption"/>
      </w:pPr>
      <w:bookmarkStart w:id="33" w:name="_Toc376465871"/>
      <w:r>
        <w:t xml:space="preserve">Figure </w:t>
      </w:r>
      <w:r>
        <w:fldChar w:fldCharType="begin"/>
      </w:r>
      <w:r>
        <w:instrText xml:space="preserve"> SEQ Figure \* ARABIC </w:instrText>
      </w:r>
      <w:r>
        <w:fldChar w:fldCharType="separate"/>
      </w:r>
      <w:proofErr w:type="gramStart"/>
      <w:r w:rsidR="00DE5561">
        <w:rPr>
          <w:noProof/>
        </w:rPr>
        <w:t>11</w:t>
      </w:r>
      <w:r>
        <w:fldChar w:fldCharType="end"/>
      </w:r>
      <w:r>
        <w:t xml:space="preserve"> Ubiquitin proteasome pathway</w:t>
      </w:r>
      <w:proofErr w:type="gramEnd"/>
      <w:r>
        <w:t>.</w:t>
      </w:r>
      <w:bookmarkEnd w:id="33"/>
    </w:p>
    <w:p w:rsidR="00025B7A" w:rsidRDefault="00025B7A" w:rsidP="00025B7A">
      <w:pPr>
        <w:rPr>
          <w:color w:val="FF0000"/>
        </w:rPr>
      </w:pPr>
      <w:r>
        <w:t>Initially, an ubiquitin-activating enzyme (E1) uses ATP to form an E1 ubiquitin thioester adduct with the COOH-terminal glycine of ubiquitin (Ub). After ubiquitin activation, members of the ubiquitin-carrier protein family (E2) participate in the transfer of the activated ubiquitin to protein substrates. In the majority of cases, a member of the ubiquitin protein ligase family (E3) also participates in the conjugation process. In a typical linkage, a series of ubiquitin molecules are conjugated to a substrate and a polyubiquitin chain is formed using Lys48 in ubiquitin as the site for chain extension. When a chain of 4 or more ubiquitin molecules is formed, the chain is recognized by the 26S proteasome and the substrate protein is degraded into short peptides. In some cases, polyubiquitin chains consisting of alternate linkages, ubiquitin molecules are conjugated to different lysine units in ubiquitin (K11, K29, K63), which will regulate different processes such as DNA repair, quality control of protein folding in the endoplasmic reticulum, apoptosis, or regulation of the duration and intensity of signaling by effector molecules.</w:t>
      </w:r>
      <w:r w:rsidR="0092071F">
        <w:t xml:space="preserve"> </w:t>
      </w:r>
      <w:r w:rsidR="0092071F" w:rsidRPr="0092071F">
        <w:t xml:space="preserve"> </w:t>
      </w:r>
      <w:commentRangeStart w:id="34"/>
      <w:r w:rsidR="0092071F">
        <w:t>Copyright © 2003, The American Physiological Society.</w:t>
      </w:r>
      <w:commentRangeEnd w:id="34"/>
      <w:r w:rsidR="0092071F">
        <w:rPr>
          <w:rStyle w:val="CommentReference"/>
        </w:rPr>
        <w:commentReference w:id="34"/>
      </w:r>
      <w:r>
        <w:rPr>
          <w:color w:val="FF0000"/>
        </w:rPr>
        <w:fldChar w:fldCharType="begin"/>
      </w:r>
      <w:r w:rsidR="000A492A">
        <w:rPr>
          <w:color w:val="FF0000"/>
        </w:rPr>
        <w:instrText xml:space="preserve"> ADDIN ZOTERO_ITEM CSL_CITATION {"citationID":"25455fdlsq","properties":{"formattedCitation":"{\\rtf \\super 373\\nosupersub{}}","plainCitation":"373"},"citationItems":[{"id":1757,"uris":["http://zotero.org/users/171999/items/65I8I4ZH"],"uri":["http://zotero.org/users/171999/items/65I8I4ZH"],"itemData":{"id":1757,"type":"article-journal","title":"Proteolysis, the ubiquitin-proteasome system, and renal diseases","container-title":"American Journal of Physiology - Renal Physiology","page":"F1-F8","volume":"285","issue":"1","source":"ajprenal.physiology.org","abstract":"Protein degradation is a critical process for the growth and function of cells. Proteolysis eliminates abnormal proteins, controls many cellular regulatory processes, and supplies amino acids for cellular remodeling. When substrates of proteolytic pathways are poorly recognized or there is mistiming of proteolysis, profound changes in cell function can occur. Based on these potential problems, it is not surprising that alterations in proteolytic enzymes/cofactors or in the structure of protein substrates that render them more or less susceptible to degradation are responsible for disorders associated with kidney cell malfunctions. Multiple pathways exist for protein degradation. The best-described proteolytic system is the ubiquitin-proteasome pathway, which requires ATP and degrades the bulk of cellular and some membrane proteins. This review will survey examples of renal abnormalities that are associated with defective protein degradation involving the ubiquitin-proteasome pathway. Loss of muscle mass associated with chronic renal failure, von Hippel-Lindau disease, Liddle syndrome, and ischemic acute renal failure will be discussed. These examples are indicative of the diverse roles of the ubiquitin-proteasome system in renal-associated pathological conditions.","DOI":"10.1152/ajprenal.00244.2002","note":"Protein degradation is a critical process for the growth and function of cells. Proteolysis eliminates abnormal proteins, controls many cellular regulatory processes, and supplies amino acids for cellular remodeling. When substrates of proteolytic pathways are poorly recognized or there is mistiming of proteolysis, profound changes in cell function can occur. Based on these potential problems, it is not surprising that alterations in proteolytic enzymes/cofactors or in the structure of protein substrates that render them more or less susceptible to degradation are responsible for disorders associated with kidney cell malfunctions. Multiple pathways exist for protein degradation. The best-described proteolytic system is the ubiquitin-proteasome pathway, which requires ATP and degrades the bulk of cellular and some membrane proteins. This review will survey examples of renal abnormalities that are associated with defective protein degradation involving the ubiquitin-proteasome pathway. Loss of muscle mass associated with chronic renal failure, von Hippel-Lindau disease, Liddle syndrome, and ischemic acute renal failure will be discussed. These examples are indicative of the diverse roles of the ubiquitin-proteasome system in renal-associated pathological conditions.\nPMID: 12788783","language":"en","author":[{"family":"Debigaré","given":"Richard"},{"family":"Price","given":"S. Russ"}],"issued":{"date-parts":[["2003",7,1]]},"accessed":{"date-parts":[["2013",11,11]]},"PMID":"12788783"}}],"schema":"https://github.com/citation-style-language/schema/raw/master/csl-citation.json"} </w:instrText>
      </w:r>
      <w:r>
        <w:rPr>
          <w:color w:val="FF0000"/>
        </w:rPr>
        <w:fldChar w:fldCharType="separate"/>
      </w:r>
      <w:r w:rsidR="000A492A" w:rsidRPr="000A492A">
        <w:rPr>
          <w:vertAlign w:val="superscript"/>
        </w:rPr>
        <w:t>373</w:t>
      </w:r>
      <w:r>
        <w:rPr>
          <w:color w:val="FF0000"/>
        </w:rPr>
        <w:fldChar w:fldCharType="end"/>
      </w:r>
    </w:p>
    <w:p w:rsidR="00025B7A" w:rsidRDefault="00025B7A" w:rsidP="00025B7A"/>
    <w:p w:rsidR="00025B7A" w:rsidRDefault="00025B7A" w:rsidP="00025B7A"/>
    <w:p w:rsidR="00025B7A" w:rsidRDefault="00025B7A" w:rsidP="00025B7A"/>
    <w:p w:rsidR="00025B7A" w:rsidRDefault="00025B7A" w:rsidP="00025B7A"/>
    <w:p w:rsidR="009459A7" w:rsidRDefault="009459A7" w:rsidP="00025B7A"/>
    <w:p w:rsidR="009459A7" w:rsidRDefault="009459A7" w:rsidP="00025B7A"/>
    <w:p w:rsidR="009459A7" w:rsidRDefault="009459A7" w:rsidP="009459A7">
      <w:pPr>
        <w:pStyle w:val="Caption"/>
      </w:pPr>
      <w:bookmarkStart w:id="35" w:name="_Toc376465872"/>
      <w:r>
        <w:t xml:space="preserve">Figure </w:t>
      </w:r>
      <w:fldSimple w:instr=" SEQ Figure \* ARABIC ">
        <w:r w:rsidR="00DE5561">
          <w:rPr>
            <w:noProof/>
          </w:rPr>
          <w:t>12</w:t>
        </w:r>
      </w:fldSimple>
      <w:r>
        <w:t xml:space="preserve"> Possible central and peripheral regulation of energy balance by leucine.</w:t>
      </w:r>
      <w:bookmarkEnd w:id="35"/>
    </w:p>
    <w:p w:rsidR="009459A7" w:rsidRDefault="009459A7" w:rsidP="009459A7">
      <w:r>
        <w:t>The hypothetical model shows how availability of leucine in the diet could influence the peripheral and central mechanisms regulating energy balance. In the gastrointestinal (</w:t>
      </w:r>
      <w:r>
        <w:rPr>
          <w:rFonts w:ascii="AdvTT50a2f13e.I" w:hAnsi="AdvTT50a2f13e.I" w:cs="AdvTT50a2f13e.I"/>
        </w:rPr>
        <w:t>GI</w:t>
      </w:r>
      <w:r>
        <w:t>) tract, hydrolysis of dietary proteins releases leucine, which stimulates the production of cholecystokinin (</w:t>
      </w:r>
      <w:r>
        <w:rPr>
          <w:rFonts w:ascii="AdvTT50a2f13e.I" w:hAnsi="AdvTT50a2f13e.I" w:cs="AdvTT50a2f13e.I"/>
        </w:rPr>
        <w:t>CCK</w:t>
      </w:r>
      <w:r>
        <w:t>) and glucagon-like peptide-1 (</w:t>
      </w:r>
      <w:r>
        <w:rPr>
          <w:rFonts w:ascii="AdvTT50a2f13e.I" w:hAnsi="AdvTT50a2f13e.I" w:cs="AdvTT50a2f13e.I"/>
        </w:rPr>
        <w:t>GLP-1</w:t>
      </w:r>
      <w:r>
        <w:t>) whilst inhibits the production of ghrelin. Upon release into the circulatory system, the hormones and leucine directly influence the activity of the vagal afferent (hormones only) and/or hypothalamic neurons expressing pro-opiomelanocortin (</w:t>
      </w:r>
      <w:r>
        <w:rPr>
          <w:rFonts w:ascii="AdvTT50a2f13e.I" w:hAnsi="AdvTT50a2f13e.I" w:cs="AdvTT50a2f13e.I"/>
        </w:rPr>
        <w:t>POMC</w:t>
      </w:r>
      <w:r>
        <w:t>) and neuropeptide Y (</w:t>
      </w:r>
      <w:r>
        <w:rPr>
          <w:rFonts w:ascii="AdvTT50a2f13e.I" w:hAnsi="AdvTT50a2f13e.I" w:cs="AdvTT50a2f13e.I"/>
        </w:rPr>
        <w:t>NPY</w:t>
      </w:r>
      <w:r>
        <w:t xml:space="preserve">) (hormones and leucine). The resulting increased signaling through the central nervous system causes alteration in food intake. Signaling to the adipose tissue activates the </w:t>
      </w:r>
      <w:r>
        <w:rPr>
          <w:rFonts w:ascii="AdvTT3713a231+03" w:hAnsi="AdvTT3713a231+03" w:cs="AdvTT3713a231+03"/>
        </w:rPr>
        <w:t>β</w:t>
      </w:r>
      <w:r>
        <w:t>-adrenergic receptor (</w:t>
      </w:r>
      <w:r>
        <w:rPr>
          <w:rFonts w:ascii="AdvTT50a2f13e.I+03" w:hAnsi="AdvTT50a2f13e.I+03" w:cs="AdvTT50a2f13e.I+03"/>
        </w:rPr>
        <w:t>β</w:t>
      </w:r>
      <w:r>
        <w:rPr>
          <w:rFonts w:ascii="AdvTT50a2f13e.I" w:hAnsi="AdvTT50a2f13e.I" w:cs="AdvTT50a2f13e.I"/>
        </w:rPr>
        <w:t>-AR</w:t>
      </w:r>
      <w:r>
        <w:t>), leading to an alteration in the expression or activity of hormone sensitive lipases (</w:t>
      </w:r>
      <w:r>
        <w:rPr>
          <w:rFonts w:ascii="AdvTT50a2f13e.I" w:hAnsi="AdvTT50a2f13e.I" w:cs="AdvTT50a2f13e.I"/>
        </w:rPr>
        <w:t>HSL</w:t>
      </w:r>
      <w:r>
        <w:t>) and mitochondrial uncoupling proteins (</w:t>
      </w:r>
      <w:r>
        <w:rPr>
          <w:rFonts w:ascii="AdvTT50a2f13e.I" w:hAnsi="AdvTT50a2f13e.I" w:cs="AdvTT50a2f13e.I"/>
        </w:rPr>
        <w:t>UCP</w:t>
      </w:r>
      <w:r>
        <w:t xml:space="preserve">). </w:t>
      </w:r>
      <w:proofErr w:type="gramStart"/>
      <w:r>
        <w:t>Direct action of leucine on cells of peripheral tissues influence the expression of fatty acid synthase (</w:t>
      </w:r>
      <w:r>
        <w:rPr>
          <w:rFonts w:ascii="AdvTT50a2f13e.I" w:hAnsi="AdvTT50a2f13e.I" w:cs="AdvTT50a2f13e.I"/>
        </w:rPr>
        <w:t>FAS</w:t>
      </w:r>
      <w:r>
        <w:t>; in adipocytes), tissue protein anabolism (in muscle cells and adipocytes) and lipid catabolism and insulin-induced glucose uptake and metabolism (liver, adipose and muscle).</w:t>
      </w:r>
      <w:proofErr w:type="gramEnd"/>
      <w:r>
        <w:t xml:space="preserve"> Intake of leucine-deficient diet activates hypothalamic neurons producing the corticotropin-releasing hormone</w:t>
      </w:r>
    </w:p>
    <w:p w:rsidR="009459A7" w:rsidRDefault="009459A7" w:rsidP="009459A7">
      <w:pPr>
        <w:rPr>
          <w:color w:val="FF0000"/>
        </w:rPr>
      </w:pPr>
      <w:r>
        <w:t>(</w:t>
      </w:r>
      <w:r>
        <w:rPr>
          <w:rFonts w:ascii="AdvTT50a2f13e.I" w:hAnsi="AdvTT50a2f13e.I" w:cs="AdvTT50a2f13e.I"/>
        </w:rPr>
        <w:t>CRH</w:t>
      </w:r>
      <w:r>
        <w:t xml:space="preserve">), leading to alteration in food intake and adiposity.  </w:t>
      </w:r>
      <w:proofErr w:type="gramStart"/>
      <w:r w:rsidR="00E80EC2">
        <w:t>Reprinted by permission from Springer: [JOURNAL OF PHYSIOLOGY AND BIOCHEMISTRY</w:t>
      </w:r>
      <w:r w:rsidR="00E80EC2" w:rsidRPr="000A2582">
        <w:t>] (</w:t>
      </w:r>
      <w:r w:rsidR="00E80EC2" w:rsidRPr="00E80EC2">
        <w:t>McAllan L, Cotter PD, Roche HM, et al. Impact of leucine on energy balance.</w:t>
      </w:r>
      <w:proofErr w:type="gramEnd"/>
      <w:r w:rsidR="00E80EC2" w:rsidRPr="00E80EC2">
        <w:t xml:space="preserve"> J Physiol Biochem 2013;69:155–163</w:t>
      </w:r>
      <w:r w:rsidR="00E80EC2">
        <w:t>), Copyright © 2013.</w:t>
      </w:r>
      <w:r>
        <w:rPr>
          <w:color w:val="FF0000"/>
        </w:rPr>
        <w:fldChar w:fldCharType="begin"/>
      </w:r>
      <w:r>
        <w:rPr>
          <w:color w:val="FF0000"/>
        </w:rPr>
        <w:instrText xml:space="preserve"> ADDIN ZOTERO_ITEM CSL_CITATION {"citationID":"v7pjru971","properties":{"formattedCitation":"{\\rtf \\super 377\\nosupersub{}}","plainCitation":"377"},"citationItems":[{"id":1792,"uris":["http://zotero.org/users/171999/items/DSKJINN9"],"uri":["http://zotero.org/users/171999/items/DSKJINN9"],"itemData":{"id":1792,"type":"article-journal","title":"Impact of leucine on energy balance","container-title":"Journal of physiology and biochemistry","page":"155-163","volume":"69","issue":"1","source":"NCBI PubMed","abstract":"Body weight is determined by the balance between energy intake and energy expenditure. When energy intake exceeds energy expenditure, the surplus energy is stored as fat in the adipose tissue, which causes its expansion and may even lead to the development of obesity. Thus, there is a growing interest to develop dietary interventions that could reduce the current obesity epidemic. In this regard, data from a number of in vivo and in vitro studies suggest that the branched-chain amino acid leucine influences energy balance. However, this has not been consistently reported. Here, we review the literature related to the effects of leucine on energy intake, energy expenditure and lipid metabolism as well as its effects on the cellular activity in the brain (hypothalamus) and in peripheral tissues (gastro-intestinal tract, adipose tissue, liver and muscle) regulating the above physiological processes. Moreover, we discuss how obesity may influence the actions of this amino acid.","DOI":"10.1007/s13105-012-0170-2","ISSN":"1877-8755","note":"PMID: 22535285","journalAbbreviation":"J. Physiol. Biochem.","language":"eng","author":[{"family":"McAllan","given":"Liam"},{"family":"Cotter","given":"Paul D"},{"family":"Roche","given":"Helen M"},{"family":"Korpela","given":"Riitta"},{"family":"Nilaweera","given":"Kanishka N"}],"issued":{"date-parts":[["2013",3]]},"PMID":"22535285"}}],"schema":"https://github.com/citation-style-language/schema/raw/master/csl-citation.json"} </w:instrText>
      </w:r>
      <w:r>
        <w:rPr>
          <w:color w:val="FF0000"/>
        </w:rPr>
        <w:fldChar w:fldCharType="separate"/>
      </w:r>
      <w:r w:rsidRPr="000A492A">
        <w:rPr>
          <w:vertAlign w:val="superscript"/>
        </w:rPr>
        <w:t>377</w:t>
      </w:r>
      <w:r>
        <w:rPr>
          <w:color w:val="FF0000"/>
        </w:rPr>
        <w:fldChar w:fldCharType="end"/>
      </w:r>
    </w:p>
    <w:p w:rsidR="009459A7" w:rsidRPr="00025B7A" w:rsidRDefault="009459A7" w:rsidP="00025B7A"/>
    <w:p w:rsidR="00D8733D" w:rsidRDefault="00D8733D" w:rsidP="00D8733D"/>
    <w:p w:rsidR="00025B7A" w:rsidRDefault="00025B7A" w:rsidP="00D8733D"/>
    <w:p w:rsidR="00025B7A" w:rsidRDefault="00025B7A" w:rsidP="00025B7A">
      <w:pPr>
        <w:keepNext/>
      </w:pPr>
      <w:r>
        <w:rPr>
          <w:noProof/>
        </w:rPr>
        <w:lastRenderedPageBreak/>
        <w:drawing>
          <wp:inline distT="0" distB="0" distL="0" distR="0" wp14:anchorId="264C13B4" wp14:editId="4F9CA181">
            <wp:extent cx="5486400" cy="4513811"/>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18981" t="14815" r="22222" b="7778"/>
                    <a:stretch/>
                  </pic:blipFill>
                  <pic:spPr bwMode="auto">
                    <a:xfrm>
                      <a:off x="0" y="0"/>
                      <a:ext cx="5486400" cy="4513811"/>
                    </a:xfrm>
                    <a:prstGeom prst="rect">
                      <a:avLst/>
                    </a:prstGeom>
                    <a:ln>
                      <a:noFill/>
                    </a:ln>
                    <a:extLst>
                      <a:ext uri="{53640926-AAD7-44D8-BBD7-CCE9431645EC}">
                        <a14:shadowObscured xmlns:a14="http://schemas.microsoft.com/office/drawing/2010/main"/>
                      </a:ext>
                    </a:extLst>
                  </pic:spPr>
                </pic:pic>
              </a:graphicData>
            </a:graphic>
          </wp:inline>
        </w:drawing>
      </w:r>
    </w:p>
    <w:p w:rsidR="00025B7A" w:rsidRPr="00025B7A" w:rsidRDefault="00025B7A" w:rsidP="00025B7A"/>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025B7A" w:rsidRDefault="00025B7A" w:rsidP="00D8733D"/>
    <w:p w:rsidR="00DC7C0D" w:rsidRPr="00283D25" w:rsidRDefault="000235E8" w:rsidP="00D8733D">
      <w:proofErr w:type="gramStart"/>
      <w:r>
        <w:lastRenderedPageBreak/>
        <w:t>a</w:t>
      </w:r>
      <w:proofErr w:type="gramEnd"/>
      <w:r>
        <w:t xml:space="preserve"> regulator</w:t>
      </w:r>
      <w:r w:rsidR="001560AB">
        <w:t xml:space="preserve"> of energy expenditure and give it value as a method to inhibit weight gain or to facilitate weight loss.  </w:t>
      </w:r>
    </w:p>
    <w:p w:rsidR="00644CFF" w:rsidRDefault="00644CFF" w:rsidP="00734882">
      <w:r>
        <w:tab/>
        <w:t xml:space="preserve">It has been suggested that leucine has an effect on satiety, exhibited via decreased </w:t>
      </w:r>
      <w:r w:rsidR="00A23F8B">
        <w:t xml:space="preserve">food </w:t>
      </w:r>
      <w:r>
        <w:t>intake.  Ropelle et al showed decreased food intake when rats consumed a leucine and casein supplemented diet (50 g leucine and 202 g casein/kg diet).  They also showed decreased AMPK and increased mTOR activity in the hypothalamus with subsequent NPY inhibition and POMC stimulation</w:t>
      </w:r>
      <w:r w:rsidR="00A23F8B">
        <w:t xml:space="preserve"> after intracerebroventricular injection.  Other research confirms POMC activation and decreased food intake after intracerebroventricular injection.</w:t>
      </w:r>
      <w:r w:rsidR="00A23F8B">
        <w:fldChar w:fldCharType="begin"/>
      </w:r>
      <w:r w:rsidR="000A492A">
        <w:instrText xml:space="preserve"> ADDIN ZOTERO_ITEM CSL_CITATION {"citationID":"pBeST1Bl","properties":{"formattedCitation":"{\\rtf \\super 378,379\\nosupersub{}}","plainCitation":"378,379"},"citationItems":[{"id":1796,"uris":["http://zotero.org/users/171999/items/AFKGQGNE"],"uri":["http://zotero.org/users/171999/items/AFKGQGNE"],"itemData":{"id":1796,"type":"article-journal","title":"Mediobasal hypothalamic leucine sensing regulates food intake through activation of a hypothalamus-brainstem circuit","container-title":"The Journal of neuroscience: the official journal of the Society for Neuroscience","page":"8302-8311","volume":"29","issue":"26","source":"NCBI PubMed","abstract":"In response to nutrient stimuli, the mediobasal hypothalamus (MBH) drives multiple neuroendocrine and behavioral mechanisms to regulate energy balance. While central leucine reduces food intake and body weight, the specific neuroanatomical sites of leucine sensing, downstream neural substrates, and neurochemical effectors involved in this regulation remain largely unknown. Here we demonstrate that MBH leucine engages a neural energy regulatory circuit by stimulating POMC (proopiomelanocortin) neurons of the MBH, oxytocin neurons of the paraventricular hypothalamus, and neurons within the brainstem nucleus of the solitary tract to acutely suppress food intake by reducing meal size. We identify central p70 S6 kinase and Erk1/2 pathways as intracellular effectors required for this response. Activation of endogenous leucine intracellular metabolism produced longer-term reductions in meal number. Our data identify a novel, specific hypothalamus-brainstem circuit that links amino acid availability and nutrient sensing to the control of food intake.","DOI":"10.1523/JNEUROSCI.1668-09.2009","ISSN":"1529-2401","note":"PMID: 19571121","journalAbbreviation":"J. Neurosci.","language":"eng","author":[{"family":"Blouet","given":"Clémence"},{"family":"Jo","given":"Young-Hwan"},{"family":"Li","given":"Xiaosong"},{"family":"Schwartz","given":"Gary J"}],"issued":{"date-parts":[["2009",7,1]]},"PMID":"19571121"}},{"id":586,"uris":["http://zotero.org/users/171999/items/D4HP5A8E"],"uri":["http://zotero.org/users/171999/items/D4HP5A8E"],"itemData":{"id":586,"type":"article-journal","title":"Hypothalamic mTOR signaling regulates food intake","container-title":"Science (New York, N.Y.)","page":"927-930","volume":"312","issue":"5775","source":"NCBI PubMed","abstract":"The mammalian Target of Rapamycin (mTOR) protein is a serine-threonine kinase that regulates cell-cycle progression and growth by sensing changes in energy status. We demonstrated that mTOR signaling plays a role in the brain mechanisms that respond to nutrient availability, regulating energy balance. In the rat, mTOR signaling is controlled by energy status in specific regions of the hypothalamus and colocalizes with neuropeptide Y and proopiomelanocortin neurons in the arcuate nucleus. Central administration of leucine increases hypothalamic mTOR signaling and decreases food intake and body weight. The hormone leptin increases hypothalamic mTOR activity, and the inhibition of mTOR signaling blunts leptin's anorectic effect. Thus, mTOR is a cellular fuel sensor whose hypothalamic activity is directly tied to the regulation of energy intake.","DOI":"10.1126/science.1124147","ISSN":"1095-9203","note":"PMID: 16690869","journalAbbreviation":"Science","language":"eng","author":[{"family":"Cota","given":"Daniela"},{"family":"Proulx","given":"Karine"},{"family":"Smith","given":"Kathi A Blake"},{"family":"Kozma","given":"Sara C"},{"family":"Thomas","given":"George"},{"family":"Woods","given":"Stephen C"},{"family":"Seeley","given":"Randy J"}],"issued":{"date-parts":[["2006",5,12]]},"PMID":"16690869"}}],"schema":"https://github.com/citation-style-language/schema/raw/master/csl-citation.json"} </w:instrText>
      </w:r>
      <w:r w:rsidR="00A23F8B">
        <w:fldChar w:fldCharType="separate"/>
      </w:r>
      <w:r w:rsidR="000A492A" w:rsidRPr="000A492A">
        <w:rPr>
          <w:vertAlign w:val="superscript"/>
        </w:rPr>
        <w:t>378,379</w:t>
      </w:r>
      <w:r w:rsidR="00A23F8B">
        <w:fldChar w:fldCharType="end"/>
      </w:r>
      <w:r w:rsidR="00CC3A51">
        <w:t xml:space="preserve">  Since NPY is expressed by orexigenic neurons, reduces energy expenditure, and increases adiposity, decreasing NPY and increasing anorexigenic POMC expression may explain a central mechanism behind leucine’s effects on thermogenesis.</w:t>
      </w:r>
      <w:r w:rsidR="00CC3A51">
        <w:fldChar w:fldCharType="begin"/>
      </w:r>
      <w:r w:rsidR="000A492A">
        <w:instrText xml:space="preserve"> ADDIN ZOTERO_ITEM CSL_CITATION {"citationID":"lLg3Dxkz","properties":{"formattedCitation":"{\\rtf \\super 80,377,380,381\\nosupersub{}}","plainCitation":"80,377,380,381"},"citationItems":[{"id":1792,"uris":["http://zotero.org/users/171999/items/DSKJINN9"],"uri":["http://zotero.org/users/171999/items/DSKJINN9"],"itemData":{"id":1792,"type":"article-journal","title":"Impact of leucine on energy balance","container-title":"Journal of physiology and biochemistry","page":"155-163","volume":"69","issue":"1","source":"NCBI PubMed","abstract":"Body weight is determined by the balance between energy intake and energy expenditure. When energy intake exceeds energy expenditure, the surplus energy is stored as fat in the adipose tissue, which causes its expansion and may even lead to the development of obesity. Thus, there is a growing interest to develop dietary interventions that could reduce the current obesity epidemic. In this regard, data from a number of in vivo and in vitro studies suggest that the branched-chain amino acid leucine influences energy balance. However, this has not been consistently reported. Here, we review the literature related to the effects of leucine on energy intake, energy expenditure and lipid metabolism as well as its effects on the cellular activity in the brain (hypothalamus) and in peripheral tissues (gastro-intestinal tract, adipose tissue, liver and muscle) regulating the above physiological processes. Moreover, we discuss how obesity may influence the actions of this amino acid.","DOI":"10.1007/s13105-012-0170-2","ISSN":"1877-8755","note":"PMID: 22535285","journalAbbreviation":"J. Physiol. Biochem.","language":"eng","author":[{"family":"McAllan","given":"Liam"},{"family":"Cotter","given":"Paul D"},{"family":"Roche","given":"Helen M"},{"family":"Korpela","given":"Riitta"},{"family":"Nilaweera","given":"Kanishka N"}],"issued":{"date-parts":[["2013",3]]},"PMID":"22535285"}},{"id":1800,"uris":["http://zotero.org/users/171999/items/QESJK38U"],"uri":["http://zotero.org/users/171999/items/QESJK38U"],"itemData":{"id":1800,"type":"article-journal","title":"A pair-feeding study reveals that a Y5 antagonist causes weight loss in diet-induced obese mice by modulating food intake and energy expenditure","container-title":"Molecular pharmacology","page":"602-608","volume":"71","issue":"2","source":"NCBI PubMed","abstract":"Neuropeptide Y (NPY) is thought to have a significant role in the physiological control of energy homeostasis. We recently reported that an NPY Y5 antagonist inhibits body weight gain in diet-induced obese (DIO) mice, with a moderate reduction in food intake. To clarify the mechanism of the antiobesity effects of the Y5 antagonist, we conducted a pair-feeding study in DIO mice. The Y5 antagonist at 100 mg/kg produced a moderate feeding suppression leading to an 18% decrease in body weight, without altering body temperature. In contrast, the pair-fed group showed only a transient weight reduction and a reduced body temperature, thus indicating that the Y5 antagonist stimulates thermogenesis. The Y5 antagonist-treated mice showed an up-regulation of uncoupling protein mRNA in brown adipose tissue (BAT) and white adipose tissue (WAT), suggesting that both BAT and WAT contribute to energy expenditure. Thus, the Y5 antagonist induces its antiobesity effects by acting on both energy intake and expenditure.","DOI":"10.1124/mol.106.029991","ISSN":"0026-895X","note":"PMID: 17105869","journalAbbreviation":"Mol. Pharmacol.","language":"eng","author":[{"family":"Mashiko","given":"Satoshi"},{"family":"Ishihara","given":"Akane"},{"family":"Iwaasa","given":"Hisashi"},{"family":"Sano","given":"Hideki"},{"family":"Ito","given":"Junko"},{"family":"Gomori","given":"Akira"},{"family":"Oda","given":"Zenjun"},{"family":"Moriya","given":"Ryuichi"},{"family":"Matsushita","given":"Hiroko"},{"family":"Jitsuoka","given":"Makoto"},{"family":"Okamoto","given":"Osamu"},{"family":"MacNeil","given":"Douglas J"},{"family":"Van der Ploeg","given":"Lex H T"},{"family":"Fukami","given":"Takehiro"},{"family":"Kanatani","given":"Akio"}],"issued":{"date-parts":[["2007",2]]},"PMID":"17105869"}},{"id":1802,"uris":["http://zotero.org/users/171999/items/MWA7QD34"],"uri":["http://zotero.org/users/171999/items/MWA7QD34"],"itemData":{"id":1802,"type":"article-journal","title":"Chronic administration of neuropeptide Y into the lateral ventricle of C57BL/6J male mice produces an obesity syndrome including hyperphagia, hyperleptinemia, insulin resistance, and hypogonadism","container-title":"Molecular and cellular endocrinology","page":"195-204","volume":"185","issue":"1-2","source":"NCBI PubMed","abstract":"Neuropeptide Y (NPY) is involved in the central regulation of appetite, sexual behavior, and reproductive function. We have previously shown that chronic infusion of NPY into the lateral ventricle of normal rats produced an obesity syndrome characterized by hyperphagia, hyperinsulinism and collapse of reproductive function. We further demonstrated that acute inhibition of LH secretion in castrated rats was preferentially mediated by the NPY receptor subtype 5 (Y(5)). In the present study, the effects of chronic, central infusion of NPY, or the mixed Y2-Y5 agonist PYY(3-36), were evaluated both in normal male C57BL/6J mice and Sprague-Dawley rats. After a 7-day infusion to male mice, both NPY and PYY(3-36) at 5 nmol per day, induced marked hyperphagia leading to significant increases in body and fat pad weights. Furthermore, both compounds markedly reduced several markers of the reproductive axis. In the rat study, PYY(3-36) was more active than NPY to inhibit the pituitary-testicular axis, confirming the importance of the Y5 subtype for such effects. In the mouse, chronic NPY infusion induced a sustained increase in corticosterone and insulin secretion. Plasma leptin levels were also markedly increased possibly explaining the observed reduction in gene expression for hypothalamic NPY. Gene expression for hypothalamic POMC was reduced in the NPY- or PYY(3-36)-infused mice, suggesting that NPY exacerbated food intake by both acting through its own receptor(s), and reducing the satiety signal driven by the POMC-derived alpha-MSH. The present study in the mouse suggests in analogy with available rat data, that constant exposure to elevated NPY in the hypothalamic area unabatedly enhances food intake leading to an obesity syndrome including increased adiposity, insulin resistance, hypercorticism, and hypogonadism, reminiscent of the phenotype of the ob/ob mouse, that displays elevated hypothalamic NPY secondary to lack of leptin negative feedback action.","ISSN":"0303-7207","note":"PMID: 11738809","journalAbbreviation":"Mol. Cell. Endocrinol.","language":"eng","author":[{"family":"Raposinho","given":"P D"},{"family":"Pierroz","given":"D D"},{"family":"Broqua","given":"P"},{"family":"White","given":"R B"},{"family":"Pedrazzini","given":"T"},{"family":"Aubert","given":"M L"}],"issued":{"date-parts":[["2001",12,20]]},"PMID":"11738809"}},{"id":"OzdjOHfW/JQ4Lh795","uris":["http://zotero.org/users/local/Ry4zHLbn/items/JXEE6JUE"],"uri":["http://zotero.org/users/local/Ry4zHLbn/items/JXEE6JUE"],"itemData":{"id":"OzdjOHfW/JQ4Lh795","type":"article-journal","title":"The role of gut hormones and the hypothalamus in appetite regulation","container-title":"Endocrine journal","page":"359-372","volume":"57","issue":"5","source":"NCBI PubMed","abstract":"The World Health Organisation has estimated that by 2015 approximately 2.3 billion adults will be overweight and more than 700 million obese. Obesity is associated with an increased risk of diabetes, cardiovascular events, stroke and cancer. The hypothalamus is a crucial region for integrating signals from central and peripheral pathways and plays a major role in appetite regulation. In addition, there are reciprocal connections with the brainstem and higher cortical centres. In the arcuate nucleus of the hypothalamus, there are two major neuronal populations which stimulate or inhibit food intake and influence energy homeostasis. Within the brainstem, the dorsal vagal complex plays a role in the interpretation and relaying of peripheral signals. Gut hormones act peripherally to modulate digestion and absorption of nutrients. However, they also act as neurotransmitters within the central nervous system to control food intake. Peptide YY, pancreatic polypeptide, glucagon-like peptide-1 and oxyntomodulin suppress appetite, whilst ghrelin increases appetite through afferent vagal fibres to the caudal brainstem or directly to the hypothalamus. A better understanding of the role of these gut hormones may offer the opportunity to develop successful treatments for obesity. Here we review the current understanding of the role of gut hormones and the hypothalamus on food intake and body weight control.","ISSN":"1348-4540","note":"PMID: 20424341","journalAbbreviation":"Endocr. J.","language":"eng","author":[{"family":"Suzuki","given":"Keisuke"},{"family":"Simpson","given":"Katherine A"},{"family":"Minnion","given":"James S"},{"family":"Shillito","given":"Joyceline C"},{"family":"Bloom","given":"Stephen R"}],"issued":{"year":2010},"PMID":"20424341","page-first":"359","container-title-short":"Endocr. J."}}],"schema":"https://github.com/citation-style-language/schema/raw/master/csl-citation.json"} </w:instrText>
      </w:r>
      <w:r w:rsidR="00CC3A51">
        <w:fldChar w:fldCharType="separate"/>
      </w:r>
      <w:r w:rsidR="000A492A" w:rsidRPr="000A492A">
        <w:rPr>
          <w:vertAlign w:val="superscript"/>
        </w:rPr>
        <w:t>80,377,380,381</w:t>
      </w:r>
      <w:r w:rsidR="00CC3A51">
        <w:fldChar w:fldCharType="end"/>
      </w:r>
      <w:r w:rsidR="00644327">
        <w:t xml:space="preserve">  McAllan and </w:t>
      </w:r>
      <w:r w:rsidR="00113A23">
        <w:t>colleagues</w:t>
      </w:r>
      <w:r w:rsidR="00644327">
        <w:t xml:space="preserve"> have proposed a combined signaling cascade in which dietary leucine inhibits ghrelin release and stimulates CCK and GLP1, the latter of which is responsible for POMC activation.  POMC decreases food intake through the central nervous system and directly signals adipocytes via β-adrenergic receptors (βAR).  Adipose tissue activates hormone sensitive lipase (HSL) for triglyceride hydrolysis and UCP expression (</w:t>
      </w:r>
      <w:r w:rsidR="00644327">
        <w:rPr>
          <w:color w:val="FF0000"/>
        </w:rPr>
        <w:t>Figure 12)</w:t>
      </w:r>
      <w:r w:rsidR="00644327">
        <w:t>.</w:t>
      </w:r>
      <w:r w:rsidR="00644327">
        <w:fldChar w:fldCharType="begin"/>
      </w:r>
      <w:r w:rsidR="000A492A">
        <w:instrText xml:space="preserve"> ADDIN ZOTERO_ITEM CSL_CITATION {"citationID":"1fkj3dt684","properties":{"formattedCitation":"{\\rtf \\super 377\\nosupersub{}}","plainCitation":"377"},"citationItems":[{"id":1792,"uris":["http://zotero.org/users/171999/items/DSKJINN9"],"uri":["http://zotero.org/users/171999/items/DSKJINN9"],"itemData":{"id":1792,"type":"article-journal","title":"Impact of leucine on energy balance","container-title":"Journal of physiology and biochemistry","page":"155-163","volume":"69","issue":"1","source":"NCBI PubMed","abstract":"Body weight is determined by the balance between energy intake and energy expenditure. When energy intake exceeds energy expenditure, the surplus energy is stored as fat in the adipose tissue, which causes its expansion and may even lead to the development of obesity. Thus, there is a growing interest to develop dietary interventions that could reduce the current obesity epidemic. In this regard, data from a number of in vivo and in vitro studies suggest that the branched-chain amino acid leucine influences energy balance. However, this has not been consistently reported. Here, we review the literature related to the effects of leucine on energy intake, energy expenditure and lipid metabolism as well as its effects on the cellular activity in the brain (hypothalamus) and in peripheral tissues (gastro-intestinal tract, adipose tissue, liver and muscle) regulating the above physiological processes. Moreover, we discuss how obesity may influence the actions of this amino acid.","DOI":"10.1007/s13105-012-0170-2","ISSN":"1877-8755","note":"PMID: 22535285","journalAbbreviation":"J. Physiol. Biochem.","language":"eng","author":[{"family":"McAllan","given":"Liam"},{"family":"Cotter","given":"Paul D"},{"family":"Roche","given":"Helen M"},{"family":"Korpela","given":"Riitta"},{"family":"Nilaweera","given":"Kanishka N"}],"issued":{"date-parts":[["2013",3]]},"PMID":"22535285"}}],"schema":"https://github.com/citation-style-language/schema/raw/master/csl-citation.json"} </w:instrText>
      </w:r>
      <w:r w:rsidR="00644327">
        <w:fldChar w:fldCharType="separate"/>
      </w:r>
      <w:r w:rsidR="000A492A" w:rsidRPr="000A492A">
        <w:rPr>
          <w:vertAlign w:val="superscript"/>
        </w:rPr>
        <w:t>377</w:t>
      </w:r>
      <w:r w:rsidR="00644327">
        <w:fldChar w:fldCharType="end"/>
      </w:r>
    </w:p>
    <w:p w:rsidR="005325DE" w:rsidRDefault="006835C8" w:rsidP="005325DE">
      <w:r>
        <w:tab/>
      </w:r>
      <w:r w:rsidR="005325DE">
        <w:rPr>
          <w:i/>
        </w:rPr>
        <w:t>In vivo</w:t>
      </w:r>
      <w:r w:rsidR="005325DE">
        <w:t xml:space="preserve"> research suggests l</w:t>
      </w:r>
      <w:r>
        <w:t>eucine may increase weight and fat loss with caloric restriction.</w:t>
      </w:r>
      <w:r w:rsidR="005325DE">
        <w:t xml:space="preserve">  In rats undergoing 50% food restriction for 6 weeks with or without 5.91 g leucine/kg ration, total body mass was unchanged compared to control group, but fat mass was lower.</w:t>
      </w:r>
      <w:r w:rsidR="005325DE">
        <w:fldChar w:fldCharType="begin"/>
      </w:r>
      <w:r w:rsidR="000A492A">
        <w:instrText xml:space="preserve"> ADDIN ZOTERO_ITEM CSL_CITATION {"citationID":"22tmnlehi0","properties":{"formattedCitation":"{\\rtf \\super 352\\nosupersub{}}","plainCitation":"352"},"citationItems":[{"id":1699,"uris":["http://zotero.org/users/171999/items/ZTVFI488"],"uri":["http://zotero.org/users/171999/items/ZTVFI488"],"itemData":{"id":1699,"type":"article-journal","title":"Effects of leucine supplementation on the body composition and protein status of rats submitted to food restriction","container-title":"Nutrition (Burbank, Los Angeles County, Calif.)","page":"520-527","volume":"22","issue":"5","source":"NCBI PubMed","abstract":"OBJECTIVE: Acute administration of leucine has been shown to stimulate certain protein synthesis related anabolic processes. However, the effect of chronic leucine administration in a catabolic situation caused by food restriction (FR) has not been established. We therefore evaluated the effect of chronic leucine supplementation on the body composition and some indicators of protein nutritional status of rats submitted to FR.\nMETHODS: Adult male Wistar rats were submitted to 50% FR for 6 weeks. The control group received the AIN-93M diet and the leucine group received the same diet supplemented with 5.91 g L-leucine/kg ration. We then determined carcass chemical composition, serum leptin, albumin and total protein concentrations, and protein, DNA and RNA concentrations in gastrocnemius muscle and liver.\nRESULTS: No difference in final body weight was observed between groups. However, the leucine group presented a lower amount of body fat (P &lt; 0.05). Leptin concentration showed a directly proportional correlation with the amount of body fat (r = 0.88, P &lt; 0.05), but no significant difference in serum leptin concentration was observed between groups (P = 0.08). Regarding protein nutritional status, liver protein concentration was higher in the leucine group (P &lt; 0.05). In the gastrocnemius muscle, a higher RNA concentration (P &lt; 0.05) and a tendency towards higher DNA concentration (P = 0.06) were observed in the leucine group.\nCONCLUSION: The results indicate that low-dose leucine supplementation increases body fat loss and improves liver protein status and the capacity of muscle protein synthesis in rats submitted to FR.","DOI":"10.1016/j.nut.2005.12.008","ISSN":"0899-9007","note":"PMID: 16600817","journalAbbreviation":"Nutrition","language":"eng","author":[{"family":"Donato","given":"Jose, Jr"},{"family":"Pedrosa","given":"Rogerio Graça"},{"family":"Cruzat","given":"Vinicius Fernandes"},{"family":"Pires","given":"Ivanir Santana de Oliveira"},{"family":"Tirapegui","given":"Julio"}],"issued":{"date-parts":[["2006",5]]},"PMID":"16600817"}}],"schema":"https://github.com/citation-style-language/schema/raw/master/csl-citation.json"} </w:instrText>
      </w:r>
      <w:r w:rsidR="005325DE">
        <w:fldChar w:fldCharType="separate"/>
      </w:r>
      <w:r w:rsidR="000A492A" w:rsidRPr="000A492A">
        <w:rPr>
          <w:vertAlign w:val="superscript"/>
        </w:rPr>
        <w:t>352</w:t>
      </w:r>
      <w:r w:rsidR="005325DE">
        <w:fldChar w:fldCharType="end"/>
      </w:r>
      <w:r w:rsidR="005325DE">
        <w:t xml:space="preserve">  Even </w:t>
      </w:r>
      <w:r w:rsidR="007B30F7">
        <w:t xml:space="preserve">when fed </w:t>
      </w:r>
      <w:r w:rsidR="007B30F7">
        <w:rPr>
          <w:i/>
        </w:rPr>
        <w:t>ad libitum</w:t>
      </w:r>
      <w:r w:rsidR="005325DE">
        <w:t>, mice consuming leucine via drinking water</w:t>
      </w:r>
      <w:r w:rsidR="007B30F7">
        <w:t xml:space="preserve"> </w:t>
      </w:r>
      <w:r w:rsidR="005325DE">
        <w:t>had reduced total weight gain and adiposity compared controls without leucine in their water.</w:t>
      </w:r>
      <w:r w:rsidR="005325DE">
        <w:fldChar w:fldCharType="begin"/>
      </w:r>
      <w:r w:rsidR="000A492A">
        <w:instrText xml:space="preserve"> ADDIN ZOTERO_ITEM CSL_CITATION {"citationID":"VovPvXdg","properties":{"formattedCitation":"{\\rtf \\super 351\\nosupersub{}}","plainCitation":"351"},"citationItems":[{"id":1701,"uris":["http://zotero.org/users/171999/items/GM59NI4T"],"uri":["http://zotero.org/users/171999/items/GM59NI4T"],"itemData":{"id":1701,"type":"article-journal","title":"Increasing dietary leucine intake reduces diet-induced obesity and improves glucose and cholesterol metabolism in mice via multimechanisms","container-title":"Diabetes","page":"1647-1654","volume":"56","issue":"6","source":"NCBI PubMed","abstract":"Leucine, as an essential amino acid and activator of mTOR (mammalian target of rapamycin), promotes protein synthesis and suppresses protein catabolism. However, the effect of leucine on overall glucose and energy metabolism remains unclear, and whether leucine has beneficial effects as a long-term dietary supplement has not been examined. In the present study, we doubled dietary leucine intake via leucine-containing drinking water in mice with free excess to either a rodent chow or a high-fat diet (HFD). While it produced no major metabolic effects in chow-fed mice, increasing leucine intake resulted in up to 32% reduction of weight gain (P &lt; 0.05) and a 25% decrease in adiposity (P &lt; 0.01) in HFD-fed mice. The reduction of adiposity resulted from increased resting energy expenditure associated with increased expression of uncoupling protein 3 in brown and white adipose tissues and in skeletal muscle, while food intake was not decreased. Increasing leucine intake also prevented HFD-induced hyperglycemia, which was associated with improved insulin sensitivity, decreased plasma concentrations of glucagon and glucogenic amino acids, and downregulation of hepatic glucose-6-phosphatase. Additionally, plasma levels of total and LDL cholesterol were decreased by 27% (P &lt; 0.001) and 53% (P &lt; 0.001), respectively, in leucine supplemented HFD-fed mice compared with the control mice fed the same diet. The reduction in cholesterol levels was largely independent of leucine-induced changes in adiposity. In conclusion, increases in dietary leucine intake substantially decrease diet-induced obesity, hyperglycemia, and hypercholesterolemia in mice with ad libitum consumption of HFD likely via multiple mechanisms.","DOI":"10.2337/db07-0123","ISSN":"1939-327X","note":"PMID: 17360978","journalAbbreviation":"Diabetes","language":"eng","author":[{"family":"Zhang","given":"Yiying"},{"family":"Guo","given":"Kaiying"},{"family":"LeBlanc","given":"Robert E"},{"family":"Loh","given":"Daniella"},{"family":"Schwartz","given":"Gary J"},{"family":"Yu","given":"Yi-Hao"}],"issued":{"date-parts":[["2007",6]]},"PMID":"17360978"}}],"schema":"https://github.com/citation-style-language/schema/raw/master/csl-citation.json"} </w:instrText>
      </w:r>
      <w:r w:rsidR="005325DE">
        <w:fldChar w:fldCharType="separate"/>
      </w:r>
      <w:r w:rsidR="000A492A" w:rsidRPr="000A492A">
        <w:rPr>
          <w:vertAlign w:val="superscript"/>
        </w:rPr>
        <w:t>351</w:t>
      </w:r>
      <w:r w:rsidR="005325DE">
        <w:fldChar w:fldCharType="end"/>
      </w:r>
      <w:r w:rsidR="005325DE">
        <w:t xml:space="preserve">  </w:t>
      </w:r>
      <w:r w:rsidR="007B30F7">
        <w:t>In a similar study, but with leucine supplemented HFD, mouse total weight gain did not differ</w:t>
      </w:r>
      <w:r w:rsidR="00523239">
        <w:t xml:space="preserve"> while fat mass was lower with leucine.</w:t>
      </w:r>
      <w:r w:rsidR="00523239">
        <w:fldChar w:fldCharType="begin"/>
      </w:r>
      <w:r w:rsidR="000A492A">
        <w:instrText xml:space="preserve"> ADDIN ZOTERO_ITEM CSL_CITATION {"citationID":"miuvl7oa2","properties":{"formattedCitation":"{\\rtf \\super 350\\nosupersub{}}","plainCitation":"350"},"citationItems":[{"id":1697,"uris":["http://zotero.org/users/171999/items/AK5ER7R4"],"uri":["http://zotero.org/users/171999/items/AK5ER7R4"],"itemData":{"id":1697,"type":"article-journal","title":"Dietary leucine--an environmental modifier of insulin resistance acting on multiple levels of metabolism","container-title":"PloS one","page":"e21187","volume":"6","issue":"6","source":"NCBI PubMed","abstract":"Environmental factors, such as the macronutrient composition of the diet, can have a profound impact on risk of diabetes and metabolic syndrome. In the present study we demonstrate how a single, simple dietary factor--leucine--can modify insulin resistance by acting on multiple tissues and at multiple levels of metabolism. Mice were placed on a normal or high fat diet (HFD). Dietary leucine was doubled by addition to the drinking water. mRNA, protein and complete metabolomic profiles were assessed in the major insulin sensitive tissues and serum, and correlated with changes in glucose homeostasis and insulin signaling. After 8 weeks on HFD, mice developed obesity, fatty liver, inflammatory changes in adipose tissue and insulin resistance at the level of IRS-1 phosphorylation, as well as alterations in metabolomic profile of amino acid metabolites, TCA cycle intermediates, glucose and cholesterol metabolites, and fatty acids in liver, muscle, fat and serum. Doubling dietary leucine reversed many of the metabolite abnormalities and caused a marked improvement in glucose tolerance and insulin signaling without altering food intake or weight gain. Increased dietary leucine was also associated with a decrease in hepatic steatosis and a decrease in inflammation in adipose tissue. These changes occurred despite an increase in insulin-stimulated phosphorylation of p70S6 kinase indicating enhanced activation of mTOR, a phenomenon normally associated with insulin resistance. These data indicate that modest changes in a single environmental/nutrient factor can modify multiple metabolic and signaling pathways and modify HFD induced metabolic syndrome by acting at a systemic level on multiple tissues. These data also suggest that increasing dietary leucine may provide an adjunct in the management of obesity-related insulin resistance.","DOI":"10.1371/journal.pone.0021187","ISSN":"1932-6203","note":"PMID: 21731668","journalAbbreviation":"PLoS ONE","language":"eng","author":[{"family":"Macotela","given":"Yazmin"},{"family":"Emanuelli","given":"Brice"},{"family":"Bång","given":"Anneli M"},{"family":"Espinoza","given":"Daniel O"},{"family":"Boucher","given":"Jeremie"},{"family":"Beebe","given":"Kirk"},{"family":"Gall","given":"Walter"},{"family":"Kahn","given":"C Ronald"}],"issued":{"date-parts":[["2011"]]},"PMID":"21731668"}}],"schema":"https://github.com/citation-style-language/schema/raw/master/csl-citation.json"} </w:instrText>
      </w:r>
      <w:r w:rsidR="00523239">
        <w:fldChar w:fldCharType="separate"/>
      </w:r>
      <w:r w:rsidR="000A492A" w:rsidRPr="000A492A">
        <w:rPr>
          <w:vertAlign w:val="superscript"/>
        </w:rPr>
        <w:t>350</w:t>
      </w:r>
      <w:r w:rsidR="00523239">
        <w:fldChar w:fldCharType="end"/>
      </w:r>
    </w:p>
    <w:p w:rsidR="008C6792" w:rsidRPr="008C6792" w:rsidRDefault="008C6792" w:rsidP="008C6792">
      <w:pPr>
        <w:ind w:firstLine="720"/>
      </w:pPr>
      <w:r>
        <w:t>In adult dogs, recommended leucine intake is 1.7 g/1000 kcal (0.22 g/BW</w:t>
      </w:r>
      <w:r>
        <w:rPr>
          <w:vertAlign w:val="subscript"/>
        </w:rPr>
        <w:t>kg</w:t>
      </w:r>
      <w:r>
        <w:rPr>
          <w:vertAlign w:val="superscript"/>
        </w:rPr>
        <w:t>0.75</w:t>
      </w:r>
      <w:r>
        <w:t xml:space="preserve">).  </w:t>
      </w:r>
      <w:r w:rsidR="00F52D2F">
        <w:t>A safe upper limit has not been established because there are no r</w:t>
      </w:r>
      <w:r w:rsidR="004418F2">
        <w:t>eports of toxicity related to</w:t>
      </w:r>
      <w:r w:rsidR="00F52D2F">
        <w:t xml:space="preserve"> excess leucine consumption in dogs fed complete, balanced diets.</w:t>
      </w:r>
      <w:r w:rsidR="004418F2">
        <w:fldChar w:fldCharType="begin"/>
      </w:r>
      <w:r w:rsidR="000A492A">
        <w:instrText xml:space="preserve"> ADDIN ZOTERO_ITEM CSL_CITATION {"citationID":"vedpIqKF","properties":{"formattedCitation":"{\\rtf \\super 382\\nosupersub{}}","plainCitation":"382"},"citationItems":[{"id":533,"uris":["http://zotero.org/users/171999/items/S9PH5G8M"],"uri":["http://zotero.org/users/171999/items/S9PH5G8M"],"itemData":{"id":533,"type":"chapter","title":"Protein and Amino Acids","container-title":"Nutrient Requirements of Dogs and Cats","publisher":"National Academies Press","publisher-place":"Washington, DC","page":"111-144","edition":"[Rev. ed.]..","source":"Primo","event-place":"Washington, DC","ISBN":"0309086280","call-number":"SF427.4","language":"eng","author":[{"family":"National Research Council of the National Academies","given":""}],"issued":{"date-parts":[["2006"]]}}}],"schema":"https://github.com/citation-style-language/schema/raw/master/csl-citation.json"} </w:instrText>
      </w:r>
      <w:r w:rsidR="004418F2">
        <w:fldChar w:fldCharType="separate"/>
      </w:r>
      <w:r w:rsidR="000A492A" w:rsidRPr="000A492A">
        <w:rPr>
          <w:vertAlign w:val="superscript"/>
        </w:rPr>
        <w:t>382</w:t>
      </w:r>
      <w:r w:rsidR="004418F2">
        <w:fldChar w:fldCharType="end"/>
      </w:r>
      <w:r w:rsidR="00A3419C">
        <w:t xml:space="preserve">  The author is unaware of research specifically assessing leucine as a treatment for obesity in dogs, but there is evidence of lower serum levels</w:t>
      </w:r>
      <w:r w:rsidR="009D0011">
        <w:t xml:space="preserve"> of multiple amino acids, including leucine,</w:t>
      </w:r>
      <w:r w:rsidR="00A3419C">
        <w:t xml:space="preserve"> in caloric-restricted Labrador Retriever dogs </w:t>
      </w:r>
      <w:r w:rsidR="00A3419C">
        <w:rPr>
          <w:u w:val="single"/>
        </w:rPr>
        <w:t>&gt;</w:t>
      </w:r>
      <w:r w:rsidR="00A3419C">
        <w:t xml:space="preserve"> 6 years old.</w:t>
      </w:r>
      <w:r w:rsidR="00A3419C">
        <w:fldChar w:fldCharType="begin"/>
      </w:r>
      <w:r w:rsidR="000A492A">
        <w:instrText xml:space="preserve"> ADDIN ZOTERO_ITEM CSL_CITATION {"citationID":"2qil9cica2","properties":{"formattedCitation":"{\\rtf \\super 383\\nosupersub{}}","plainCitation":"383"},"citationItems":[{"id":380,"uris":["http://zotero.org/users/171999/items/X8SD7S9G"],"uri":["http://zotero.org/users/171999/items/X8SD7S9G"],"itemData":{"id":380,"type":"article-journal","title":"Metabolic phenotype modulation by caloric restriction in a lifelong dog study","container-title":"Journal of proteome research","page":"3117-3127","volume":"12","issue":"7","source":"NCBI PubMed","abstract":"Modeling aging and age-related pathologies presents a substantial analytical challenge given the complexity of gene-environment influences and interactions operating on an individual. A top-down systems approach is used to model the effects of lifelong caloric restriction, which is known to extend life span in several animal models. The metabolic phenotypes of caloric-restricted (CR; n = 24) and pair-housed control-fed (CF; n = 24) Labrador Retriever dogs were investigated by use of orthogonal projection to latent structures discriminant analysis (OPLS-DA) to model both generic and age-specific responses to caloric restriction from the ¹H NMR blood serum profiles of young and older dogs. Three aging metabolic phenotypes were resolved: (i) an aging metabolic phenotype independent of diet, characterized by high levels of glutamine, creatinine, methylamine, dimethylamine, trimethylamine N-oxide, and glycerophosphocholine and decreasing levels of glycine, aspartate, creatine and citrate indicative of metabolic changes associated largely with muscle mass; (ii) an aging metabolic phenotype specific to CR dogs that consisted of relatively lower levels of glucose, acetate, choline, and tyrosine and relatively higher serum levels of phosphocholine with increased age in the CR population; (iii) an aging metabolic phenotype specific to CF dogs including lower levels of liproprotein fatty acyl groups and allantoin and relatively higher levels of formate with increased age in the CF population. There was no diet metabotype that consistently differentiated the CF and CR dogs irrespective of age. Glucose consistently discriminated between feeding regimes in dogs (≥312 weeks), being relatively lower in the CR group. However, it was observed that creatine and amino acids (valine, leucine, isoleucine, lysine, and phenylalanine) were lower in the CR dogs (&lt;312 weeks), suggestive of differences in energy source utilization. ¹H NMR spectroscopic analysis of longitudinal serum profiles enabled an unbiased evaluation of the metabolic markers modulated by a lifetime of caloric restriction and showed differences in the metabolic phenotype of aging due to caloric restriction, which contributes to longevity studies in caloric-restricted animals. Furthermore, OPLS-DA provided a framework such that significant metabolites relating to life extension could be differentiated and integrated with aging processes.","DOI":"10.1021/pr301097k","ISSN":"1535-3907","note":"PMID: 23713866","journalAbbreviation":"J. Proteome Res.","language":"eng","author":[{"family":"Richards","given":"Selena E"},{"family":"Wang","given":"Yulan"},{"family":"Claus","given":"Sandrine P"},{"family":"Lawler","given":"Dennis"},{"family":"Kochhar","given":"Sunil"},{"family":"Holmes","given":"Elaine"},{"family":"Nicholson","given":"Jeremy K"}],"issued":{"date-parts":[["2013",7,5]]},"PMID":"23713866"}}],"schema":"https://github.com/citation-style-language/schema/raw/master/csl-citation.json"} </w:instrText>
      </w:r>
      <w:r w:rsidR="00A3419C">
        <w:fldChar w:fldCharType="separate"/>
      </w:r>
      <w:r w:rsidR="000A492A" w:rsidRPr="000A492A">
        <w:rPr>
          <w:vertAlign w:val="superscript"/>
        </w:rPr>
        <w:t>383</w:t>
      </w:r>
      <w:r w:rsidR="00A3419C">
        <w:fldChar w:fldCharType="end"/>
      </w:r>
      <w:r w:rsidR="00BF0EF2">
        <w:t xml:space="preserve">  Th</w:t>
      </w:r>
      <w:r w:rsidR="009D0011">
        <w:t>es</w:t>
      </w:r>
      <w:r w:rsidR="00BF0EF2">
        <w:t>e authors suggest this may be due to increased amino acid oxidation as the caloric-restricted dogs looked toward an alternat</w:t>
      </w:r>
      <w:r w:rsidR="009D0011">
        <w:t>ive energy source.</w:t>
      </w:r>
    </w:p>
    <w:p w:rsidR="009F3581" w:rsidRDefault="00523239" w:rsidP="00523239">
      <w:pPr>
        <w:pStyle w:val="Heading3"/>
      </w:pPr>
      <w:bookmarkStart w:id="36" w:name="_Toc376465762"/>
      <w:r>
        <w:t>Pyridoxine</w:t>
      </w:r>
      <w:bookmarkEnd w:id="36"/>
    </w:p>
    <w:p w:rsidR="00077EC3" w:rsidRDefault="0068541F" w:rsidP="0068541F">
      <w:pPr>
        <w:ind w:firstLine="720"/>
      </w:pPr>
      <w:r>
        <w:t>Pyridoxine</w:t>
      </w:r>
      <w:r w:rsidR="005E7B27" w:rsidRPr="003A0EF9">
        <w:t xml:space="preserve"> acts to attenuate calcium signaling, </w:t>
      </w:r>
      <w:r>
        <w:t xml:space="preserve">inhibiting </w:t>
      </w:r>
      <w:r w:rsidR="00017EEA">
        <w:t xml:space="preserve">calcium movement into </w:t>
      </w:r>
      <w:r>
        <w:t>adipocyte</w:t>
      </w:r>
      <w:r w:rsidR="00017EEA">
        <w:t>s</w:t>
      </w:r>
      <w:r w:rsidR="00E95739">
        <w:t xml:space="preserve"> </w:t>
      </w:r>
      <w:r>
        <w:rPr>
          <w:i/>
        </w:rPr>
        <w:t>in vitro</w:t>
      </w:r>
      <w:r>
        <w:t>.</w:t>
      </w:r>
      <w:r w:rsidR="00017EEA">
        <w:t xml:space="preserve">  This has been noted in research utilizing pyridoxine deficient rats, which have enhanced influx of calcium into vascular smooth muscle.</w:t>
      </w:r>
      <w:r w:rsidR="0006255E">
        <w:fldChar w:fldCharType="begin"/>
      </w:r>
      <w:r w:rsidR="000A492A">
        <w:instrText xml:space="preserve"> ADDIN ZOTERO_ITEM CSL_CITATION {"citationID":"5qsahfret","properties":{"formattedCitation":"{\\rtf \\super 384,385\\nosupersub{}}","plainCitation":"384,385"},"citationItems":[{"id":175,"uris":["http://zotero.org/users/171999/items/Z2XJEMFC"],"uri":["http://zotero.org/users/171999/items/Z2XJEMFC"],"itemData":{"id":175,"type":"article-journal","title":"Regulation of calcium influx into vascular smooth muscle by vitamin B6","container-title":"Clinical and experimental hypertension (New York, N.Y.: 1993)","page":"489-500","volume":"15","issue":"3","source":"NCBI PubMed","abstract":"In the vitamin B6 deficiency-induced hypertensive (B6DHT) rat there is an increased influx of calcium into the vascular smooth muscle. Vitamers which possess vitamin B6 activity blocked the in vitro calcium influx into the caudal artery of B6DHT rats and the BAY K 8644-induced influx into artery segments from vitamin B6-supplemented (control) rats. BAY K 8644 did not increase further the calcium influx into caudal artery segments from B6DHT rats. However, when this influx was partly decreased by Nifedipine or by pyridoxal phosphate, BAY K 8644 antagonized their effects indicating that calcium influx mediated by the dihydropyridine-sensitive calcium channel is a site of the calcium influx defect in the B6DHT rat.","ISSN":"1064-1963","note":"PMID: 7683949","journalAbbreviation":"Clin. Exp. Hypertens.","language":"eng","author":[{"family":"Lal","given":"K J"},{"family":"Sharma","given":"S K"},{"family":"Dakshinamurti","given":"K"}],"issued":{"date-parts":[["1993",5]]},"PMID":"7683949"}},{"id":179,"uris":["http://zotero.org/users/171999/items/VPI2R49G"],"uri":["http://zotero.org/users/171999/items/VPI2R49G"],"itemData":{"id":179,"type":"article-journal","title":"Hypertension, calcium channel and pyridoxine (vitamin B6)","container-title":"Molecular and cellular biochemistry","page":"137-148","volume":"188","issue":"1-2","source":"NCBI PubMed","abstract":"The moderately pyridoxine (vitamin B6)-deficient male rat was introduced by us as an animal model (B6DHT) for the study of hypertension. Hypertension in this rat is associated with increased sympathetic stimulation. Arterial segments from B6DHT rats maintained a higher resting tone. The influx of 45calcium into intracellular compartment of the vascular smooth muscle of the caudate artery of B6DHT rats was also enhanced. Administration of pyridoxine attenuated the hypertension in B6DHT rats as well as in genetic or dietary-induced moderately hypertensive conditions such as in the Zucker obese rat and sucrose or low calcium-fed rats. However, pyridoxine did not have any effect on the spontaneously hypertensive rat. All classes of calcium channel blockers were effective in lowering the systolic blood pressure of B6DHT rats. The increased in vitro influx of 45calcium into intracellular compartment of artery segments of B6DHT rats as well as the BAY K 8644-induced influx of 45calcium into artery segments from normal rats were blocked by pyridoxal phosphate as well as by dihydropyridine-sensitive calcium channel blockers (DHP). Pyridoxal phosphate (PLP) in vitro enhances the binding of calcium channel antagonists to membrane preparations from vascular tissue. PLP corrects the membrane abnormality in responsive hypertensive conditions and thus, could be an endogenous modulator of DHP-sensitive calcium channels.","ISSN":"0300-8177","note":"PMID: 9823019","journalAbbreviation":"Mol. Cell. Biochem.","language":"eng","author":[{"family":"Dakshinamurti","given":"K"},{"family":"Lal","given":"K J"},{"family":"Ganguly","given":"P K"}],"issued":{"date-parts":[["1998",11]]},"PMID":"9823019"}}],"schema":"https://github.com/citation-style-language/schema/raw/master/csl-citation.json"} </w:instrText>
      </w:r>
      <w:r w:rsidR="0006255E">
        <w:fldChar w:fldCharType="separate"/>
      </w:r>
      <w:r w:rsidR="000A492A" w:rsidRPr="000A492A">
        <w:rPr>
          <w:vertAlign w:val="superscript"/>
        </w:rPr>
        <w:t>384,385</w:t>
      </w:r>
      <w:r w:rsidR="0006255E">
        <w:fldChar w:fldCharType="end"/>
      </w:r>
      <w:r w:rsidR="00017EEA">
        <w:t xml:space="preserve">  Administration of PLP </w:t>
      </w:r>
      <w:r w:rsidR="0006255E">
        <w:t>inhibited the calcium influx by enhancing calcium channel antagonist binding in vascular tissue.</w:t>
      </w:r>
      <w:r w:rsidR="0006255E">
        <w:fldChar w:fldCharType="begin"/>
      </w:r>
      <w:r w:rsidR="000A492A">
        <w:instrText xml:space="preserve"> ADDIN ZOTERO_ITEM CSL_CITATION {"citationID":"1cgl7s9ft0","properties":{"formattedCitation":"{\\rtf \\super 385\\nosupersub{}}","plainCitation":"385"},"citationItems":[{"id":179,"uris":["http://zotero.org/users/171999/items/VPI2R49G"],"uri":["http://zotero.org/users/171999/items/VPI2R49G"],"itemData":{"id":179,"type":"article-journal","title":"Hypertension, calcium channel and pyridoxine (vitamin B6)","container-title":"Molecular and cellular biochemistry","page":"137-148","volume":"188","issue":"1-2","source":"NCBI PubMed","abstract":"The moderately pyridoxine (vitamin B6)-deficient male rat was introduced by us as an animal model (B6DHT) for the study of hypertension. Hypertension in this rat is associated with increased sympathetic stimulation. Arterial segments from B6DHT rats maintained a higher resting tone. The influx of 45calcium into intracellular compartment of the vascular smooth muscle of the caudate artery of B6DHT rats was also enhanced. Administration of pyridoxine attenuated the hypertension in B6DHT rats as well as in genetic or dietary-induced moderately hypertensive conditions such as in the Zucker obese rat and sucrose or low calcium-fed rats. However, pyridoxine did not have any effect on the spontaneously hypertensive rat. All classes of calcium channel blockers were effective in lowering the systolic blood pressure of B6DHT rats. The increased in vitro influx of 45calcium into intracellular compartment of artery segments of B6DHT rats as well as the BAY K 8644-induced influx of 45calcium into artery segments from normal rats were blocked by pyridoxal phosphate as well as by dihydropyridine-sensitive calcium channel blockers (DHP). Pyridoxal phosphate (PLP) in vitro enhances the binding of calcium channel antagonists to membrane preparations from vascular tissue. PLP corrects the membrane abnormality in responsive hypertensive conditions and thus, could be an endogenous modulator of DHP-sensitive calcium channels.","ISSN":"0300-8177","note":"PMID: 9823019","journalAbbreviation":"Mol. Cell. Biochem.","language":"eng","author":[{"family":"Dakshinamurti","given":"K"},{"family":"Lal","given":"K J"},{"family":"Ganguly","given":"P K"}],"issued":{"date-parts":[["1998",11]]},"PMID":"9823019"}}],"schema":"https://github.com/citation-style-language/schema/raw/master/csl-citation.json"} </w:instrText>
      </w:r>
      <w:r w:rsidR="0006255E">
        <w:fldChar w:fldCharType="separate"/>
      </w:r>
      <w:r w:rsidR="000A492A" w:rsidRPr="000A492A">
        <w:rPr>
          <w:vertAlign w:val="superscript"/>
        </w:rPr>
        <w:t>385</w:t>
      </w:r>
      <w:r w:rsidR="0006255E">
        <w:fldChar w:fldCharType="end"/>
      </w:r>
      <w:r w:rsidR="00077EC3">
        <w:t xml:space="preserve">  Spontaneously hypertensive rats also exhibit increased intracellular calcium </w:t>
      </w:r>
      <w:r w:rsidR="00077EC3">
        <w:lastRenderedPageBreak/>
        <w:t>levels, which</w:t>
      </w:r>
      <w:r w:rsidR="00087EFD">
        <w:t xml:space="preserve"> </w:t>
      </w:r>
      <w:r w:rsidR="00077EC3">
        <w:t>is reduced with dietary pyridoxine supplementation at both recommended</w:t>
      </w:r>
      <w:r w:rsidR="00087EFD">
        <w:t xml:space="preserve"> and </w:t>
      </w:r>
      <w:r w:rsidR="00077EC3">
        <w:t>20 x recommended dietary intake levels.</w:t>
      </w:r>
      <w:r w:rsidR="00077EC3">
        <w:fldChar w:fldCharType="begin"/>
      </w:r>
      <w:r w:rsidR="000A492A">
        <w:instrText xml:space="preserve"> ADDIN ZOTERO_ITEM CSL_CITATION {"citationID":"1emur3i6f2","properties":{"formattedCitation":"{\\rtf \\super 386\\nosupersub{}}","plainCitation":"386"},"citationItems":[{"id":183,"uris":["http://zotero.org/users/171999/items/QC5JEVF2"],"uri":["http://zotero.org/users/171999/items/QC5JEVF2"],"itemData":{"id":183,"type":"article-journal","title":"Dietary vitamin B6 supplementation attenuates hypertension in spontaneously hypertensive rats","container-title":"Molecular and cellular biochemistry","page":"155-162","volume":"200","issue":"1-2","source":"NCBI PubMed","abstract":"In spontaneously hypertensive rats (SHRs) excess endogenous aldehydes bind sulfhydryl groups of membrane proteins, altering membrane Ca2+ channels, increasing cytosolic free calcium and blood pressure. N-acetyl cysteine normalizes elevated blood pressure in SHRs by binding excess endogenous aldehydes. It is known that dietary vitamin B6 supplementation can increase the level of endogenous cysteine. Our objective was to investigate whether a dietary supplementation of vitamin B6 can prevent hypertension and associated changes in SHRs. Starting at 7 weeks of age, animals were divided into three groups of six animals each. Animals in WKY-control group and SHR-control group were given a normal vitamin B6 diet; and SHR-vitamin B6 group, a high vitamin B6 diet (20 times the recommended dietary intake; RDA) for the next 14 weeks. After 14 weeks, systolic blood pressure, platelet [Ca2+]i and liver, kidney and aortic aldehyde conjugates were significantly higher in SHR controls compared to WKY controls. These animals also showed smooth muscle cell hyperplasia in the small arteries and arterioles of the kidneys. Dietary vitamin B6 supplementation attenuated the increase in systolic blood pressure, tissue aldehyde conjugates and associated changes. These results further support the hypothesis that aldehydes are involved in increased systolic blood pressure in SHRs and suggest that vitamin B6 supplementation may be an effective antihypertensive.","ISSN":"0300-8177","note":"PMID: 10569195","journalAbbreviation":"Mol. Cell. Biochem.","language":"eng","author":[{"family":"Vasdev","given":"S"},{"family":"Ford","given":"C A"},{"family":"Parai","given":"S"},{"family":"Longerich","given":"L"},{"family":"Gadag","given":"V"}],"issued":{"date-parts":[["1999",10]]},"PMID":"10569195"}}],"schema":"https://github.com/citation-style-language/schema/raw/master/csl-citation.json"} </w:instrText>
      </w:r>
      <w:r w:rsidR="00077EC3">
        <w:fldChar w:fldCharType="separate"/>
      </w:r>
      <w:r w:rsidR="000A492A" w:rsidRPr="000A492A">
        <w:rPr>
          <w:vertAlign w:val="superscript"/>
        </w:rPr>
        <w:t>386</w:t>
      </w:r>
      <w:r w:rsidR="00077EC3">
        <w:fldChar w:fldCharType="end"/>
      </w:r>
      <w:r w:rsidR="00077EC3">
        <w:t xml:space="preserve">  </w:t>
      </w:r>
      <w:r w:rsidR="008143EC">
        <w:t>Cultured adipocytes treated with PLP (50 or 100 nM) also exhibited reduced intracellular calcium concentration.</w:t>
      </w:r>
      <w:r w:rsidR="008143EC">
        <w:fldChar w:fldCharType="begin"/>
      </w:r>
      <w:r w:rsidR="000A492A">
        <w:instrText xml:space="preserve"> ADDIN ZOTERO_ITEM CSL_CITATION {"citationID":"2e7b56lcco","properties":{"formattedCitation":"{\\rtf \\super 354\\nosupersub{}}","plainCitation":"354"},"citationItems":[{"id":"sfRcBkgw/unGO8au1","uris":["http://zotero.org/users/local/Ry4zHLbn/items/WZP424QN"],"uri":["http://zotero.org/users/local/Ry4zHLbn/items/WZP424QN"],"itemData":{"id":"sfRcBkgw/unGO8au1","type":"article-journal","title":"Effects of a leucine and pyridoxine-containing nutraceutical on fat oxidation, and oxidative and inflammatory stress in overweight and obese subjects","container-title":"Nutrients","page":"529-541","volume":"4","issue":"6","source":"NCBI PubMed","abstract":"Leucine stimulates tissue protein synthesis and may also attenuate adiposity by increasing fatty acid oxidation and mitochondrial biogenesis in muscle and adipocytes. Accordingly, the effects of a nutraceutical containing 2.25 g leucine and 30 mg pyridoxine (Vitamin B6) (NuFit active blend) were tested in cell culture and in a clinical trial. 3T3L1 adipocytes were treated with leucine (0.25 mM or 0.5 mM) and/or Pyridoxal Phosphate (PLP) (50 nM or 100 nM) for 48 h. For the clinical trial, twenty overweight or obese subjects received the NuFit active blend or placebo three times/day for 4 weeks without energy restriction. Leucine decreased fatty acid synthase (FAS) expression and triglyceride content in adipocytes, and PLP addition significantly augmented this effect. Administration of NuFit active blend in the clinical trial increased fat oxidation by 33.6 g/day (p &lt; 0.04), decreased respiratory quotient, improved HOMA(IR), reduced oxidative and inflammatory biomarkers (plasma MDA, 8-isoprostane-F(2α), TNF-α, C-reactive protein), and increased the anti-inflammatory marker adiponectin. These data indicate that the NuFit active blend significantly increased fat oxidation and insulin sensitivity, and reduced oxidative and inflammatory stress. Therefore, the NuFit active blend appears to be a useful nutraceutical in the management of obesity and associated co-morbidities.","DOI":"10.3390/nu4060529","ISSN":"2072-6643","note":"PMID: 22822451","journalAbbreviation":"Nutrients","language":"eng","author":[{"family":"Zemel","given":"Michael B"},{"family":"Bruckbauer","given":"Antje"}],"issued":{"year":2012,"month":6},"PMID":"22822451","page-first":"529","container-title-short":"Nutrients"}}],"schema":"https://github.com/citation-style-language/schema/raw/master/csl-citation.json"} </w:instrText>
      </w:r>
      <w:r w:rsidR="008143EC">
        <w:fldChar w:fldCharType="separate"/>
      </w:r>
      <w:r w:rsidR="000A492A" w:rsidRPr="000A492A">
        <w:rPr>
          <w:vertAlign w:val="superscript"/>
        </w:rPr>
        <w:t>354</w:t>
      </w:r>
      <w:r w:rsidR="008143EC">
        <w:fldChar w:fldCharType="end"/>
      </w:r>
    </w:p>
    <w:p w:rsidR="00087EFD" w:rsidRDefault="00077EC3" w:rsidP="007900D8">
      <w:pPr>
        <w:ind w:firstLine="720"/>
      </w:pPr>
      <w:r>
        <w:t xml:space="preserve">The ability to limit </w:t>
      </w:r>
      <w:r w:rsidR="00FC311C">
        <w:t>intracellular</w:t>
      </w:r>
      <w:r>
        <w:t xml:space="preserve"> calcium accumulation is important to discussions surrounding weight loss because calcium regulates adipocyte lipid metabolism</w:t>
      </w:r>
      <w:r w:rsidR="00A33229">
        <w:t>.  This relationship has been shown</w:t>
      </w:r>
      <w:r w:rsidR="00DF57FF">
        <w:t xml:space="preserve"> using human adipocytes exposed to </w:t>
      </w:r>
      <w:r w:rsidR="00A33229">
        <w:t>agouti</w:t>
      </w:r>
      <w:r w:rsidR="009523F7">
        <w:t xml:space="preserve"> protein, which is </w:t>
      </w:r>
      <w:r w:rsidR="00DF57FF">
        <w:t xml:space="preserve">associated with </w:t>
      </w:r>
      <w:r w:rsidR="00A33229">
        <w:t xml:space="preserve">obesity </w:t>
      </w:r>
      <w:r w:rsidR="00F4353F">
        <w:t>and is expressed</w:t>
      </w:r>
      <w:r w:rsidR="006D17CA">
        <w:t xml:space="preserve"> primarily in adipocytes</w:t>
      </w:r>
      <w:r w:rsidR="00A33229">
        <w:t>.</w:t>
      </w:r>
      <w:r w:rsidR="009523F7">
        <w:t xml:space="preserve">  Agouti protein </w:t>
      </w:r>
      <w:r w:rsidR="00DF57FF">
        <w:t xml:space="preserve">exposure increased </w:t>
      </w:r>
      <w:r w:rsidR="009523F7">
        <w:t xml:space="preserve">adipocyte </w:t>
      </w:r>
      <w:r w:rsidR="00DF57FF">
        <w:t>FASN expression</w:t>
      </w:r>
      <w:r w:rsidR="001A49F3">
        <w:t xml:space="preserve"> in these adipocytes</w:t>
      </w:r>
      <w:r w:rsidR="007900D8">
        <w:t>, indicating a lipogenic state</w:t>
      </w:r>
      <w:r w:rsidR="00CA06B0">
        <w:t>.</w:t>
      </w:r>
      <w:r w:rsidR="00CA06B0">
        <w:fldChar w:fldCharType="begin"/>
      </w:r>
      <w:r w:rsidR="000A492A">
        <w:instrText xml:space="preserve"> ADDIN ZOTERO_ITEM CSL_CITATION {"citationID":"quNq3ICG","properties":{"formattedCitation":"{\\rtf \\super 387,388\\nosupersub{}}","plainCitation":"387,388"},"citationItems":[{"id":187,"uris":["http://zotero.org/users/171999/items/D95PS2N9"],"uri":["http://zotero.org/users/171999/items/D95PS2N9"],"itemData":{"id":187,"type":"article-journal","title":"Transcriptional regulation of the adipocyte fatty acid synthase gene by agouti: interaction with insulin","container-title":"Physiological genomics","page":"157-162","volume":"3","issue":"3","source":"NCBI PubMed","abstract":"Mice carrying dominant mutations at the agouti locus exhibit ectopic expression of agouti gene transcripts, obesity, and type II diabetes through unknown mechanisms. To gain insight into the role of agouti protein in modulating adiposity, we investigated regulation of a key lipogenic gene, fatty acid synthase (FAS) by agouti alone and in combination with insulin. Both agouti and insulin increase FAS activity in 3T3-L1 and in human adipocytes. Agouti and insulin independently and additively increase FAS activity in 3T3-L1 adipocytes. We further investigated the mechanism responsible for the agouti-induced FAS expression in these cells and demonstrated that both insulin (3-fold increase) and agouti (2-fold) increased FAS gene expression at the transcriptional level. Furthermore, insulin and agouti together exerted additive effects (5-fold increase) on FAS gene transcription. Transfection assays of FAS promoter-luciferase fusion gene constructs into 3T3-L1 adipocytes indicated that the agouti response element(s) is (are) located in the -435 to -415 region (-435/-415) of the FAS promoter. Nuclear proteins binding to this novel sequence are adipocyte specific. Thus the agouti response sequences mapped to a region upstream of the insulin-responsive element (which we previously reported to be located at -67/-52), consistent with additive effects of these two factors on FAS gene transcription.","ISSN":"1531-2267","note":"PMID: 11015611","shortTitle":"Transcriptional regulation of the adipocyte fatty acid synthase gene by agouti","journalAbbreviation":"Physiol. Genomics","language":"eng","author":[{"family":"Claycombe","given":"K J"},{"family":"Wang","given":"Y"},{"family":"Jones","given":"B H"},{"family":"Kim","given":"S"},{"family":"Wilkison","given":"W O"},{"family":"Zemel","given":"M B"},{"family":"Chun","given":"J"},{"family":"Moustaid-Moussa","given":"N"}],"issued":{"date-parts":[["2000",9,8]]},"PMID":"11015611"}},{"id":191,"uris":["http://zotero.org/users/171999/items/RNHCWFIG"],"uri":["http://zotero.org/users/171999/items/RNHCWFIG"],"itemData":{"id":191,"type":"article-journal","title":"Relationship between human adipose tissue agouti and fatty acid synthase (FAS)","container-title":"The Journal of nutrition","page":"2478-2481","volume":"130","issue":"10","source":"NCBI PubMed","abstract":"The human homologue of the murine obesity gene, agouti, is expressed in adipose tissue. We have shown that recombinant agouti protein regulates adipocyte lipogenesis and lipolysis coordinately and promotes lipid storage via a Ca(2+)-dependent mechanism in vitro, which may contribute to agouti-induced obesity. However, little is known about agouti's physiologic function in humans. We first studied the agouti content in human mature adipocytes vs. preadipocytes. The agouti content of human mature adipocytes was five times as abundant as in preadipocytes (19.18 +/- 2.46 vs. 4.07 +/- 0.51 pg/microg protein, P: &lt; 0.005), suggesting that agouti is up-regulated during adipocyte differentiation. We next studied the relationship of agouti mRNA and protein to fatty acid synthase (FAS) mRNA and activity in adipose tissue obtained from nonobese and mildly obese patients (body mass index range, 21-31 kg/m(2)). Agouti protein was correlated with FAS activity (r = 0.782, P: &lt; 0.005). Similarly, human adipose tissue agouti mRNA level was also correlated with FAS mRNA level (r = 0.846, P: &lt; 0.001). These data suggest that agouti may be another adipocyte-produced factor that modulates adipocyte lipid metabolism via a paracrine/autocrine mechanism.","ISSN":"0022-3166","note":"PMID: 11015476","journalAbbreviation":"J. Nutr.","language":"eng","author":[{"family":"Xue","given":"B"},{"family":"Zemel","given":"M B"}],"issued":{"date-parts":[["2000",10]]},"PMID":"11015476"}}],"schema":"https://github.com/citation-style-language/schema/raw/master/csl-citation.json"} </w:instrText>
      </w:r>
      <w:r w:rsidR="00CA06B0">
        <w:fldChar w:fldCharType="separate"/>
      </w:r>
      <w:r w:rsidR="000A492A" w:rsidRPr="000A492A">
        <w:rPr>
          <w:vertAlign w:val="superscript"/>
        </w:rPr>
        <w:t>387,388</w:t>
      </w:r>
      <w:r w:rsidR="00CA06B0">
        <w:fldChar w:fldCharType="end"/>
      </w:r>
      <w:r w:rsidR="009523F7">
        <w:t xml:space="preserve">  Increased</w:t>
      </w:r>
      <w:r w:rsidR="00640907">
        <w:t xml:space="preserve"> intracellular calcium concentration </w:t>
      </w:r>
      <w:r w:rsidR="007900D8">
        <w:t xml:space="preserve">also </w:t>
      </w:r>
      <w:r w:rsidR="00640907">
        <w:t>le</w:t>
      </w:r>
      <w:r w:rsidR="007900D8">
        <w:t>a</w:t>
      </w:r>
      <w:r w:rsidR="00640907">
        <w:t>d</w:t>
      </w:r>
      <w:r w:rsidR="007900D8">
        <w:t>s</w:t>
      </w:r>
      <w:r w:rsidR="00640907">
        <w:t xml:space="preserve"> to increased</w:t>
      </w:r>
      <w:r w:rsidR="009523F7">
        <w:t xml:space="preserve"> FASN </w:t>
      </w:r>
      <w:r w:rsidR="00640907">
        <w:t>expression</w:t>
      </w:r>
      <w:r w:rsidR="007900D8">
        <w:t xml:space="preserve"> in adipocytes</w:t>
      </w:r>
      <w:r w:rsidR="007C0F3C">
        <w:t>.</w:t>
      </w:r>
      <w:r w:rsidR="00424608">
        <w:fldChar w:fldCharType="begin"/>
      </w:r>
      <w:r w:rsidR="000A492A">
        <w:instrText xml:space="preserve"> ADDIN ZOTERO_ITEM CSL_CITATION {"citationID":"u9htj3imh","properties":{"formattedCitation":"{\\rtf \\super 389\\nosupersub{}}","plainCitation":"389"},"citationItems":[{"id":213,"uris":["http://zotero.org/users/171999/items/Z4QHDV2B"],"uri":["http://zotero.org/users/171999/items/Z4QHDV2B"],"itemData":{"id":213,"type":"article-journal","title":"Role of the sulfonylurea receptor in regulating human adipocyte metabolism","container-title":"FASEB journal: official publication of the Federation of American Societies for Experimental Biology","page":"1833-1838","volume":"13","issue":"13","source":"NCBI PubMed","abstract":"A regulatory role for intracellular Ca2+ ([Ca2+]i) in adipocyte lipogenesis, lipolysis and triglyceride accumulation has been demonstrated. Compounds acting on the pancreatic sulfonylurea receptor (SUR) to increase (e.g., glibenclamide) or decrease (e.g., diazoxide) [Ca2+]i cause corresponding increases and decreases in weight gain. However, these weight gain and loss effects have been attributed to insulin release rather than to the primary effects of these compounds on the adipocyte SUR and its associated K(ATP) channel. Accordingly, we have evaluated the direct role of the human adipocyte SUR in regulating adipocyte metabolism. We used RT-PCR with primers for a highly conserved region of SUR1 to demonstrate that human adipocytes express SUR1. The PCR product was confirmed by sequence analysis and used as a probe to demonstrate adipocyte SUR1 expression by Northern blot analysis. Adipocytes exhibited glibenclamide dose-responsive (0-20 microM) increases in [Ca2+]i (P&lt;0.05). Similarly, glibenclamide (10 microM) caused a 67% increase in adipocyte fatty acid synthase activity (P&lt;0.001), a 48% increase in glycerol-3-phosphate dehydrogenase activity (P&lt;0.01) and a 68% inhibition in lipolysis (P&lt;0.01), whereas diazoxide (10 microM) completely prevented each of these effects. These data demonstrate that human adipocytes express a SUR that regulates [Ca2+]i and, consequently, exerts coordinate control over lipogenesis and lipolysis. Accordingly, the adipocyte SUR1 may represent an important target for the development of therapeutic interventions in obesity.","ISSN":"0892-6638","note":"PMID: 10506587","journalAbbreviation":"FASEB J.","language":"eng","author":[{"family":"Shi","given":"H"},{"family":"Moustaid-Moussa","given":"N"},{"family":"Wilkison","given":"W O"},{"family":"Zemel","given":"M B"}],"issued":{"date-parts":[["1999",10]]},"PMID":"10506587"}}],"schema":"https://github.com/citation-style-language/schema/raw/master/csl-citation.json"} </w:instrText>
      </w:r>
      <w:r w:rsidR="00424608">
        <w:fldChar w:fldCharType="separate"/>
      </w:r>
      <w:r w:rsidR="000A492A" w:rsidRPr="000A492A">
        <w:rPr>
          <w:vertAlign w:val="superscript"/>
        </w:rPr>
        <w:t>389</w:t>
      </w:r>
      <w:r w:rsidR="00424608">
        <w:fldChar w:fldCharType="end"/>
      </w:r>
      <w:r w:rsidR="007C0F3C">
        <w:t xml:space="preserve">  </w:t>
      </w:r>
      <w:r w:rsidR="00F11FC0">
        <w:t>In human adipocyte cultures, glycerol release was used as an indication of lipolysis,</w:t>
      </w:r>
      <w:r w:rsidR="006D17CA">
        <w:t xml:space="preserve"> and intracellular calcium levels were associated with diminished glycerol release.</w:t>
      </w:r>
      <w:r w:rsidR="006D17CA">
        <w:fldChar w:fldCharType="begin"/>
      </w:r>
      <w:r w:rsidR="000A492A">
        <w:instrText xml:space="preserve"> ADDIN ZOTERO_ITEM CSL_CITATION {"citationID":"E1WEK6SO","properties":{"formattedCitation":"{\\rtf \\super 389\\uc0\\u8211{}391\\nosupersub{}}","plainCitation":"389–391"},"citationItems":[{"id":205,"uris":["http://zotero.org/users/171999/items/WEQADG4P"],"uri":["http://zotero.org/users/171999/items/WEQADG4P"],"itemData":{"id":205,"type":"article-journal","title":"The agouti gene product inhibits lipolysis in human adipocytes via a Ca2+-dependent mechanism","container-title":"FASEB journal: official publication of the Federation of American Societies for Experimental Biology","page":"1391-1396","volume":"12","issue":"13","source":"NCBI PubMed","abstract":"Overexpression of the murine agouti gene results in obesity. The human homologue of agouti is expressed primarily in human adipocytes, and we have shown recombinant agouti protein to increase adipocyte intracellular Ca2+([Ca2+]i) and thereby stimulate lipogenesis. However, since recent data demonstrate that increasing adipocyte [Ca2+]i may also inhibit lipolysis, we have investigated the role of agouti-induced [Ca2+]i increases in regulating lipolysis in human adipocytes. Short-term (1 h) exposure to recombinant agouti (100 nM) protein had no effect on basal lipolysis, although longer term treatment (24 h) caused a 60% decrease in basal lipolysis (P&lt;0.0001). Short-term agouti treatment totally inhibited ACTH-induced lipolysis (P&lt;0.05). Since melanocortin receptors (MCR) are involved in some actions of agouti, we next determined whether agouti's antilipolytic effect is exerted through competitive antagonism of the ACTH receptor (MCR-2). Forskolin (1 microM), an adenylate cyclase activator, induced a 48% increase in lipolysis in human adipocytes (P&lt;0.05); this effect was reversed by 100 nM agouti (P&lt;005), demonstrating that the antilipolytic effect of agouti is distal to the ACTH receptor. To determine the role of [Ca2+]i in the antilipolytic effect of agouti, human adipocytes were treated with KCl or arginine vasopressin to stimulate voltage- and receptor-stimulated Ca2+ influx, respectively. Both agents caused inhibition of forskolin-induced lipolysis (P&lt;0.005). Furthermore, agouti's antilipolytic effect was also blocked by the Ca2+ channel blocker nitrendipine. These data demonstrate that agouti exerts a potent antilipolytic effect in human adipocytes via a Ca2+-dependent mechanism. This effect, combined with agouti-induced lipogenesis, represents a coordinate control of adipocyte lipid metabolism that may contribute to an agouti-induced obesity syndrome.","ISSN":"0892-6638","note":"PMID: 9761782","journalAbbreviation":"FASEB J.","language":"eng","author":[{"family":"Xue","given":"B"},{"family":"Moustaid-N","given":""},{"family":"Wilkison","given":"W O"},{"family":"Zemel","given":"M B"}],"issued":{"date-parts":[["1998",10]]},"PMID":"9761782"}},{"id":209,"uris":["http://zotero.org/users/171999/items/QGNNVVEQ"],"uri":["http://zotero.org/users/171999/items/QGNNVVEQ"],"itemData":{"id":209,"type":"article-journal","title":"Mechanism of intracellular calcium ([Ca2+]i) inhibition of lipolysis in human adipocytes","container-title":"FASEB journal: official publication of the Federation of American Societies for Experimental Biology","page":"2527-2529","volume":"15","issue":"13","source":"NCBI PubMed","abstract":"We investigated the mechanisms responsible for the anti-lipolytic effect of intracellular Ca2+ ([Ca2+]i) in human adipocytes. Increasing [Ca2+]i inhibited lipolysis induced by b-adrenergic receptor activation, A1 adenosine receptor inhibition, adenylate cyclase activation, and phosphodiesterase (PDE) inhibition, as well as by a hydrolyzable cAMP analog, but not by a nonhydrolyzable cAMP analog. This finding indicates that the anti-lipolytic effect of [Ca2+]i may be mediated by the activation of adipocyte PDE. Consistent with this theory, [Ca2+]i inhibition of isoproterenol-stimulated lipolysis was reversed completely by the nonselective PDE inhibitor isobutyl methylxanthine and also by the selective PDE 3B inhibitor cilostamide, but not by selective PDE 1 and 4 inhibitors. In addition, phosphatidylinositol-3 kinase inhibition with wortmannin completely prevented insulin's anti-lipolytic effect but only minimally blocked [Ca2+]i's effect, which suggests that [Ca2+]i and insulin may activate PDE 3B via different mechanisms. In contrast, the antilipolytic effect of [Ca2+]i was not affected by inhibitors of calmodulin, Ca2+/calmodulin-dependent kinase, protein phosphatase 2B, and protein kinase C. Finally, [Ca2+]i inhibited significantly isoproterenol-stimulated increases in cAMP levels and hormone-sensitive lipase phosphorylation in human adipocytes. In conclusion, increasing [Ca2+]i exerts an antilipolytic effect mainly by activation of PDE, leading to a decrease in cAMP and HSL phosphorylation and, consequently, inhibition of lipolysis.","DOI":"10.1096/fj.01-0278fje","ISSN":"1530-6860","note":"PMID: 11641262","journalAbbreviation":"FASEB J.","language":"eng","author":[{"family":"Xue","given":"B"},{"family":"Greenberg","given":"A G"},{"family":"Kraemer","given":"F B"},{"family":"Zemel","given":"M B"}],"issued":{"date-parts":[["2001",11]]},"PMID":"11641262"}},{"id":213,"uris":["http://zotero.org/users/171999/items/Z4QHDV2B"],"uri":["http://zotero.org/users/171999/items/Z4QHDV2B"],"itemData":{"id":213,"type":"article-journal","title":"Role of the sulfonylurea receptor in regulating human adipocyte metabolism","container-title":"FASEB journal: official publication of the Federation of American Societies for Experimental Biology","page":"1833-1838","volume":"13","issue":"13","source":"NCBI PubMed","abstract":"A regulatory role for intracellular Ca2+ ([Ca2+]i) in adipocyte lipogenesis, lipolysis and triglyceride accumulation has been demonstrated. Compounds acting on the pancreatic sulfonylurea receptor (SUR) to increase (e.g., glibenclamide) or decrease (e.g., diazoxide) [Ca2+]i cause corresponding increases and decreases in weight gain. However, these weight gain and loss effects have been attributed to insulin release rather than to the primary effects of these compounds on the adipocyte SUR and its associated K(ATP) channel. Accordingly, we have evaluated the direct role of the human adipocyte SUR in regulating adipocyte metabolism. We used RT-PCR with primers for a highly conserved region of SUR1 to demonstrate that human adipocytes express SUR1. The PCR product was confirmed by sequence analysis and used as a probe to demonstrate adipocyte SUR1 expression by Northern blot analysis. Adipocytes exhibited glibenclamide dose-responsive (0-20 microM) increases in [Ca2+]i (P&lt;0.05). Similarly, glibenclamide (10 microM) caused a 67% increase in adipocyte fatty acid synthase activity (P&lt;0.001), a 48% increase in glycerol-3-phosphate dehydrogenase activity (P&lt;0.01) and a 68% inhibition in lipolysis (P&lt;0.01), whereas diazoxide (10 microM) completely prevented each of these effects. These data demonstrate that human adipocytes express a SUR that regulates [Ca2+]i and, consequently, exerts coordinate control over lipogenesis and lipolysis. Accordingly, the adipocyte SUR1 may represent an important target for the development of therapeutic interventions in obesity.","ISSN":"0892-6638","note":"PMID: 10506587","journalAbbreviation":"FASEB J.","language":"eng","author":[{"family":"Shi","given":"H"},{"family":"Moustaid-Moussa","given":"N"},{"family":"Wilkison","given":"W O"},{"family":"Zemel","given":"M B"}],"issued":{"date-parts":[["1999",10]]},"PMID":"10506587"}}],"schema":"https://github.com/citation-style-language/schema/raw/master/csl-citation.json"} </w:instrText>
      </w:r>
      <w:r w:rsidR="006D17CA">
        <w:fldChar w:fldCharType="separate"/>
      </w:r>
      <w:r w:rsidR="000A492A" w:rsidRPr="000A492A">
        <w:rPr>
          <w:vertAlign w:val="superscript"/>
        </w:rPr>
        <w:t>389–391</w:t>
      </w:r>
      <w:r w:rsidR="006D17CA">
        <w:fldChar w:fldCharType="end"/>
      </w:r>
      <w:r w:rsidR="001A49F3">
        <w:t xml:space="preserve">  </w:t>
      </w:r>
      <w:r w:rsidR="007900D8">
        <w:t>This information collectively signals pyridoxine may be used to attenuate calcium signaling, decrease fatty acid synthesis, and increase lipolysis with an overall reduction in net lipid storage.</w:t>
      </w:r>
      <w:r w:rsidR="007900D8">
        <w:fldChar w:fldCharType="begin"/>
      </w:r>
      <w:r w:rsidR="000A492A">
        <w:instrText xml:space="preserve"> ADDIN ZOTERO_ITEM CSL_CITATION {"citationID":"t44kjrr9t","properties":{"formattedCitation":"{\\rtf \\super 354\\nosupersub{}}","plainCitation":"354"},"citationItems":[{"id":"sfRcBkgw/unGO8au1","uris":["http://zotero.org/users/local/Ry4zHLbn/items/WZP424QN"],"uri":["http://zotero.org/users/local/Ry4zHLbn/items/WZP424QN"],"itemData":{"id":"sfRcBkgw/unGO8au1","type":"article-journal","title":"Effects of a leucine and pyridoxine-containing nutraceutical on fat oxidation, and oxidative and inflammatory stress in overweight and obese subjects","container-title":"Nutrients","page":"529-541","volume":"4","issue":"6","source":"NCBI PubMed","abstract":"Leucine stimulates tissue protein synthesis and may also attenuate adiposity by increasing fatty acid oxidation and mitochondrial biogenesis in muscle and adipocytes. Accordingly, the effects of a nutraceutical containing 2.25 g leucine and 30 mg pyridoxine (Vitamin B6) (NuFit active blend) were tested in cell culture and in a clinical trial. 3T3L1 adipocytes were treated with leucine (0.25 mM or 0.5 mM) and/or Pyridoxal Phosphate (PLP) (50 nM or 100 nM) for 48 h. For the clinical trial, twenty overweight or obese subjects received the NuFit active blend or placebo three times/day for 4 weeks without energy restriction. Leucine decreased fatty acid synthase (FAS) expression and triglyceride content in adipocytes, and PLP addition significantly augmented this effect. Administration of NuFit active blend in the clinical trial increased fat oxidation by 33.6 g/day (p &lt; 0.04), decreased respiratory quotient, improved HOMA(IR), reduced oxidative and inflammatory biomarkers (plasma MDA, 8-isoprostane-F(2α), TNF-α, C-reactive protein), and increased the anti-inflammatory marker adiponectin. These data indicate that the NuFit active blend significantly increased fat oxidation and insulin sensitivity, and reduced oxidative and inflammatory stress. Therefore, the NuFit active blend appears to be a useful nutraceutical in the management of obesity and associated co-morbidities.","DOI":"10.3390/nu4060529","ISSN":"2072-6643","note":"PMID: 22822451","journalAbbreviation":"Nutrients","language":"eng","author":[{"family":"Zemel","given":"Michael B"},{"family":"Bruckbauer","given":"Antje"}],"issued":{"year":2012,"month":6},"PMID":"22822451","page-first":"529","container-title-short":"Nutrients"}}],"schema":"https://github.com/citation-style-language/schema/raw/master/csl-citation.json"} </w:instrText>
      </w:r>
      <w:r w:rsidR="007900D8">
        <w:fldChar w:fldCharType="separate"/>
      </w:r>
      <w:r w:rsidR="000A492A" w:rsidRPr="000A492A">
        <w:rPr>
          <w:vertAlign w:val="superscript"/>
        </w:rPr>
        <w:t>354</w:t>
      </w:r>
      <w:r w:rsidR="007900D8">
        <w:fldChar w:fldCharType="end"/>
      </w:r>
    </w:p>
    <w:p w:rsidR="005A3722" w:rsidRPr="006A475E" w:rsidRDefault="005A3722" w:rsidP="007900D8">
      <w:pPr>
        <w:ind w:firstLine="720"/>
      </w:pPr>
      <w:r>
        <w:t>In adult dogs, adequate pyridoxine intake is 0.3 mg/1000 kcal</w:t>
      </w:r>
      <w:r w:rsidR="008C6792">
        <w:t xml:space="preserve"> </w:t>
      </w:r>
      <w:r w:rsidR="00F52D2F">
        <w:t>(0.04</w:t>
      </w:r>
      <w:r w:rsidR="008C6792">
        <w:t xml:space="preserve"> mg/BW</w:t>
      </w:r>
      <w:r w:rsidR="008C6792">
        <w:rPr>
          <w:vertAlign w:val="subscript"/>
        </w:rPr>
        <w:t>kg</w:t>
      </w:r>
      <w:r w:rsidR="008C6792">
        <w:rPr>
          <w:vertAlign w:val="superscript"/>
        </w:rPr>
        <w:t>0.75</w:t>
      </w:r>
      <w:r w:rsidR="008C6792">
        <w:t>)</w:t>
      </w:r>
      <w:r>
        <w:t xml:space="preserve"> and the recommended allowance is 0.375 mg/1000 kcal</w:t>
      </w:r>
      <w:r w:rsidR="00F52D2F">
        <w:t xml:space="preserve"> (0.049 mg/BW</w:t>
      </w:r>
      <w:r w:rsidR="00F52D2F">
        <w:rPr>
          <w:vertAlign w:val="subscript"/>
        </w:rPr>
        <w:t>kg</w:t>
      </w:r>
      <w:r w:rsidR="00F52D2F">
        <w:rPr>
          <w:vertAlign w:val="superscript"/>
        </w:rPr>
        <w:t>0.75</w:t>
      </w:r>
      <w:r w:rsidR="00F52D2F">
        <w:t>)</w:t>
      </w:r>
      <w:r>
        <w:t>.  Presumed safe upper dietary levels are 1,000 mg</w:t>
      </w:r>
      <w:r w:rsidR="006A475E">
        <w:t>/kg diet for less than 60 days and 500 mg/kg diet for longer than 60 days.</w:t>
      </w:r>
      <w:r>
        <w:fldChar w:fldCharType="begin"/>
      </w:r>
      <w:r w:rsidR="000A492A">
        <w:instrText xml:space="preserve"> ADDIN ZOTERO_ITEM CSL_CITATION {"citationID":"8obiu3e1j","properties":{"formattedCitation":"{\\rtf \\super 392\\nosupersub{}}","plainCitation":"392"},"citationItems":[{"id":683,"uris":["http://zotero.org/users/171999/items/HZEV6D4Q"],"uri":["http://zotero.org/users/171999/items/HZEV6D4Q"],"itemData":{"id":683,"type":"chapter","title":"Vitamins","container-title":"Nutrient Requirements of Dogs and Cats","publisher":"National Academy Press","publisher-place":"Washington, DC","page":"193-245","edition":"[Rev. ed.]..","event-place":"Washington, DC","author":[{"family":"National Research Council of the National Academies","given":""}],"issued":{"date-parts":[["2006"]]}}}],"schema":"https://github.com/citation-style-language/schema/raw/master/csl-citation.json"} </w:instrText>
      </w:r>
      <w:r>
        <w:fldChar w:fldCharType="separate"/>
      </w:r>
      <w:r w:rsidR="000A492A" w:rsidRPr="000A492A">
        <w:rPr>
          <w:vertAlign w:val="superscript"/>
        </w:rPr>
        <w:t>392</w:t>
      </w:r>
      <w:r>
        <w:fldChar w:fldCharType="end"/>
      </w:r>
      <w:r w:rsidR="006A475E">
        <w:t xml:space="preserve">  These upper levels are based on research showing daily pyridoxine doses of </w:t>
      </w:r>
      <w:r w:rsidR="008C6792">
        <w:t>150 mg/BW</w:t>
      </w:r>
      <w:r w:rsidR="008C6792">
        <w:rPr>
          <w:vertAlign w:val="subscript"/>
        </w:rPr>
        <w:t>kg</w:t>
      </w:r>
      <w:r w:rsidR="008C6792">
        <w:t xml:space="preserve"> lead to anorexia and weight loss with progression to ataxia and loss of proprioception.</w:t>
      </w:r>
      <w:r w:rsidR="008C6792">
        <w:fldChar w:fldCharType="begin"/>
      </w:r>
      <w:r w:rsidR="000A492A">
        <w:instrText xml:space="preserve"> ADDIN ZOTERO_ITEM CSL_CITATION {"citationID":"2ga2pafr93","properties":{"formattedCitation":"{\\rtf \\super 393\\nosupersub{}}","plainCitation":"393"},"citationItems":[{"id":231,"uris":["http://zotero.org/users/171999/items/I7SWN4PA"],"uri":["http://zotero.org/users/171999/items/I7SWN4PA"],"itemData":{"id":231,"type":"article-journal","title":"The subacute neurotoxicity of excess pyridoxine HCl and clioquinol (5-chloro-7-iodo-8-hydroxyquinoline) in beagle dogs. I. Clinical disease","container-title":"Veterinary pathology","page":"745-756","volume":"18","issue":"6","source":"NCBI PubMed","abstract":"The clinical and clinicopathologic effects of excess oral pyridoxine hydrochloride (150 mg/kg body weight/day) and clioquinol (200 mg/kg body weight/day) alone and in combination were evaluated in adult Beagle dogs over an experimental period of approximately 100 days. Anorexia and loss of body weight occurred in the first weeks of the trial period in each treatment group, but was most severe in dogs given both compounds. Dogs in each treatment group (10 of 10 pyridoxine-treated dogs, 6 of 13 clioquinol-treated dogs and 12 of 13 pyridoxine plus clioquinol-treated dogs) developed neurologic disease, manifested principally by ataxia. Pyridoxine-treated dogs had proprioceptive loss involving both fore- and hindquarters, characterized by stiff, spastic, dysmetric leg movements. In clioquinol-treated dogs, dysmetric leg movements were accompanied by failure to support body weight in the hindquarters, but similar forelimb involvement occurred in severely affected dogs. The neurologic disease in dogs given both compounds varied; signs in some dogs resembled those of affected dogs of the pyridoxine-treated group, and in others, those in clioquinol-treated group. Erythrocyte counts, hemoglobin concentrations and packed cell volumes were reduced in dogs in each treatment group and were lowest in dogs given both compounds. Plasma protein was mildly reduced in dogs given pyridoxine or pyridoxine plus clioquinol. Few or no differences were present in the leukocyte counts, blood urea nitrogen concentrations, in activities of serum alanine aminotransferase and aspartate aminotransferase, and in concentrations of sodium, chloride or potassium in treated dogs as compared to control dogs.","ISSN":"0300-9858","note":"PMID: 6457437","journalAbbreviation":"Vet. Pathol.","language":"eng","author":[{"family":"Hoover","given":"D M"},{"family":"Carlton","given":"W W"}],"issued":{"date-parts":[["1981",11]]},"PMID":"6457437"}}],"schema":"https://github.com/citation-style-language/schema/raw/master/csl-citation.json"} </w:instrText>
      </w:r>
      <w:r w:rsidR="008C6792">
        <w:fldChar w:fldCharType="separate"/>
      </w:r>
      <w:r w:rsidR="000A492A" w:rsidRPr="000A492A">
        <w:rPr>
          <w:vertAlign w:val="superscript"/>
        </w:rPr>
        <w:t>393</w:t>
      </w:r>
      <w:r w:rsidR="008C6792">
        <w:fldChar w:fldCharType="end"/>
      </w:r>
      <w:r w:rsidR="008C6792">
        <w:t xml:space="preserve">  Similarly, </w:t>
      </w:r>
      <w:r w:rsidR="006A475E">
        <w:t>200 mg/BW</w:t>
      </w:r>
      <w:r w:rsidR="006A475E">
        <w:rPr>
          <w:vertAlign w:val="subscript"/>
        </w:rPr>
        <w:t>kg</w:t>
      </w:r>
      <w:r w:rsidR="008C6792">
        <w:t>/day</w:t>
      </w:r>
      <w:r w:rsidR="006A475E">
        <w:t xml:space="preserve"> cause</w:t>
      </w:r>
      <w:r w:rsidR="008C6792">
        <w:t>s</w:t>
      </w:r>
      <w:r w:rsidR="006A475E">
        <w:t xml:space="preserve"> ataxia, muscle weakness, and loss of balance between 40 and 75 days of treatment.</w:t>
      </w:r>
      <w:r w:rsidR="006A475E">
        <w:fldChar w:fldCharType="begin"/>
      </w:r>
      <w:r w:rsidR="000A492A">
        <w:instrText xml:space="preserve"> ADDIN ZOTERO_ITEM CSL_CITATION {"citationID":"i8q56btrf","properties":{"formattedCitation":"{\\rtf \\super 394\\nosupersub{}}","plainCitation":"394"},"citationItems":[{"id":825,"uris":["http://zotero.org/users/171999/items/QUMIM54Z"],"uri":["http://zotero.org/users/171999/items/QUMIM54Z"],"itemData":{"id":825,"type":"article-journal","title":"Subacute toxicity of pyridoxine hydrochloride in the beagle dog","container-title":"Toxicology and applied pharmacology","page":"323-333","volume":"44","issue":"2","source":"NCBI PubMed","ISSN":"0041-008X","note":"PMID: 675705","journalAbbreviation":"Toxicol. Appl. Pharmacol.","language":"eng","author":[{"family":"Phillips","given":"W E"},{"family":"Mills","given":"J H"},{"family":"Charbonneau","given":"S M"},{"family":"Tryphonas","given":"L"},{"family":"Hatina","given":"G V"},{"family":"Zawidzka","given":"Z"},{"family":"Bryce","given":"F R"},{"family":"Munro","given":"I C"}],"issued":{"date-parts":[["1978",5]]},"PMID":"675705"}}],"schema":"https://github.com/citation-style-language/schema/raw/master/csl-citation.json"} </w:instrText>
      </w:r>
      <w:r w:rsidR="006A475E">
        <w:fldChar w:fldCharType="separate"/>
      </w:r>
      <w:r w:rsidR="000A492A" w:rsidRPr="000A492A">
        <w:rPr>
          <w:vertAlign w:val="superscript"/>
        </w:rPr>
        <w:t>394</w:t>
      </w:r>
      <w:r w:rsidR="006A475E">
        <w:fldChar w:fldCharType="end"/>
      </w:r>
      <w:r w:rsidR="006A475E">
        <w:t xml:space="preserve">  Higher daily doses (300 mg/BW</w:t>
      </w:r>
      <w:r w:rsidR="006A475E">
        <w:rPr>
          <w:vertAlign w:val="subscript"/>
        </w:rPr>
        <w:t>kg</w:t>
      </w:r>
      <w:r w:rsidR="006A475E">
        <w:t>) were associated with locomotor</w:t>
      </w:r>
      <w:r w:rsidR="008C6792">
        <w:t xml:space="preserve"> abnormalities within 9 days, described as a toxic, peripheral sensory neuropathy.</w:t>
      </w:r>
      <w:r w:rsidR="008C6792">
        <w:fldChar w:fldCharType="begin"/>
      </w:r>
      <w:r w:rsidR="000A492A">
        <w:instrText xml:space="preserve"> ADDIN ZOTERO_ITEM CSL_CITATION {"citationID":"sak8genva","properties":{"formattedCitation":"{\\rtf \\super 395\\nosupersub{}}","plainCitation":"395"},"citationItems":[{"id":223,"uris":["http://zotero.org/users/171999/items/QT3732JZ"],"uri":["http://zotero.org/users/171999/items/QT3732JZ"],"itemData":{"id":223,"type":"article-journal","title":"Pyridoxine megavitaminosis produces degeneration of peripheral sensory neurons (sensory neuronopathy) in the dog","container-title":"Neurotoxicology","page":"13-24","volume":"2","issue":"1","source":"NCBI PubMed","abstract":"Pyridoxine, a water-soluble vitamin, produces a sensory neuronopathy when administered in high doses to dogs. Beagles who received a daily oral dose of 300 mg/kg of pyridoxol hydrochloride developed a swaying gait within 9 days. They eventually became unable to walk, but were not weak. Animals were sacrificed at intervals up to 78 days. Morphological examination revealed widespread neuronal degeneration in the dorsal root ganglia and the Gasserian ganglia. Cytoplasmic changes were first observed after 8 days and consisted of small, electronlucent vacuoles that subsequently coalesced leading to death of the cells. Degeneration of sensory nerve fibers in peripheral nerves, dorsal columns of the spinal cord and the descending spinal tract of the trigeminal nerve was apparent. The pathogenesis of these changes is unclear, but may, in part, reflect the selective permeability of blood vessels in the peripheral ganglia. It is apparent that the peripheral neuropathy previously attributed to pyridoxine actually represents a toxic, peripheral sensory neuronopathy.","ISSN":"0161-813X","note":"PMID: 15622720","journalAbbreviation":"Neurotoxicology","language":"eng","author":[{"family":"Krinke","given":"G"},{"family":"Schaumburg","given":"H H"},{"family":"Spencer","given":"P S"},{"family":"Suter","given":"J"},{"family":"Thomann","given":"P"},{"family":"Hess","given":"R"}],"issued":{"date-parts":[["1981",1]]},"PMID":"15622720"}}],"schema":"https://github.com/citation-style-language/schema/raw/master/csl-citation.json"} </w:instrText>
      </w:r>
      <w:r w:rsidR="008C6792">
        <w:fldChar w:fldCharType="separate"/>
      </w:r>
      <w:r w:rsidR="000A492A" w:rsidRPr="000A492A">
        <w:rPr>
          <w:vertAlign w:val="superscript"/>
        </w:rPr>
        <w:t>395</w:t>
      </w:r>
      <w:r w:rsidR="008C6792">
        <w:fldChar w:fldCharType="end"/>
      </w:r>
    </w:p>
    <w:p w:rsidR="0068541F" w:rsidRDefault="0068541F" w:rsidP="0068541F">
      <w:pPr>
        <w:pStyle w:val="Heading3"/>
      </w:pPr>
      <w:bookmarkStart w:id="37" w:name="_Toc376465763"/>
      <w:r>
        <w:t>NuShape®</w:t>
      </w:r>
      <w:r w:rsidR="00C45E44">
        <w:t xml:space="preserve"> (previously NuFit active blend)</w:t>
      </w:r>
      <w:r>
        <w:t xml:space="preserve">; </w:t>
      </w:r>
      <w:r w:rsidR="006061AD">
        <w:t xml:space="preserve">2.25 g </w:t>
      </w:r>
      <w:r>
        <w:t>leucine</w:t>
      </w:r>
      <w:r w:rsidR="006061AD">
        <w:t>/30 mg</w:t>
      </w:r>
      <w:r>
        <w:t xml:space="preserve"> pyridoxine</w:t>
      </w:r>
      <w:bookmarkEnd w:id="37"/>
    </w:p>
    <w:p w:rsidR="007D41A2" w:rsidRDefault="008143EC" w:rsidP="007D41A2">
      <w:pPr>
        <w:ind w:firstLine="720"/>
      </w:pPr>
      <w:r w:rsidRPr="003A0EF9">
        <w:t>In overweight and obese people, 750mg leucine and 10mg pyridoxine three times daily caused a decreased respiratory quotient with corresponding increased fat oxidation after 4 weeks of treatment.</w:t>
      </w:r>
      <w:r w:rsidR="00C45E44">
        <w:t xml:space="preserve">  The homeostasis model assessment of insulin resistance (HOMA</w:t>
      </w:r>
      <w:r w:rsidR="00C45E44">
        <w:rPr>
          <w:vertAlign w:val="subscript"/>
        </w:rPr>
        <w:t>IR</w:t>
      </w:r>
      <w:r w:rsidR="00334081">
        <w:t>; [Insulin (µ</w:t>
      </w:r>
      <w:r w:rsidR="004B0A1C">
        <w:t>U/ml) x glucose (mM)]/22.5</w:t>
      </w:r>
      <w:r w:rsidR="00C45E44">
        <w:t xml:space="preserve">) </w:t>
      </w:r>
      <w:r w:rsidR="004B0A1C">
        <w:t>showed improved insulin sensitivity compared to baseline.</w:t>
      </w:r>
      <w:r w:rsidRPr="003A0EF9">
        <w:t xml:space="preserve">  </w:t>
      </w:r>
      <w:r w:rsidR="00C45E44">
        <w:t>Cultured adipocytes</w:t>
      </w:r>
      <w:r w:rsidR="004B0A1C">
        <w:t xml:space="preserve"> were synergistically able to reduce FASN expression and </w:t>
      </w:r>
      <w:r w:rsidR="00FC311C">
        <w:t>activity</w:t>
      </w:r>
      <w:r w:rsidR="004B0A1C">
        <w:t>, adipocyte triglyceride content, and intracellular calcium contentration.</w:t>
      </w:r>
      <w:r w:rsidR="004B0A1C" w:rsidRPr="003A0EF9">
        <w:fldChar w:fldCharType="begin"/>
      </w:r>
      <w:r w:rsidR="000A492A">
        <w:instrText xml:space="preserve"> ADDIN ZOTERO_ITEM CSL_CITATION {"citationID":"GWk17YA8","properties":{"formattedCitation":"{\\rtf \\super 354\\nosupersub{}}","plainCitation":"354"},"citationItems":[{"id":369,"uris":["http://zotero.org/users/local/Ry4zHLbn/items/WZP424QN"],"uri":["http://zotero.org/users/local/Ry4zHLbn/items/WZP424QN"],"itemData":{"id":369,"type":"article-journal","title":"Effects of a leucine and pyridoxine-containing nutraceutical on fat oxidation, and oxidative and inflammatory stress in overweight and obese subjects","container-title":"Nutrients","page":"529-541","volume":"4","issue":"6","source":"NCBI PubMed","abstract":"Leucine stimulates tissue protein synthesis and may also attenuate adiposity by increasing fatty acid oxidation and mitochondrial biogenesis in muscle and adipocytes. Accordingly, the effects of a nutraceutical containing 2.25 g leucine and 30 mg pyridoxine (Vitamin B6) (NuFit active blend) were tested in cell culture and in a clinical trial. 3T3L1 adipocytes were treated with leucine (0.25 mM or 0.5 mM) and/or Pyridoxal Phosphate (PLP) (50 nM or 100 nM) for 48 h. For the clinical trial, twenty overweight or obese subjects received the NuFit active blend or placebo three times/day for 4 weeks without energy restriction. Leucine decreased fatty acid synthase (FAS) expression and triglyceride content in adipocytes, and PLP addition significantly augmented this effect. Administration of NuFit active blend in the clinical trial increased fat oxidation by 33.6 g/day (p &lt; 0.04), decreased respiratory quotient, improved HOMA(IR), reduced oxidative and inflammatory biomarkers (plasma MDA, 8-isoprostane-F(2α), TNF-α, C-reactive protein), and increased the anti-inflammatory marker adiponectin. These data indicate that the NuFit active blend significantly increased fat oxidation and insulin sensitivity, and reduced oxidative and inflammatory stress. Therefore, the NuFit active blend appears to be a useful nutraceutical in the management of obesity and associated co-morbidities.","DOI":"10.3390/nu4060529","ISSN":"2072-6643","note":"PMID: 22822451","journalAbbreviation":"Nutrients","language":"eng","author":[{"family":"Zemel","given":"Michael B"},{"family":"Bruckbauer","given":"Antje"}],"issued":{"date-parts":[["2012",6]]},"PMID":"22822451"}}],"schema":"https://github.com/citation-style-language/schema/raw/master/csl-citation.json"} </w:instrText>
      </w:r>
      <w:r w:rsidR="004B0A1C" w:rsidRPr="003A0EF9">
        <w:fldChar w:fldCharType="separate"/>
      </w:r>
      <w:r w:rsidR="000A492A" w:rsidRPr="000A492A">
        <w:rPr>
          <w:vertAlign w:val="superscript"/>
        </w:rPr>
        <w:t>354</w:t>
      </w:r>
      <w:r w:rsidR="004B0A1C" w:rsidRPr="003A0EF9">
        <w:fldChar w:fldCharType="end"/>
      </w:r>
      <w:r w:rsidR="004B0A1C">
        <w:t xml:space="preserve">  </w:t>
      </w:r>
      <w:r w:rsidRPr="003A0EF9">
        <w:t xml:space="preserve">In a 6 month study, people consuming a total daily dose of 2.25g leucine and 30mg pyridoxine lost a total of 1.82 ± 0.70 kg fat mass versus no change of fat mass in the placebo group when consuming a maintenance amount of calories.  When calorically restricted (500 kcal/day reduction), supplement subjects lost significantly more total weight (8.15 ± 1.33 vs. 5.25 ± 1.13 kg, </w:t>
      </w:r>
      <w:r w:rsidRPr="003A0EF9">
        <w:rPr>
          <w:i/>
        </w:rPr>
        <w:t>p</w:t>
      </w:r>
      <w:r w:rsidRPr="003A0EF9">
        <w:t xml:space="preserve">&lt;0.01) and fat mass (7.00 ± 0.95 vs. 4.22 ± 0.74 kg, </w:t>
      </w:r>
      <w:r w:rsidRPr="003A0EF9">
        <w:rPr>
          <w:i/>
        </w:rPr>
        <w:t>p</w:t>
      </w:r>
      <w:r w:rsidRPr="003A0EF9">
        <w:t>&lt;0.01) than the placebo group over the 6 month time frame.</w:t>
      </w:r>
      <w:r w:rsidRPr="003A0EF9">
        <w:fldChar w:fldCharType="begin"/>
      </w:r>
      <w:r w:rsidR="000A492A">
        <w:instrText xml:space="preserve"> ADDIN ZOTERO_ITEM CSL_CITATION {"citationID":"Xj0FYGPS","properties":{"formattedCitation":"{\\rtf \\super 347\\nosupersub{}}","plainCitation":"347"},"citationItems":[{"id":371,"uris":["http://zotero.org/users/local/Ry4zHLbn/items/GJKIQNPJ"],"uri":["http://zotero.org/users/local/Ry4zHLbn/items/GJKIQNPJ"],"itemData":{"id":371,"type":"article-journal","title":"Effects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B"},{"family":"Bruckbauer","given":"Antje"}],"issued":{"date-parts":[["2013"]]},"PMID":"24003309"}}],"schema":"https://github.com/citation-style-language/schema/raw/master/csl-citation.json"} </w:instrText>
      </w:r>
      <w:r w:rsidRPr="003A0EF9">
        <w:fldChar w:fldCharType="separate"/>
      </w:r>
      <w:r w:rsidR="000A492A" w:rsidRPr="000A492A">
        <w:rPr>
          <w:vertAlign w:val="superscript"/>
        </w:rPr>
        <w:t>347</w:t>
      </w:r>
      <w:r w:rsidRPr="003A0EF9">
        <w:fldChar w:fldCharType="end"/>
      </w:r>
      <w:r w:rsidR="007D41A2">
        <w:t xml:space="preserve">  These promising results in people show </w:t>
      </w:r>
      <w:r w:rsidR="007D41A2" w:rsidRPr="003A0EF9">
        <w:t>leucine</w:t>
      </w:r>
      <w:r w:rsidR="007D41A2">
        <w:t>/</w:t>
      </w:r>
      <w:r w:rsidR="007D41A2" w:rsidRPr="003A0EF9">
        <w:t>pyridoxine</w:t>
      </w:r>
      <w:r w:rsidR="007D41A2">
        <w:t xml:space="preserve"> to be a viable weight and fat loss supplement as an adjunct to caloric </w:t>
      </w:r>
      <w:r w:rsidR="00FC311C">
        <w:t>restriction</w:t>
      </w:r>
      <w:r w:rsidR="007D41A2">
        <w:t xml:space="preserve"> or on its own while consuming maintenance energy levels.  With the knowledge </w:t>
      </w:r>
      <w:r w:rsidR="007D41A2">
        <w:lastRenderedPageBreak/>
        <w:t xml:space="preserve">that overweight and obesity also affect dogs, </w:t>
      </w:r>
      <w:r w:rsidR="00117185">
        <w:t>investigation into use of this supplement in dogs is warranted.</w:t>
      </w:r>
    </w:p>
    <w:p w:rsidR="0068541F" w:rsidRPr="00C741CE" w:rsidRDefault="0068541F" w:rsidP="006A7BEE">
      <w:pPr>
        <w:contextualSpacing/>
      </w:pPr>
    </w:p>
    <w:p w:rsidR="00F516A3" w:rsidRDefault="00F516A3" w:rsidP="00025B7A">
      <w:pPr>
        <w:keepNext/>
        <w:spacing w:line="360" w:lineRule="auto"/>
        <w:ind w:firstLine="720"/>
        <w:rPr>
          <w:noProof/>
        </w:rPr>
        <w:sectPr w:rsidR="00F516A3" w:rsidSect="00B35180">
          <w:pgSz w:w="12240" w:h="15840" w:code="1"/>
          <w:pgMar w:top="1440" w:right="1800" w:bottom="1872" w:left="1800" w:header="720" w:footer="1440" w:gutter="0"/>
          <w:cols w:space="720"/>
          <w:noEndnote/>
          <w:docGrid w:linePitch="360"/>
        </w:sectPr>
      </w:pPr>
    </w:p>
    <w:p w:rsidR="00003F6A" w:rsidRPr="00334400" w:rsidRDefault="003C7FC5" w:rsidP="009F3581">
      <w:pPr>
        <w:pStyle w:val="Heading1"/>
      </w:pPr>
      <w:bookmarkStart w:id="38" w:name="_Toc289175825"/>
      <w:bookmarkStart w:id="39" w:name="OLE_LINK3"/>
      <w:bookmarkStart w:id="40" w:name="OLE_LINK4"/>
      <w:bookmarkStart w:id="41" w:name="_Toc376465764"/>
      <w:r>
        <w:lastRenderedPageBreak/>
        <w:t>CHAPTER I</w:t>
      </w:r>
      <w:r w:rsidR="00FF1665">
        <w:br/>
      </w:r>
      <w:bookmarkEnd w:id="38"/>
      <w:r w:rsidR="00340E3A">
        <w:t xml:space="preserve">Effect of </w:t>
      </w:r>
      <w:r w:rsidR="00C059FE">
        <w:t xml:space="preserve">a </w:t>
      </w:r>
      <w:r w:rsidR="00EA7410">
        <w:t>leucine/</w:t>
      </w:r>
      <w:r w:rsidR="00340E3A">
        <w:t>pyridoxine</w:t>
      </w:r>
      <w:r w:rsidR="00A7249E">
        <w:t xml:space="preserve"> </w:t>
      </w:r>
      <w:r w:rsidR="00C059FE">
        <w:t xml:space="preserve">nutraceutical </w:t>
      </w:r>
      <w:r w:rsidR="00A7249E">
        <w:t xml:space="preserve">on </w:t>
      </w:r>
      <w:r w:rsidR="0053456F">
        <w:t xml:space="preserve">food intake and body composition of </w:t>
      </w:r>
      <w:r w:rsidR="00A7249E">
        <w:t>obese dogs losing weight</w:t>
      </w:r>
      <w:bookmarkEnd w:id="39"/>
      <w:bookmarkEnd w:id="40"/>
      <w:bookmarkEnd w:id="41"/>
      <w:r w:rsidR="00003F6A" w:rsidRPr="00334400">
        <w:br w:type="page"/>
      </w:r>
    </w:p>
    <w:p w:rsidR="00FD6176" w:rsidRDefault="00FD6176" w:rsidP="00FD6176">
      <w:pPr>
        <w:pStyle w:val="Heading2"/>
      </w:pPr>
      <w:bookmarkStart w:id="42" w:name="_Toc376465765"/>
      <w:r>
        <w:lastRenderedPageBreak/>
        <w:t>Introduction</w:t>
      </w:r>
      <w:bookmarkEnd w:id="42"/>
    </w:p>
    <w:p w:rsidR="00C53110" w:rsidRDefault="00D044D0" w:rsidP="00D044D0">
      <w:pPr>
        <w:ind w:firstLine="720"/>
        <w:contextualSpacing/>
      </w:pPr>
      <w:r>
        <w:t>V</w:t>
      </w:r>
      <w:r w:rsidR="002A7847" w:rsidRPr="003A0EF9">
        <w:t>arious data</w:t>
      </w:r>
      <w:r>
        <w:t xml:space="preserve"> indicate</w:t>
      </w:r>
      <w:r w:rsidR="002A7847">
        <w:t xml:space="preserve"> a global</w:t>
      </w:r>
      <w:r>
        <w:t xml:space="preserve"> overweight and obesity</w:t>
      </w:r>
      <w:r w:rsidR="002A7847">
        <w:t xml:space="preserve"> prevalence of 22.9-59.3%</w:t>
      </w:r>
      <w:r>
        <w:t xml:space="preserve"> in adult dogs</w:t>
      </w:r>
      <w:r w:rsidR="002A7847" w:rsidRPr="003A0EF9">
        <w:t>.</w:t>
      </w:r>
      <w:r w:rsidR="002A7847" w:rsidRPr="003A0EF9">
        <w:fldChar w:fldCharType="begin"/>
      </w:r>
      <w:r>
        <w:instrText xml:space="preserve"> ADDIN ZOTERO_ITEM CSL_CITATION {"citationID":"evlxKHh8","properties":{"formattedCitation":"{\\rtf \\super 6\\uc0\\u8211{}14\\nosupersub{}}","plainCitation":"6–14"},"citationItems":[{"id":13,"uris":["http://zotero.org/users/171999/items/934HWIHU"],"uri":["http://zotero.org/users/171999/items/934HWIHU"],"itemData":{"id":13,"type":"article-journal","title":"Prevalence and risk factors for obesity in adult dogs from private US veterinary practices.","container-title":"International Journal of Applied Research in Veterinary Medicine","volume":"4","issue":"2","source":"ISI Web of Knowledge","abstract":"Using a cross-sectional study design, the prevalence of overweight and obesity in dogs over 1 year of age seen by US veterinarians during 1995 was determined. Risk factors for overweight and obesity were also determined from the following variables: age, breed, gender, body condition score, food type, reported concurrent disease, and geographic region. Thirty-four percent of adult dogs (n=21,754) were overweight or obese. From multivariate analyses, overweight dogs were more likely to be older, of certain breeds (Cocker Spaniel, Labrador Retriever, Dalmatian, Dachshund, Rottweiler, Golden Retriever, Shetland Sheepdog, Mixed-breed), neutered, and to consume a semi-moist food as their major diet source. In addition, overweight adult dogs were most likely to reside in the Pacific, South Central, East North Central, or Northeast regions of the United States and be diagnosed with hyperadrenocorticism, ruptured cruciate ligament, hypothyroidism, lower urinary tract disease, or oral disease. Obese dogs were more likely to be older, of certain breeds (Shetland Sheepdog, Dachshund, and Golden Retriever), neutered, and to consume \"other\" foods (meat or other food products, commercial treats, or table scraps), homemade, or canned foods as their major diet source. Also, obese adult dogs were more likely to live in the Pacific or Northeast region of the United States and be diagnosed with hypothyroidism, diabetes mellitus, pancreatitis, ruptured cruciate ligament, or neoplasia. Practitioners can use these data to counsel dog owners on obesity prevention, especially owners of dogs with ≥1 risk factors for overweight/obesity, and to strongly advocate for the maintenance of canine patients at an ideal body condition.","ISSN":"1542-2666","language":"English","author":[{"family":"Lund","given":"E. M."},{"family":"Armstrong","given":"P. J."},{"family":"Kirk","given":"C. A."},{"family":"Klausner","given":"J. S."}],"issued":{"date-parts":[["2006"]]}}},{"id":14,"uris":["http://zotero.org/users/171999/items/45JH5SVI"],"uri":["http://zotero.org/users/171999/items/45JH5SVI"],"itemData":{"id":14,"type":"article-journal","title":"Body condition and diet of relatively healthy older dogs","container-title":"The Journal of nutrition","page":"S58-59","volume":"121","issue":"11 Suppl","source":"NCBI PubMed","ISSN":"0022-3166","note":"PMID: 1941239","journalAbbreviation":"J. Nutr.","language":"eng","author":[{"family":"Donoghue","given":"S"},{"family":"Khoo","given":"L"},{"family":"Glickman","given":"L T"},{"family":"Kronfeld","given":"D S"}],"issued":{"date-parts":[["1991",11]]},"PMID":"1941239"}},{"id":16,"uris":["http://zotero.org/users/171999/items/XIANMWZC"],"uri":["http://zotero.org/users/171999/items/XIANMWZC"],"itemData":{"id":16,"type":"article-journal","title":"Prevalence of obesity in dogs examined by Australian veterinary practices and the risk factors involved","container-title":"The Veterinary record","page":"695-702","volume":"156","issue":"22","source":"NCBI PubMed","abstract":"A study was undertaken to determine the prevalence of obesity in dogs examined by veterinary practices across Australia, and to determine the risk factors involved; 1700 practices were asked to complete a veterinarian opinion survey, and of the 428 practices that responded, 178 were selected to complete an RSPCA Australia Pet Obesity Questionnaire, together with additional practices selected by Australian State and Territory RSPCA societies. This questionnaire was sent to a total of 209 practices which were asked to record details of eligible dogs, and the reason why they had been examined during the previous month. Fifty-two (24.9 per cent) of the practices responded and provided data on 2661 dogs, of which 892 (33.5 per cent) were overweight and 201 (7.6 per cent) were obese. A further 112 dogs (4.2 per cent) were classified as thin or very thin, but these were excluded from subsequent analyses. Of the remaining 2549 dogs, approximately half were female and 1905 (74.7 per cent) were neutered. The dogs' weight category was influenced by several factors. Breed influenced the importance of sex and neutering as risk factors. The prevalence of overweight and obese dogs combined was 41 per cent; the prevalence increased with age up to about 10 years old, and then declined. Rural and semirural dogs were more at risk of obesity than urban and suburban dogs.","ISSN":"0042-4900","note":"PMID: 15923551","journalAbbreviation":"Vet. Rec.","language":"eng","author":[{"family":"McGreevy","given":"P D"},{"family":"Thomson","given":"P C"},{"family":"Pride","given":"C"},{"family":"Fawcett","given":"A"},{"family":"Grassi","given":"T"},{"family":"Jones","given":"B"}],"issued":{"date-parts":[["2005",5,28]]},"PMID":"15923551"}},{"id":18,"uris":["http://zotero.org/users/171999/items/42W4HSE2"],"uri":["http://zotero.org/users/171999/items/42W4HSE2"],"itemData":{"id":18,"type":"article-journal","title":"Pattern of diet and obesity in female adult pet dogs.","container-title":"Veterinary Clinical Nutrition","volume":"2","issue":"1","source":"ISI Web of Knowledge","abstract":"A telephone questionnaire to the owners of 146 female adult dogs with breast cancer and 143 female dogs with other cancers that had participated in a larger epidemiological study was used to describe what dogs eat in terms of total energy intake; the percentage of calories derived from commercial food types and table scraps; and the percentage calories from fat, protein, and carbohydrates. The average energy intake for all dogs was almost 1000 calories of metabolizable energy per day, of which about 40% was derived from fat, 25% from protein, and 35% from carbohydrate. About one-third of the total calories was provided by table scraps. Consumption of dry dog food increased, while consumption of table scraps decreased, with increasing breed size. the prevalence of obesity (at least 15% above ideal bodyweight) was 40 and 6% for adult and juvenile (9-12 months old) females, respectively. Dogs reported by their owners to have been overweight at 9-12 months old were 1.5 times more likely to be overweight as adults compared with dogs that were thin as juveniles. These findings should be applicable to the general dog population since no association between diet and the risk of cancer was found previously in the same dogs. These findings should also be useful for developing preventative and therapeutic approaches for obesity and nutritionally related diseases.","ISSN":"1076-3872","language":"English","author":[{"family":"Glickman","given":"L. T."},{"family":"Sonnenschein","given":"E. G."},{"family":"Glickman","given":"N. W."},{"family":"Donoghue","given":"S."},{"family":"Goldschmidt","given":"M. H."}],"issued":{"date-parts":[["1995"]]}}},{"id":19,"uris":["http://zotero.org/users/171999/items/JC5E64D4"],"uri":["http://zotero.org/users/171999/items/JC5E64D4"],"itemData":{"id":19,"type":"article-journal","title":"Obesity in pet dogs","container-title":"The Veterinary record","page":"612-616","volume":"86","issue":"21","source":"NCBI PubMed","ISSN":"0042-4900","note":"PMID: 5465678","journalAbbreviation":"Vet. Rec.","language":"eng","author":[{"family":"Mason","given":"E"}],"issued":{"date-parts":[["1970",5,23]]},"PMID":"5465678"}},{"id":21,"uris":["http://zotero.org/users/171999/items/QVP9XV53"],"uri":["http://zotero.org/users/171999/items/QVP9XV53"],"itemData":{"id":21,"type":"article-journal","title":"Risk factors for obesity in dogs in France","container-title":"The Journal of nutrition","page":"1951S-1954S","volume":"136","issue":"7 Suppl","source":"NCBI PubMed","ISSN":"0022-3166","note":"PMID: 16772466","journalAbbreviation":"J. Nutr.","language":"eng","author":[{"family":"Colliard","given":"Laurence"},{"family":"Ancel","given":"Julie"},{"family":"Benet","given":"Jean-Jacques"},{"family":"Paragon","given":"Bernard-Marie"},{"family":"Blanchard","given":"Géraldine"}],"issued":{"date-parts":[["2006",7]]},"PMID":"16772466"}},{"id":23,"uris":["http://zotero.org/users/171999/items/TC6EBK2I"],"uri":["http://zotero.org/users/171999/items/TC6EBK2I"],"itemData":{"id":23,"type":"article-journal","title":"Risk factors associated with excess body weight in dogs in the UK (Abstract)","container-title":"Journal of Animal Physiology and Animal Nutrition","page":"166-167","volume":"91","issue":"3-4","DOI":"10.1111/j.1439-0396.2007.00680_9.x","journalAbbreviation":"J Anim Physiol Anim Nutr","author":[{"family":"Holmes","given":"K L"},{"family":"Morris","given":"P J"},{"family":"Abdulla","given":"Z"},{"family":"Hackett","given":"R"},{"family":"Rawlings","given":"J M"}],"issued":{"date-parts":[["2007",3,7]]},"accessed":{"date-parts":[["2013",10,10]]}}},{"id":25,"uris":["http://zotero.org/users/171999/items/JN69SBH5"],"uri":["http://zotero.org/users/171999/items/JN69SBH5"],"itemData":{"id":25,"type":"article-journal","title":"An epidemiological study of environmental factors associated with canine obesity","container-title":"The Journal of small animal practice","page":"362-367","volume":"51","issue":"7","source":"NCBI PubMed","abstract":"OBJECTIVES: To assess the relationships between socioeconomic and other environmental factors with canine obesity.\nMETHODS: This was a cross-sectional questionnaire study of dog owners attending five primary veterinary practices in the UK. Owners were asked about dog age, neuter status, feeding habits, dog exercise, household income and owner age. The body condition score of the dogs was also assessed. Factors hypothesised to be associated with obesity were investigated.\nRESULTS: In total, data from 696 questionnaires were evaluated. Out of those data evaluated, 35.3% of dogs (n=246) were classed as an ideal body shape, 38.9% (n=271) were overweight, 20.4% (n=142) were obese and 5.3% (n=37) were underweight. Identified risk factors associated with obesity included owner age, hours of weekly exercise, frequency of snacks/treats and personal income.\nCLINICAL SIGNIFICANCE: Environmental risk factors associated with canine obesity are multifactorial and include personal income, owner age, frequency of snacks/treats and amount of exercise the dog receives. Awareness about health risks associated with obesity in dogs is significantly less in people in lower income brackets. This phenomenon is recognised in human obesity.","DOI":"10.1111/j.1748-5827.2010.00933.x","ISSN":"1748-5827","note":"PMID: 20402841","journalAbbreviation":"J Small Anim Pract","language":"eng","author":[{"family":"Courcier","given":"E A"},{"family":"Thomson","given":"R M"},{"family":"Mellor","given":"D J"},{"family":"Yam","given":"P S"}],"issued":{"date-parts":[["2010",7]]},"PMID":"20402841"}},{"id":1620,"uris":["http://zotero.org/users/171999/items/SDV43U5I"],"uri":["http://zotero.org/users/171999/items/SDV43U5I"],"itemData":{"id":1620,"type":"article-journal","title":"Prevalence and risk factors for canine obesity surveyed in veterinary practices in Beijing, China","container-title":"Preventive veterinary medicine","page":"438-442","volume":"112","issue":"3-4","source":"NCBI PubMed","abstract":"An epidemiological survey of canine obesity was carried out in Beijing, China. Cases (n=2391, 7 districts) were collected at 14 animal hospitals between April 2008 and April 2011. The body condition score (scales of 1-5) was used to assess obesity of the dogs (Burkholder and Toll, 2000; Laflamme, 1997). Obesity rates were analyzed with respect to breed, age, sex, neutering, food control, feeding frequency, reproduction status, food type, nutritional supplements, living environment, feeding time, number of pets per household, feeding purpose, activity control, exercise duration, exercise status and exercise type. The overall canine obesity rate was 44.4% in this survey. The risk factors for dog obesity were food type (non-commercial food, OR=1.377, p&lt;0.05), age (1-2y, OR=0.044, p&lt;0.001), activity control (free activity, OR=0.685, p&lt;0.05), neutering (intact, OR=0.629, p&lt;0.01), sex (male, OR=0.628, p&lt;0.001), feeding frequency (Once per day, OR=0.521, p&lt;0.01). By dog breed, prevalence of obesity was high in pugs (70.7%), Cocker Spaniel (69.4%), Pekingese (51.9%), Pomeranian (54.6%) and Golden Retriever (51.9%). This is the first report of the epidemiology of canine obesity in China.","DOI":"10.1016/j.prevetmed.2013.08.012","ISSN":"1873-1716","note":"PMID: 24042026","journalAbbreviation":"Prev. Vet. Med.","language":"eng","author":[{"family":"Mao","given":"Junfu"},{"family":"Xia","given":"Zhaofei"},{"family":"Chen","given":"Jiangnan"},{"family":"Yu","given":"Jinhai"}],"issued":{"date-parts":[["2013",11,1]]},"PMID":"24042026"}}],"schema":"https://github.com/citation-style-language/schema/raw/master/csl-citation.json"} </w:instrText>
      </w:r>
      <w:r w:rsidR="002A7847" w:rsidRPr="003A0EF9">
        <w:fldChar w:fldCharType="separate"/>
      </w:r>
      <w:r w:rsidR="002A7847" w:rsidRPr="00CC106C">
        <w:rPr>
          <w:vertAlign w:val="superscript"/>
        </w:rPr>
        <w:t>6–14</w:t>
      </w:r>
      <w:r w:rsidR="002A7847" w:rsidRPr="003A0EF9">
        <w:fldChar w:fldCharType="end"/>
      </w:r>
      <w:r w:rsidR="002A7847">
        <w:t xml:space="preserve">  </w:t>
      </w:r>
      <w:r>
        <w:t>T</w:t>
      </w:r>
      <w:r w:rsidR="002A7847" w:rsidRPr="003A0EF9">
        <w:t>he greatest prevalence is</w:t>
      </w:r>
      <w:r>
        <w:t xml:space="preserve"> when</w:t>
      </w:r>
      <w:r w:rsidR="002A7847" w:rsidRPr="003A0EF9">
        <w:t xml:space="preserve"> 6-10 years old</w:t>
      </w:r>
      <w:r>
        <w:t>, neutered</w:t>
      </w:r>
      <w:r w:rsidR="00C53110">
        <w:t>, and when represented by</w:t>
      </w:r>
      <w:r>
        <w:t xml:space="preserve"> specific breeds (i.e., Beagle, Labrador Retriever</w:t>
      </w:r>
      <w:r w:rsidR="002A7847" w:rsidRPr="003A0EF9">
        <w:t>,</w:t>
      </w:r>
      <w:r>
        <w:t xml:space="preserve"> and Rottweiler)</w:t>
      </w:r>
      <w:r w:rsidR="002A7847" w:rsidRPr="003A0EF9">
        <w:t>.</w:t>
      </w:r>
      <w:r w:rsidR="002A7847" w:rsidRPr="003A0EF9">
        <w:fldChar w:fldCharType="begin"/>
      </w:r>
      <w:r>
        <w:instrText xml:space="preserve"> ADDIN ZOTERO_ITEM CSL_CITATION {"citationID":"amdBZpMX","properties":{"formattedCitation":"{\\rtf \\super 6\\nosupersub{}}","plainCitation":"6"},"citationItems":[{"id":13,"uris":["http://zotero.org/users/171999/items/934HWIHU"],"uri":["http://zotero.org/users/171999/items/934HWIHU"],"itemData":{"id":13,"type":"article-journal","title":"Prevalence and risk factors for obesity in adult dogs from private US veterinary practices.","container-title":"International Journal of Applied Research in Veterinary Medicine","volume":"4","issue":"2","source":"ISI Web of Knowledge","abstract":"Using a cross-sectional study design, the prevalence of overweight and obesity in dogs over 1 year of age seen by US veterinarians during 1995 was determined. Risk factors for overweight and obesity were also determined from the following variables: age, breed, gender, body condition score, food type, reported concurrent disease, and geographic region. Thirty-four percent of adult dogs (n=21,754) were overweight or obese. From multivariate analyses, overweight dogs were more likely to be older, of certain breeds (Cocker Spaniel, Labrador Retriever, Dalmatian, Dachshund, Rottweiler, Golden Retriever, Shetland Sheepdog, Mixed-breed), neutered, and to consume a semi-moist food as their major diet source. In addition, overweight adult dogs were most likely to reside in the Pacific, South Central, East North Central, or Northeast regions of the United States and be diagnosed with hyperadrenocorticism, ruptured cruciate ligament, hypothyroidism, lower urinary tract disease, or oral disease. Obese dogs were more likely to be older, of certain breeds (Shetland Sheepdog, Dachshund, and Golden Retriever), neutered, and to consume \"other\" foods (meat or other food products, commercial treats, or table scraps), homemade, or canned foods as their major diet source. Also, obese adult dogs were more likely to live in the Pacific or Northeast region of the United States and be diagnosed with hypothyroidism, diabetes mellitus, pancreatitis, ruptured cruciate ligament, or neoplasia. Practitioners can use these data to counsel dog owners on obesity prevention, especially owners of dogs with ≥1 risk factors for overweight/obesity, and to strongly advocate for the maintenance of canine patients at an ideal body condition.","ISSN":"1542-2666","language":"English","author":[{"family":"Lund","given":"E. M."},{"family":"Armstrong","given":"P. J."},{"family":"Kirk","given":"C. A."},{"family":"Klausner","given":"J. S."}],"issued":{"date-parts":[["2006"]]}}}],"schema":"https://github.com/citation-style-language/schema/raw/master/csl-citation.json"} </w:instrText>
      </w:r>
      <w:r w:rsidR="002A7847" w:rsidRPr="003A0EF9">
        <w:fldChar w:fldCharType="separate"/>
      </w:r>
      <w:r w:rsidR="002A7847" w:rsidRPr="003A0EF9">
        <w:rPr>
          <w:vertAlign w:val="superscript"/>
        </w:rPr>
        <w:t>6</w:t>
      </w:r>
      <w:r w:rsidR="002A7847" w:rsidRPr="003A0EF9">
        <w:fldChar w:fldCharType="end"/>
      </w:r>
      <w:r>
        <w:t xml:space="preserve">  </w:t>
      </w:r>
      <w:r w:rsidR="002A7847" w:rsidRPr="003A0EF9">
        <w:t xml:space="preserve">Lean Labrador Retrievers have been found to live 1.8 years longer </w:t>
      </w:r>
      <w:r w:rsidR="001159A6">
        <w:t>and require</w:t>
      </w:r>
      <w:r>
        <w:t xml:space="preserve"> long-term treatment fo</w:t>
      </w:r>
      <w:r w:rsidR="001159A6">
        <w:t>r osteoarthritis 3 years later</w:t>
      </w:r>
      <w:r>
        <w:t xml:space="preserve"> </w:t>
      </w:r>
      <w:r w:rsidR="002A7847" w:rsidRPr="003A0EF9">
        <w:t>than their overweight sex- and weight-matched siblings</w:t>
      </w:r>
      <w:r w:rsidR="00C53110">
        <w:t>, giving credence to undertaking efforts to achieve weight loss</w:t>
      </w:r>
      <w:r w:rsidR="002A7847" w:rsidRPr="003A0EF9">
        <w:t>.</w:t>
      </w:r>
      <w:r w:rsidR="002A7847" w:rsidRPr="003A0EF9">
        <w:fldChar w:fldCharType="begin"/>
      </w:r>
      <w:r>
        <w:instrText xml:space="preserve"> ADDIN ZOTERO_ITEM CSL_CITATION {"citationID":"1ahUviUG","properties":{"formattedCitation":"{\\rtf \\super 33\\nosupersub{}}","plainCitation":"33"},"citationItems":[{"id":58,"uris":["http://zotero.org/users/171999/items/9546738F"],"uri":["http://zotero.org/users/171999/items/9546738F"],"itemData":{"id":58,"type":"article-journal","title":"Effects of diet restriction on life span and age-related changes in dogs","container-title":"Journal of the American Veterinary Medical Association","page":"1315-1320","volume":"220","issue":"9","source":"NCBI PubMed","abstract":"OBJECTIVE: To evaluate the effects of 25% diet restriction on life span of dogs and on markers of aging.\nDESIGN: Paired feeding study.\nANIMALS: 48 Labrador Retrievers.\nPROCEDURES: Dogs were paired, and 1 dog in each pair was fed 25% less food than its pair-mate from 8 weeks of age until death. Serum biochemical analyses were performed, body condition was scored, and body composition was measured annually until 12 years of age. Age at onset of chronic disease and median (age when 50% of the dogs were deceased) and maximum (age when 90% of the dogs were deceased) life spans were evaluated.\nRESULTS: Compared with control dogs, food-restricted dogs weighed less and had lower body fat content and lower serum triglycerides, triiodothyronine, insulin, and glucose concentrations. Median life span was significantly longer for dogs in which food was restricted. The onset of clinical signs of chronic disease generally was delayed for food-restricted dogs.\nCONCLUSIONS AND CLINICAL RELEVANCE: Results suggest that 25% restriction in food intake increased median life span and delayed the onset of signs of chronic disease in these dogs.","ISSN":"0003-1488","note":"PMID: 11991408","journalAbbreviation":"J. Am. Vet. Med. Assoc.","language":"eng","author":[{"family":"Kealy","given":"Richard D"},{"family":"Lawler","given":"Dennis F"},{"family":"Ballam","given":"Joan M"},{"family":"Mantz","given":"Sandra L"},{"family":"Biery","given":"Darryl N"},{"family":"Greeley","given":"Elizabeth H"},{"family":"Lust","given":"George"},{"family":"Segre","given":"Mariangela"},{"family":"Smith","given":"Gail K"},{"family":"Stowe","given":"Howard D"}],"issued":{"date-parts":[["2002",5,1]]},"PMID":"11991408"}}],"schema":"https://github.com/citation-style-language/schema/raw/master/csl-citation.json"} </w:instrText>
      </w:r>
      <w:r w:rsidR="002A7847" w:rsidRPr="003A0EF9">
        <w:fldChar w:fldCharType="separate"/>
      </w:r>
      <w:r w:rsidR="002A7847" w:rsidRPr="00CC106C">
        <w:rPr>
          <w:vertAlign w:val="superscript"/>
        </w:rPr>
        <w:t>33</w:t>
      </w:r>
      <w:r w:rsidR="002A7847" w:rsidRPr="003A0EF9">
        <w:fldChar w:fldCharType="end"/>
      </w:r>
    </w:p>
    <w:p w:rsidR="002A7847" w:rsidRDefault="00491675" w:rsidP="00D044D0">
      <w:pPr>
        <w:ind w:firstLine="720"/>
        <w:contextualSpacing/>
      </w:pPr>
      <w:r>
        <w:t>Diet manipulations to decrease caloric intake have</w:t>
      </w:r>
      <w:r w:rsidR="001159A6">
        <w:t xml:space="preserve"> long been the treatment of choice for canine obesity, but compliance and long-term weight maintenance success has proven difficult to achieve.</w:t>
      </w:r>
      <w:r>
        <w:fldChar w:fldCharType="begin"/>
      </w:r>
      <w:r w:rsidR="000A492A">
        <w:instrText xml:space="preserve"> ADDIN ZOTERO_ITEM CSL_CITATION {"citationID":"d3Z7dEDR","properties":{"formattedCitation":"{\\rtf \\super 292,325,326,396\\uc0\\u8211{}400\\nosupersub{}}","plainCitation":"292,325,326,396–400"},"citationItems":[{"id":444,"uris":["http://zotero.org/users/171999/items/VVSBDAAA"],"uri":["http://zotero.org/users/171999/items/VVSBDAAA"],"itemData":{"id":444,"type":"article-journal","title":"Dietary energy restriction and successful weight loss in obese client-owned dogs","container-title":"Journal of veterinary internal medicine / American College of Veterinary Internal Medicine","page":"1174-1180","volume":"21","issue":"6","source":"NCBI PubMed","abstract":"BACKGROUND: Obesity is the most common nutritional disease in dogs. Although weight loss by dietary caloric energy restriction is successful in experimental studies, there is limited information on success of such programs in client-owned dogs who are obese. Further, no information currently exists on the changes in body composition during weight loss in clinical cases.\nHYPOTHESIS: Key determinants of outcome of weight loss, including energy allocation and body composition, are influenced by both individual and weight program factors.\nANIMALS: Nineteen client-owned dogs with naturally occurring obesity.\nMETHODS: In this prospective clinical study, body composition was quantified by dual-energy X-ray absorptiometry before and after weight loss on an individually tailored program that incorporated a high-protein and moderate-fiber diet.\nRESULTS: Mean percentage weight loss was 18% (range, 6-29%), and mean rate of weight loss was 0.85% per week (range, 0.35-1.56%). Mean energy allocation required to achieve weight loss was 60% of maintenance energy requirement at target weight (MERTW) (range, 50-82%). Significant dietary noncompliance was reported (mean, 1.0% MERTW; range, 0.0-9.5%). The mean composition of tissue lost was 84: 15:1 (fat : lean : bone mineral content [BMC]). Lean tissue loss was positively associated with overall percentage of weight loss (Pearson correlation coefficient [Rp] = 0.591, P = .008), whereas BMC loss was greater in retrievers compared with other breeds (1.9% +/- 1.16% versus 0.8% +/- 0.44%; P = .008).\nCONCLUSIONS AND CLINICAL IMPORTANCE: This clinical study demonstrated body composition changes during weight loss in dogs. Conventional programs produced safe weight loss, but marked energy restriction was required and the rate of loss was slower than in experimental studies.","ISSN":"0891-6640","note":"PMID: 18196722","journalAbbreviation":"J. Vet. Intern. Med.","language":"eng","author":[{"family":"German","given":"Alexander J"},{"family":"Holden","given":"Shelley L"},{"family":"Bissot","given":"Thomas"},{"family":"Hackett","given":"Rachel M"},{"family":"Biourge","given":"Vincent"}],"issued":{"date-parts":[["2007",12]]},"PMID":"18196722"}},{"id":950,"uris":["http://zotero.org/users/171999/items/X4WVNB6A"],"uri":["http://zotero.org/users/171999/items/X4WVNB6A"],"itemData":{"id":950,"type":"article-journal","title":"Long-term follow-up after weight management in obese dogs: the role of diet in preventing regain","container-title":"Veterinary journal (London, England: 1997)","page":"65-70","volume":"192","issue":"1","source":"NCBI PubMed","abstract":"Regain after weight loss is widely reported in humans, but there is little information on this phenomenon in dogs. The current study aim was to determine long-term success of a weight loss regime and those factors linked with regain. Thirty-three obese dogs, that had successfully lost weight, were included, all enrolled between December 2004 and May 2009. After weight loss, dogs were switched to a maintenance regime and follow-up weight checks were performed periodically. A review of cases that had completed their weight programme was held during the summer of 2010 and a follow-up check was subsequently conducted, where dogs were reweighed and information was collected on current feeding practices. Median duration of follow-up was 640 days (119-1828 days). Fourteen dogs (42%) maintained weight, 3 (9%) lost &gt;5% additional weight, and 16 (48%) gained &gt;5% weight. Dogs fed a purpose-formulated weight loss diet regained less weight than those switched onto a standard maintenance diet (P=0.0016). Energy intake at the time of follow-up was significantly higher in those dogs fed a standard maintenance diet, compared with those that had remained on a purpose-formulated weight loss diet (P=0.017). These results suggest that weight regain occurs in about half of dogs after successful weight loss. Long-term use of a purpose-formulated weight management diet can significantly limit regain in the follow-up period, likely by limiting food intake.","DOI":"10.1016/j.tvjl.2011.04.001","ISSN":"1532-2971","note":"PMID: 21570327","shortTitle":"Long-term follow-up after weight management in obese dogs","journalAbbreviation":"Vet. J.","author":[{"family":"German","given":"A J"},{"family":"Holden","given":"S L"},{"family":"Morris","given":"P J"},{"family":"Biourge","given":"V"}],"issued":{"date-parts":[["2012",4]]},"PMID":"21570327"}},{"id":1575,"uris":["http://zotero.org/users/171999/items/A4MMEIAF"],"uri":["http://zotero.org/users/171999/items/A4MMEIAF"],"itemData":{"id":1575,"type":"article-journal","title":"A high protein high fibre diet improves weight loss in obese dogs","container-title":"Veterinary journal (London, England: 1997)","page":"294-297","volume":"183","issue":"3","source":"NCBI PubMed","abstract":"A newly-formulated, high protein high fibre (HPHF) diet has recently been shown to improve satiety in dogs. The current study examined its performance during weight loss in client-owned dogs with naturally-occurring obesity. Fifteen dogs were fed the HPHF diet, whilst a matched 'control' group of 27 dogs, received a high protein medium fibre diet (HPMF), with an equivalent caloric density. Baseline characteristics (signalment, percentage overweight, and body fat percentage) were not significantly different between groups. However, percentage weight loss was greater (median [range] 31.8% [12.0-41.2%] vs. 20.0% [5.9-45.0%], P=0.016) and mean rate of weight loss faster (median [range] 1.0%/week [0.3-1.6%] vs. 0.7%/week [0.3-1.5%], P=0.028) on HPHF compared with HPMF. Percentage body fat mass decrease (measured by dual-energy X-ray absorptiometry) was also greater in dogs fed the HPHF diet (median (range] 58% [32-85%) vs. 37% [15-72%), P=0.002). Thus, a diet formulated to include high levels of both protein and fibre, improves outcome during weight loss in obese dogs.","DOI":"10.1016/j.tvjl.2008.12.004","ISSN":"1532-2971","note":"PMID: 19138868","journalAbbreviation":"Vet. J.","language":"eng","author":[{"family":"German","given":"Alexander J"},{"family":"Holden","given":"Shelley L"},{"family":"Bissot","given":"Thomas"},{"family":"Morris","given":"Penelope J"},{"family":"Biourge","given":"Vincent"}],"issued":{"date-parts":[["2010",3]]},"PMID":"19138868"}},{"id":557,"uris":["http://zotero.org/users/171999/items/BTVZND9X"],"uri":["http://zotero.org/users/171999/items/BTVZND9X"],"itemData":{"id":557,"type":"article-journal","title":"The Effect of Weight-Loss Regimen on Subsequent Weight Maintenance in Dogs","container-title":"Nutrition Research","page":"1019-1028","volume":"15","issue":"7","source":"ISI Web of Knowledge","abstract":"Long term studies indicate that the majority of humans regain the weight lost during weight reduction programs. In dogs, while some information is available regarding weight loss programs, no data have been published regarding the ability to maintain lower weight following weight loss. The objectives of this study were to determine the ability of dogs to maintain weight loss following a weight reduction program and to determine if the degree of caloric restriction or rate of weight loss affected subsequent body weight change. Thirty-nine dogs were assigned to 4 treatment groups (100%, 75%, 60% or 50% calculated maintenance energy requirements for target body weight) and were allowed up to 16 weeks for weight loss. Following weight loss, dogs were assigned to be fed ad libitum or were fed to maintain body weight for an additional 26 weeks. All dogs were fed the same low calorie dog food throughout the study. The weights of ail groups of dogs fed ad libitum during the maintenance period ''rebounded'', increasing by the end of week 1. The percent weight gain was correlated to the amount of weight lost and to the level of caloric restriction (p&lt;0.01). Dogs from all weight loss treatments which were control fed to maintain weight following weight loss were able to maintain their weight loss. After 26 weeks of weight maintenance, there was no difference in weight loss between the 4 weight loss regimens. This study demonstrated that dogs, like humans, experience a weight ''rebound'' following caloric restriction which is greater subsequent to severe caloric restriction. The rebound effect and weight regain can be controlled by a slow rate of weight loss or by continuing to limit the dog's intake.","DOI":"10.1016/0271-5317(95)00063-O","ISSN":"0271-5317","journalAbbreviation":"Nutr. Res.","language":"English","author":[{"family":"Laflamme","given":"Dp"},{"family":"Kuhlman","given":"G."}],"issued":{"date-parts":[["1995",7]]}}},{"id":405,"uris":["http://zotero.org/users/171999/items/3AP3NQR9"],"uri":["http://zotero.org/users/171999/items/3AP3NQR9"],"itemData":{"id":405,"type":"article-journal","title":"Results of the clinical use of a standardized weight-loss program in   dogs and cats.","container-title":"Journal of the American Animal Hospital Association","volume":"29","issue":"4","source":"ISI Web of Knowledge","abstract":"Fifteen obese dogs and 5 obese cats were placed on a standardized   veterinary weight-loss programme. Commercial \"light\" foods were fed to   provide 60 and 70% of the maintenance energy requirements for the ideal   estimated weight in the dogs and cats, respectively. A comparison was   made of the percentage of weight lost versus the percentage of   calculated time to complete the programme. After 10 months all had lost   weight but only at an average of 60% of the calculated rate. Each had   fluctuations with weight loss and weight gain. All showed an increase in   activity and were more active. It was shown that weight loss programmes   must be modified to fit the clinical setting. Details of the diets   (manufacturer's data), the animals participating in the programme and   their body weight before and at intervals during the treatment are   presented in tables.","ISSN":"0587-2871","language":"English","author":[{"family":"Gentry","given":"S. J."}],"issued":{"date-parts":[["1993"]]}}},{"id":463,"uris":["http://zotero.org/users/171999/items/I2EZGMUA"],"uri":["http://zotero.org/users/171999/items/I2EZGMUA"],"itemData":{"id":463,"type":"article-journal","title":"Evaluation of weight loss protocols for dogs","container-title":"Journal of the American Animal Hospital Association","page":"253-259","volume":"33","issue":"3","source":"ISI Web of Knowledge","abstract":"Several canine weight loss protocols were evaluated to determine their relative safety and efficacy, Dogs were fed 100%, 75%, 60%, or 50% of maintenance energy requirements (MERs) using the dogs' target body weights, No indications of adverse health effects were observed with any weight loss protocol, Triiodothyronine (T-3) levels and apparent MERs decreased in dogs restricted to 50% to 60% of their MERs. The rate of weight loss was correlated linearly with degree of calorie restriction, although there was considerable individual variation. Percent overweight by the end of the test was not different between protocol groups for dogs fed 50%, 60%, or 75% of MERs. Therefore, any of the protocols tested in this study may be used in the management of overweight dogs; however, individual responses will be expected to vary, and severe calorie restriction may predispose dogs to weight rebound.","ISSN":"0587-2871","note":"WOS:A1997WW32200008","journalAbbreviation":"J. Am. Anim. Hosp. Assoc.","language":"English","author":[{"family":"Laflamme","given":"D. P."},{"family":"Kuhlman","given":"G."},{"family":"Lawler","given":"D. F."}],"issued":{"date-parts":[["1997",6]]}}},{"id":"sfRcBkgw/Mh3Amvc9","uris":["http://zotero.org/users/local/Ry4zHLbn/items/N6IC7E8R"],"uri":["http://zotero.org/users/local/Ry4zHLbn/items/N6IC7E8R"],"itemData":{"id":"sfRcBkgw/Mh3Amvc9","type":"article-journal","title":"Influence of dirlotapide, a microsomal triglyceride transfer protein inhibitor, on the digestibility of a dry expanded diet in adult dogs","container-title":"Journal of veterinary pharmacology and therapeutics","page":"66-72","volume":"30 Suppl 1","source":"NCBI PubMed","abstract":"The objectives of this study were to evaluate the effects of dirlotapide, a microsomal triglyceride transfer protein inhibitor, on apparent nutrient digestibility of an expanded dry dog food, on defecation frequency and fecal consistency. Eighteen beagles were randomized to either placebo (n = 6) or dirlotapide (n = 12). Testing was divided into a 21-day adaptation phase (days -21 to -1) and a 35-day treatment (digestibility testing) phase (days 0-35). During the treatment phase, dogs were administered oral dirlotapide (0.3 mg/kg) or placebo (0.06 mL/kg) once daily. For digestibility testing, feces were collected over two periods for 7 days each starting on days -9 and 28. All dogs were fed a commercial adult dog food throughout the study. Food intake was adjusted to maintain body weight during adaptation, followed by pair-feeding placebo dogs the amount of food ingested by the dirlotapide dogs during the treatment period. Dogs in both groups had reduced food intake and lost similar amounts of body weight during treatment. Dogs receiving 0.3 mg dirlotapide/kg once daily had a small but significant (P = 0.018) decrease (6.16 +/- 2.22%, mean +/- SD) in crude fat digestibility compared with the placebo-treated food-restricted dogs, but no difference in crude protein, dry matter, or energy digestibility was observed. Fecal consistency and volume and defecation frequency were similar between groups. Dirlotapide effectively reduced appetite and energy intake without affecting nutrient digestibility, except for a minimal decrease in fat digestibility.","DOI":"10.1111/j.1365-2885.2007.00856.x","ISSN":"0140-7783","note":"PMID: 17567516","journalAbbreviation":"J. Vet. Pharmacol. Ther.","language":"eng","author":[{"family":"Kirk","given":"C A"},{"family":"Boucher","given":"J F"},{"family":"Sunderland","given":"S J"},{"family":"Wren","given":"J A"}],"issued":{"year":2007,"month":8},"PMID":"17567516","page-first":"66","container-title-short":"J. Vet. Pharmacol. Ther."}},{"id":"sfRcBkgw/sBrbqJF5","uris":["http://zotero.org/users/local/Ry4zHLbn/items/S52KNXND"],"uri":["http://zotero.org/users/local/Ry4zHLbn/items/S52KNXND"],"itemData":{"id":"sfRcBkgw/sBrbqJF5","type":"article-journal","title":"Evaluation of dirlotapide for sustained weight loss in overweight Labrador retrievers","container-title":"Journal of veterinary pharmacology and therapeutics","page":"55-65","volume":"30 Suppl 1","source":"NCBI PubMed","abstract":"The effects of dirlotapide on body weight (BW) reduction were investigated in overweight Labradors in two parallel-design studies. Study A involved 42 dogs randomized to 0.0, 0.025, 0.05, 0.1, 0.2 or 0.4 mg dirlotapide/kg/day orally for 4 weeks. Study B involved 72 dogs randomized to nine treatments: placebo (24 weeks); dirlotapide (24 weeks) followed by placebo (28 weeks); or dirlotapide (52 weeks); on diets containing 5%, 10% or 15% fat. Dirlotapide dose (initially 0.1 mg/kg) was adjusted monthly during 24-week weight-loss and subsequent 28-week weight-stabilization phases. Food was offered above maintenance energy requirements (MERx 1.1-1.2) based on initial BW. Body composition (body fat, lean tissue and bone mineral content) was monitored using dual-energy X-ray absorptiometry. After treatment, dogs that had received dirlotapide for 52 weeks were fed 90% of quantity consumed at week 52. In study A, BW and food intake decreased asymptotically with dose: mean weekly weight loss exceeded 1% at 0.1-0.4 mg/kg. In study B, dirlotapide resulted in significant mean weekly weight loss (&gt;0.8%) and decreased food intake over 24 weeks compared with placebo (P = 0.0001) for all diets. Food restriction minimized post-treatment weight rebound. Dirlotapide administered daily to dogs for up to 52 weeks was clinically safe and resulted in sustained weight reduction.","DOI":"10.1111/j.1365-2885.2007.00855.x","ISSN":"0140-7783","note":"PMID: 17567515","journalAbbreviation":"J. Vet. Pharmacol. Ther.","language":"eng","author":[{"family":"Gossellin","given":"J"},{"family":"Peachey","given":"S"},{"family":"Sherington","given":"J"},{"family":"Rowan","given":"T G"},{"family":"Sunderland","given":"S J"}],"issued":{"year":2007,"month":8},"PMID":"17567515","page-first":"55","container-title-short":"J. Vet. Pharmacol. Ther."}}],"schema":"https://github.com/citation-style-language/schema/raw/master/csl-citation.json"} </w:instrText>
      </w:r>
      <w:r>
        <w:fldChar w:fldCharType="separate"/>
      </w:r>
      <w:r w:rsidR="000A492A" w:rsidRPr="000A492A">
        <w:rPr>
          <w:vertAlign w:val="superscript"/>
        </w:rPr>
        <w:t>292,325,326,396–400</w:t>
      </w:r>
      <w:r>
        <w:fldChar w:fldCharType="end"/>
      </w:r>
      <w:r w:rsidR="00C53110">
        <w:t xml:space="preserve">  Most plans involve feeding specially designed therapeutic weight loss di</w:t>
      </w:r>
      <w:r w:rsidR="0002775E">
        <w:t xml:space="preserve">ets, typically providing an increased </w:t>
      </w:r>
      <w:r w:rsidR="00C53110">
        <w:t xml:space="preserve">nutrient to calorie ratio, increased </w:t>
      </w:r>
      <w:r w:rsidR="0002775E">
        <w:t xml:space="preserve">fiber and </w:t>
      </w:r>
      <w:r w:rsidR="00C53110">
        <w:t>protein</w:t>
      </w:r>
      <w:r w:rsidR="00B41633">
        <w:t xml:space="preserve"> content</w:t>
      </w:r>
      <w:r w:rsidR="0002775E">
        <w:t>, and reduced kcal/kg food content.</w:t>
      </w:r>
      <w:r w:rsidR="0002775E">
        <w:fldChar w:fldCharType="begin"/>
      </w:r>
      <w:r w:rsidR="000A492A">
        <w:instrText xml:space="preserve"> ADDIN ZOTERO_ITEM CSL_CITATION {"citationID":"1srurlbp3p","properties":{"formattedCitation":"{\\rtf \\super 282,292\\nosupersub{}}","plainCitation":"282,292"},"citationItems":[{"id":1575,"uris":["http://zotero.org/users/171999/items/A4MMEIAF"],"uri":["http://zotero.org/users/171999/items/A4MMEIAF"],"itemData":{"id":1575,"type":"article-journal","title":"A high protein high fibre diet improves weight loss in obese dogs","container-title":"Veterinary journal (London, England: 1997)","page":"294-297","volume":"183","issue":"3","source":"NCBI PubMed","abstract":"A newly-formulated, high protein high fibre (HPHF) diet has recently been shown to improve satiety in dogs. The current study examined its performance during weight loss in client-owned dogs with naturally-occurring obesity. Fifteen dogs were fed the HPHF diet, whilst a matched 'control' group of 27 dogs, received a high protein medium fibre diet (HPMF), with an equivalent caloric density. Baseline characteristics (signalment, percentage overweight, and body fat percentage) were not significantly different between groups. However, percentage weight loss was greater (median [range] 31.8% [12.0-41.2%] vs. 20.0% [5.9-45.0%], P=0.016) and mean rate of weight loss faster (median [range] 1.0%/week [0.3-1.6%] vs. 0.7%/week [0.3-1.5%], P=0.028) on HPHF compared with HPMF. Percentage body fat mass decrease (measured by dual-energy X-ray absorptiometry) was also greater in dogs fed the HPHF diet (median (range] 58% [32-85%) vs. 37% [15-72%), P=0.002). Thus, a diet formulated to include high levels of both protein and fibre, improves outcome during weight loss in obese dogs.","DOI":"10.1016/j.tvjl.2008.12.004","ISSN":"1532-2971","note":"PMID: 19138868","journalAbbreviation":"Vet. J.","language":"eng","author":[{"family":"German","given":"Alexander J"},{"family":"Holden","given":"Shelley L"},{"family":"Bissot","given":"Thomas"},{"family":"Morris","given":"Penelope J"},{"family":"Biourge","given":"Vincent"}],"issued":{"date-parts":[["2010",3]]},"PMID":"19138868"}},{"id":974,"uris":["http://zotero.org/users/171999/items/ZS585JPQ"],"uri":["http://zotero.org/users/171999/items/ZS585JPQ"],"itemData":{"id":974,"type":"article-journal","title":"A High-Fiber Food Improves Weight Loss Compared to a High-Protein,   High-Fat Food in Pet Dogs in a Home Setting","container-title":"International Journal of Applied Research in Veterinary Medicine","page":"138-145","volume":"8","issue":"3","source":"ISI Web of Knowledge","abstract":"Little is known about the relative effectiveness of different weight loss foods for pet dogs in the home setting. Here, we performed a randomized, blinded, 24-week prospective study in 73 client-owned adult dogs to compare weight loss in the home setting using an energy-dense high-protein/high-fat food (HP/HF) or a lower density high-fiber food (HFIB). Investigators recommended amounts of food according to the resting energy requirement for the dog's ideal body weight and a target of 2% weight loss per week. Every 4 weeks, investigators measured body weight, and every week, owners recorded the amount of food dispensed and whether their dog consumed all that was offered. In dogs completing the study according to protocol, those fed HFIB (n=32) lost more weight (P=0.009) than those fed HP/HF (n=30). Sex, clinic, initial weight, amount of energy offered by owners, and frequency of eating all the food offered were not significant factors. According to owners' records, there was no difference in the amount of energy offered to the two groups or in the frequency of supplementary energy intake, frequency of vomiting, or stool quality. In summary, in the home setting, a high-fiber food is more effective than a high-protein/high-fat food for weight loss in obese pet dogs.","ISSN":"1542-2666","journalAbbreviation":"Int. J. Appl. Res. Vet. Med.","language":"English","author":[{"family":"Fritsch","given":"Dale A."},{"family":"Ahle","given":"Neil W."},{"family":"Jewell","given":"Dennis E."},{"family":"Allen","given":"Timothy A."},{"family":"Brejda","given":"John"},{"family":"Leventhal","given":"Phillip S."},{"family":"Hahn","given":"Kevin A."}],"issued":{"date-parts":[["2010"]]}}}],"schema":"https://github.com/citation-style-language/schema/raw/master/csl-citation.json"} </w:instrText>
      </w:r>
      <w:r w:rsidR="0002775E">
        <w:fldChar w:fldCharType="separate"/>
      </w:r>
      <w:r w:rsidR="000A492A" w:rsidRPr="000A492A">
        <w:rPr>
          <w:vertAlign w:val="superscript"/>
        </w:rPr>
        <w:t>282,292</w:t>
      </w:r>
      <w:r w:rsidR="0002775E">
        <w:fldChar w:fldCharType="end"/>
      </w:r>
      <w:r w:rsidR="0002775E">
        <w:t xml:space="preserve">  In cases where</w:t>
      </w:r>
      <w:r w:rsidR="00B61560">
        <w:t xml:space="preserve"> switching the</w:t>
      </w:r>
      <w:r w:rsidR="0002775E">
        <w:t xml:space="preserve"> </w:t>
      </w:r>
      <w:r w:rsidR="00B61560">
        <w:t>diet</w:t>
      </w:r>
      <w:r w:rsidR="0002775E">
        <w:t xml:space="preserve"> is not desirable, alternative methods are required.</w:t>
      </w:r>
    </w:p>
    <w:p w:rsidR="0002775E" w:rsidRDefault="0002775E" w:rsidP="00D044D0">
      <w:pPr>
        <w:ind w:firstLine="720"/>
        <w:contextualSpacing/>
      </w:pPr>
      <w:r>
        <w:t>In people, a nutraceutical combining 2.25 g leucine and 30 mg pyridoxine</w:t>
      </w:r>
      <w:r w:rsidR="005D2F2E">
        <w:t xml:space="preserve"> (NuShape®, NuSirt Sciences, Nashville, TN)</w:t>
      </w:r>
      <w:r>
        <w:t xml:space="preserve"> has shown promise as an effective aid to the management of obesity.</w:t>
      </w:r>
      <w:r>
        <w:fldChar w:fldCharType="begin"/>
      </w:r>
      <w:r w:rsidR="000A492A">
        <w:instrText xml:space="preserve"> ADDIN ZOTERO_ITEM CSL_CITATION {"citationID":"4ae2iu12u","properties":{"formattedCitation":"{\\rtf \\super 347,354\\nosupersub{}}","plainCitation":"347,354"},"citationItems":[{"id":"sfRcBkgw/unGO8au1","uris":["http://zotero.org/users/local/Ry4zHLbn/items/WZP424QN"],"uri":["http://zotero.org/users/local/Ry4zHLbn/items/WZP424QN"],"itemData":{"id":"sfRcBkgw/unGO8au1","type":"article-journal","title":"Effects of a leucine and pyridoxine-containing nutraceutical on fat oxidation, and oxidative and inflammatory stress in overweight and obese subjects","container-title":"Nutrients","page":"529-541","volume":"4","issue":"6","source":"NCBI PubMed","abstract":"Leucine stimulates tissue protein synthesis and may also attenuate adiposity by increasing fatty acid oxidation and mitochondrial biogenesis in muscle and adipocytes. Accordingly, the effects of a nutraceutical containing 2.25 g leucine and 30 mg pyridoxine (Vitamin B6) (NuFit active blend) were tested in cell culture and in a clinical trial. 3T3L1 adipocytes were treated with leucine (0.25 mM or 0.5 mM) and/or Pyridoxal Phosphate (PLP) (50 nM or 100 nM) for 48 h. For the clinical trial, twenty overweight or obese subjects received the NuFit active blend or placebo three times/day for 4 weeks without energy restriction. Leucine decreased fatty acid synthase (FAS) expression and triglyceride content in adipocytes, and PLP addition significantly augmented this effect. Administration of NuFit active blend in the clinical trial increased fat oxidation by 33.6 g/day (p &lt; 0.04), decreased respiratory quotient, improved HOMA(IR), reduced oxidative and inflammatory biomarkers (plasma MDA, 8-isoprostane-F(2α), TNF-α, C-reactive protein), and increased the anti-inflammatory marker adiponectin. These data indicate that the NuFit active blend significantly increased fat oxidation and insulin sensitivity, and reduced oxidative and inflammatory stress. Therefore, the NuFit active blend appears to be a useful nutraceutical in the management of obesity and associated co-morbidities.","DOI":"10.3390/nu4060529","ISSN":"2072-6643","note":"PMID: 22822451","journalAbbreviation":"Nutrients","language":"eng","author":[{"family":"Zemel","given":"Michael B"},{"family":"Bruckbauer","given":"Antje"}],"issued":{"year":2012,"month":6},"PMID":"22822451","page-first":"529","container-title-short":"Nutrients"}},{"id":"sfRcBkgw/s6z6ObuO","uris":["http://zotero.org/users/local/Ry4zHLbn/items/GJKIQNPJ"],"uri":["http://zotero.org/users/local/Ry4zHLbn/items/GJKIQNPJ"],"itemData":{"id":"sfRcBkgw/s6z6ObuO","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B"},{"family":"Bruckbauer","given":"Antje"}],"issued":{"year":2013},"PMID":"24003309","page-first":"309","container-title-short":"Diabetes Metab Syndr Obes"}}],"schema":"https://github.com/citation-style-language/schema/raw/master/csl-citation.json"} </w:instrText>
      </w:r>
      <w:r>
        <w:fldChar w:fldCharType="separate"/>
      </w:r>
      <w:r w:rsidR="000A492A" w:rsidRPr="000A492A">
        <w:rPr>
          <w:vertAlign w:val="superscript"/>
        </w:rPr>
        <w:t>347,354</w:t>
      </w:r>
      <w:r>
        <w:fldChar w:fldCharType="end"/>
      </w:r>
      <w:r>
        <w:t xml:space="preserve">  The premise involves capitalizing on the synergistic ability of the two nutrients to </w:t>
      </w:r>
      <w:r w:rsidR="005D2F2E">
        <w:t>encourage lipolysis while maintaining lean tissue mass.  Leucine is an essential ketogenic branched chain amino acid (BCAA), with highest concentrations (g leucine/100 g food item) in eggs, soy-derived products, and dairy products.</w:t>
      </w:r>
      <w:r w:rsidR="005D2F2E">
        <w:fldChar w:fldCharType="begin"/>
      </w:r>
      <w:r w:rsidR="000A492A">
        <w:instrText xml:space="preserve"> ADDIN ZOTERO_ITEM CSL_CITATION {"citationID":"8lsJO1ug","properties":{"formattedCitation":"{\\rtf \\super 346\\nosupersub{}}","plainCitation":"346"},"citationItems":[{"id":824,"uris":["http://zotero.org/users/171999/items/QTUZIS9Q"],"uri":["http://zotero.org/users/171999/items/QTUZIS9Q"],"itemData":{"id":824,"type":"webpage","title":"USDA National Nutrient Database for Standard Reference","container-title":"USDA Agriculture Research Service Nutrient Data Laboratory","genre":"Database","URL":"http://www.nal.usda.gov/fnic/foodcomp/search/","author":[{"family":"USDA","given":""}],"accessed":{"date-parts":[["2010",8,3]]}}}],"schema":"https://github.com/citation-style-language/schema/raw/master/csl-citation.json"} </w:instrText>
      </w:r>
      <w:r w:rsidR="005D2F2E">
        <w:fldChar w:fldCharType="separate"/>
      </w:r>
      <w:r w:rsidR="000A492A" w:rsidRPr="000A492A">
        <w:rPr>
          <w:vertAlign w:val="superscript"/>
        </w:rPr>
        <w:t>346</w:t>
      </w:r>
      <w:r w:rsidR="005D2F2E">
        <w:fldChar w:fldCharType="end"/>
      </w:r>
      <w:r w:rsidR="005D2F2E">
        <w:t xml:space="preserve">  Leucine has been shown to modulate fat oxidation and energy partitioning between adipose tissue and skeletal muscle.  The cross-talk that occurs causes diminished adipocyte lipid storage, increased net fat oxidation, and decreased overall adiposity.</w:t>
      </w:r>
      <w:r w:rsidR="005D2F2E">
        <w:fldChar w:fldCharType="begin"/>
      </w:r>
      <w:r w:rsidR="000A492A">
        <w:instrText xml:space="preserve"> ADDIN ZOTERO_ITEM CSL_CITATION {"citationID":"u3rdjOkj","properties":{"formattedCitation":"{\\rtf \\super 347\\uc0\\u8211{}352\\nosupersub{}}","plainCitation":"347–352"},"citationItems":[{"id":"OzdjOHfW/SN0Qknzb","uris":["http://zotero.org/users/local/Ry4zHLbn/items/GJKIQNPJ"],"uri":["http://zotero.org/users/local/Ry4zHLbn/items/GJKIQNPJ"],"itemData":{"id":"OzdjOHfW/SN0Qknzb","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B"},{"family":"Bruckbauer","given":"Antje"}],"issued":{"year":2013},"PMID":"24003309","page-first":"309","container-title-short":"Diabetes Metab Syndr Obes"}},{"id":1693,"uris":["http://zotero.org/users/171999/items/7S98DPBI"],"uri":["http://zotero.org/users/171999/items/7S98DPBI"],"itemData":{"id":1693,"type":"article-journal","title":"Leucine and calcium regulate fat metabolism and energy partitioning in murine adipocytes and muscle cells","container-title":"Lipids","page":"297-305","volume":"42","issue":"4","source":"NCBI PubMed","abstract":"Dietary calcium modulation of adiposity is mediated, in part, by suppression of calcitriol, while the additional effect of dairy products is mediated by additional components; these include the high concentration of leucine, a key factor in the regulation of muscle protein turnover. We investigated the effect of leucine, calcitriol and calcium on energy metabolism in murine adipocytes and muscle cells and on energy partitioning between adipocytes and skeletal muscle. Leucine induced a marked increase in fatty acid oxidation in C2C12 muscle cells (P&lt;0.001) and decreased FAS expression by 66% (P&lt;0.001) in 3T3-L1 adipocytes. Calcitriol decreased muscle cell fatty acid oxidation by 37% (P&lt;0.001) and increased adipocyte FAS gene expression by threefold (P&lt;0.05); these effects were partially reversed by either leucine or calcium channel antagonism with nifedipine. Co-culture of muscle cells with adipocytes or incubation with 48-h adipocyte conditioned medium decreased muscle fatty acid oxidation by 62% (P&lt;0.001), but treating adipocytes with leucine and/or nifedipine attenuated this effect. Leucine, nifedipine and calcitriol also modulated adiponectin production and thereby exerted additional indirect effects on fatty acid oxidation in C2C12 myotubes. Adiponectin increased IL-15 and IL-6 release by myotubes and partially reversed the inhibitory effects of calcitriol. Comparable effects of leucine, calcitriol and adiponectin were found in myotubes treated with conditioned medium derived from adipocytes or co-cultured with adipocytes. These data suggest that leucine and nifedipine promote energy partitioning from adipocytes to muscle cells, resulting in decreased energy storage in adipocytes and increasing fatty acid utilization in muscle.","DOI":"10.1007/s11745-007-3029-5","ISSN":"0024-4201","note":"PMID: 17406924","journalAbbreviation":"Lipids","language":"eng","author":[{"family":"Sun","given":"Xiaocun"},{"family":"Zemel","given":"Michael B"}],"issued":{"date-parts":[["2007",4]]},"PMID":"17406924"}},{"id":1695,"uris":["http://zotero.org/users/171999/items/RCRVB9BJ"],"uri":["http://zotero.org/users/171999/items/RCRVB9BJ"],"itemData":{"id":1695,"type":"article-journal","title":"Leucine modulation of mitochondrial mass and oxygen consumption in skeletal muscle cells and adipocytes","container-title":"Nutrition &amp; metabolism","page":"26","volume":"6","source":"NCBI PubMed","abstract":"BACKGROUND: The effects of dairy on energy metabolism appear to be mediated, in part, by leucine and calcium which regulate both adipocyte and skeletal muscle energy metabolism. We recently demonstrated that leucine and calcitriol regulate fatty acid oxidation in skeletal muscle cells in vitro, with leucine promoting and calcitriol suppressing fatty acid oxidation. Moreover, leucine coordinately regulated adipocyte lipid metabolism to promote flux of lipid to skeletal muscle and regulate metabolic flexibility. We have now investigated the role of mitochondrial biogenesis in mediating these effects.\nMETHODS: We tested the effect of leucine, calcitriol and calcium in regulation of mitochondrial mass using a fluorescence method and tested mitochondrial biogenesis regulatory genes as well mitochondrial component genes using real-time PCR. We also evaluated the effect of leucine on oxygen consumption with a modified perfusion system.\nRESULTS: Leucine (0.5 mM) increased mitochondrial mass by 30% and 53% in C2C12 myocytes and 3T3-L1 adipocytes, respectively, while calcitriol (10 nM) decreased mitochondrial abundance by 37% and 27% (p &lt; 0.02). Leucine also stimulated mitochondrial biogenesis genes SIRT-1, PGC-1alpha and NRF-1 as well as mitochondrial component genes UCP3, COX, and NADH expression by 3-5 fold in C2C12 cells (p &lt; 0.003). Adipocyte-conditioned medium reduced mitochondrial abundance (p &lt; 0.001) and decreased UCP3 but increased PGC-1alpha expression in myocytes, suggesting a feedback stimulation of mitochondrial biogenesis. Similar data were observed in C2C12 myocytes co-cultured with adipocytes, with co-culture markedly suppressing mitochondrial abundance (p &lt; 0.02). Leucine stimulated oxygen consumption in both C2C12 cells and adipocytes compared with either control or valine-treated cells. Transfection of C2C12 myocytes with SIRT-1 siRNA resulted in parallel suppression of SIRT-1 expression and leucine-induced stimulation of PGC-1alpha and NRF-1, indicating that SIRT-1 mediates leucine induced mitochondrial biogenesis in muscle cells.\nCONCLUSION: These data suggest that leucine and calcitriol modulation of muscle and adipocyte energy metabolism is mediated, in part, by mitochondrial biogenesis.","DOI":"10.1186/1743-7075-6-26","ISSN":"1743-7075","note":"PMID: 19500359","journalAbbreviation":"Nutr Metab (Lond)","language":"eng","author":[{"family":"Sun","given":"Xiaocun"},{"family":"Zemel","given":"Michael B"}],"issued":{"date-parts":[["2009"]]},"PMID":"19500359"}},{"id":1697,"uris":["http://zotero.org/users/171999/items/AK5ER7R4"],"uri":["http://zotero.org/users/171999/items/AK5ER7R4"],"itemData":{"id":1697,"type":"article-journal","title":"Dietary leucine--an environmental modifier of insulin resistance acting on multiple levels of metabolism","container-title":"PloS one","page":"e21187","volume":"6","issue":"6","source":"NCBI PubMed","abstract":"Environmental factors, such as the macronutrient composition of the diet, can have a profound impact on risk of diabetes and metabolic syndrome. In the present study we demonstrate how a single, simple dietary factor--leucine--can modify insulin resistance by acting on multiple tissues and at multiple levels of metabolism. Mice were placed on a normal or high fat diet (HFD). Dietary leucine was doubled by addition to the drinking water. mRNA, protein and complete metabolomic profiles were assessed in the major insulin sensitive tissues and serum, and correlated with changes in glucose homeostasis and insulin signaling. After 8 weeks on HFD, mice developed obesity, fatty liver, inflammatory changes in adipose tissue and insulin resistance at the level of IRS-1 phosphorylation, as well as alterations in metabolomic profile of amino acid metabolites, TCA cycle intermediates, glucose and cholesterol metabolites, and fatty acids in liver, muscle, fat and serum. Doubling dietary leucine reversed many of the metabolite abnormalities and caused a marked improvement in glucose tolerance and insulin signaling without altering food intake or weight gain. Increased dietary leucine was also associated with a decrease in hepatic steatosis and a decrease in inflammation in adipose tissue. These changes occurred despite an increase in insulin-stimulated phosphorylation of p70S6 kinase indicating enhanced activation of mTOR, a phenomenon normally associated with insulin resistance. These data indicate that modest changes in a single environmental/nutrient factor can modify multiple metabolic and signaling pathways and modify HFD induced metabolic syndrome by acting at a systemic level on multiple tissues. These data also suggest that increasing dietary leucine may provide an adjunct in the management of obesity-related insulin resistance.","DOI":"10.1371/journal.pone.0021187","ISSN":"1932-6203","note":"PMID: 21731668","journalAbbreviation":"PLoS ONE","language":"eng","author":[{"family":"Macotela","given":"Yazmin"},{"family":"Emanuelli","given":"Brice"},{"family":"Bång","given":"Anneli M"},{"family":"Espinoza","given":"Daniel O"},{"family":"Boucher","given":"Jeremie"},{"family":"Beebe","given":"Kirk"},{"family":"Gall","given":"Walter"},{"family":"Kahn","given":"C Ronald"}],"issued":{"date-parts":[["2011"]]},"PMID":"21731668"}},{"id":1701,"uris":["http://zotero.org/users/171999/items/GM59NI4T"],"uri":["http://zotero.org/users/171999/items/GM59NI4T"],"itemData":{"id":1701,"type":"article-journal","title":"Increasing dietary leucine intake reduces diet-induced obesity and improves glucose and cholesterol metabolism in mice via multimechanisms","container-title":"Diabetes","page":"1647-1654","volume":"56","issue":"6","source":"NCBI PubMed","abstract":"Leucine, as an essential amino acid and activator of mTOR (mammalian target of rapamycin), promotes protein synthesis and suppresses protein catabolism. However, the effect of leucine on overall glucose and energy metabolism remains unclear, and whether leucine has beneficial effects as a long-term dietary supplement has not been examined. In the present study, we doubled dietary leucine intake via leucine-containing drinking water in mice with free excess to either a rodent chow or a high-fat diet (HFD). While it produced no major metabolic effects in chow-fed mice, increasing leucine intake resulted in up to 32% reduction of weight gain (P &lt; 0.05) and a 25% decrease in adiposity (P &lt; 0.01) in HFD-fed mice. The reduction of adiposity resulted from increased resting energy expenditure associated with increased expression of uncoupling protein 3 in brown and white adipose tissues and in skeletal muscle, while food intake was not decreased. Increasing leucine intake also prevented HFD-induced hyperglycemia, which was associated with improved insulin sensitivity, decreased plasma concentrations of glucagon and glucogenic amino acids, and downregulation of hepatic glucose-6-phosphatase. Additionally, plasma levels of total and LDL cholesterol were decreased by 27% (P &lt; 0.001) and 53% (P &lt; 0.001), respectively, in leucine supplemented HFD-fed mice compared with the control mice fed the same diet. The reduction in cholesterol levels was largely independent of leucine-induced changes in adiposity. In conclusion, increases in dietary leucine intake substantially decrease diet-induced obesity, hyperglycemia, and hypercholesterolemia in mice with ad libitum consumption of HFD likely via multiple mechanisms.","DOI":"10.2337/db07-0123","ISSN":"1939-327X","note":"PMID: 17360978","journalAbbreviation":"Diabetes","language":"eng","author":[{"family":"Zhang","given":"Yiying"},{"family":"Guo","given":"Kaiying"},{"family":"LeBlanc","given":"Robert E"},{"family":"Loh","given":"Daniella"},{"family":"Schwartz","given":"Gary J"},{"family":"Yu","given":"Yi-Hao"}],"issued":{"date-parts":[["2007",6]]},"PMID":"17360978"}},{"id":1699,"uris":["http://zotero.org/users/171999/items/ZTVFI488"],"uri":["http://zotero.org/users/171999/items/ZTVFI488"],"itemData":{"id":1699,"type":"article-journal","title":"Effects of leucine supplementation on the body composition and protein status of rats submitted to food restriction","container-title":"Nutrition (Burbank, Los Angeles County, Calif.)","page":"520-527","volume":"22","issue":"5","source":"NCBI PubMed","abstract":"OBJECTIVE: Acute administration of leucine has been shown to stimulate certain protein synthesis related anabolic processes. However, the effect of chronic leucine administration in a catabolic situation caused by food restriction (FR) has not been established. We therefore evaluated the effect of chronic leucine supplementation on the body composition and some indicators of protein nutritional status of rats submitted to FR.\nMETHODS: Adult male Wistar rats were submitted to 50% FR for 6 weeks. The control group received the AIN-93M diet and the leucine group received the same diet supplemented with 5.91 g L-leucine/kg ration. We then determined carcass chemical composition, serum leptin, albumin and total protein concentrations, and protein, DNA and RNA concentrations in gastrocnemius muscle and liver.\nRESULTS: No difference in final body weight was observed between groups. However, the leucine group presented a lower amount of body fat (P &lt; 0.05). Leptin concentration showed a directly proportional correlation with the amount of body fat (r = 0.88, P &lt; 0.05), but no significant difference in serum leptin concentration was observed between groups (P = 0.08). Regarding protein nutritional status, liver protein concentration was higher in the leucine group (P &lt; 0.05). In the gastrocnemius muscle, a higher RNA concentration (P &lt; 0.05) and a tendency towards higher DNA concentration (P = 0.06) were observed in the leucine group.\nCONCLUSION: The results indicate that low-dose leucine supplementation increases body fat loss and improves liver protein status and the capacity of muscle protein synthesis in rats submitted to FR.","DOI":"10.1016/j.nut.2005.12.008","ISSN":"0899-9007","note":"PMID: 16600817","journalAbbreviation":"Nutrition","language":"eng","author":[{"family":"Donato","given":"Jose, Jr"},{"family":"Pedrosa","given":"Rogerio Graça"},{"family":"Cruzat","given":"Vinicius Fernandes"},{"family":"Pires","given":"Ivanir Santana de Oliveira"},{"family":"Tirapegui","given":"Julio"}],"issued":{"date-parts":[["2006",5]]},"PMID":"16600817"}}],"schema":"https://github.com/citation-style-language/schema/raw/master/csl-citation.json"} </w:instrText>
      </w:r>
      <w:r w:rsidR="005D2F2E">
        <w:fldChar w:fldCharType="separate"/>
      </w:r>
      <w:r w:rsidR="000A492A" w:rsidRPr="000A492A">
        <w:rPr>
          <w:vertAlign w:val="superscript"/>
        </w:rPr>
        <w:t>347–352</w:t>
      </w:r>
      <w:r w:rsidR="005D2F2E">
        <w:fldChar w:fldCharType="end"/>
      </w:r>
      <w:r w:rsidR="005D2F2E">
        <w:t xml:space="preserve">  </w:t>
      </w:r>
      <w:proofErr w:type="gramStart"/>
      <w:r w:rsidR="005D2F2E">
        <w:t>Pyridoxine</w:t>
      </w:r>
      <w:proofErr w:type="gramEnd"/>
      <w:r w:rsidR="005D2F2E">
        <w:t xml:space="preserve"> (vitamin B</w:t>
      </w:r>
      <w:r w:rsidR="005D2F2E">
        <w:rPr>
          <w:vertAlign w:val="subscript"/>
        </w:rPr>
        <w:t>6</w:t>
      </w:r>
      <w:r w:rsidR="005D2F2E">
        <w:t>) is a cofactor for various macronutrient metabolism enzymes in its active form, pyridoxal 5’phosphate (PLP).  It tends to be highest in fortified foods, but naturally occurring sources of pyridoxine with high concentrations (mg pyridoxine/100 g food item) are pistachios, wheat and rice bran, garlic, sunflower seeds, and various spices.</w:t>
      </w:r>
      <w:r w:rsidR="005D2F2E">
        <w:fldChar w:fldCharType="begin"/>
      </w:r>
      <w:r w:rsidR="000A492A">
        <w:instrText xml:space="preserve"> ADDIN ZOTERO_ITEM CSL_CITATION {"citationID":"ZvJzfRzN","properties":{"formattedCitation":"{\\rtf \\super 346\\nosupersub{}}","plainCitation":"346"},"citationItems":[{"id":824,"uris":["http://zotero.org/users/171999/items/QTUZIS9Q"],"uri":["http://zotero.org/users/171999/items/QTUZIS9Q"],"itemData":{"id":824,"type":"webpage","title":"USDA National Nutrient Database for Standard Reference","container-title":"USDA Agriculture Research Service Nutrient Data Laboratory","genre":"Database","URL":"http://www.nal.usda.gov/fnic/foodcomp/search/","author":[{"family":"USDA","given":""}],"accessed":{"date-parts":[["2010",8,3]]}}}],"schema":"https://github.com/citation-style-language/schema/raw/master/csl-citation.json"} </w:instrText>
      </w:r>
      <w:r w:rsidR="005D2F2E">
        <w:fldChar w:fldCharType="separate"/>
      </w:r>
      <w:r w:rsidR="000A492A" w:rsidRPr="000A492A">
        <w:rPr>
          <w:vertAlign w:val="superscript"/>
        </w:rPr>
        <w:t>346</w:t>
      </w:r>
      <w:r w:rsidR="005D2F2E">
        <w:fldChar w:fldCharType="end"/>
      </w:r>
      <w:r w:rsidR="005D2F2E">
        <w:t xml:space="preserve">  PLP is specifically used in this supplement for its attenuation of calcium signaling and overall decreased net lipid storage.</w:t>
      </w:r>
      <w:r w:rsidR="005D2F2E">
        <w:fldChar w:fldCharType="begin"/>
      </w:r>
      <w:r w:rsidR="000A492A">
        <w:instrText xml:space="preserve"> ADDIN ZOTERO_ITEM CSL_CITATION {"citationID":"frfCw8I8","properties":{"formattedCitation":"{\\rtf \\super 347,354\\nosupersub{}}","plainCitation":"347,354"},"citationItems":[{"id":"OzdjOHfW/SN0Qknzb","uris":["http://zotero.org/users/local/Ry4zHLbn/items/GJKIQNPJ"],"uri":["http://zotero.org/users/local/Ry4zHLbn/items/GJKIQNPJ"],"itemData":{"id":"OzdjOHfW/SN0Qknzb","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B"},{"family":"Bruckbauer","given":"Antje"}],"issued":{"year":2013},"PMID":"24003309","page-first":"309","container-title-short":"Diabetes Metab Syndr Obes"}},{"id":"OzdjOHfW/8Cff0d1I","uris":["http://zotero.org/users/local/Ry4zHLbn/items/WZP424QN"],"uri":["http://zotero.org/users/local/Ry4zHLbn/items/WZP424QN"],"itemData":{"id":"OzdjOHfW/8Cff0d1I","type":"article-journal","title":"Effects of a leucine and pyridoxine-containing nutraceutical on fat oxidation, and oxidative and inflammatory stress in overweight and obese subjects","container-title":"Nutrients","page":"529-541","volume":"4","issue":"6","source":"NCBI PubMed","abstract":"Leucine stimulates tissue protein synthesis and may also attenuate adiposity by increasing fatty acid oxidation and mitochondrial biogenesis in muscle and adipocytes. Accordingly, the effects of a nutraceutical containing 2.25 g leucine and 30 mg pyridoxine (Vitamin B6) (NuFit active blend) were tested in cell culture and in a clinical trial. 3T3L1 adipocytes were treated with leucine (0.25 mM or 0.5 mM) and/or Pyridoxal Phosphate (PLP) (50 nM or 100 nM) for 48 h. For the clinical trial, twenty overweight or obese subjects received the NuFit active blend or placebo three times/day for 4 weeks without energy restriction. Leucine decreased fatty acid synthase (FAS) expression and triglyceride content in adipocytes, and PLP addition significantly augmented this effect. Administration of NuFit active blend in the clinical trial increased fat oxidation by 33.6 g/day (p &lt; 0.04), decreased respiratory quotient, improved HOMA(IR), reduced oxidative and inflammatory biomarkers (plasma MDA, 8-isoprostane-F(2α), TNF-α, C-reactive protein), and increased the anti-inflammatory marker adiponectin. These data indicate that the NuFit active blend significantly increased fat oxidation and insulin sensitivity, and reduced oxidative and inflammatory stress. Therefore, the NuFit active blend appears to be a useful nutraceutical in the management of obesity and associated co-morbidities.","DOI":"10.3390/nu4060529","ISSN":"2072-6643","note":"PMID: 22822451","journalAbbreviation":"Nutrients","language":"eng","author":[{"family":"Zemel","given":"Michael B"},{"family":"Bruckbauer","given":"Antje"}],"issued":{"year":2012,"month":6},"PMID":"22822451","page-first":"529","container-title-short":"Nutrients"}}],"schema":"https://github.com/citation-style-language/schema/raw/master/csl-citation.json"} </w:instrText>
      </w:r>
      <w:r w:rsidR="005D2F2E">
        <w:fldChar w:fldCharType="separate"/>
      </w:r>
      <w:r w:rsidR="000A492A" w:rsidRPr="000A492A">
        <w:rPr>
          <w:vertAlign w:val="superscript"/>
        </w:rPr>
        <w:t>347,354</w:t>
      </w:r>
      <w:r w:rsidR="005D2F2E">
        <w:fldChar w:fldCharType="end"/>
      </w:r>
    </w:p>
    <w:p w:rsidR="00FD6176" w:rsidRPr="00BC0423" w:rsidRDefault="005D2F2E" w:rsidP="005D2F2E">
      <w:pPr>
        <w:ind w:firstLine="720"/>
        <w:contextualSpacing/>
        <w:rPr>
          <w:rFonts w:cs="Times New Roman"/>
        </w:rPr>
      </w:pPr>
      <w:r>
        <w:t>The central aim of the study undertaken here was to determine if a leucine/pyridoxine supplement in a dose modified for dogs would enhance weight loss and ma</w:t>
      </w:r>
      <w:r w:rsidR="003D0937">
        <w:t>intenance of lean tissue mass in</w:t>
      </w:r>
      <w:r>
        <w:t xml:space="preserve"> obese dogs losing weight compared to a negative placebo control and a positive weight reduction diet control.  We hypothesize the nutraceutical will produce weight loss results similar to the therapeutic weight loss diet, and that both diets will work better than placebo.</w:t>
      </w:r>
    </w:p>
    <w:p w:rsidR="00927570" w:rsidRDefault="00D62925" w:rsidP="00927570">
      <w:pPr>
        <w:pStyle w:val="Heading2"/>
      </w:pPr>
      <w:bookmarkStart w:id="43" w:name="_Toc376465766"/>
      <w:r>
        <w:t>Materials and method</w:t>
      </w:r>
      <w:r w:rsidR="00927570">
        <w:t>s</w:t>
      </w:r>
      <w:bookmarkEnd w:id="43"/>
    </w:p>
    <w:p w:rsidR="007B0AFD" w:rsidRDefault="007B0AFD" w:rsidP="00FD0C1C">
      <w:pPr>
        <w:pStyle w:val="Heading3"/>
      </w:pPr>
      <w:bookmarkStart w:id="44" w:name="_Toc376465767"/>
      <w:r>
        <w:t>Animals</w:t>
      </w:r>
      <w:bookmarkEnd w:id="44"/>
    </w:p>
    <w:p w:rsidR="007B0AFD" w:rsidRDefault="00510FE0" w:rsidP="007B0AFD">
      <w:r>
        <w:t>Twenty-four</w:t>
      </w:r>
      <w:r w:rsidR="007B0AFD">
        <w:t xml:space="preserve"> healthy </w:t>
      </w:r>
      <w:r w:rsidR="00866AC0">
        <w:t xml:space="preserve">two-year-old male castrated Beagles were used for this positively and negatively controlled study.  </w:t>
      </w:r>
      <w:r w:rsidR="00734558">
        <w:t xml:space="preserve">A random number table </w:t>
      </w:r>
      <w:r>
        <w:t>was used to assign dogs to four</w:t>
      </w:r>
      <w:r w:rsidR="00734558">
        <w:t xml:space="preserve"> groups</w:t>
      </w:r>
      <w:r>
        <w:t>.  Individual</w:t>
      </w:r>
      <w:r w:rsidR="00866AC0">
        <w:t xml:space="preserve"> group</w:t>
      </w:r>
      <w:r>
        <w:t>s were</w:t>
      </w:r>
      <w:r w:rsidR="00866AC0">
        <w:t xml:space="preserve"> maintained in the same room </w:t>
      </w:r>
      <w:r w:rsidR="00866AC0">
        <w:lastRenderedPageBreak/>
        <w:t>and all dogs were individually housed</w:t>
      </w:r>
      <w:r w:rsidR="00866AC0">
        <w:rPr>
          <w:color w:val="FF0000"/>
        </w:rPr>
        <w:t xml:space="preserve"> </w:t>
      </w:r>
      <w:r w:rsidR="00866AC0">
        <w:t xml:space="preserve">in runs within the laboratory animal facilities of the University </w:t>
      </w:r>
      <w:proofErr w:type="gramStart"/>
      <w:r w:rsidR="00866AC0">
        <w:t>of Tennessee College of</w:t>
      </w:r>
      <w:proofErr w:type="gramEnd"/>
      <w:r w:rsidR="00866AC0">
        <w:t xml:space="preserve"> Veterinary Medicine.  Dogs were deemed healthy prior to inclusion based on physical examination, complete blood count</w:t>
      </w:r>
      <w:r w:rsidR="007F59C2">
        <w:t>s</w:t>
      </w:r>
      <w:r w:rsidR="00866AC0">
        <w:t xml:space="preserve">, </w:t>
      </w:r>
      <w:r w:rsidR="007F59C2">
        <w:t>plasma biochemical analysis</w:t>
      </w:r>
      <w:r w:rsidR="00866AC0">
        <w:t>, and urinalysis.  The study protocol was reviewed and approved by The University of Tennessee Institutional Animal Care and Use Committee.</w:t>
      </w:r>
    </w:p>
    <w:p w:rsidR="00FD0C1C" w:rsidRDefault="00FD0C1C" w:rsidP="00FD0C1C">
      <w:pPr>
        <w:pStyle w:val="Heading3"/>
      </w:pPr>
      <w:bookmarkStart w:id="45" w:name="_Toc376465768"/>
      <w:r>
        <w:t>Diet and group assignments</w:t>
      </w:r>
      <w:bookmarkEnd w:id="45"/>
    </w:p>
    <w:p w:rsidR="00BC6272" w:rsidRDefault="00BC6272" w:rsidP="00BC6272">
      <w:r>
        <w:t xml:space="preserve">Dogs were fed based on group assignments (obese nutraceutical group, ObN; obese placebo group, ObP; obese therapeutic weight loss diet group, WLD; </w:t>
      </w:r>
      <w:r w:rsidR="00510FE0">
        <w:t xml:space="preserve">ideal body weight group, IBW; </w:t>
      </w:r>
      <w:r w:rsidRPr="00126839">
        <w:rPr>
          <w:color w:val="FF0000"/>
        </w:rPr>
        <w:t xml:space="preserve">Figure </w:t>
      </w:r>
      <w:r w:rsidR="00B41633">
        <w:rPr>
          <w:color w:val="FF0000"/>
        </w:rPr>
        <w:t>13</w:t>
      </w:r>
      <w:r>
        <w:t>).</w:t>
      </w:r>
    </w:p>
    <w:p w:rsidR="0076754A" w:rsidRDefault="0076754A" w:rsidP="00BC6272"/>
    <w:p w:rsidR="0076754A" w:rsidRDefault="0076754A" w:rsidP="0076754A">
      <w:r>
        <w:t>To avoid confounding satiety cues based on habitual feeding patterns, dogs in a group were fed in a random order as determined by a random number table at each feeding.</w:t>
      </w:r>
    </w:p>
    <w:p w:rsidR="00B41633" w:rsidRPr="007E3FB3" w:rsidRDefault="00B41633" w:rsidP="0076754A">
      <w:pPr>
        <w:pStyle w:val="Heading4"/>
      </w:pPr>
      <w:r>
        <w:t>Establish ideal BW and MER: 24 dogs</w:t>
      </w:r>
    </w:p>
    <w:p w:rsidR="00B41633" w:rsidRDefault="00B41633" w:rsidP="00B41633">
      <w:r>
        <w:t>Resting energy requirement (RER; 70 x BW</w:t>
      </w:r>
      <w:r>
        <w:rPr>
          <w:vertAlign w:val="subscript"/>
        </w:rPr>
        <w:t>kg</w:t>
      </w:r>
      <w:r>
        <w:rPr>
          <w:vertAlign w:val="superscript"/>
        </w:rPr>
        <w:t>0.75</w:t>
      </w:r>
      <w:r>
        <w:t>) was calculated for each dog based on calculated ideal body weight.  Ideal body weight [(current weight x current % lean) / ideal % lean] was calculated using the percent body fat (% BF) relating to each dog’s current body condition score (BCS) based on the 9-point scale.  E</w:t>
      </w:r>
      <w:r w:rsidRPr="00770CD7">
        <w:rPr>
          <w:rFonts w:cstheme="minorHAnsi"/>
        </w:rPr>
        <w:t>ach unit increase on the scale is associated with a change of approximately 5 percent body fat (%BF) where an ideal score of 5/9 equates to 20 – 25 %BF and 9/9 equals 40 – 45 %BF.</w:t>
      </w:r>
      <w:r w:rsidRPr="00770CD7">
        <w:rPr>
          <w:rFonts w:cstheme="minorHAnsi"/>
        </w:rPr>
        <w:fldChar w:fldCharType="begin"/>
      </w:r>
      <w:r>
        <w:rPr>
          <w:rFonts w:cstheme="minorHAnsi"/>
        </w:rPr>
        <w:instrText xml:space="preserve"> ADDIN ZOTERO_ITEM CSL_CITATION {"citationID":"MEGcWZRU","properties":{"formattedCitation":"{\\rtf \\super 46,401\\nosupersub{}}","plainCitation":"46,401"},"citationItems":[{"id":84,"uris":["http://zotero.org/users/171999/items/Z6U72FNJ"],"uri":["http://zotero.org/users/171999/items/Z6U72FNJ"],"itemData":{"id":84,"type":"article-journal","title":"Development and validation of a body condition score system for dogs","container-title":"Canine Practice","page":"10-15","volume":"1997","issue":"22","author":[{"family":"Laflamme","given":"D P"}],"issued":{"date-parts":[["1997"]]}}},{"id":891,"uris":["http://zotero.org/users/171999/items/U8EMP2FT"],"uri":["http://zotero.org/users/171999/items/U8EMP2FT"],"itemData":{"id":891,"type":"article-journal","title":"Development and validation of a body condition score system for cats: a   clinical tool.","container-title":"Feline Practice","volume":"25","issue":"5/6","source":"ISI Web of Knowledge","abstract":"A 9-point body condition score system is described which is simple in   design, requiring only an intellectual addition to a routine physical   examination. It is shown to be repeatable both within scorers and   between scorers and may be useful as a tool in obesity management.","shortTitle":"Development and validation of a body condition score system for cats","language":"English","author":[{"family":"Laflamme","given":"D."}],"issued":{"date-parts":[["1997"]]}}}],"schema":"https://github.com/citation-style-language/schema/raw/master/csl-citation.json"} </w:instrText>
      </w:r>
      <w:r w:rsidRPr="00770CD7">
        <w:rPr>
          <w:rFonts w:cstheme="minorHAnsi"/>
        </w:rPr>
        <w:fldChar w:fldCharType="separate"/>
      </w:r>
      <w:r w:rsidRPr="00491675">
        <w:rPr>
          <w:vertAlign w:val="superscript"/>
        </w:rPr>
        <w:t>46,401</w:t>
      </w:r>
      <w:r w:rsidRPr="00770CD7">
        <w:rPr>
          <w:rFonts w:cstheme="minorHAnsi"/>
        </w:rPr>
        <w:fldChar w:fldCharType="end"/>
      </w:r>
      <w:r>
        <w:t xml:space="preserve">  Current % lean was determined by subtracting the current % BF from 100 and 20% was used as the ideal lean value.  Maintenance energy requirement (MER; RER x lifestage factor) was calculated using a lifestage factor of 1.6, corresponding to the recommendation for a castrated adult dog.</w:t>
      </w:r>
      <w:r>
        <w:fldChar w:fldCharType="begin"/>
      </w:r>
      <w:r>
        <w:instrText xml:space="preserve"> ADDIN ZOTERO_ITEM CSL_CITATION {"citationID":"617cuh1p2","properties":{"formattedCitation":"{\\rtf \\super 49\\nosupersub{}}","plainCitation":"49"},"citationItems":[{"id":89,"uris":["http://zotero.org/users/171999/items/3C5TNVXD"],"uri":["http://zotero.org/users/171999/items/3C5TNVXD"],"itemData":{"id":89,"type":"chapter","title":"Small Animal Clinical Nutrition: An Iterative Process","container-title":"Small animal clinical nutrition","publisher":"Mark Morris Institute","publisher-place":"Topeka, Kan","page":"3-21","edition":"5th ed..","source":"Primo","event-place":"Topeka, Kan","ISBN":"0615297013","call-number":"SF427.4","language":"eng","author":[{"family":"Thatcher","given":"C D"},{"family":"Hand","given":"Michael S"},{"family":"Remillard","given":"R L"}],"issued":{"date-parts":[["2010"]]}}}],"schema":"https://github.com/citation-style-language/schema/raw/master/csl-citation.json"} </w:instrText>
      </w:r>
      <w:r>
        <w:fldChar w:fldCharType="separate"/>
      </w:r>
      <w:r w:rsidRPr="00CC106C">
        <w:rPr>
          <w:vertAlign w:val="superscript"/>
        </w:rPr>
        <w:t>49</w:t>
      </w:r>
      <w:r>
        <w:fldChar w:fldCharType="end"/>
      </w:r>
    </w:p>
    <w:p w:rsidR="00B41633" w:rsidRDefault="00B41633" w:rsidP="00B41633"/>
    <w:p w:rsidR="00B41633" w:rsidRDefault="00B41633" w:rsidP="00B41633">
      <w:r>
        <w:t xml:space="preserve">Dogs were fed a canned adult diet (CAD; </w:t>
      </w:r>
      <w:r>
        <w:rPr>
          <w:color w:val="FF0000"/>
        </w:rPr>
        <w:t>Table 2</w:t>
      </w:r>
      <w:r>
        <w:t>) at MER divided into two daily meals (8AM and 4PM) for three (ObP, WLD) or four weeks (ObN, IBW) and had access to food for 45 minutes at each feeding.  Food was weighed before and after meal access five days a week (Monday – Friday).  Weekend meals (Saturday and Sunday) were prepared Friday afternoon by the research staff, placed in Ziploc bags labeled for each dog, and refrigerated until fed.  Weekday meals were prepared and fed by the investigators while weekend food was fed by the animal care staff.  Body weight and BCS were recorded Monday, Wednesday, Friday and feeding amount was adjusted to establish the individual’s ideal MER (MER</w:t>
      </w:r>
      <w:r>
        <w:rPr>
          <w:vertAlign w:val="subscript"/>
        </w:rPr>
        <w:t>ideal</w:t>
      </w:r>
      <w:r>
        <w:t>) based on achieving or maintaining lean body weight and BCS.</w:t>
      </w:r>
    </w:p>
    <w:p w:rsidR="00B41633" w:rsidRDefault="00B41633" w:rsidP="00B41633">
      <w:pPr>
        <w:pStyle w:val="Heading4"/>
      </w:pPr>
      <w:r>
        <w:t>Maintain ideal weight: 6 dogs</w:t>
      </w:r>
    </w:p>
    <w:p w:rsidR="00B41633" w:rsidRDefault="00B41633" w:rsidP="00B41633">
      <w:r>
        <w:t xml:space="preserve">IBW dogs were maintained on CAD at established </w:t>
      </w:r>
      <w:r w:rsidRPr="00CA7492">
        <w:t>MER</w:t>
      </w:r>
      <w:r w:rsidRPr="00CA7492">
        <w:softHyphen/>
      </w:r>
      <w:r>
        <w:rPr>
          <w:vertAlign w:val="subscript"/>
        </w:rPr>
        <w:t>Ideal</w:t>
      </w:r>
      <w:r>
        <w:t xml:space="preserve"> as a negative control for an additional 12 weeks.  Body weight and BCS were determined once a week </w:t>
      </w:r>
    </w:p>
    <w:p w:rsidR="00376B5E" w:rsidRDefault="00376B5E" w:rsidP="00376B5E">
      <w:pPr>
        <w:keepNext/>
        <w:sectPr w:rsidR="00376B5E" w:rsidSect="00F92278">
          <w:pgSz w:w="12240" w:h="15840" w:code="1"/>
          <w:pgMar w:top="1440" w:right="1800" w:bottom="1872" w:left="1800" w:header="720" w:footer="1440" w:gutter="0"/>
          <w:cols w:space="720"/>
          <w:noEndnote/>
          <w:docGrid w:linePitch="360"/>
        </w:sectPr>
      </w:pPr>
    </w:p>
    <w:p w:rsidR="00F92278" w:rsidRDefault="00376B5E" w:rsidP="00F92278">
      <w:pPr>
        <w:keepNext/>
      </w:pPr>
      <w:r w:rsidRPr="00310BAF">
        <w:rPr>
          <w:noProof/>
        </w:rPr>
        <w:lastRenderedPageBreak/>
        <w:drawing>
          <wp:inline distT="0" distB="0" distL="0" distR="0" wp14:anchorId="46ECA5C8" wp14:editId="7FA0D447">
            <wp:extent cx="8010525" cy="4429125"/>
            <wp:effectExtent l="38100" t="0" r="9525"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F92278" w:rsidRDefault="00F92278" w:rsidP="00F92278">
      <w:pPr>
        <w:pStyle w:val="Caption"/>
      </w:pPr>
      <w:bookmarkStart w:id="46" w:name="_Toc376465873"/>
      <w:r>
        <w:t xml:space="preserve">Figure </w:t>
      </w:r>
      <w:fldSimple w:instr=" SEQ Figure \* ARABIC ">
        <w:r w:rsidR="00DE5561">
          <w:rPr>
            <w:noProof/>
          </w:rPr>
          <w:t>13</w:t>
        </w:r>
      </w:fldSimple>
      <w:r>
        <w:t xml:space="preserve"> Group assignments</w:t>
      </w:r>
      <w:bookmarkEnd w:id="46"/>
    </w:p>
    <w:p w:rsidR="00F92278" w:rsidRPr="00F92278" w:rsidRDefault="00F92278" w:rsidP="00F92278">
      <w:pPr>
        <w:sectPr w:rsidR="00F92278" w:rsidRPr="00F92278" w:rsidSect="00F92278">
          <w:pgSz w:w="15840" w:h="12240" w:orient="landscape" w:code="1"/>
          <w:pgMar w:top="1800" w:right="1440" w:bottom="1800" w:left="1872" w:header="720" w:footer="1440" w:gutter="0"/>
          <w:cols w:space="720"/>
          <w:noEndnote/>
          <w:docGrid w:linePitch="360"/>
        </w:sectPr>
      </w:pPr>
      <w:r>
        <w:t>BW, body weight; MER, maintenance energy requirement; DXA, dual energy X-ray absorptiometry; % BF, percent body fat; BCS, body condition score; IBW, ideal body weight; ObN, obese</w:t>
      </w:r>
      <w:r w:rsidR="002A23F7">
        <w:t xml:space="preserve"> nutraceutical; ObP, obese placebo; WLD, weight loss diet; CAD, canned adult diet.</w:t>
      </w:r>
    </w:p>
    <w:p w:rsidR="0076754A" w:rsidRDefault="0076754A" w:rsidP="0076754A">
      <w:proofErr w:type="gramStart"/>
      <w:r>
        <w:lastRenderedPageBreak/>
        <w:t>(Monday).</w:t>
      </w:r>
      <w:proofErr w:type="gramEnd"/>
      <w:r>
        <w:t xml:space="preserve">  Feeding amount was adjusted in ¼ can increments as needed to maintain ideal body weight and condition.</w:t>
      </w:r>
    </w:p>
    <w:p w:rsidR="00FD0C1C" w:rsidRPr="007E3FB3" w:rsidRDefault="00FD0C1C" w:rsidP="00FD0C1C">
      <w:pPr>
        <w:pStyle w:val="Heading4"/>
      </w:pPr>
      <w:r>
        <w:t>Obesification</w:t>
      </w:r>
      <w:r w:rsidR="00006F84">
        <w:t>: 18 dogs</w:t>
      </w:r>
    </w:p>
    <w:p w:rsidR="00FD0C1C" w:rsidRDefault="00FD0C1C" w:rsidP="00FD0C1C">
      <w:r>
        <w:t>MER</w:t>
      </w:r>
      <w:r>
        <w:rPr>
          <w:vertAlign w:val="subscript"/>
        </w:rPr>
        <w:t>ideal</w:t>
      </w:r>
      <w:r w:rsidR="00DC10D4">
        <w:t xml:space="preserve"> as established </w:t>
      </w:r>
      <w:r>
        <w:t>was continued</w:t>
      </w:r>
      <w:r w:rsidR="00EF102A">
        <w:t xml:space="preserve"> for ObN, ObP, and WLD dogs</w:t>
      </w:r>
      <w:r>
        <w:t xml:space="preserve">.  Body weight and BCS determination was decreased to twice </w:t>
      </w:r>
      <w:r w:rsidR="007F59C2">
        <w:t>weekly</w:t>
      </w:r>
      <w:r w:rsidR="000D3F2A">
        <w:t xml:space="preserve">.  </w:t>
      </w:r>
      <w:r>
        <w:t xml:space="preserve">In order to induce an </w:t>
      </w:r>
      <w:r w:rsidR="00BC6272">
        <w:t xml:space="preserve">overweight or </w:t>
      </w:r>
      <w:r w:rsidRPr="007602CE">
        <w:t xml:space="preserve">obese state (% BF </w:t>
      </w:r>
      <w:r w:rsidRPr="007602CE">
        <w:rPr>
          <w:u w:val="single"/>
        </w:rPr>
        <w:t>&gt;</w:t>
      </w:r>
      <w:r w:rsidRPr="007602CE">
        <w:t xml:space="preserve"> 30) excess calories were provided from canola oil, vege</w:t>
      </w:r>
      <w:r w:rsidRPr="00126839">
        <w:t>table</w:t>
      </w:r>
      <w:r w:rsidRPr="007602CE">
        <w:t xml:space="preserve"> oil, and extruded kitten food</w:t>
      </w:r>
      <w:r w:rsidR="00EF102A">
        <w:t xml:space="preserve">.  Nutrient profile of the kitten diet is shown in </w:t>
      </w:r>
      <w:r w:rsidR="00DC10D4">
        <w:rPr>
          <w:color w:val="FF0000"/>
        </w:rPr>
        <w:t>Table</w:t>
      </w:r>
      <w:r w:rsidR="00B41633">
        <w:rPr>
          <w:color w:val="FF0000"/>
        </w:rPr>
        <w:t xml:space="preserve"> 2</w:t>
      </w:r>
      <w:r w:rsidRPr="007602CE">
        <w:t xml:space="preserve">.  </w:t>
      </w:r>
      <w:r w:rsidR="009E542E" w:rsidRPr="007602CE">
        <w:t>Oils were provided as 10 g each with both meals for the first 5 weeks</w:t>
      </w:r>
      <w:r w:rsidR="009E542E">
        <w:t xml:space="preserve"> based on a previously published protocol</w:t>
      </w:r>
      <w:r w:rsidR="009E542E" w:rsidRPr="007602CE">
        <w:t>.</w:t>
      </w:r>
      <w:r w:rsidR="009E542E">
        <w:fldChar w:fldCharType="begin"/>
      </w:r>
      <w:r w:rsidR="00491675">
        <w:instrText xml:space="preserve"> ADDIN ZOTERO_ITEM CSL_CITATION {"citationID":"2q10jk3658","properties":{"formattedCitation":"{\\rtf \\super 402\\nosupersub{}}","plainCitation":"402"},"citationItems":[{"id":1594,"uris":["http://zotero.org/users/171999/items/UVQI57QV"],"uri":["http://zotero.org/users/171999/items/UVQI57QV"],"itemData":{"id":1594,"type":"article-journal","title":"Re-induction of obese body weight occurs more rapidly and at lower caloric intake in beagles","container-title":"Journal of animal physiology and animal nutrition","page":"287-292","volume":"94","issue":"3","source":"NCBI PubMed","abstract":"For the purpose of investigating the mechanism of obesity-induction/re-induction including weight-cycling in beagles, a study was conducted using commercially available dog food combined with human food to mimic at home-snacking and diet-supplementation behaviours. Adult female beagles, which had free access to water and exercise, were used (n = 9). All dogs were initially offered two times their daily calculated number of calories using a dry extruded diet plus blend of canola and soybean oils and allowed to eat ad libitum. After 3 weeks, Pecan shortbread cookies were added to the diet mixture. Obesity was induced during a 19-week period with 1875-2250 kcal/day consumed, on average, during this period. The dogs were then subjected to a weight-loss regimen while consuming 490-730 kcal/day. After weight loss, a similar degree of obesity was re-induced for 17 weeks even though dogs consumed only 1125-1250 kcal/day. Body weight, body condition scores, kcal consumption and food efficiency were recorded. Results indicated that less time and fewer kcal were required to re-induce the same degree of obesity compared with the initial obesity induction. Human snack foods appeared to stimulate appetite and thus contribute to the obese state. Food efficiency was also increased during the obesity-reinduction period compared with the induction period. This information may help pet owners better understand the need to limit table scraps and human-type food snacks in dogs prone to obesity as well as weight maintenance after weight loss.","DOI":"10.1111/j.1439-0396.2008.00908.x","ISSN":"1439-0396","note":"PMID: 19364373","journalAbbreviation":"J Anim Physiol Anim Nutr (Berl)","language":"eng","author":[{"family":"Nagaoka","given":"D"},{"family":"Mitsuhashi","given":"Y"},{"family":"Angell","given":"R"},{"family":"Bigley","given":"K E"},{"family":"Bauer","given":"J E"}],"issued":{"date-parts":[["2010",6]]},"PMID":"19364373"}}],"schema":"https://github.com/citation-style-language/schema/raw/master/csl-citation.json"} </w:instrText>
      </w:r>
      <w:r w:rsidR="009E542E">
        <w:fldChar w:fldCharType="separate"/>
      </w:r>
      <w:r w:rsidR="00491675" w:rsidRPr="00491675">
        <w:rPr>
          <w:vertAlign w:val="superscript"/>
        </w:rPr>
        <w:t>402</w:t>
      </w:r>
      <w:r w:rsidR="009E542E">
        <w:fldChar w:fldCharType="end"/>
      </w:r>
      <w:r w:rsidR="009E542E" w:rsidRPr="007602CE">
        <w:t xml:space="preserve">  </w:t>
      </w:r>
      <w:r w:rsidRPr="007602CE">
        <w:t>Due to intermittent soft stools and decreased appetite noted in some dogs, oil dose was decreased to 5 g each with both meals.  After anoth</w:t>
      </w:r>
      <w:r w:rsidR="00DC10D4">
        <w:t>er 4 weeks (9 weeks into obesification</w:t>
      </w:r>
      <w:r w:rsidRPr="007602CE">
        <w:t>) oil dosing was changed to morning meals only, still providing 10 g of both oils.  Kitten food was given in ¼ cup increments and increased as needed to encourage weight and % BF gain</w:t>
      </w:r>
      <w:r w:rsidR="00A02C17">
        <w:t xml:space="preserve"> over the final 4 weeks (13 total obesification weeks)</w:t>
      </w:r>
      <w:r w:rsidRPr="007602CE">
        <w:t xml:space="preserve">.  </w:t>
      </w:r>
      <w:r w:rsidR="000D3F2A">
        <w:t>Dogs that lost or maintained a consistent weight over one week during obesification had ¼ can CAD added to their daily offered food.</w:t>
      </w:r>
    </w:p>
    <w:p w:rsidR="00FD0C1C" w:rsidRDefault="00FD0C1C" w:rsidP="00FD0C1C">
      <w:pPr>
        <w:pStyle w:val="Heading4"/>
      </w:pPr>
      <w:r>
        <w:t>Treatment</w:t>
      </w:r>
      <w:r w:rsidR="00006F84">
        <w:t>: 18 dogs</w:t>
      </w:r>
    </w:p>
    <w:p w:rsidR="00006F84" w:rsidRDefault="00FD0C1C" w:rsidP="00006F84">
      <w:r>
        <w:t xml:space="preserve">Excess calories were removed and dogs were maintained on </w:t>
      </w:r>
      <w:r w:rsidRPr="000F525F">
        <w:t>MER</w:t>
      </w:r>
      <w:r>
        <w:rPr>
          <w:vertAlign w:val="subscript"/>
        </w:rPr>
        <w:t>ideal</w:t>
      </w:r>
      <w:r w:rsidR="00BC6272">
        <w:t xml:space="preserve"> from CAD (ObN and ObP</w:t>
      </w:r>
      <w:r>
        <w:t>) or therapeutic weight loss diet (WLD</w:t>
      </w:r>
      <w:r w:rsidR="00B41633">
        <w:t xml:space="preserve">; </w:t>
      </w:r>
      <w:r w:rsidR="00FF1F19">
        <w:rPr>
          <w:color w:val="FF0000"/>
        </w:rPr>
        <w:t>Tab</w:t>
      </w:r>
      <w:r w:rsidR="00B41633">
        <w:rPr>
          <w:color w:val="FF0000"/>
        </w:rPr>
        <w:t>le 2</w:t>
      </w:r>
      <w:r>
        <w:t xml:space="preserve">).  </w:t>
      </w:r>
      <w:r w:rsidRPr="00FF1F19">
        <w:t xml:space="preserve">All feeding amounts </w:t>
      </w:r>
      <w:r w:rsidR="00676476" w:rsidRPr="00FF1F19">
        <w:t>were decreased to a maximum of 3</w:t>
      </w:r>
      <w:r w:rsidRPr="00FF1F19">
        <w:t xml:space="preserve"> cans</w:t>
      </w:r>
      <w:r w:rsidR="00676476" w:rsidRPr="00FF1F19">
        <w:t xml:space="preserve"> CAD (1133.3 kcal)</w:t>
      </w:r>
      <w:r w:rsidRPr="00FF1F19">
        <w:t xml:space="preserve"> </w:t>
      </w:r>
      <w:r w:rsidR="00676476" w:rsidRPr="00FF1F19">
        <w:t xml:space="preserve">or 4.5 cans WLD (1154.5 kcal) </w:t>
      </w:r>
      <w:r w:rsidRPr="00FF1F19">
        <w:t>per day due to concerns regarding maintenance calories being provided in excess</w:t>
      </w:r>
      <w:r w:rsidR="00676476" w:rsidRPr="00FF1F19">
        <w:t xml:space="preserve"> to some dogs</w:t>
      </w:r>
      <w:r w:rsidRPr="00FF1F19">
        <w:t xml:space="preserve">.  </w:t>
      </w:r>
      <w:r w:rsidR="00676476" w:rsidRPr="00FF1F19">
        <w:t>The average body weight of all eighteen dogs was 16.0 kg (RER 560 kcal; RER x 1.6 = 896 kcal, MER), so this caloric level limited the dogs to approximately 20% above calculated MER</w:t>
      </w:r>
      <w:r w:rsidR="00FF1F19" w:rsidRPr="00FF1F19">
        <w:t xml:space="preserve"> (~2 x RER)</w:t>
      </w:r>
      <w:r w:rsidR="00676476" w:rsidRPr="00FF1F19">
        <w:t xml:space="preserve">.  </w:t>
      </w:r>
      <w:r w:rsidR="00BC6272">
        <w:t>ObN</w:t>
      </w:r>
      <w:r>
        <w:t xml:space="preserve"> dogs received two nutraceutical capsules (1 g leucine + 13 mg pyridoxine total dose) and </w:t>
      </w:r>
      <w:r w:rsidR="00BC6272">
        <w:t>ObP</w:t>
      </w:r>
      <w:r>
        <w:t xml:space="preserve"> dogs received two placebo capsules (corn starch) in a CAD meatball before getting access to their morning meal.  The weight (g) of the capsule </w:t>
      </w:r>
      <w:r w:rsidR="00EF102A">
        <w:t xml:space="preserve">meatball </w:t>
      </w:r>
      <w:r>
        <w:t>was recorded as part of the morning meal weight.</w:t>
      </w:r>
      <w:r w:rsidR="00DC34BE">
        <w:t xml:space="preserve">  In the event a dog split open its capsules rather than swallowing them, capsule contents were rubbed into the meatball and fed to the dog until eaten</w:t>
      </w:r>
      <w:r w:rsidR="00EF102A">
        <w:t xml:space="preserve">, and before the </w:t>
      </w:r>
      <w:r w:rsidR="00FC311C">
        <w:t>morning</w:t>
      </w:r>
      <w:r w:rsidR="00EF102A">
        <w:t xml:space="preserve"> meal was fed</w:t>
      </w:r>
      <w:r w:rsidR="00DC34BE">
        <w:t>.</w:t>
      </w:r>
    </w:p>
    <w:p w:rsidR="00DC10D4" w:rsidRDefault="00DC10D4" w:rsidP="00006F84"/>
    <w:p w:rsidR="00FF1F19" w:rsidRDefault="00FF1F19" w:rsidP="00FF1F19">
      <w:r>
        <w:t xml:space="preserve">Body weight and BCS determination was decreased to once a week.  Treatment was continued until the dog reached 20 %BF or for up to twelve weeks.  For dogs reaching ideal body composition before twelve weeks, body fat level as estimated by BCS was confirmed using dual energy X-ray </w:t>
      </w:r>
      <w:r w:rsidRPr="00EE3F68">
        <w:t>absorptiometry</w:t>
      </w:r>
      <w:r>
        <w:t xml:space="preserve"> (DXA) prior to treatment termination.</w:t>
      </w:r>
    </w:p>
    <w:p w:rsidR="00FF1F19" w:rsidRDefault="00FF1F19" w:rsidP="00006F84"/>
    <w:p w:rsidR="00FF1F19" w:rsidRDefault="00FF1F19" w:rsidP="00006F84"/>
    <w:p w:rsidR="00FF1F19" w:rsidRDefault="00FF1F19" w:rsidP="00006F84"/>
    <w:p w:rsidR="00FF1F19" w:rsidRDefault="00FF1F19" w:rsidP="00006F84"/>
    <w:p w:rsidR="00FF1F19" w:rsidRDefault="00FF1F19" w:rsidP="00006F84"/>
    <w:p w:rsidR="00FF1F19" w:rsidRDefault="00FF1F19" w:rsidP="00006F84"/>
    <w:p w:rsidR="00734558" w:rsidRPr="00006F84" w:rsidRDefault="00734558" w:rsidP="00006F84">
      <w:pPr>
        <w:pStyle w:val="Caption"/>
      </w:pPr>
      <w:bookmarkStart w:id="47" w:name="_Toc376465824"/>
      <w:r>
        <w:lastRenderedPageBreak/>
        <w:t xml:space="preserve">Table </w:t>
      </w:r>
      <w:fldSimple w:instr=" SEQ Table \* ARABIC ">
        <w:r w:rsidR="00736DB0">
          <w:rPr>
            <w:noProof/>
          </w:rPr>
          <w:t>2</w:t>
        </w:r>
      </w:fldSimple>
      <w:r>
        <w:rPr>
          <w:noProof/>
        </w:rPr>
        <w:t xml:space="preserve"> </w:t>
      </w:r>
      <w:r w:rsidRPr="00C4290D">
        <w:t>Diet nutrient profiles</w:t>
      </w:r>
      <w:bookmarkEnd w:id="47"/>
    </w:p>
    <w:tbl>
      <w:tblPr>
        <w:tblStyle w:val="TableClassic1"/>
        <w:tblW w:w="0" w:type="auto"/>
        <w:tblLook w:val="04A0" w:firstRow="1" w:lastRow="0" w:firstColumn="1" w:lastColumn="0" w:noHBand="0" w:noVBand="1"/>
      </w:tblPr>
      <w:tblGrid>
        <w:gridCol w:w="4015"/>
        <w:gridCol w:w="1544"/>
        <w:gridCol w:w="1567"/>
        <w:gridCol w:w="1730"/>
      </w:tblGrid>
      <w:tr w:rsidR="00917366" w:rsidRPr="00A23850" w:rsidTr="00F6219B">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tcPr>
          <w:p w:rsidR="00DC34BE" w:rsidRPr="00A3463E" w:rsidRDefault="00DC34BE" w:rsidP="001D73C7">
            <w:pPr>
              <w:rPr>
                <w:b/>
              </w:rPr>
            </w:pPr>
            <w:r w:rsidRPr="00A3463E">
              <w:rPr>
                <w:b/>
              </w:rPr>
              <w:t>Nutrients</w:t>
            </w:r>
            <w:r>
              <w:rPr>
                <w:b/>
              </w:rPr>
              <w:t xml:space="preserve"> </w:t>
            </w:r>
            <w:r w:rsidRPr="00A3463E">
              <w:rPr>
                <w:b/>
              </w:rPr>
              <w:t>(</w:t>
            </w:r>
            <w:r>
              <w:rPr>
                <w:b/>
              </w:rPr>
              <w:t xml:space="preserve">per </w:t>
            </w:r>
            <w:r w:rsidRPr="00A3463E">
              <w:rPr>
                <w:b/>
              </w:rPr>
              <w:t>1000 kcal)</w:t>
            </w:r>
          </w:p>
        </w:tc>
        <w:tc>
          <w:tcPr>
            <w:tcW w:w="0" w:type="auto"/>
          </w:tcPr>
          <w:p w:rsidR="00DC34BE" w:rsidRPr="00407E1F" w:rsidRDefault="00DC34BE" w:rsidP="001D73C7">
            <w:pPr>
              <w:cnfStyle w:val="100000000000" w:firstRow="1" w:lastRow="0" w:firstColumn="0" w:lastColumn="0" w:oddVBand="0" w:evenVBand="0" w:oddHBand="0" w:evenHBand="0" w:firstRowFirstColumn="0" w:firstRowLastColumn="0" w:lastRowFirstColumn="0" w:lastRowLastColumn="0"/>
              <w:rPr>
                <w:b/>
                <w:vertAlign w:val="superscript"/>
              </w:rPr>
            </w:pPr>
            <w:r>
              <w:rPr>
                <w:b/>
              </w:rPr>
              <w:t>CAD</w:t>
            </w:r>
            <w:r w:rsidRPr="00A3463E">
              <w:rPr>
                <w:b/>
              </w:rPr>
              <w:t xml:space="preserve"> diet</w:t>
            </w:r>
          </w:p>
        </w:tc>
        <w:tc>
          <w:tcPr>
            <w:tcW w:w="0" w:type="auto"/>
          </w:tcPr>
          <w:p w:rsidR="00DC34BE" w:rsidRPr="00A3463E" w:rsidRDefault="00DC34BE" w:rsidP="001D73C7">
            <w:pPr>
              <w:cnfStyle w:val="100000000000" w:firstRow="1" w:lastRow="0" w:firstColumn="0" w:lastColumn="0" w:oddVBand="0" w:evenVBand="0" w:oddHBand="0" w:evenHBand="0" w:firstRowFirstColumn="0" w:firstRowLastColumn="0" w:lastRowFirstColumn="0" w:lastRowLastColumn="0"/>
              <w:rPr>
                <w:b/>
              </w:rPr>
            </w:pPr>
            <w:r w:rsidRPr="00A3463E">
              <w:rPr>
                <w:b/>
              </w:rPr>
              <w:t>W</w:t>
            </w:r>
            <w:r>
              <w:rPr>
                <w:b/>
              </w:rPr>
              <w:t>LD</w:t>
            </w:r>
            <w:r w:rsidRPr="00A3463E">
              <w:rPr>
                <w:b/>
              </w:rPr>
              <w:t xml:space="preserve"> diet</w:t>
            </w:r>
          </w:p>
        </w:tc>
        <w:tc>
          <w:tcPr>
            <w:tcW w:w="0" w:type="auto"/>
          </w:tcPr>
          <w:p w:rsidR="00DC34BE" w:rsidRPr="00A3463E" w:rsidRDefault="00DC34BE" w:rsidP="001D73C7">
            <w:pPr>
              <w:cnfStyle w:val="100000000000" w:firstRow="1" w:lastRow="0" w:firstColumn="0" w:lastColumn="0" w:oddVBand="0" w:evenVBand="0" w:oddHBand="0" w:evenHBand="0" w:firstRowFirstColumn="0" w:firstRowLastColumn="0" w:lastRowFirstColumn="0" w:lastRowLastColumn="0"/>
              <w:rPr>
                <w:b/>
              </w:rPr>
            </w:pPr>
            <w:r>
              <w:rPr>
                <w:b/>
              </w:rPr>
              <w:t>Kitten diet</w:t>
            </w:r>
          </w:p>
        </w:tc>
      </w:tr>
      <w:tr w:rsidR="00917366" w:rsidRPr="00A23850" w:rsidTr="00F6219B">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C34BE" w:rsidRPr="00A23850" w:rsidRDefault="00DC34BE" w:rsidP="001D73C7">
            <w:r w:rsidRPr="00A23850">
              <w:t>Protein</w:t>
            </w:r>
            <w:r>
              <w:t xml:space="preserve"> (g)</w:t>
            </w:r>
          </w:p>
        </w:tc>
        <w:tc>
          <w:tcPr>
            <w:tcW w:w="0" w:type="auto"/>
          </w:tcPr>
          <w:p w:rsidR="00DC34BE" w:rsidRPr="00A23850" w:rsidRDefault="008F5528" w:rsidP="001D73C7">
            <w:pPr>
              <w:cnfStyle w:val="000000000000" w:firstRow="0" w:lastRow="0" w:firstColumn="0" w:lastColumn="0" w:oddVBand="0" w:evenVBand="0" w:oddHBand="0" w:evenHBand="0" w:firstRowFirstColumn="0" w:firstRowLastColumn="0" w:lastRowFirstColumn="0" w:lastRowLastColumn="0"/>
            </w:pPr>
            <w:r>
              <w:t>56</w:t>
            </w:r>
          </w:p>
        </w:tc>
        <w:tc>
          <w:tcPr>
            <w:tcW w:w="0" w:type="auto"/>
          </w:tcPr>
          <w:p w:rsidR="00DC34BE" w:rsidRPr="00A23850" w:rsidRDefault="00A5434E" w:rsidP="001D73C7">
            <w:pPr>
              <w:cnfStyle w:val="000000000000" w:firstRow="0" w:lastRow="0" w:firstColumn="0" w:lastColumn="0" w:oddVBand="0" w:evenVBand="0" w:oddHBand="0" w:evenHBand="0" w:firstRowFirstColumn="0" w:firstRowLastColumn="0" w:lastRowFirstColumn="0" w:lastRowLastColumn="0"/>
            </w:pPr>
            <w:r>
              <w:t>85</w:t>
            </w:r>
          </w:p>
        </w:tc>
        <w:tc>
          <w:tcPr>
            <w:tcW w:w="0" w:type="auto"/>
          </w:tcPr>
          <w:p w:rsidR="00DC34BE" w:rsidRDefault="00962FE2" w:rsidP="001D73C7">
            <w:pPr>
              <w:cnfStyle w:val="000000000000" w:firstRow="0" w:lastRow="0" w:firstColumn="0" w:lastColumn="0" w:oddVBand="0" w:evenVBand="0" w:oddHBand="0" w:evenHBand="0" w:firstRowFirstColumn="0" w:firstRowLastColumn="0" w:lastRowFirstColumn="0" w:lastRowLastColumn="0"/>
            </w:pPr>
            <w:r>
              <w:t>85</w:t>
            </w:r>
          </w:p>
        </w:tc>
      </w:tr>
      <w:tr w:rsidR="00917366" w:rsidRPr="00A23850" w:rsidTr="00F6219B">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C34BE" w:rsidRPr="00A23850" w:rsidRDefault="00DC34BE" w:rsidP="001D73C7">
            <w:r w:rsidRPr="00A23850">
              <w:t>Fat</w:t>
            </w:r>
            <w:r>
              <w:t xml:space="preserve"> (g)</w:t>
            </w:r>
          </w:p>
        </w:tc>
        <w:tc>
          <w:tcPr>
            <w:tcW w:w="0" w:type="auto"/>
          </w:tcPr>
          <w:p w:rsidR="00DC34BE" w:rsidRPr="00A23850" w:rsidRDefault="008F5528" w:rsidP="001D73C7">
            <w:pPr>
              <w:cnfStyle w:val="000000000000" w:firstRow="0" w:lastRow="0" w:firstColumn="0" w:lastColumn="0" w:oddVBand="0" w:evenVBand="0" w:oddHBand="0" w:evenHBand="0" w:firstRowFirstColumn="0" w:firstRowLastColumn="0" w:lastRowFirstColumn="0" w:lastRowLastColumn="0"/>
            </w:pPr>
            <w:r>
              <w:t>38</w:t>
            </w:r>
          </w:p>
        </w:tc>
        <w:tc>
          <w:tcPr>
            <w:tcW w:w="0" w:type="auto"/>
          </w:tcPr>
          <w:p w:rsidR="00DC34BE" w:rsidRPr="00A23850" w:rsidRDefault="00A5434E" w:rsidP="001D73C7">
            <w:pPr>
              <w:cnfStyle w:val="000000000000" w:firstRow="0" w:lastRow="0" w:firstColumn="0" w:lastColumn="0" w:oddVBand="0" w:evenVBand="0" w:oddHBand="0" w:evenHBand="0" w:firstRowFirstColumn="0" w:firstRowLastColumn="0" w:lastRowFirstColumn="0" w:lastRowLastColumn="0"/>
            </w:pPr>
            <w:r>
              <w:t>29</w:t>
            </w:r>
          </w:p>
        </w:tc>
        <w:tc>
          <w:tcPr>
            <w:tcW w:w="0" w:type="auto"/>
          </w:tcPr>
          <w:p w:rsidR="00DC34BE" w:rsidRDefault="00156688" w:rsidP="001D73C7">
            <w:pPr>
              <w:cnfStyle w:val="000000000000" w:firstRow="0" w:lastRow="0" w:firstColumn="0" w:lastColumn="0" w:oddVBand="0" w:evenVBand="0" w:oddHBand="0" w:evenHBand="0" w:firstRowFirstColumn="0" w:firstRowLastColumn="0" w:lastRowFirstColumn="0" w:lastRowLastColumn="0"/>
            </w:pPr>
            <w:r>
              <w:t>5</w:t>
            </w:r>
            <w:r w:rsidR="00962FE2">
              <w:t>7</w:t>
            </w:r>
          </w:p>
        </w:tc>
      </w:tr>
      <w:tr w:rsidR="00917366" w:rsidRPr="00A23850" w:rsidTr="00F6219B">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C34BE" w:rsidRPr="00A23850" w:rsidRDefault="00DC34BE" w:rsidP="001D73C7">
            <w:r w:rsidRPr="00A23850">
              <w:t>Carbohydrate</w:t>
            </w:r>
            <w:r>
              <w:t xml:space="preserve"> (g)</w:t>
            </w:r>
          </w:p>
        </w:tc>
        <w:tc>
          <w:tcPr>
            <w:tcW w:w="0" w:type="auto"/>
          </w:tcPr>
          <w:p w:rsidR="00DC34BE" w:rsidRPr="00A23850" w:rsidRDefault="00156688" w:rsidP="001D73C7">
            <w:pPr>
              <w:cnfStyle w:val="000000000000" w:firstRow="0" w:lastRow="0" w:firstColumn="0" w:lastColumn="0" w:oddVBand="0" w:evenVBand="0" w:oddHBand="0" w:evenHBand="0" w:firstRowFirstColumn="0" w:firstRowLastColumn="0" w:lastRowFirstColumn="0" w:lastRowLastColumn="0"/>
            </w:pPr>
            <w:r>
              <w:t>129</w:t>
            </w:r>
          </w:p>
        </w:tc>
        <w:tc>
          <w:tcPr>
            <w:tcW w:w="0" w:type="auto"/>
          </w:tcPr>
          <w:p w:rsidR="00DC34BE" w:rsidRPr="00A23850" w:rsidRDefault="00DC34BE" w:rsidP="001D73C7">
            <w:pPr>
              <w:cnfStyle w:val="000000000000" w:firstRow="0" w:lastRow="0" w:firstColumn="0" w:lastColumn="0" w:oddVBand="0" w:evenVBand="0" w:oddHBand="0" w:evenHBand="0" w:firstRowFirstColumn="0" w:firstRowLastColumn="0" w:lastRowFirstColumn="0" w:lastRowLastColumn="0"/>
            </w:pPr>
            <w:r>
              <w:t>1</w:t>
            </w:r>
            <w:r w:rsidR="00A5434E">
              <w:t>31</w:t>
            </w:r>
          </w:p>
        </w:tc>
        <w:tc>
          <w:tcPr>
            <w:tcW w:w="0" w:type="auto"/>
          </w:tcPr>
          <w:p w:rsidR="00DC34BE" w:rsidRDefault="00962FE2" w:rsidP="001D73C7">
            <w:pPr>
              <w:cnfStyle w:val="000000000000" w:firstRow="0" w:lastRow="0" w:firstColumn="0" w:lastColumn="0" w:oddVBand="0" w:evenVBand="0" w:oddHBand="0" w:evenHBand="0" w:firstRowFirstColumn="0" w:firstRowLastColumn="0" w:lastRowFirstColumn="0" w:lastRowLastColumn="0"/>
            </w:pPr>
            <w:r>
              <w:t>61</w:t>
            </w:r>
          </w:p>
        </w:tc>
      </w:tr>
      <w:tr w:rsidR="00917366" w:rsidRPr="00A23850" w:rsidTr="00F6219B">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C34BE" w:rsidRPr="00A23850" w:rsidRDefault="00DC34BE" w:rsidP="001D73C7">
            <w:r w:rsidRPr="00A23850">
              <w:t>Crude fiber</w:t>
            </w:r>
            <w:r>
              <w:t xml:space="preserve"> (g)</w:t>
            </w:r>
          </w:p>
        </w:tc>
        <w:tc>
          <w:tcPr>
            <w:tcW w:w="0" w:type="auto"/>
          </w:tcPr>
          <w:p w:rsidR="00DC34BE" w:rsidRPr="00A23850" w:rsidRDefault="00156688" w:rsidP="001D73C7">
            <w:pPr>
              <w:cnfStyle w:val="000000000000" w:firstRow="0" w:lastRow="0" w:firstColumn="0" w:lastColumn="0" w:oddVBand="0" w:evenVBand="0" w:oddHBand="0" w:evenHBand="0" w:firstRowFirstColumn="0" w:firstRowLastColumn="0" w:lastRowFirstColumn="0" w:lastRowLastColumn="0"/>
            </w:pPr>
            <w:r>
              <w:t>2</w:t>
            </w:r>
          </w:p>
        </w:tc>
        <w:tc>
          <w:tcPr>
            <w:tcW w:w="0" w:type="auto"/>
          </w:tcPr>
          <w:p w:rsidR="00DC34BE" w:rsidRPr="00A23850" w:rsidRDefault="00A5434E" w:rsidP="001D73C7">
            <w:pPr>
              <w:cnfStyle w:val="000000000000" w:firstRow="0" w:lastRow="0" w:firstColumn="0" w:lastColumn="0" w:oddVBand="0" w:evenVBand="0" w:oddHBand="0" w:evenHBand="0" w:firstRowFirstColumn="0" w:firstRowLastColumn="0" w:lastRowFirstColumn="0" w:lastRowLastColumn="0"/>
            </w:pPr>
            <w:r>
              <w:t>7.1</w:t>
            </w:r>
          </w:p>
        </w:tc>
        <w:tc>
          <w:tcPr>
            <w:tcW w:w="0" w:type="auto"/>
          </w:tcPr>
          <w:p w:rsidR="00DC34BE" w:rsidRDefault="00917366" w:rsidP="001D73C7">
            <w:pPr>
              <w:cnfStyle w:val="000000000000" w:firstRow="0" w:lastRow="0" w:firstColumn="0" w:lastColumn="0" w:oddVBand="0" w:evenVBand="0" w:oddHBand="0" w:evenHBand="0" w:firstRowFirstColumn="0" w:firstRowLastColumn="0" w:lastRowFirstColumn="0" w:lastRowLastColumn="0"/>
            </w:pPr>
            <w:r>
              <w:t>3</w:t>
            </w:r>
          </w:p>
        </w:tc>
      </w:tr>
      <w:tr w:rsidR="00917366" w:rsidRPr="00A23850" w:rsidTr="00F6219B">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C34BE" w:rsidRPr="00A23850" w:rsidRDefault="00DC34BE" w:rsidP="001D73C7">
            <w:r w:rsidRPr="00A23850">
              <w:t>Leucine</w:t>
            </w:r>
            <w:r>
              <w:t xml:space="preserve"> (mg)</w:t>
            </w:r>
          </w:p>
        </w:tc>
        <w:tc>
          <w:tcPr>
            <w:tcW w:w="0" w:type="auto"/>
          </w:tcPr>
          <w:p w:rsidR="00DC34BE" w:rsidRPr="00A23850" w:rsidRDefault="00DC34BE" w:rsidP="001D73C7">
            <w:pPr>
              <w:cnfStyle w:val="000000000000" w:firstRow="0" w:lastRow="0" w:firstColumn="0" w:lastColumn="0" w:oddVBand="0" w:evenVBand="0" w:oddHBand="0" w:evenHBand="0" w:firstRowFirstColumn="0" w:firstRowLastColumn="0" w:lastRowFirstColumn="0" w:lastRowLastColumn="0"/>
            </w:pPr>
            <w:r>
              <w:t>5,000</w:t>
            </w:r>
          </w:p>
        </w:tc>
        <w:tc>
          <w:tcPr>
            <w:tcW w:w="0" w:type="auto"/>
          </w:tcPr>
          <w:p w:rsidR="00DC34BE" w:rsidRPr="00A23850" w:rsidRDefault="00DC34BE" w:rsidP="001D73C7">
            <w:pPr>
              <w:cnfStyle w:val="000000000000" w:firstRow="0" w:lastRow="0" w:firstColumn="0" w:lastColumn="0" w:oddVBand="0" w:evenVBand="0" w:oddHBand="0" w:evenHBand="0" w:firstRowFirstColumn="0" w:firstRowLastColumn="0" w:lastRowFirstColumn="0" w:lastRowLastColumn="0"/>
            </w:pPr>
            <w:r>
              <w:t>6,000</w:t>
            </w:r>
          </w:p>
        </w:tc>
        <w:tc>
          <w:tcPr>
            <w:tcW w:w="0" w:type="auto"/>
          </w:tcPr>
          <w:p w:rsidR="00DC34BE" w:rsidRDefault="00917366" w:rsidP="001D73C7">
            <w:pPr>
              <w:cnfStyle w:val="000000000000" w:firstRow="0" w:lastRow="0" w:firstColumn="0" w:lastColumn="0" w:oddVBand="0" w:evenVBand="0" w:oddHBand="0" w:evenHBand="0" w:firstRowFirstColumn="0" w:firstRowLastColumn="0" w:lastRowFirstColumn="0" w:lastRowLastColumn="0"/>
            </w:pPr>
            <w:r>
              <w:t>9,180</w:t>
            </w:r>
          </w:p>
        </w:tc>
      </w:tr>
      <w:tr w:rsidR="00917366" w:rsidRPr="00A23850" w:rsidTr="00F6219B">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C34BE" w:rsidRPr="00A23850" w:rsidRDefault="00DC34BE" w:rsidP="001D73C7">
            <w:r w:rsidRPr="00A23850">
              <w:t>Isoleucine</w:t>
            </w:r>
            <w:r>
              <w:t xml:space="preserve"> (mg)</w:t>
            </w:r>
          </w:p>
        </w:tc>
        <w:tc>
          <w:tcPr>
            <w:tcW w:w="0" w:type="auto"/>
          </w:tcPr>
          <w:p w:rsidR="00DC34BE" w:rsidRPr="00A23850" w:rsidRDefault="00917366" w:rsidP="001D73C7">
            <w:pPr>
              <w:cnfStyle w:val="000000000000" w:firstRow="0" w:lastRow="0" w:firstColumn="0" w:lastColumn="0" w:oddVBand="0" w:evenVBand="0" w:oddHBand="0" w:evenHBand="0" w:firstRowFirstColumn="0" w:firstRowLastColumn="0" w:lastRowFirstColumn="0" w:lastRowLastColumn="0"/>
            </w:pPr>
            <w:r>
              <w:t>1,960</w:t>
            </w:r>
          </w:p>
        </w:tc>
        <w:tc>
          <w:tcPr>
            <w:tcW w:w="0" w:type="auto"/>
          </w:tcPr>
          <w:p w:rsidR="00DC34BE" w:rsidRPr="00A23850" w:rsidRDefault="00917366" w:rsidP="001D73C7">
            <w:pPr>
              <w:cnfStyle w:val="000000000000" w:firstRow="0" w:lastRow="0" w:firstColumn="0" w:lastColumn="0" w:oddVBand="0" w:evenVBand="0" w:oddHBand="0" w:evenHBand="0" w:firstRowFirstColumn="0" w:firstRowLastColumn="0" w:lastRowFirstColumn="0" w:lastRowLastColumn="0"/>
            </w:pPr>
            <w:r>
              <w:t>2,730</w:t>
            </w:r>
          </w:p>
        </w:tc>
        <w:tc>
          <w:tcPr>
            <w:tcW w:w="0" w:type="auto"/>
          </w:tcPr>
          <w:p w:rsidR="00DC34BE" w:rsidRDefault="00917366" w:rsidP="001D73C7">
            <w:pPr>
              <w:cnfStyle w:val="000000000000" w:firstRow="0" w:lastRow="0" w:firstColumn="0" w:lastColumn="0" w:oddVBand="0" w:evenVBand="0" w:oddHBand="0" w:evenHBand="0" w:firstRowFirstColumn="0" w:firstRowLastColumn="0" w:lastRowFirstColumn="0" w:lastRowLastColumn="0"/>
            </w:pPr>
            <w:r>
              <w:t>3,530</w:t>
            </w:r>
          </w:p>
        </w:tc>
      </w:tr>
      <w:tr w:rsidR="00917366" w:rsidRPr="00A23850" w:rsidTr="00F6219B">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C34BE" w:rsidRPr="00A23850" w:rsidRDefault="00DC34BE" w:rsidP="001D73C7">
            <w:r w:rsidRPr="00A23850">
              <w:t>Valine</w:t>
            </w:r>
            <w:r>
              <w:t xml:space="preserve"> (mg)</w:t>
            </w:r>
          </w:p>
        </w:tc>
        <w:tc>
          <w:tcPr>
            <w:tcW w:w="0" w:type="auto"/>
          </w:tcPr>
          <w:p w:rsidR="00DC34BE" w:rsidRPr="00A23850" w:rsidRDefault="00DC34BE" w:rsidP="001D73C7">
            <w:pPr>
              <w:cnfStyle w:val="000000000000" w:firstRow="0" w:lastRow="0" w:firstColumn="0" w:lastColumn="0" w:oddVBand="0" w:evenVBand="0" w:oddHBand="0" w:evenHBand="0" w:firstRowFirstColumn="0" w:firstRowLastColumn="0" w:lastRowFirstColumn="0" w:lastRowLastColumn="0"/>
            </w:pPr>
            <w:r>
              <w:t>2,550</w:t>
            </w:r>
          </w:p>
        </w:tc>
        <w:tc>
          <w:tcPr>
            <w:tcW w:w="0" w:type="auto"/>
          </w:tcPr>
          <w:p w:rsidR="00DC34BE" w:rsidRPr="00A23850" w:rsidRDefault="00DC34BE" w:rsidP="001D73C7">
            <w:pPr>
              <w:cnfStyle w:val="000000000000" w:firstRow="0" w:lastRow="0" w:firstColumn="0" w:lastColumn="0" w:oddVBand="0" w:evenVBand="0" w:oddHBand="0" w:evenHBand="0" w:firstRowFirstColumn="0" w:firstRowLastColumn="0" w:lastRowFirstColumn="0" w:lastRowLastColumn="0"/>
            </w:pPr>
            <w:r>
              <w:t>4,090</w:t>
            </w:r>
          </w:p>
        </w:tc>
        <w:tc>
          <w:tcPr>
            <w:tcW w:w="0" w:type="auto"/>
          </w:tcPr>
          <w:p w:rsidR="00DC34BE" w:rsidRDefault="00917366" w:rsidP="001D73C7">
            <w:pPr>
              <w:cnfStyle w:val="000000000000" w:firstRow="0" w:lastRow="0" w:firstColumn="0" w:lastColumn="0" w:oddVBand="0" w:evenVBand="0" w:oddHBand="0" w:evenHBand="0" w:firstRowFirstColumn="0" w:firstRowLastColumn="0" w:lastRowFirstColumn="0" w:lastRowLastColumn="0"/>
            </w:pPr>
            <w:r>
              <w:t>3,930</w:t>
            </w:r>
          </w:p>
        </w:tc>
      </w:tr>
      <w:tr w:rsidR="00917366" w:rsidRPr="00A23850" w:rsidTr="00F6219B">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C34BE" w:rsidRPr="00A23850" w:rsidRDefault="00DC34BE" w:rsidP="001D73C7">
            <w:r w:rsidRPr="00A23850">
              <w:t>Pyridoxine</w:t>
            </w:r>
            <w:r>
              <w:t xml:space="preserve"> (mg)</w:t>
            </w:r>
          </w:p>
        </w:tc>
        <w:tc>
          <w:tcPr>
            <w:tcW w:w="0" w:type="auto"/>
          </w:tcPr>
          <w:p w:rsidR="00DC34BE" w:rsidRPr="00A23850" w:rsidRDefault="00917366" w:rsidP="001D73C7">
            <w:pPr>
              <w:cnfStyle w:val="000000000000" w:firstRow="0" w:lastRow="0" w:firstColumn="0" w:lastColumn="0" w:oddVBand="0" w:evenVBand="0" w:oddHBand="0" w:evenHBand="0" w:firstRowFirstColumn="0" w:firstRowLastColumn="0" w:lastRowFirstColumn="0" w:lastRowLastColumn="0"/>
            </w:pPr>
            <w:r>
              <w:t>2.4</w:t>
            </w:r>
          </w:p>
        </w:tc>
        <w:tc>
          <w:tcPr>
            <w:tcW w:w="0" w:type="auto"/>
          </w:tcPr>
          <w:p w:rsidR="00DC34BE" w:rsidRPr="00A23850" w:rsidRDefault="00917366" w:rsidP="001D73C7">
            <w:pPr>
              <w:cnfStyle w:val="000000000000" w:firstRow="0" w:lastRow="0" w:firstColumn="0" w:lastColumn="0" w:oddVBand="0" w:evenVBand="0" w:oddHBand="0" w:evenHBand="0" w:firstRowFirstColumn="0" w:firstRowLastColumn="0" w:lastRowFirstColumn="0" w:lastRowLastColumn="0"/>
            </w:pPr>
            <w:r>
              <w:t>3.3</w:t>
            </w:r>
          </w:p>
        </w:tc>
        <w:tc>
          <w:tcPr>
            <w:tcW w:w="0" w:type="auto"/>
          </w:tcPr>
          <w:p w:rsidR="00DC34BE" w:rsidRDefault="00917366" w:rsidP="001D73C7">
            <w:pPr>
              <w:cnfStyle w:val="000000000000" w:firstRow="0" w:lastRow="0" w:firstColumn="0" w:lastColumn="0" w:oddVBand="0" w:evenVBand="0" w:oddHBand="0" w:evenHBand="0" w:firstRowFirstColumn="0" w:firstRowLastColumn="0" w:lastRowFirstColumn="0" w:lastRowLastColumn="0"/>
            </w:pPr>
            <w:r>
              <w:t>2.4</w:t>
            </w:r>
          </w:p>
        </w:tc>
      </w:tr>
      <w:tr w:rsidR="00917366" w:rsidRPr="00A23850" w:rsidTr="00F6219B">
        <w:trPr>
          <w:trHeight w:val="432"/>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DC34BE" w:rsidRPr="00A23850" w:rsidRDefault="00DC34BE" w:rsidP="001D73C7">
            <w:r w:rsidRPr="00A23850">
              <w:t>Metabolizable energy</w:t>
            </w:r>
            <w:r>
              <w:t xml:space="preserve"> (kcal/kg)</w:t>
            </w:r>
            <w:r w:rsidRPr="00A23850">
              <w:t xml:space="preserve"> </w:t>
            </w:r>
          </w:p>
        </w:tc>
        <w:tc>
          <w:tcPr>
            <w:tcW w:w="0" w:type="auto"/>
            <w:tcBorders>
              <w:bottom w:val="single" w:sz="12" w:space="0" w:color="000000"/>
            </w:tcBorders>
          </w:tcPr>
          <w:p w:rsidR="00DC34BE" w:rsidRPr="00A23850" w:rsidRDefault="008F5528" w:rsidP="001D73C7">
            <w:pPr>
              <w:cnfStyle w:val="000000000000" w:firstRow="0" w:lastRow="0" w:firstColumn="0" w:lastColumn="0" w:oddVBand="0" w:evenVBand="0" w:oddHBand="0" w:evenHBand="0" w:firstRowFirstColumn="0" w:firstRowLastColumn="0" w:lastRowFirstColumn="0" w:lastRowLastColumn="0"/>
            </w:pPr>
            <w:r>
              <w:t>1021</w:t>
            </w:r>
          </w:p>
        </w:tc>
        <w:tc>
          <w:tcPr>
            <w:tcW w:w="0" w:type="auto"/>
            <w:tcBorders>
              <w:bottom w:val="single" w:sz="12" w:space="0" w:color="000000"/>
            </w:tcBorders>
          </w:tcPr>
          <w:p w:rsidR="00DC34BE" w:rsidRPr="00A23850" w:rsidRDefault="00407E1F" w:rsidP="001D73C7">
            <w:pPr>
              <w:cnfStyle w:val="000000000000" w:firstRow="0" w:lastRow="0" w:firstColumn="0" w:lastColumn="0" w:oddVBand="0" w:evenVBand="0" w:oddHBand="0" w:evenHBand="0" w:firstRowFirstColumn="0" w:firstRowLastColumn="0" w:lastRowFirstColumn="0" w:lastRowLastColumn="0"/>
            </w:pPr>
            <w:r>
              <w:t>733</w:t>
            </w:r>
          </w:p>
        </w:tc>
        <w:tc>
          <w:tcPr>
            <w:tcW w:w="0" w:type="auto"/>
            <w:tcBorders>
              <w:bottom w:val="single" w:sz="12" w:space="0" w:color="000000"/>
            </w:tcBorders>
          </w:tcPr>
          <w:p w:rsidR="00DC34BE" w:rsidRDefault="00917366" w:rsidP="001D73C7">
            <w:pPr>
              <w:cnfStyle w:val="000000000000" w:firstRow="0" w:lastRow="0" w:firstColumn="0" w:lastColumn="0" w:oddVBand="0" w:evenVBand="0" w:oddHBand="0" w:evenHBand="0" w:firstRowFirstColumn="0" w:firstRowLastColumn="0" w:lastRowFirstColumn="0" w:lastRowLastColumn="0"/>
            </w:pPr>
            <w:r>
              <w:t>4</w:t>
            </w:r>
            <w:r w:rsidR="00962FE2">
              <w:t>196</w:t>
            </w:r>
          </w:p>
        </w:tc>
      </w:tr>
      <w:tr w:rsidR="00DC34BE" w:rsidRPr="00A23850" w:rsidTr="00F6219B">
        <w:trPr>
          <w:trHeight w:val="432"/>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12" w:space="0" w:color="000000"/>
              <w:bottom w:val="nil"/>
              <w:right w:val="nil"/>
            </w:tcBorders>
          </w:tcPr>
          <w:p w:rsidR="00DC34BE" w:rsidRPr="00F6219B" w:rsidRDefault="00DC34BE" w:rsidP="001D73C7">
            <w:pPr>
              <w:rPr>
                <w:sz w:val="18"/>
                <w:szCs w:val="18"/>
              </w:rPr>
            </w:pPr>
            <w:r w:rsidRPr="00F6219B">
              <w:rPr>
                <w:sz w:val="18"/>
                <w:szCs w:val="18"/>
              </w:rPr>
              <w:t xml:space="preserve">Information </w:t>
            </w:r>
            <w:r w:rsidR="00A5434E" w:rsidRPr="00F6219B">
              <w:rPr>
                <w:sz w:val="18"/>
                <w:szCs w:val="18"/>
              </w:rPr>
              <w:t>provided by manufacturer product guide average</w:t>
            </w:r>
            <w:r w:rsidRPr="00F6219B">
              <w:rPr>
                <w:sz w:val="18"/>
                <w:szCs w:val="18"/>
              </w:rPr>
              <w:t xml:space="preserve"> nutrient </w:t>
            </w:r>
            <w:r w:rsidR="00510FE0" w:rsidRPr="00F6219B">
              <w:rPr>
                <w:sz w:val="18"/>
                <w:szCs w:val="18"/>
              </w:rPr>
              <w:t>analysis</w:t>
            </w:r>
            <w:r w:rsidRPr="00F6219B">
              <w:rPr>
                <w:sz w:val="18"/>
                <w:szCs w:val="18"/>
              </w:rPr>
              <w:t>.</w:t>
            </w:r>
            <w:r w:rsidR="00A5434E" w:rsidRPr="00F6219B">
              <w:rPr>
                <w:sz w:val="18"/>
                <w:szCs w:val="18"/>
              </w:rPr>
              <w:t xml:space="preserve">  Values not listed in product guide were obtained directly from manufacturer.</w:t>
            </w:r>
          </w:p>
          <w:p w:rsidR="00A5434E" w:rsidRPr="00A5434E" w:rsidRDefault="00DC34BE" w:rsidP="00156688">
            <w:r w:rsidRPr="00F6219B">
              <w:rPr>
                <w:sz w:val="18"/>
                <w:szCs w:val="18"/>
              </w:rPr>
              <w:t>CAD, canned adult diet (Science Diet Adult Gourmet Beef Entrée, Hill’s)</w:t>
            </w:r>
            <w:r w:rsidR="00917366" w:rsidRPr="00F6219B">
              <w:rPr>
                <w:sz w:val="18"/>
                <w:szCs w:val="18"/>
              </w:rPr>
              <w:t>;</w:t>
            </w:r>
            <w:r w:rsidRPr="00F6219B">
              <w:rPr>
                <w:sz w:val="18"/>
                <w:szCs w:val="18"/>
              </w:rPr>
              <w:t xml:space="preserve"> WLD, weight loss diet (Prescription Diet r/d, Hill’s)</w:t>
            </w:r>
            <w:r w:rsidR="00917366" w:rsidRPr="00F6219B">
              <w:rPr>
                <w:sz w:val="18"/>
                <w:szCs w:val="18"/>
              </w:rPr>
              <w:t>; kitten diet (Science Diet Kitten Healthy Development, Hill’s)</w:t>
            </w:r>
            <w:r w:rsidRPr="00F6219B">
              <w:rPr>
                <w:sz w:val="18"/>
                <w:szCs w:val="18"/>
              </w:rPr>
              <w:t>.</w:t>
            </w:r>
          </w:p>
        </w:tc>
      </w:tr>
    </w:tbl>
    <w:p w:rsidR="00FF3AF5" w:rsidRDefault="00FF3AF5" w:rsidP="007B0AFD"/>
    <w:p w:rsidR="00734558" w:rsidRDefault="00734558" w:rsidP="007B0AFD"/>
    <w:p w:rsidR="00FF3AF5" w:rsidRDefault="00FF3AF5" w:rsidP="007B0AFD"/>
    <w:p w:rsidR="00AE68F9" w:rsidRDefault="00AE68F9" w:rsidP="00AE68F9">
      <w:pPr>
        <w:pStyle w:val="Heading3"/>
      </w:pPr>
      <w:bookmarkStart w:id="48" w:name="_Toc376465769"/>
      <w:r>
        <w:t>Food consumption</w:t>
      </w:r>
      <w:bookmarkEnd w:id="48"/>
    </w:p>
    <w:p w:rsidR="00E233C8" w:rsidRDefault="00BC6272" w:rsidP="007B0AFD">
      <w:r>
        <w:t xml:space="preserve">To avoid confounding </w:t>
      </w:r>
      <w:r w:rsidR="00BA6579">
        <w:t xml:space="preserve">changes in food consumption due to fasting prior to </w:t>
      </w:r>
      <w:r w:rsidR="00EC524A">
        <w:t>DXA</w:t>
      </w:r>
      <w:r w:rsidR="00BA6579">
        <w:t>, f</w:t>
      </w:r>
      <w:r w:rsidR="00AE68F9">
        <w:t>ood intake calculations were based on average food consumption over four days at baseline, one</w:t>
      </w:r>
      <w:r w:rsidR="00FF1F19">
        <w:t>, four, eight, and twelve</w:t>
      </w:r>
      <w:r w:rsidR="00AE68F9">
        <w:t xml:space="preserve"> week</w:t>
      </w:r>
      <w:r w:rsidR="00FF1F19">
        <w:t>s</w:t>
      </w:r>
      <w:r w:rsidR="00AE68F9">
        <w:t xml:space="preserve"> into treatment.  </w:t>
      </w:r>
      <w:r w:rsidR="00E233C8">
        <w:t>The fifth day of food recording was dropped to account for morning meal loss and poor afternoon meal consumption</w:t>
      </w:r>
      <w:r w:rsidR="00DC34BE">
        <w:t xml:space="preserve"> post anesthesia</w:t>
      </w:r>
      <w:r w:rsidR="00E233C8">
        <w:t xml:space="preserve"> on </w:t>
      </w:r>
      <w:r w:rsidR="00EC524A">
        <w:t>DXA</w:t>
      </w:r>
      <w:r w:rsidR="00E233C8">
        <w:t xml:space="preserve"> days.</w:t>
      </w:r>
    </w:p>
    <w:p w:rsidR="00E233C8" w:rsidRDefault="00E233C8" w:rsidP="007B0AFD"/>
    <w:p w:rsidR="00AE68F9" w:rsidRDefault="00AE68F9" w:rsidP="007B0AFD">
      <w:r>
        <w:t>Duri</w:t>
      </w:r>
      <w:r w:rsidR="00A54EA1">
        <w:t xml:space="preserve">ng obesification, </w:t>
      </w:r>
      <w:r w:rsidR="00E233C8">
        <w:t>food consumption attributable only to CAD, not the excess calories from oil and kitten food</w:t>
      </w:r>
      <w:r w:rsidR="00A54EA1">
        <w:t>, was calculated</w:t>
      </w:r>
      <w:r w:rsidR="00EF102A">
        <w:t xml:space="preserve">.  For the duration of this report, all calories offered and consumed </w:t>
      </w:r>
      <w:r w:rsidR="00A54EA1">
        <w:t>during obesification are credited only to CAD as calculated by the following formulas:</w:t>
      </w:r>
    </w:p>
    <w:p w:rsidR="00AE68F9" w:rsidRDefault="00AE68F9" w:rsidP="00AE68F9"/>
    <w:p w:rsidR="00F23C53" w:rsidRPr="00A54EA1" w:rsidRDefault="00F23C53" w:rsidP="00F23C53">
      <w:r>
        <w:t>Proportion of offered foo</w:t>
      </w:r>
      <w:r w:rsidRPr="00A54EA1">
        <w:t>d consumed</w:t>
      </w:r>
    </w:p>
    <w:p w:rsidR="00F23C53" w:rsidRPr="00A54EA1" w:rsidRDefault="00736DB0" w:rsidP="00F23C53">
      <w:pPr>
        <w:rPr>
          <w:sz w:val="22"/>
          <w:szCs w:val="22"/>
        </w:rPr>
      </w:pPr>
      <m:oMathPara>
        <m:oMath>
          <m:f>
            <m:fPr>
              <m:ctrlPr>
                <w:rPr>
                  <w:rFonts w:ascii="Cambria Math" w:hAnsi="Cambria Math"/>
                  <w:i/>
                  <w:sz w:val="22"/>
                  <w:szCs w:val="22"/>
                </w:rPr>
              </m:ctrlPr>
            </m:fPr>
            <m:num>
              <m:d>
                <m:dPr>
                  <m:begChr m:val="["/>
                  <m:endChr m:val="]"/>
                  <m:ctrlPr>
                    <w:rPr>
                      <w:rFonts w:ascii="Cambria Math" w:hAnsi="Cambria Math"/>
                      <w:i/>
                      <w:sz w:val="22"/>
                      <w:szCs w:val="22"/>
                    </w:rPr>
                  </m:ctrlPr>
                </m:dPr>
                <m:e>
                  <m:r>
                    <w:rPr>
                      <w:rFonts w:ascii="Cambria Math" w:hAnsi="Cambria Math"/>
                      <w:sz w:val="22"/>
                      <w:szCs w:val="22"/>
                    </w:rPr>
                    <m:t xml:space="preserve">Total food consumed </m:t>
                  </m:r>
                  <m:d>
                    <m:dPr>
                      <m:ctrlPr>
                        <w:rPr>
                          <w:rFonts w:ascii="Cambria Math" w:hAnsi="Cambria Math"/>
                          <w:i/>
                          <w:sz w:val="22"/>
                          <w:szCs w:val="22"/>
                        </w:rPr>
                      </m:ctrlPr>
                    </m:dPr>
                    <m:e>
                      <m:r>
                        <w:rPr>
                          <w:rFonts w:ascii="Cambria Math" w:hAnsi="Cambria Math"/>
                          <w:sz w:val="22"/>
                          <w:szCs w:val="22"/>
                        </w:rPr>
                        <m:t>g</m:t>
                      </m:r>
                    </m:e>
                  </m:d>
                </m:e>
              </m:d>
            </m:num>
            <m:den>
              <m:d>
                <m:dPr>
                  <m:begChr m:val="["/>
                  <m:endChr m:val="]"/>
                  <m:ctrlPr>
                    <w:rPr>
                      <w:rFonts w:ascii="Cambria Math" w:hAnsi="Cambria Math"/>
                      <w:i/>
                      <w:sz w:val="22"/>
                      <w:szCs w:val="22"/>
                    </w:rPr>
                  </m:ctrlPr>
                </m:dPr>
                <m:e>
                  <m:r>
                    <w:rPr>
                      <w:rFonts w:ascii="Cambria Math" w:hAnsi="Cambria Math"/>
                      <w:sz w:val="22"/>
                      <w:szCs w:val="22"/>
                    </w:rPr>
                    <m:t xml:space="preserve">Total food offered </m:t>
                  </m:r>
                  <m:d>
                    <m:dPr>
                      <m:ctrlPr>
                        <w:rPr>
                          <w:rFonts w:ascii="Cambria Math" w:hAnsi="Cambria Math"/>
                          <w:i/>
                          <w:sz w:val="22"/>
                          <w:szCs w:val="22"/>
                        </w:rPr>
                      </m:ctrlPr>
                    </m:dPr>
                    <m:e>
                      <m:r>
                        <w:rPr>
                          <w:rFonts w:ascii="Cambria Math" w:hAnsi="Cambria Math"/>
                          <w:sz w:val="22"/>
                          <w:szCs w:val="22"/>
                        </w:rPr>
                        <m:t>g</m:t>
                      </m:r>
                    </m:e>
                  </m:d>
                </m:e>
              </m:d>
            </m:den>
          </m:f>
        </m:oMath>
      </m:oMathPara>
    </w:p>
    <w:p w:rsidR="00F23C53" w:rsidRDefault="00F23C53" w:rsidP="00F23C53"/>
    <w:p w:rsidR="00F23C53" w:rsidRPr="00A54EA1" w:rsidRDefault="00F23C53" w:rsidP="00F23C53">
      <w:r w:rsidRPr="00A54EA1">
        <w:t>Calories consumed</w:t>
      </w:r>
      <w:r w:rsidR="00987099" w:rsidRPr="00A54EA1">
        <w:t xml:space="preserve"> from </w:t>
      </w:r>
      <w:r w:rsidRPr="00A54EA1">
        <w:t>oil</w:t>
      </w:r>
    </w:p>
    <w:p w:rsidR="00F23C53" w:rsidRPr="00A54EA1" w:rsidRDefault="00987099" w:rsidP="00F23C53">
      <m:oMathPara>
        <m:oMath>
          <m:r>
            <w:rPr>
              <w:rFonts w:ascii="Cambria Math" w:hAnsi="Cambria Math"/>
            </w:rPr>
            <m:t xml:space="preserve">Proportion of offered food consumed x oil offered </m:t>
          </m:r>
          <m:d>
            <m:dPr>
              <m:ctrlPr>
                <w:rPr>
                  <w:rFonts w:ascii="Cambria Math" w:hAnsi="Cambria Math"/>
                  <w:i/>
                </w:rPr>
              </m:ctrlPr>
            </m:dPr>
            <m:e>
              <m:r>
                <w:rPr>
                  <w:rFonts w:ascii="Cambria Math" w:hAnsi="Cambria Math"/>
                </w:rPr>
                <m:t>g</m:t>
              </m:r>
            </m:e>
          </m:d>
          <m:r>
            <w:rPr>
              <w:rFonts w:ascii="Cambria Math" w:hAnsi="Cambria Math"/>
            </w:rPr>
            <m:t xml:space="preserve"> x 8.57</m:t>
          </m:r>
          <m:f>
            <m:fPr>
              <m:ctrlPr>
                <w:rPr>
                  <w:rFonts w:ascii="Cambria Math" w:hAnsi="Cambria Math"/>
                  <w:i/>
                </w:rPr>
              </m:ctrlPr>
            </m:fPr>
            <m:num>
              <m:r>
                <w:rPr>
                  <w:rFonts w:ascii="Cambria Math" w:hAnsi="Cambria Math"/>
                </w:rPr>
                <m:t>kcal</m:t>
              </m:r>
            </m:num>
            <m:den>
              <m:r>
                <w:rPr>
                  <w:rFonts w:ascii="Cambria Math" w:hAnsi="Cambria Math"/>
                </w:rPr>
                <m:t>g</m:t>
              </m:r>
            </m:den>
          </m:f>
          <m:r>
            <w:rPr>
              <w:rFonts w:ascii="Cambria Math" w:hAnsi="Cambria Math"/>
            </w:rPr>
            <m:t>food</m:t>
          </m:r>
        </m:oMath>
      </m:oMathPara>
    </w:p>
    <w:p w:rsidR="00F23C53" w:rsidRPr="00A54EA1" w:rsidRDefault="00F23C53" w:rsidP="00AE68F9"/>
    <w:p w:rsidR="00AE68F9" w:rsidRPr="00A54EA1" w:rsidRDefault="00F23C53" w:rsidP="00AE68F9">
      <w:r w:rsidRPr="00A54EA1">
        <w:lastRenderedPageBreak/>
        <w:t>Calories consumed from extruded kitten food</w:t>
      </w:r>
    </w:p>
    <w:p w:rsidR="00AE68F9" w:rsidRPr="00A54EA1" w:rsidRDefault="00736DB0" w:rsidP="00AE68F9">
      <m:oMathPara>
        <m:oMathParaPr>
          <m:jc m:val="center"/>
        </m:oMathParaPr>
        <m:oMath>
          <m:d>
            <m:dPr>
              <m:begChr m:val="{"/>
              <m:endChr m:val="}"/>
              <m:ctrlPr>
                <w:rPr>
                  <w:rFonts w:ascii="Cambria Math" w:hAnsi="Cambria Math"/>
                  <w:i/>
                  <w:sz w:val="22"/>
                  <w:szCs w:val="22"/>
                </w:rPr>
              </m:ctrlPr>
            </m:dPr>
            <m:e>
              <m:f>
                <m:fPr>
                  <m:ctrlPr>
                    <w:rPr>
                      <w:rFonts w:ascii="Cambria Math" w:hAnsi="Cambria Math"/>
                      <w:i/>
                      <w:sz w:val="22"/>
                      <w:szCs w:val="22"/>
                    </w:rPr>
                  </m:ctrlPr>
                </m:fPr>
                <m:num>
                  <m:d>
                    <m:dPr>
                      <m:begChr m:val="["/>
                      <m:endChr m:val="]"/>
                      <m:ctrlPr>
                        <w:rPr>
                          <w:rFonts w:ascii="Cambria Math" w:hAnsi="Cambria Math"/>
                          <w:i/>
                          <w:sz w:val="22"/>
                          <w:szCs w:val="22"/>
                        </w:rPr>
                      </m:ctrlPr>
                    </m:dPr>
                    <m:e>
                      <m:r>
                        <w:rPr>
                          <w:rFonts w:ascii="Cambria Math" w:hAnsi="Cambria Math"/>
                          <w:sz w:val="22"/>
                          <w:szCs w:val="22"/>
                        </w:rPr>
                        <m:t xml:space="preserve">Proportion of offered food consumed x cat food offered </m:t>
                      </m:r>
                      <m:d>
                        <m:dPr>
                          <m:ctrlPr>
                            <w:rPr>
                              <w:rFonts w:ascii="Cambria Math" w:hAnsi="Cambria Math"/>
                              <w:i/>
                              <w:sz w:val="22"/>
                              <w:szCs w:val="22"/>
                            </w:rPr>
                          </m:ctrlPr>
                        </m:dPr>
                        <m:e>
                          <m:r>
                            <w:rPr>
                              <w:rFonts w:ascii="Cambria Math" w:hAnsi="Cambria Math"/>
                              <w:sz w:val="22"/>
                              <w:szCs w:val="22"/>
                            </w:rPr>
                            <m:t>g</m:t>
                          </m:r>
                        </m:e>
                      </m:d>
                      <m:r>
                        <w:rPr>
                          <w:rFonts w:ascii="Cambria Math" w:hAnsi="Cambria Math"/>
                          <w:sz w:val="22"/>
                          <w:szCs w:val="22"/>
                        </w:rPr>
                        <m:t xml:space="preserve"> x 4196</m:t>
                      </m:r>
                      <m:f>
                        <m:fPr>
                          <m:ctrlPr>
                            <w:rPr>
                              <w:rFonts w:ascii="Cambria Math" w:hAnsi="Cambria Math"/>
                              <w:i/>
                              <w:sz w:val="22"/>
                              <w:szCs w:val="22"/>
                            </w:rPr>
                          </m:ctrlPr>
                        </m:fPr>
                        <m:num>
                          <m:r>
                            <w:rPr>
                              <w:rFonts w:ascii="Cambria Math" w:hAnsi="Cambria Math"/>
                              <w:sz w:val="22"/>
                              <w:szCs w:val="22"/>
                            </w:rPr>
                            <m:t>kcal</m:t>
                          </m:r>
                        </m:num>
                        <m:den>
                          <m:r>
                            <w:rPr>
                              <w:rFonts w:ascii="Cambria Math" w:hAnsi="Cambria Math"/>
                              <w:sz w:val="22"/>
                              <w:szCs w:val="22"/>
                            </w:rPr>
                            <m:t>kg</m:t>
                          </m:r>
                        </m:den>
                      </m:f>
                      <m:r>
                        <w:rPr>
                          <w:rFonts w:ascii="Cambria Math" w:hAnsi="Cambria Math"/>
                          <w:sz w:val="22"/>
                          <w:szCs w:val="22"/>
                        </w:rPr>
                        <m:t>food</m:t>
                      </m:r>
                    </m:e>
                  </m:d>
                </m:num>
                <m:den>
                  <m:eqArr>
                    <m:eqArrPr>
                      <m:ctrlPr>
                        <w:rPr>
                          <w:rFonts w:ascii="Cambria Math" w:hAnsi="Cambria Math"/>
                          <w:i/>
                          <w:sz w:val="22"/>
                          <w:szCs w:val="22"/>
                        </w:rPr>
                      </m:ctrlPr>
                    </m:eqArrPr>
                    <m:e>
                      <m:eqArr>
                        <m:eqArrPr>
                          <m:ctrlPr>
                            <w:rPr>
                              <w:rFonts w:ascii="Cambria Math" w:hAnsi="Cambria Math"/>
                              <w:i/>
                              <w:sz w:val="22"/>
                              <w:szCs w:val="22"/>
                            </w:rPr>
                          </m:ctrlPr>
                        </m:eqArrPr>
                        <m:e>
                          <m:r>
                            <w:rPr>
                              <w:rFonts w:ascii="Cambria Math" w:hAnsi="Cambria Math"/>
                              <w:sz w:val="22"/>
                              <w:szCs w:val="22"/>
                            </w:rPr>
                            <m:t>1000</m:t>
                          </m:r>
                          <m:f>
                            <m:fPr>
                              <m:ctrlPr>
                                <w:rPr>
                                  <w:rFonts w:ascii="Cambria Math" w:hAnsi="Cambria Math"/>
                                  <w:i/>
                                  <w:sz w:val="22"/>
                                  <w:szCs w:val="22"/>
                                </w:rPr>
                              </m:ctrlPr>
                            </m:fPr>
                            <m:num>
                              <m:r>
                                <w:rPr>
                                  <w:rFonts w:ascii="Cambria Math" w:hAnsi="Cambria Math"/>
                                  <w:sz w:val="22"/>
                                  <w:szCs w:val="22"/>
                                </w:rPr>
                                <m:t>g</m:t>
                              </m:r>
                            </m:num>
                            <m:den>
                              <m:r>
                                <w:rPr>
                                  <w:rFonts w:ascii="Cambria Math" w:hAnsi="Cambria Math"/>
                                  <w:sz w:val="22"/>
                                  <w:szCs w:val="22"/>
                                </w:rPr>
                                <m:t>kg</m:t>
                              </m:r>
                            </m:den>
                          </m:f>
                        </m:e>
                      </m:eqArr>
                    </m:e>
                  </m:eqArr>
                </m:den>
              </m:f>
            </m:e>
          </m:d>
        </m:oMath>
      </m:oMathPara>
    </w:p>
    <w:p w:rsidR="00987099" w:rsidRPr="00A54EA1" w:rsidRDefault="00987099" w:rsidP="00AE68F9"/>
    <w:p w:rsidR="00987099" w:rsidRPr="00A54EA1" w:rsidRDefault="00987099" w:rsidP="00987099">
      <w:r w:rsidRPr="00A54EA1">
        <w:t>Calories consumed from CAD</w:t>
      </w:r>
    </w:p>
    <w:p w:rsidR="00987099" w:rsidRPr="00A54EA1" w:rsidRDefault="00736DB0" w:rsidP="00987099">
      <m:oMathPara>
        <m:oMath>
          <m:d>
            <m:dPr>
              <m:begChr m:val="{"/>
              <m:endChr m:val="}"/>
              <m:ctrlPr>
                <w:rPr>
                  <w:rFonts w:ascii="Cambria Math" w:hAnsi="Cambria Math"/>
                  <w:i/>
                  <w:sz w:val="22"/>
                  <w:szCs w:val="22"/>
                </w:rPr>
              </m:ctrlPr>
            </m:dPr>
            <m:e>
              <m:f>
                <m:fPr>
                  <m:ctrlPr>
                    <w:rPr>
                      <w:rFonts w:ascii="Cambria Math" w:hAnsi="Cambria Math"/>
                      <w:i/>
                      <w:sz w:val="22"/>
                      <w:szCs w:val="22"/>
                    </w:rPr>
                  </m:ctrlPr>
                </m:fPr>
                <m:num>
                  <m:d>
                    <m:dPr>
                      <m:begChr m:val="["/>
                      <m:endChr m:val="]"/>
                      <m:ctrlPr>
                        <w:rPr>
                          <w:rFonts w:ascii="Cambria Math" w:hAnsi="Cambria Math"/>
                          <w:i/>
                          <w:sz w:val="22"/>
                          <w:szCs w:val="22"/>
                        </w:rPr>
                      </m:ctrlPr>
                    </m:dPr>
                    <m:e>
                      <m:r>
                        <w:rPr>
                          <w:rFonts w:ascii="Cambria Math" w:hAnsi="Cambria Math"/>
                          <w:sz w:val="22"/>
                          <w:szCs w:val="22"/>
                        </w:rPr>
                        <m:t>Proportion of offe</m:t>
                      </m:r>
                      <m:r>
                        <w:rPr>
                          <w:rFonts w:ascii="Cambria Math" w:hAnsi="Cambria Math"/>
                          <w:sz w:val="22"/>
                          <w:szCs w:val="22"/>
                        </w:rPr>
                        <m:t xml:space="preserve">red food consumed x dog food offered </m:t>
                      </m:r>
                      <m:d>
                        <m:dPr>
                          <m:ctrlPr>
                            <w:rPr>
                              <w:rFonts w:ascii="Cambria Math" w:hAnsi="Cambria Math"/>
                              <w:i/>
                              <w:sz w:val="22"/>
                              <w:szCs w:val="22"/>
                            </w:rPr>
                          </m:ctrlPr>
                        </m:dPr>
                        <m:e>
                          <m:r>
                            <w:rPr>
                              <w:rFonts w:ascii="Cambria Math" w:hAnsi="Cambria Math"/>
                              <w:sz w:val="22"/>
                              <w:szCs w:val="22"/>
                            </w:rPr>
                            <m:t>g</m:t>
                          </m:r>
                        </m:e>
                      </m:d>
                      <m:r>
                        <w:rPr>
                          <w:rFonts w:ascii="Cambria Math" w:hAnsi="Cambria Math"/>
                          <w:sz w:val="22"/>
                          <w:szCs w:val="22"/>
                        </w:rPr>
                        <m:t xml:space="preserve"> x 1021</m:t>
                      </m:r>
                      <m:f>
                        <m:fPr>
                          <m:ctrlPr>
                            <w:rPr>
                              <w:rFonts w:ascii="Cambria Math" w:hAnsi="Cambria Math"/>
                              <w:i/>
                              <w:sz w:val="22"/>
                              <w:szCs w:val="22"/>
                            </w:rPr>
                          </m:ctrlPr>
                        </m:fPr>
                        <m:num>
                          <m:r>
                            <w:rPr>
                              <w:rFonts w:ascii="Cambria Math" w:hAnsi="Cambria Math"/>
                              <w:sz w:val="22"/>
                              <w:szCs w:val="22"/>
                            </w:rPr>
                            <m:t>kcal</m:t>
                          </m:r>
                        </m:num>
                        <m:den>
                          <m:r>
                            <w:rPr>
                              <w:rFonts w:ascii="Cambria Math" w:hAnsi="Cambria Math"/>
                              <w:sz w:val="22"/>
                              <w:szCs w:val="22"/>
                            </w:rPr>
                            <m:t>kg</m:t>
                          </m:r>
                        </m:den>
                      </m:f>
                      <m:r>
                        <w:rPr>
                          <w:rFonts w:ascii="Cambria Math" w:hAnsi="Cambria Math"/>
                          <w:sz w:val="22"/>
                          <w:szCs w:val="22"/>
                        </w:rPr>
                        <m:t>food</m:t>
                      </m:r>
                    </m:e>
                  </m:d>
                </m:num>
                <m:den>
                  <m:eqArr>
                    <m:eqArrPr>
                      <m:ctrlPr>
                        <w:rPr>
                          <w:rFonts w:ascii="Cambria Math" w:hAnsi="Cambria Math"/>
                          <w:i/>
                          <w:sz w:val="22"/>
                          <w:szCs w:val="22"/>
                        </w:rPr>
                      </m:ctrlPr>
                    </m:eqArrPr>
                    <m:e>
                      <m:eqArr>
                        <m:eqArrPr>
                          <m:ctrlPr>
                            <w:rPr>
                              <w:rFonts w:ascii="Cambria Math" w:hAnsi="Cambria Math"/>
                              <w:i/>
                              <w:sz w:val="22"/>
                              <w:szCs w:val="22"/>
                            </w:rPr>
                          </m:ctrlPr>
                        </m:eqArrPr>
                        <m:e>
                          <m:r>
                            <w:rPr>
                              <w:rFonts w:ascii="Cambria Math" w:hAnsi="Cambria Math"/>
                              <w:sz w:val="22"/>
                              <w:szCs w:val="22"/>
                            </w:rPr>
                            <m:t>1000</m:t>
                          </m:r>
                          <m:f>
                            <m:fPr>
                              <m:ctrlPr>
                                <w:rPr>
                                  <w:rFonts w:ascii="Cambria Math" w:hAnsi="Cambria Math"/>
                                  <w:i/>
                                  <w:sz w:val="22"/>
                                  <w:szCs w:val="22"/>
                                </w:rPr>
                              </m:ctrlPr>
                            </m:fPr>
                            <m:num>
                              <m:r>
                                <w:rPr>
                                  <w:rFonts w:ascii="Cambria Math" w:hAnsi="Cambria Math"/>
                                  <w:sz w:val="22"/>
                                  <w:szCs w:val="22"/>
                                </w:rPr>
                                <m:t>g</m:t>
                              </m:r>
                            </m:num>
                            <m:den>
                              <m:r>
                                <w:rPr>
                                  <w:rFonts w:ascii="Cambria Math" w:hAnsi="Cambria Math"/>
                                  <w:sz w:val="22"/>
                                  <w:szCs w:val="22"/>
                                </w:rPr>
                                <m:t>kg</m:t>
                              </m:r>
                            </m:den>
                          </m:f>
                        </m:e>
                      </m:eqArr>
                    </m:e>
                  </m:eqArr>
                </m:den>
              </m:f>
            </m:e>
          </m:d>
        </m:oMath>
      </m:oMathPara>
    </w:p>
    <w:p w:rsidR="00987099" w:rsidRPr="00A54EA1" w:rsidRDefault="00987099" w:rsidP="00AE68F9"/>
    <w:p w:rsidR="00987099" w:rsidRPr="00A54EA1" w:rsidRDefault="00987099" w:rsidP="00987099">
      <w:r w:rsidRPr="00A54EA1">
        <w:t>Calories consumed from WLD</w:t>
      </w:r>
    </w:p>
    <w:p w:rsidR="00987099" w:rsidRPr="00A54EA1" w:rsidRDefault="00736DB0" w:rsidP="00987099">
      <m:oMathPara>
        <m:oMath>
          <m:d>
            <m:dPr>
              <m:begChr m:val="{"/>
              <m:endChr m:val="}"/>
              <m:ctrlPr>
                <w:rPr>
                  <w:rFonts w:ascii="Cambria Math" w:hAnsi="Cambria Math"/>
                  <w:i/>
                  <w:sz w:val="22"/>
                  <w:szCs w:val="22"/>
                </w:rPr>
              </m:ctrlPr>
            </m:dPr>
            <m:e>
              <m:f>
                <m:fPr>
                  <m:ctrlPr>
                    <w:rPr>
                      <w:rFonts w:ascii="Cambria Math" w:hAnsi="Cambria Math"/>
                      <w:i/>
                      <w:sz w:val="22"/>
                      <w:szCs w:val="22"/>
                    </w:rPr>
                  </m:ctrlPr>
                </m:fPr>
                <m:num>
                  <m:d>
                    <m:dPr>
                      <m:begChr m:val="["/>
                      <m:endChr m:val="]"/>
                      <m:ctrlPr>
                        <w:rPr>
                          <w:rFonts w:ascii="Cambria Math" w:hAnsi="Cambria Math"/>
                          <w:i/>
                          <w:sz w:val="22"/>
                          <w:szCs w:val="22"/>
                        </w:rPr>
                      </m:ctrlPr>
                    </m:dPr>
                    <m:e>
                      <m:r>
                        <w:rPr>
                          <w:rFonts w:ascii="Cambria Math" w:hAnsi="Cambria Math"/>
                          <w:sz w:val="22"/>
                          <w:szCs w:val="22"/>
                        </w:rPr>
                        <m:t xml:space="preserve">Proportion of offered food consumed x dog food offered </m:t>
                      </m:r>
                      <m:d>
                        <m:dPr>
                          <m:ctrlPr>
                            <w:rPr>
                              <w:rFonts w:ascii="Cambria Math" w:hAnsi="Cambria Math"/>
                              <w:i/>
                              <w:sz w:val="22"/>
                              <w:szCs w:val="22"/>
                            </w:rPr>
                          </m:ctrlPr>
                        </m:dPr>
                        <m:e>
                          <m:r>
                            <w:rPr>
                              <w:rFonts w:ascii="Cambria Math" w:hAnsi="Cambria Math"/>
                              <w:sz w:val="22"/>
                              <w:szCs w:val="22"/>
                            </w:rPr>
                            <m:t>g</m:t>
                          </m:r>
                        </m:e>
                      </m:d>
                      <m:r>
                        <w:rPr>
                          <w:rFonts w:ascii="Cambria Math" w:hAnsi="Cambria Math"/>
                          <w:sz w:val="22"/>
                          <w:szCs w:val="22"/>
                        </w:rPr>
                        <m:t xml:space="preserve"> x 733</m:t>
                      </m:r>
                      <m:f>
                        <m:fPr>
                          <m:ctrlPr>
                            <w:rPr>
                              <w:rFonts w:ascii="Cambria Math" w:hAnsi="Cambria Math"/>
                              <w:i/>
                              <w:sz w:val="22"/>
                              <w:szCs w:val="22"/>
                            </w:rPr>
                          </m:ctrlPr>
                        </m:fPr>
                        <m:num>
                          <m:r>
                            <w:rPr>
                              <w:rFonts w:ascii="Cambria Math" w:hAnsi="Cambria Math"/>
                              <w:sz w:val="22"/>
                              <w:szCs w:val="22"/>
                            </w:rPr>
                            <m:t>kcal</m:t>
                          </m:r>
                        </m:num>
                        <m:den>
                          <m:r>
                            <w:rPr>
                              <w:rFonts w:ascii="Cambria Math" w:hAnsi="Cambria Math"/>
                              <w:sz w:val="22"/>
                              <w:szCs w:val="22"/>
                            </w:rPr>
                            <m:t>kg</m:t>
                          </m:r>
                        </m:den>
                      </m:f>
                      <m:r>
                        <w:rPr>
                          <w:rFonts w:ascii="Cambria Math" w:hAnsi="Cambria Math"/>
                          <w:sz w:val="22"/>
                          <w:szCs w:val="22"/>
                        </w:rPr>
                        <m:t>food</m:t>
                      </m:r>
                    </m:e>
                  </m:d>
                </m:num>
                <m:den>
                  <m:eqArr>
                    <m:eqArrPr>
                      <m:ctrlPr>
                        <w:rPr>
                          <w:rFonts w:ascii="Cambria Math" w:hAnsi="Cambria Math"/>
                          <w:i/>
                          <w:sz w:val="22"/>
                          <w:szCs w:val="22"/>
                        </w:rPr>
                      </m:ctrlPr>
                    </m:eqArrPr>
                    <m:e>
                      <m:eqArr>
                        <m:eqArrPr>
                          <m:ctrlPr>
                            <w:rPr>
                              <w:rFonts w:ascii="Cambria Math" w:hAnsi="Cambria Math"/>
                              <w:i/>
                              <w:sz w:val="22"/>
                              <w:szCs w:val="22"/>
                            </w:rPr>
                          </m:ctrlPr>
                        </m:eqArrPr>
                        <m:e>
                          <m:r>
                            <w:rPr>
                              <w:rFonts w:ascii="Cambria Math" w:hAnsi="Cambria Math"/>
                              <w:sz w:val="22"/>
                              <w:szCs w:val="22"/>
                            </w:rPr>
                            <m:t>1000</m:t>
                          </m:r>
                          <m:f>
                            <m:fPr>
                              <m:ctrlPr>
                                <w:rPr>
                                  <w:rFonts w:ascii="Cambria Math" w:hAnsi="Cambria Math"/>
                                  <w:i/>
                                  <w:sz w:val="22"/>
                                  <w:szCs w:val="22"/>
                                </w:rPr>
                              </m:ctrlPr>
                            </m:fPr>
                            <m:num>
                              <m:r>
                                <w:rPr>
                                  <w:rFonts w:ascii="Cambria Math" w:hAnsi="Cambria Math"/>
                                  <w:sz w:val="22"/>
                                  <w:szCs w:val="22"/>
                                </w:rPr>
                                <m:t>g</m:t>
                              </m:r>
                            </m:num>
                            <m:den>
                              <m:r>
                                <w:rPr>
                                  <w:rFonts w:ascii="Cambria Math" w:hAnsi="Cambria Math"/>
                                  <w:sz w:val="22"/>
                                  <w:szCs w:val="22"/>
                                </w:rPr>
                                <m:t>kg</m:t>
                              </m:r>
                            </m:den>
                          </m:f>
                        </m:e>
                      </m:eqArr>
                    </m:e>
                  </m:eqArr>
                </m:den>
              </m:f>
            </m:e>
          </m:d>
        </m:oMath>
      </m:oMathPara>
    </w:p>
    <w:p w:rsidR="00126B17" w:rsidRDefault="00126B17" w:rsidP="00126B17">
      <w:pPr>
        <w:pStyle w:val="Heading3"/>
      </w:pPr>
      <w:bookmarkStart w:id="49" w:name="_Toc376465770"/>
      <w:r>
        <w:t>Intrusion meal consumption</w:t>
      </w:r>
      <w:bookmarkEnd w:id="49"/>
    </w:p>
    <w:p w:rsidR="00126B17" w:rsidRDefault="00126B17" w:rsidP="00126B17">
      <w:r>
        <w:t>Medium term satiety based on food intake was determined at baseline, one week, and twelve weeks into treatment, or when end of treatment limits were achieved.  On sample days, dogs were fed their standard 8AM meal in a random order as previously described.  Each dog was provided with its meal in a two minute delay staggered pattern.  Three hours later (12PM) a second intrusion meal was fed, also following the two minute staggered pattern.  This meal provided more calories than each do</w:t>
      </w:r>
      <w:r w:rsidR="0076754A">
        <w:t>g would consume in a single sitting</w:t>
      </w:r>
      <w:r>
        <w:t xml:space="preserve"> and was provided in the same random order as the 8AM meal from that day.  Meals were weighed before and after feeding and intrusion meal calories consumed was calculated.  CAD was used for all intrusion meals, including dogs being fed WLD because both diets share a similar palatability profile and would therefore not be expected to trigger hedonic tendencies in relation to novel diet exposure (Jewell, DE; personal communication).</w:t>
      </w:r>
    </w:p>
    <w:p w:rsidR="007B0AFD" w:rsidRPr="00A54EA1" w:rsidRDefault="007B0AFD" w:rsidP="007B0AFD">
      <w:pPr>
        <w:pStyle w:val="Heading3"/>
        <w:rPr>
          <w:szCs w:val="24"/>
        </w:rPr>
      </w:pPr>
      <w:bookmarkStart w:id="50" w:name="_Toc376465771"/>
      <w:r w:rsidRPr="00A54EA1">
        <w:rPr>
          <w:szCs w:val="24"/>
        </w:rPr>
        <w:t>Body composition</w:t>
      </w:r>
      <w:bookmarkEnd w:id="50"/>
    </w:p>
    <w:p w:rsidR="00FF3AF5" w:rsidRDefault="00752F60" w:rsidP="00FF3AF5">
      <w:r>
        <w:t>Body composition was determined using</w:t>
      </w:r>
      <w:r w:rsidR="00C24A9B">
        <w:t xml:space="preserve"> H</w:t>
      </w:r>
      <w:r w:rsidR="00EC524A">
        <w:t>OLOGIC</w:t>
      </w:r>
      <w:r w:rsidR="00C24A9B">
        <w:t>® fan-beam QDR 4500A</w:t>
      </w:r>
      <w:r>
        <w:t xml:space="preserve"> </w:t>
      </w:r>
      <w:r w:rsidR="00EC524A">
        <w:t>DXA</w:t>
      </w:r>
      <w:r>
        <w:t xml:space="preserve"> </w:t>
      </w:r>
      <w:r w:rsidRPr="00C24A9B">
        <w:t>(</w:t>
      </w:r>
      <w:r w:rsidR="00C24A9B" w:rsidRPr="00C24A9B">
        <w:t>Hologic, Inc., Bedford, MA</w:t>
      </w:r>
      <w:r w:rsidRPr="00C24A9B">
        <w:t>)</w:t>
      </w:r>
      <w:r w:rsidR="007F59C2">
        <w:t xml:space="preserve"> </w:t>
      </w:r>
      <w:r>
        <w:t xml:space="preserve">before starting treatment, serving as the baseline measurement.  Dogs were fed their </w:t>
      </w:r>
      <w:r w:rsidR="001F3202">
        <w:t xml:space="preserve">standard </w:t>
      </w:r>
      <w:r>
        <w:t xml:space="preserve">evening meal the day prior and then fasted the morning of analysis.  An intravenous or intramuscular injection of butorphanol (0.2 mg/kg) and acepromazine (0.05 mg/kg) was given as premedication 10-20 minutes prior to induction.  Propofol (2-8 mg/kg, to </w:t>
      </w:r>
      <w:r w:rsidR="00510FE0">
        <w:t>effect</w:t>
      </w:r>
      <w:r>
        <w:t xml:space="preserve">) was given intravenously and dogs were immediately placed in ventral recumbency on the </w:t>
      </w:r>
      <w:r w:rsidR="00EC524A">
        <w:t>DXA</w:t>
      </w:r>
      <w:r>
        <w:t xml:space="preserve"> table.  Scans were </w:t>
      </w:r>
      <w:r w:rsidR="00510FE0">
        <w:t>performed</w:t>
      </w:r>
      <w:r>
        <w:t xml:space="preserve"> using the </w:t>
      </w:r>
      <w:r w:rsidR="003B0C3C">
        <w:t>whole body fan beam</w:t>
      </w:r>
      <w:r>
        <w:t xml:space="preserve"> setting and analyzed using </w:t>
      </w:r>
      <w:r w:rsidR="00EC524A">
        <w:t xml:space="preserve">APEX </w:t>
      </w:r>
      <w:r w:rsidR="00EC524A" w:rsidRPr="00EC524A">
        <w:t>System S</w:t>
      </w:r>
      <w:r w:rsidRPr="00EC524A">
        <w:t>oftware</w:t>
      </w:r>
      <w:r w:rsidR="00EC524A" w:rsidRPr="00EC524A">
        <w:t xml:space="preserve"> version 2.3</w:t>
      </w:r>
      <w:r w:rsidRPr="00EC524A">
        <w:t xml:space="preserve"> (</w:t>
      </w:r>
      <w:r w:rsidR="00EC524A" w:rsidRPr="00EC524A">
        <w:t>Hologic, Inc., Bedford, MA</w:t>
      </w:r>
      <w:r w:rsidRPr="00EC524A">
        <w:t>) by the sa</w:t>
      </w:r>
      <w:r>
        <w:t>me operator.</w:t>
      </w:r>
      <w:r w:rsidR="001F3202">
        <w:t xml:space="preserve"> </w:t>
      </w:r>
      <w:r w:rsidR="001F3202" w:rsidRPr="001F3202">
        <w:t xml:space="preserve"> </w:t>
      </w:r>
      <w:r w:rsidR="001F3202">
        <w:t xml:space="preserve">DXA was performed under general anesthesia one, four, eight, and twelve weeks into treatment.  Additional scans </w:t>
      </w:r>
      <w:r w:rsidR="001F3202">
        <w:lastRenderedPageBreak/>
        <w:t>were performed as needed during weight loss to confirm study termination in those dogs reaching ideal body condition prior to twelve weeks.</w:t>
      </w:r>
    </w:p>
    <w:p w:rsidR="00A1362C" w:rsidRDefault="00A1362C" w:rsidP="00A1362C">
      <w:pPr>
        <w:pStyle w:val="Heading3"/>
      </w:pPr>
      <w:bookmarkStart w:id="51" w:name="_Toc376465772"/>
      <w:r>
        <w:t>Behavioral observations</w:t>
      </w:r>
      <w:bookmarkEnd w:id="51"/>
    </w:p>
    <w:p w:rsidR="00A1362C" w:rsidRDefault="00A1362C" w:rsidP="00A1362C">
      <w:r>
        <w:t>Behavioral observations were obtained at baseline, one week, and twelve weeks into treatment, or when end of treatment limits were achieved.  Six volunteers recorded behavior observations while dogs were consuming the intrusion meal.  One group of dogs was observed per day and volunteers were randomly assigned to individual dogs prior to each session for which they volunteered.  Each dog was fed in the same random order as the 8AM meal from that day.  The general procedure was for all volunteers to quietly enter the room together.  As the first dog was provided with its meal, the volunteer assigned to observe that dog sat down in front of the run and recorded specific behaviors for the next 46 minutes.  Two minutes after this first dog was fed, the second dog was fed and the volunteer assigned to this dog sat down in front of the cage to record behaviors.  This process continued every two minutes until all volunteers were sitting and recording behavior.</w:t>
      </w:r>
    </w:p>
    <w:p w:rsidR="00A1362C" w:rsidRDefault="00A1362C" w:rsidP="00A1362C"/>
    <w:p w:rsidR="00A1362C" w:rsidRDefault="00A1362C" w:rsidP="00A1362C">
      <w:r>
        <w:t>Observations were made every two minutes and all volunteers avoided communicating with the dogs or with other volunteers during this time.  Recorded behaviors were eating meal/head in bowl, drinking, corprophagia, urinating/defecating, stretching, yawning/panting, body shaking, playing with toys, grooming, resting (head down), lying (head up), sitting, standing, walking/running/jumping, cage position (front, middle, back), and vocalizing.  Due to the two minute staggered feeding pattern, the volunteers completed 46 minutes of observation in the same staggered pattern.  They were instructed to remain quiet and as still as possible until the final volunteer finished recording.  Once this final volunteer stood up, all other volunteers would stand and remove their dog’s food bowl from the room.</w:t>
      </w:r>
    </w:p>
    <w:p w:rsidR="00A1362C" w:rsidRDefault="00A1362C" w:rsidP="00A1362C"/>
    <w:p w:rsidR="00A1362C" w:rsidRDefault="00A1362C" w:rsidP="00A1362C">
      <w:r>
        <w:t>To avoid reactions to novel situations, each volunteer trained at least once prior to observation days by observing the dogs during a standard morning or evening meal.  This allowed the volunteer to become familiar with the behavior scoring sheet</w:t>
      </w:r>
      <w:r>
        <w:rPr>
          <w:color w:val="FF0000"/>
        </w:rPr>
        <w:t xml:space="preserve"> </w:t>
      </w:r>
      <w:r>
        <w:t>and also habituated the dogs to having personnel near their cages while eating.  Volunteers were only allowed to have a cage liner to sit on, pen, paper, clipboard, and a timer.  All cell phones and any other items capable of making noise or being distracting, were left in a staging room.</w:t>
      </w:r>
    </w:p>
    <w:p w:rsidR="00A1362C" w:rsidRDefault="00A1362C" w:rsidP="00A1362C"/>
    <w:p w:rsidR="00A1362C" w:rsidRDefault="00A1362C" w:rsidP="00A1362C">
      <w:r>
        <w:t>On observation days, signs were hung within the animal facility warning people that noise sensitive research was underway.  Anyone approaching within close proximity to the room being observed was asked to make as little noise as possible.</w:t>
      </w:r>
    </w:p>
    <w:p w:rsidR="00A1362C" w:rsidRDefault="00A1362C" w:rsidP="00A1362C">
      <w:pPr>
        <w:pStyle w:val="Heading3"/>
      </w:pPr>
      <w:bookmarkStart w:id="52" w:name="_Toc376465773"/>
      <w:r>
        <w:lastRenderedPageBreak/>
        <w:t>Blood samples</w:t>
      </w:r>
      <w:bookmarkEnd w:id="52"/>
    </w:p>
    <w:p w:rsidR="00A1362C" w:rsidRDefault="00A1362C" w:rsidP="00A1362C">
      <w:r>
        <w:t>Blood samples were obtained at baseline, one week, and twelve weeks into treatment, or when end of treatment limits were achieved.  On sample days, dogs were fed their standard 8AM meal in a random order as previously described.  Each dog was provided with its meal in a two minute delay staggered pattern.</w:t>
      </w:r>
      <w:r w:rsidR="006E2A08">
        <w:t xml:space="preserve">  Just prior to being offered the</w:t>
      </w:r>
      <w:r>
        <w:t xml:space="preserve"> intrusion meal three hours later (12PM), blood samples were collected (time 0) via jugular venipuncture and placed in BD Vacutainer® EDTA tubes</w:t>
      </w:r>
      <w:r w:rsidRPr="00F6062B">
        <w:t xml:space="preserve"> (4ml, Becton, Dickinson and Company, Franklin Lakes, NJ).</w:t>
      </w:r>
      <w:r>
        <w:t xml:space="preserve">  Additional samples were collected 60, 90, 120, 180, 420 minutes after the intrusion meal.  Each dog’s sample was collected in two minute increments, following the same random order as the morning feeding, in order to allow time for sample collection.  The same two research personnel were responsible for all blood sample collections.  The afternoon meal was not fed until after all 420 minute samples were collected.</w:t>
      </w:r>
    </w:p>
    <w:p w:rsidR="00A1362C" w:rsidRDefault="00A1362C" w:rsidP="00A1362C"/>
    <w:p w:rsidR="00A1362C" w:rsidRDefault="00A1362C" w:rsidP="00A1362C">
      <w:r>
        <w:t>Blood glucose was immediately determined after each collection with the AlphaTRAK® Blood Glucose Monitoring System companion animal specific glucometer</w:t>
      </w:r>
      <w:r w:rsidRPr="00F6062B">
        <w:t xml:space="preserve"> (Abbott Laboratories, Abbott Park, IL).</w:t>
      </w:r>
      <w:r w:rsidRPr="00D226EC">
        <w:t xml:space="preserve">  Samples were centrifuged </w:t>
      </w:r>
      <w:r>
        <w:t>at 3</w:t>
      </w:r>
      <w:r w:rsidRPr="00EC524A">
        <w:t>,500 x RPM for 10 minutes a</w:t>
      </w:r>
      <w:r>
        <w:t xml:space="preserve">t room temperature.  Serum was removed and frozen in Corning® polypropylene cryogenic vials (Corning, Inc., Amsterdam, </w:t>
      </w:r>
      <w:proofErr w:type="gramStart"/>
      <w:r>
        <w:t>The</w:t>
      </w:r>
      <w:proofErr w:type="gramEnd"/>
      <w:r>
        <w:t xml:space="preserve"> Netherlands) at </w:t>
      </w:r>
      <w:r w:rsidRPr="003C482E">
        <w:t>-80</w:t>
      </w:r>
      <w:r w:rsidRPr="003C482E">
        <w:rPr>
          <w:vertAlign w:val="superscript"/>
        </w:rPr>
        <w:t>◦</w:t>
      </w:r>
      <w:r w:rsidRPr="003C482E">
        <w:t>C for later analysis.</w:t>
      </w:r>
    </w:p>
    <w:p w:rsidR="00A1362C" w:rsidRDefault="00A1362C" w:rsidP="00A1362C">
      <w:pPr>
        <w:pStyle w:val="Heading3"/>
      </w:pPr>
      <w:bookmarkStart w:id="53" w:name="_Toc376465774"/>
      <w:r>
        <w:t>Biopsies, RNA extraction</w:t>
      </w:r>
      <w:bookmarkEnd w:id="53"/>
    </w:p>
    <w:p w:rsidR="00A1362C" w:rsidRPr="003C482E" w:rsidRDefault="00A1362C" w:rsidP="00A1362C">
      <w:r>
        <w:t xml:space="preserve">Biopsies of subcutaneous adipose tissue and semitendinosus or semimembranosus muscle tissue were obtained </w:t>
      </w:r>
      <w:r w:rsidR="006E2A08">
        <w:t xml:space="preserve">when </w:t>
      </w:r>
      <w:r>
        <w:t>under general anesthesia</w:t>
      </w:r>
      <w:r w:rsidR="006E2A08">
        <w:t xml:space="preserve"> for DXA</w:t>
      </w:r>
      <w:r>
        <w:t xml:space="preserve"> at baseline, one week, and end of treatment time periods for all dogs.  Approximately 1</w:t>
      </w:r>
      <w:r w:rsidRPr="00A4336B">
        <w:t>00mg samples were collected, placed in RNAlater® (AMBION, Inc., Austin, TX),</w:t>
      </w:r>
      <w:r>
        <w:t xml:space="preserve"> and f</w:t>
      </w:r>
      <w:r w:rsidRPr="003C482E">
        <w:t>rozen at -80</w:t>
      </w:r>
      <w:r w:rsidRPr="003C482E">
        <w:rPr>
          <w:vertAlign w:val="superscript"/>
        </w:rPr>
        <w:t>◦</w:t>
      </w:r>
      <w:r w:rsidRPr="003C482E">
        <w:t>C for later analysis.</w:t>
      </w:r>
    </w:p>
    <w:p w:rsidR="00A1362C" w:rsidRPr="003C482E" w:rsidRDefault="00A1362C" w:rsidP="00A1362C"/>
    <w:p w:rsidR="00A1362C" w:rsidRPr="00FB6007" w:rsidRDefault="00A1362C" w:rsidP="00A1362C">
      <w:r>
        <w:t>In preparation of RNA extraction, groupings of up to eight tissue samples were thawed to room temperature.  Muscle samples were disrupted and homogenized using 20G sterile Monoject</w:t>
      </w:r>
      <w:r>
        <w:rPr>
          <w:vertAlign w:val="superscript"/>
        </w:rPr>
        <w:t>TM</w:t>
      </w:r>
      <w:r>
        <w:t xml:space="preserve"> needles (Covidien</w:t>
      </w:r>
      <w:r>
        <w:rPr>
          <w:vertAlign w:val="superscript"/>
        </w:rPr>
        <w:t>TM</w:t>
      </w:r>
      <w:r>
        <w:t>, Mansfield, MA</w:t>
      </w:r>
      <w:r w:rsidRPr="00B4029B">
        <w:t>)</w:t>
      </w:r>
      <w:r>
        <w:t xml:space="preserve"> and the QIAGEN QIAshredder</w:t>
      </w:r>
      <w:r>
        <w:rPr>
          <w:vertAlign w:val="superscript"/>
        </w:rPr>
        <w:t>TM</w:t>
      </w:r>
      <w:r>
        <w:t xml:space="preserve"> kit (QIAGEN, Valencia, CA). Fat samples were disrupted and homogenized using TRIzol® reagent (</w:t>
      </w:r>
      <w:r w:rsidRPr="00921E8E">
        <w:t>invitrogen</w:t>
      </w:r>
      <w:r>
        <w:rPr>
          <w:vertAlign w:val="superscript"/>
        </w:rPr>
        <w:t>TM</w:t>
      </w:r>
      <w:r>
        <w:t xml:space="preserve">, Carlsbad, CA) </w:t>
      </w:r>
      <w:r w:rsidRPr="00921E8E">
        <w:t>and</w:t>
      </w:r>
      <w:r>
        <w:t xml:space="preserve"> a tissue homogenizer.  </w:t>
      </w:r>
      <w:r w:rsidRPr="003C482E">
        <w:t>Tot</w:t>
      </w:r>
      <w:r>
        <w:t>al RNA was extracted from homogenized sampl</w:t>
      </w:r>
      <w:r w:rsidRPr="00CD7D57">
        <w:t>es using the RN</w:t>
      </w:r>
      <w:r>
        <w:t xml:space="preserve">easy® Mini Kit (muscle) and RNeasy® Lipid Tissue Mini Kit (adipose; QIAGEN, Valencia, CA).  Total RNA concentration, purity, and quality were assessed for initial samples by measuring the 260/280 ratio (1.8-2.0) using the </w:t>
      </w:r>
      <w:r>
        <w:rPr>
          <w:color w:val="FF0000"/>
        </w:rPr>
        <w:t>ND-1000 Spectrophotometer (NanoDrop Technologies Inc., Wilmington, DE).</w:t>
      </w:r>
      <w:r>
        <w:t xml:space="preserve"> </w:t>
      </w:r>
    </w:p>
    <w:p w:rsidR="00A1362C" w:rsidRDefault="00A1362C" w:rsidP="00A1362C">
      <w:pPr>
        <w:pStyle w:val="Heading3"/>
      </w:pPr>
      <w:bookmarkStart w:id="54" w:name="_Toc376465775"/>
      <w:r>
        <w:t>Reverse transcription and real-time PCR</w:t>
      </w:r>
      <w:bookmarkEnd w:id="54"/>
    </w:p>
    <w:p w:rsidR="00A1362C" w:rsidRDefault="00A1362C" w:rsidP="00A1362C">
      <w:r>
        <w:t>Reverse transcription and real-time PCR of muscle tissue sam</w:t>
      </w:r>
      <w:r w:rsidRPr="00EE104F">
        <w:t>ples were carried out in a single reaction on the AB StepOne</w:t>
      </w:r>
      <w:r w:rsidRPr="00EE104F">
        <w:rPr>
          <w:vertAlign w:val="superscript"/>
        </w:rPr>
        <w:t>TM</w:t>
      </w:r>
      <w:r w:rsidRPr="00EE104F">
        <w:t xml:space="preserve"> Real-Time PCR System (Applied Biosystems, Foster City, CA) in a 10 µl mixture containing 3 µl total RNA, 5.25 µl </w:t>
      </w:r>
      <w:r w:rsidRPr="00EE104F">
        <w:lastRenderedPageBreak/>
        <w:t>TaqMan® RNA-to-C</w:t>
      </w:r>
      <w:r w:rsidRPr="00EE104F">
        <w:rPr>
          <w:vertAlign w:val="subscript"/>
        </w:rPr>
        <w:t>T</w:t>
      </w:r>
      <w:r w:rsidRPr="00EE104F">
        <w:rPr>
          <w:vertAlign w:val="superscript"/>
        </w:rPr>
        <w:t>TM</w:t>
      </w:r>
      <w:r w:rsidRPr="00EE104F">
        <w:t xml:space="preserve"> 1-Step Kit (5 µl Taq, 0.25 µl enzyme; Applied Biosystems, Foster City, CA)</w:t>
      </w:r>
      <w:r>
        <w:t xml:space="preserve">, 0.5 µl of each primer/probe mixture, and 1.25 µl RNAse free water.  The SIRT3 reaction varied slightly, with </w:t>
      </w:r>
      <w:r w:rsidRPr="00EE104F">
        <w:t xml:space="preserve">a 10 µl mixture containing </w:t>
      </w:r>
      <w:r>
        <w:t>5</w:t>
      </w:r>
      <w:r w:rsidRPr="00EE104F">
        <w:t xml:space="preserve"> µl total RNA, </w:t>
      </w:r>
      <w:r>
        <w:t>3</w:t>
      </w:r>
      <w:r w:rsidRPr="00EE104F">
        <w:t>.25 µl TaqMan® RNA-to-C</w:t>
      </w:r>
      <w:r w:rsidRPr="00EE104F">
        <w:rPr>
          <w:vertAlign w:val="subscript"/>
        </w:rPr>
        <w:t>T</w:t>
      </w:r>
      <w:r w:rsidRPr="00EE104F">
        <w:rPr>
          <w:vertAlign w:val="superscript"/>
        </w:rPr>
        <w:t>TM</w:t>
      </w:r>
      <w:r w:rsidRPr="00EE104F">
        <w:t xml:space="preserve"> 1-Step Kit  (</w:t>
      </w:r>
      <w:r>
        <w:t>3</w:t>
      </w:r>
      <w:r w:rsidRPr="00EE104F">
        <w:t xml:space="preserve"> µl Taq, 0.25 µl</w:t>
      </w:r>
      <w:r>
        <w:t xml:space="preserve"> enzyme), 0.5 µl primer/probe mixture, and 1.25 µl RNAse free water.  </w:t>
      </w:r>
    </w:p>
    <w:p w:rsidR="00A1362C" w:rsidRDefault="00A1362C" w:rsidP="00A1362C">
      <w:r>
        <w:t>Reverse transcription and real-time PCR of fat tissue sam</w:t>
      </w:r>
      <w:r w:rsidRPr="00EE104F">
        <w:t xml:space="preserve">ples were carried out in a </w:t>
      </w:r>
      <w:r>
        <w:t xml:space="preserve">similar </w:t>
      </w:r>
      <w:r w:rsidRPr="00EE104F">
        <w:t>single reaction in a 10 µl mixture contain</w:t>
      </w:r>
      <w:r w:rsidRPr="00A3463E">
        <w:t>ing 3 µl total RNA, 5.25 µl TaqMan® RNA-to-C</w:t>
      </w:r>
      <w:r w:rsidRPr="00A3463E">
        <w:rPr>
          <w:vertAlign w:val="subscript"/>
        </w:rPr>
        <w:t>T</w:t>
      </w:r>
      <w:r w:rsidRPr="00A3463E">
        <w:rPr>
          <w:vertAlign w:val="superscript"/>
        </w:rPr>
        <w:t>TM</w:t>
      </w:r>
      <w:r w:rsidRPr="00A3463E">
        <w:t xml:space="preserve"> 1-Step Kit  (5 µl Taq, 0.25 µl enzyme;), 0.5 µl of each primer/probe mixture, and 1.25 µl RNAse free wat</w:t>
      </w:r>
      <w:r>
        <w:t xml:space="preserve">er.  GAPDH reactions also contained </w:t>
      </w:r>
      <w:r w:rsidRPr="00793332">
        <w:t xml:space="preserve">0.2 µl ROX Reference Dye (Clontech Laboratories, Inc.; Mountain View, CA) </w:t>
      </w:r>
      <w:r>
        <w:t>and corresponding reduced 1.05 µl RNAse free water.</w:t>
      </w:r>
    </w:p>
    <w:p w:rsidR="00A1362C" w:rsidRDefault="00A1362C" w:rsidP="00A1362C"/>
    <w:p w:rsidR="00A1362C" w:rsidRPr="00155C01" w:rsidRDefault="00A1362C" w:rsidP="00A1362C">
      <w:r w:rsidRPr="00C53EB4">
        <w:t>The real-time PCR conditions were</w:t>
      </w:r>
      <w:r w:rsidRPr="00B871D4">
        <w:t xml:space="preserve"> 48</w:t>
      </w:r>
      <w:r w:rsidRPr="00B871D4">
        <w:rPr>
          <w:vertAlign w:val="superscript"/>
        </w:rPr>
        <w:t>◦</w:t>
      </w:r>
      <w:r w:rsidRPr="00B871D4">
        <w:t>C for 30 minutes and 95</w:t>
      </w:r>
      <w:r w:rsidRPr="00B871D4">
        <w:rPr>
          <w:vertAlign w:val="superscript"/>
        </w:rPr>
        <w:t>◦</w:t>
      </w:r>
      <w:r w:rsidRPr="00B871D4">
        <w:t>C for 10 minutes, followed by 45 cycles of 95</w:t>
      </w:r>
      <w:r w:rsidRPr="00B871D4">
        <w:rPr>
          <w:vertAlign w:val="superscript"/>
        </w:rPr>
        <w:t>◦</w:t>
      </w:r>
      <w:r w:rsidRPr="00B871D4">
        <w:t>C for 15 seconds and 60</w:t>
      </w:r>
      <w:r w:rsidRPr="00B871D4">
        <w:rPr>
          <w:vertAlign w:val="superscript"/>
        </w:rPr>
        <w:t>◦</w:t>
      </w:r>
      <w:r w:rsidRPr="00B871D4">
        <w:t>C for 1 minute.  The relative amount of gene expression was ob</w:t>
      </w:r>
      <w:r>
        <w:t>tained from the fluorescence cycle threshold (CT).  Relative transcript levels were calculated by the 2</w:t>
      </w:r>
      <w:r>
        <w:rPr>
          <w:vertAlign w:val="superscript"/>
        </w:rPr>
        <w:t>-ΔΔCT</w:t>
      </w:r>
      <w:r>
        <w:t xml:space="preserve"> method, and samples were normalized to the B2M (m</w:t>
      </w:r>
      <w:r w:rsidRPr="00C53EB4">
        <w:t>uscle) or GAPDH (fat) reference gene expression.</w:t>
      </w:r>
      <w:r>
        <w:fldChar w:fldCharType="begin"/>
      </w:r>
      <w:r w:rsidR="000A492A">
        <w:instrText xml:space="preserve"> ADDIN ZOTERO_ITEM CSL_CITATION {"citationID":"nofa46c4i","properties":{"formattedCitation":"{\\rtf \\super 403\\nosupersub{}}","plainCitation":"403"},"citationItems":[{"id":1596,"uris":["http://zotero.org/users/171999/items/KVPTBTIF"],"uri":["http://zotero.org/users/171999/items/KVPTBTIF"],"itemData":{"id":1596,"type":"article-journal","title":"Analysis of relative gene expression data using real-time quantitative PCR and the 2(-Delta Delta C(T)) Method","container-title":"Methods (San Diego, Calif.)","page":"402-408","volume":"25","issue":"4","source":"NCBI PubMed","abstract":"The two most commonly used methods to analyze data from real-time, quantitative PCR experiments are absolute quantification and relative quantification. Absolute quantification determines the input copy number, usually by relating the PCR signal to a standard curve. Relative quantification relates the PCR signal of the target transcript in a treatment group to that of another sample such as an untreated control. The 2(-Delta Delta C(T)) method is a convenient way to analyze the relative changes in gene expression from real-time quantitative PCR experiments. The purpose of this report is to present the derivation, assumptions, and applications of the 2(-Delta Delta C(T)) method. In addition, we present the derivation and applications of two variations of the 2(-Delta Delta C(T)) method that may be useful in the analysis of real-time, quantitative PCR data.","DOI":"10.1006/meth.2001.1262","ISSN":"1046-2023","note":"PMID: 11846609","journalAbbreviation":"Methods","language":"eng","author":[{"family":"Livak","given":"K J"},{"family":"Schmittgen","given":"T D"}],"issued":{"date-parts":[["2001",12]]},"PMID":"11846609"}}],"schema":"https://github.com/citation-style-language/schema/raw/master/csl-citation.json"} </w:instrText>
      </w:r>
      <w:r>
        <w:fldChar w:fldCharType="separate"/>
      </w:r>
      <w:r w:rsidR="000A492A" w:rsidRPr="000A492A">
        <w:rPr>
          <w:vertAlign w:val="superscript"/>
        </w:rPr>
        <w:t>403</w:t>
      </w:r>
      <w:r>
        <w:fldChar w:fldCharType="end"/>
      </w:r>
    </w:p>
    <w:p w:rsidR="00A1362C" w:rsidRDefault="00A1362C" w:rsidP="00A1362C"/>
    <w:p w:rsidR="00A1362C" w:rsidRPr="00401ED5" w:rsidRDefault="00A1362C" w:rsidP="00A1362C">
      <w:r>
        <w:t>Most primers and probes were obtained from Applied Biosystems TaqMan® Assays-on-Demand</w:t>
      </w:r>
      <w:r>
        <w:rPr>
          <w:vertAlign w:val="superscript"/>
        </w:rPr>
        <w:t>TM</w:t>
      </w:r>
      <w:r>
        <w:t xml:space="preserve"> Gene Expression primers and probe set collection </w:t>
      </w:r>
      <w:r w:rsidRPr="00EE104F">
        <w:t>(</w:t>
      </w:r>
      <w:r>
        <w:t xml:space="preserve">Catalogue #4351372; </w:t>
      </w:r>
      <w:r w:rsidRPr="00EE104F">
        <w:t>Applied Biosystems, Foster City, CA</w:t>
      </w:r>
      <w:r>
        <w:t xml:space="preserve">; </w:t>
      </w:r>
      <w:r w:rsidRPr="00126839">
        <w:rPr>
          <w:color w:val="FF0000"/>
        </w:rPr>
        <w:t xml:space="preserve">Table </w:t>
      </w:r>
      <w:r w:rsidR="006E2A08">
        <w:rPr>
          <w:color w:val="FF0000"/>
        </w:rPr>
        <w:t>3</w:t>
      </w:r>
      <w:r w:rsidRPr="00EE104F">
        <w:t>)</w:t>
      </w:r>
      <w:r>
        <w:t>. GAPDH was designed using Integrated DNA Technologies PrimeTime® Std qPCR Assay (Integrated DNA Technologies, Coralville, IA) based on previously published sequences.</w:t>
      </w:r>
      <w:r>
        <w:fldChar w:fldCharType="begin"/>
      </w:r>
      <w:r w:rsidR="000A492A">
        <w:instrText xml:space="preserve"> ADDIN ZOTERO_ITEM CSL_CITATION {"citationID":"1lg4oas6t2","properties":{"formattedCitation":"{\\rtf \\super 404\\nosupersub{}}","plainCitation":"404"},"citationItems":[{"id":1598,"uris":["http://zotero.org/users/171999/items/G83PPHE3"],"uri":["http://zotero.org/users/171999/items/G83PPHE3"],"itemData":{"id":1598,"type":"article-journal","title":"Expression stability of commonly used reference genes in canine articular connective tissues","container-title":"BMC veterinary research","page":"7","volume":"3","source":"NCBI PubMed","abstract":"BACKGROUND: The quantification of gene expression in tissue samples requires the use of reference genes to normalise transcript numbers between different samples. Reference gene stability may vary between different tissues, and between the same tissue in different disease states. We evaluated the stability of 9 reference genes commonly used in human gene expression studies. Real-time reverse transcription PCR and a mathematical algorithm were used to establish which reference genes were most stably expressed in normal and diseased canine articular tissues and two canine cell lines stimulated with lipolysaccaride (LPS).\nRESULTS: The optimal reference genes for comparing gene expression data between normal and diseased infrapatella fat pad were RPL13A and YWHAZ (M = 0.56). The ideal reference genes for comparing normal and osteoarthritic (OA) cartilage were RPL13A and SDHA (M = 0.57). The best reference genes for comparing normal and ruptured canine cranial cruciate ligament were B2M and TBP (M = 0.59). The best reference genes for normalising gene expression data from normal and LPS stimulated cell lines were SDHA and YWHAZ (K6) or SDHA and HMBS (DH82), which had expression stability (M) values of 0.05 (K6) and 0.07 (DH82) respectively. The number of reference genes required to reduce pairwise variation (V) to &lt;0.20 was 4 for cell lines, 5 for cartilage, 7 for cranial cruciate ligament and 8 for fat tissue. Reference gene stability was not related to the level of gene expression.\nCONCLUSION: The reference genes demonstrating the most stable expression within each different canine articular tissue were identified, but no single reference gene was identified as having stable expression in all different tissue types. This study underlines the necessity to select reference genes on the basis of tissue and disease specific expression profile evaluation and highlights the requirement for the identification of new reference genes with greater expression stability for use in canine articular tissue gene expression studies.","DOI":"10.1186/1746-6148-3-7","ISSN":"1746-6148","note":"PMID: 17484782","journalAbbreviation":"BMC Vet. Res.","language":"eng","author":[{"family":"Ayers","given":"Duncan"},{"family":"Clements","given":"Dylan N"},{"family":"Salway","given":"Fiona"},{"family":"Day","given":"Philip J R"}],"issued":{"date-parts":[["2007"]]},"PMID":"17484782"}}],"schema":"https://github.com/citation-style-language/schema/raw/master/csl-citation.json"} </w:instrText>
      </w:r>
      <w:r>
        <w:fldChar w:fldCharType="separate"/>
      </w:r>
      <w:r w:rsidR="000A492A" w:rsidRPr="000A492A">
        <w:rPr>
          <w:vertAlign w:val="superscript"/>
        </w:rPr>
        <w:t>404</w:t>
      </w:r>
      <w:r>
        <w:fldChar w:fldCharType="end"/>
      </w:r>
      <w:r>
        <w:t xml:space="preserve">  The sequence information for GAPDH was as follows: 72-</w:t>
      </w:r>
      <w:r w:rsidRPr="00401ED5">
        <w:t>bp</w:t>
      </w:r>
      <w:r>
        <w:t xml:space="preserve"> product sense, </w:t>
      </w:r>
      <w:r w:rsidRPr="00401ED5">
        <w:t>5’</w:t>
      </w:r>
      <w:r>
        <w:t>-</w:t>
      </w:r>
      <w:r w:rsidRPr="00401ED5">
        <w:t>CTG</w:t>
      </w:r>
      <w:r>
        <w:t xml:space="preserve"> </w:t>
      </w:r>
      <w:r w:rsidRPr="00401ED5">
        <w:t>GGG</w:t>
      </w:r>
      <w:r>
        <w:t xml:space="preserve"> </w:t>
      </w:r>
      <w:r w:rsidRPr="00401ED5">
        <w:t>CTC</w:t>
      </w:r>
      <w:r>
        <w:t xml:space="preserve"> </w:t>
      </w:r>
      <w:r w:rsidRPr="00401ED5">
        <w:t>ACT</w:t>
      </w:r>
      <w:r>
        <w:t xml:space="preserve"> </w:t>
      </w:r>
      <w:r w:rsidRPr="00401ED5">
        <w:t>TGA</w:t>
      </w:r>
      <w:r>
        <w:t xml:space="preserve"> </w:t>
      </w:r>
      <w:r w:rsidRPr="00401ED5">
        <w:t>AAG</w:t>
      </w:r>
      <w:r>
        <w:t xml:space="preserve"> </w:t>
      </w:r>
      <w:r w:rsidRPr="00401ED5">
        <w:t>G-3’, and antisense, 5’</w:t>
      </w:r>
      <w:r>
        <w:t>-</w:t>
      </w:r>
      <w:r w:rsidRPr="00401ED5">
        <w:t>CAA</w:t>
      </w:r>
      <w:r>
        <w:t xml:space="preserve"> </w:t>
      </w:r>
      <w:r w:rsidRPr="00401ED5">
        <w:t>ACA</w:t>
      </w:r>
      <w:r>
        <w:t xml:space="preserve"> </w:t>
      </w:r>
      <w:r w:rsidRPr="00401ED5">
        <w:t>TGG</w:t>
      </w:r>
      <w:r>
        <w:t xml:space="preserve"> </w:t>
      </w:r>
      <w:r w:rsidRPr="00401ED5">
        <w:t>GGG</w:t>
      </w:r>
      <w:r>
        <w:t xml:space="preserve"> </w:t>
      </w:r>
      <w:r w:rsidRPr="00401ED5">
        <w:t>CAT</w:t>
      </w:r>
      <w:r>
        <w:t xml:space="preserve"> </w:t>
      </w:r>
      <w:r w:rsidRPr="00401ED5">
        <w:t>CAG-3’</w:t>
      </w:r>
      <w:r>
        <w:t>; and Taqman pro</w:t>
      </w:r>
      <w:r w:rsidRPr="00401ED5">
        <w:t>be, 5’-AGC</w:t>
      </w:r>
      <w:r>
        <w:t xml:space="preserve"> </w:t>
      </w:r>
      <w:r w:rsidRPr="00401ED5">
        <w:t>AGA</w:t>
      </w:r>
      <w:r>
        <w:t xml:space="preserve"> </w:t>
      </w:r>
      <w:r w:rsidRPr="00401ED5">
        <w:t>GAT</w:t>
      </w:r>
      <w:r>
        <w:t xml:space="preserve"> </w:t>
      </w:r>
      <w:r w:rsidRPr="00401ED5">
        <w:t>GAT</w:t>
      </w:r>
      <w:r>
        <w:t xml:space="preserve"> </w:t>
      </w:r>
      <w:r w:rsidRPr="00401ED5">
        <w:t>GAC</w:t>
      </w:r>
      <w:r>
        <w:t xml:space="preserve"> </w:t>
      </w:r>
      <w:r w:rsidRPr="00401ED5">
        <w:t>CCT</w:t>
      </w:r>
      <w:r>
        <w:t xml:space="preserve"> </w:t>
      </w:r>
      <w:r w:rsidRPr="00401ED5">
        <w:t>CTT</w:t>
      </w:r>
      <w:r>
        <w:t xml:space="preserve"> </w:t>
      </w:r>
      <w:r w:rsidRPr="00401ED5">
        <w:t>GGC</w:t>
      </w:r>
      <w:r>
        <w:t>-</w:t>
      </w:r>
      <w:r w:rsidRPr="00401ED5">
        <w:t>3’</w:t>
      </w:r>
      <w:r w:rsidRPr="00126839">
        <w:rPr>
          <w:color w:val="FF0000"/>
        </w:rPr>
        <w:t xml:space="preserve">(Figure </w:t>
      </w:r>
      <w:r w:rsidR="006E2A08">
        <w:rPr>
          <w:color w:val="FF0000"/>
        </w:rPr>
        <w:t>14</w:t>
      </w:r>
      <w:r>
        <w:t>).</w:t>
      </w:r>
      <w:r w:rsidRPr="00401ED5">
        <w:t xml:space="preserve"> </w:t>
      </w:r>
    </w:p>
    <w:p w:rsidR="00A1362C" w:rsidRDefault="00A1362C" w:rsidP="00A1362C"/>
    <w:p w:rsidR="00A1362C" w:rsidRPr="00D226EC" w:rsidRDefault="00A1362C" w:rsidP="00A1362C">
      <w:r>
        <w:t xml:space="preserve">All samples were run in triplicate for each gene.  Triplicates were averaged and analyzed together if the difference between CT values was &lt;1.  If the difference between CT values was &gt;1, duplicate differences were calculated.  If a duplicate had a difference between CT values &lt;1, that pairing was kept and the outlier was dropped from analysis.  If two or more duplicates had differences between CT values &gt;1, a new analysis of that gene was performed.  If the reference gene needed a new analysis based on these criteria, PCR was repeated for all genes corresponding to that RNA sample.  If &gt; </w:t>
      </w:r>
      <w:r>
        <w:rPr>
          <w:color w:val="FF0000"/>
        </w:rPr>
        <w:t>5 genes</w:t>
      </w:r>
      <w:r>
        <w:t xml:space="preserve"> on a single reaction plate needed to be repeated, the entire reaction was performed again.</w:t>
      </w:r>
      <w:r w:rsidRPr="000A65B0">
        <w:t xml:space="preserve"> </w:t>
      </w:r>
    </w:p>
    <w:p w:rsidR="00A1362C" w:rsidRDefault="00A1362C" w:rsidP="00A1362C">
      <w:pPr>
        <w:pStyle w:val="Heading3"/>
      </w:pPr>
      <w:bookmarkStart w:id="55" w:name="_Toc376465776"/>
      <w:r>
        <w:t>ELISA</w:t>
      </w:r>
      <w:bookmarkEnd w:id="55"/>
    </w:p>
    <w:p w:rsidR="006E2A08" w:rsidRDefault="00A1362C" w:rsidP="00A1362C">
      <w:r>
        <w:t xml:space="preserve">Previously frozen serum samples were thawed to room temperature prior to use.  Canine adiponectin was analyzed at three time points (0, 120, 420 minutes) from three sample dates (baseline, one week, twelve </w:t>
      </w:r>
      <w:r w:rsidR="006E2A08">
        <w:t>weeks into treatment) for all 24</w:t>
      </w:r>
      <w:r>
        <w:t xml:space="preserve"> </w:t>
      </w:r>
    </w:p>
    <w:p w:rsidR="006E2A08" w:rsidRDefault="006E2A08" w:rsidP="00A1362C"/>
    <w:p w:rsidR="006E2A08" w:rsidRDefault="006E2A08" w:rsidP="006E2A08">
      <w:pPr>
        <w:pStyle w:val="Caption"/>
        <w:sectPr w:rsidR="006E2A08" w:rsidSect="00F92278">
          <w:pgSz w:w="12240" w:h="15840" w:code="1"/>
          <w:pgMar w:top="1440" w:right="1800" w:bottom="1872" w:left="1800" w:header="720" w:footer="1440" w:gutter="0"/>
          <w:cols w:space="720"/>
          <w:noEndnote/>
          <w:docGrid w:linePitch="360"/>
        </w:sectPr>
      </w:pPr>
      <w:bookmarkStart w:id="56" w:name="_Toc373267061"/>
    </w:p>
    <w:p w:rsidR="006E2A08" w:rsidRDefault="006E2A08" w:rsidP="006E2A08">
      <w:pPr>
        <w:pStyle w:val="Caption"/>
      </w:pPr>
      <w:bookmarkStart w:id="57" w:name="_Toc376465825"/>
      <w:r>
        <w:lastRenderedPageBreak/>
        <w:t xml:space="preserve">Table </w:t>
      </w:r>
      <w:fldSimple w:instr=" SEQ Table \* ARABIC ">
        <w:r w:rsidR="00736DB0">
          <w:rPr>
            <w:noProof/>
          </w:rPr>
          <w:t>3</w:t>
        </w:r>
      </w:fldSimple>
      <w:r>
        <w:t xml:space="preserve"> </w:t>
      </w:r>
      <w:r w:rsidRPr="00C4542D">
        <w:t>Sequences for primers and probes</w:t>
      </w:r>
      <w:bookmarkEnd w:id="56"/>
      <w:bookmarkEnd w:id="57"/>
    </w:p>
    <w:tbl>
      <w:tblPr>
        <w:tblStyle w:val="TableClassic1"/>
        <w:tblW w:w="0" w:type="auto"/>
        <w:tblLook w:val="04A0" w:firstRow="1" w:lastRow="0" w:firstColumn="1" w:lastColumn="0" w:noHBand="0" w:noVBand="1"/>
      </w:tblPr>
      <w:tblGrid>
        <w:gridCol w:w="1030"/>
        <w:gridCol w:w="5070"/>
        <w:gridCol w:w="2723"/>
        <w:gridCol w:w="1870"/>
      </w:tblGrid>
      <w:tr w:rsidR="006E2A08" w:rsidRPr="00A3463E" w:rsidTr="00C40A84">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tcPr>
          <w:p w:rsidR="006E2A08" w:rsidRPr="00A3463E" w:rsidRDefault="006E2A08" w:rsidP="00C40A84">
            <w:pPr>
              <w:rPr>
                <w:b/>
              </w:rPr>
            </w:pPr>
            <w:r w:rsidRPr="00A3463E">
              <w:rPr>
                <w:b/>
              </w:rPr>
              <w:t>Gene</w:t>
            </w:r>
          </w:p>
        </w:tc>
        <w:tc>
          <w:tcPr>
            <w:tcW w:w="0" w:type="auto"/>
          </w:tcPr>
          <w:p w:rsidR="006E2A08" w:rsidRPr="00A3463E" w:rsidRDefault="006E2A08" w:rsidP="00C40A84">
            <w:pPr>
              <w:cnfStyle w:val="100000000000" w:firstRow="1" w:lastRow="0" w:firstColumn="0" w:lastColumn="0" w:oddVBand="0" w:evenVBand="0" w:oddHBand="0" w:evenHBand="0" w:firstRowFirstColumn="0" w:firstRowLastColumn="0" w:lastRowFirstColumn="0" w:lastRowLastColumn="0"/>
              <w:rPr>
                <w:b/>
              </w:rPr>
            </w:pPr>
            <w:r w:rsidRPr="00A3463E">
              <w:rPr>
                <w:b/>
              </w:rPr>
              <w:t>Primers context (sense) sequence</w:t>
            </w:r>
          </w:p>
        </w:tc>
        <w:tc>
          <w:tcPr>
            <w:tcW w:w="0" w:type="auto"/>
          </w:tcPr>
          <w:p w:rsidR="006E2A08" w:rsidRPr="00A3463E" w:rsidRDefault="006E2A08" w:rsidP="00C40A84">
            <w:pPr>
              <w:cnfStyle w:val="100000000000" w:firstRow="1" w:lastRow="0" w:firstColumn="0" w:lastColumn="0" w:oddVBand="0" w:evenVBand="0" w:oddHBand="0" w:evenHBand="0" w:firstRowFirstColumn="0" w:firstRowLastColumn="0" w:lastRowFirstColumn="0" w:lastRowLastColumn="0"/>
              <w:rPr>
                <w:b/>
              </w:rPr>
            </w:pPr>
            <w:r w:rsidRPr="00A3463E">
              <w:rPr>
                <w:b/>
              </w:rPr>
              <w:t>Amplicon Length (Bp)</w:t>
            </w:r>
          </w:p>
        </w:tc>
        <w:tc>
          <w:tcPr>
            <w:tcW w:w="0" w:type="auto"/>
          </w:tcPr>
          <w:p w:rsidR="006E2A08" w:rsidRPr="00A3463E" w:rsidRDefault="006E2A08" w:rsidP="00C40A84">
            <w:pPr>
              <w:cnfStyle w:val="100000000000" w:firstRow="1" w:lastRow="0" w:firstColumn="0" w:lastColumn="0" w:oddVBand="0" w:evenVBand="0" w:oddHBand="0" w:evenHBand="0" w:firstRowFirstColumn="0" w:firstRowLastColumn="0" w:lastRowFirstColumn="0" w:lastRowLastColumn="0"/>
              <w:rPr>
                <w:b/>
              </w:rPr>
            </w:pPr>
            <w:r w:rsidRPr="00A3463E">
              <w:rPr>
                <w:b/>
              </w:rPr>
              <w:t>Assay number</w:t>
            </w:r>
          </w:p>
        </w:tc>
      </w:tr>
      <w:tr w:rsidR="006E2A08" w:rsidRPr="00A3463E" w:rsidTr="00C40A84">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6E2A08" w:rsidRPr="00A3463E" w:rsidRDefault="006E2A08" w:rsidP="00C40A84">
            <w:r w:rsidRPr="00A3463E">
              <w:t>B2M</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5’GATCGTTAAGTGGGACCGAGACAAC-3’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59</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Cf02659078</w:t>
            </w:r>
          </w:p>
        </w:tc>
      </w:tr>
      <w:tr w:rsidR="006E2A08" w:rsidRPr="00A3463E" w:rsidTr="00C40A84">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6E2A08" w:rsidRPr="00A3463E" w:rsidRDefault="006E2A08" w:rsidP="00C40A84">
            <w:r w:rsidRPr="00A3463E">
              <w:t>FASN</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5’CCACTTACTGGGCATGGCCGTCTTC-3’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86</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Cf02649409</w:t>
            </w:r>
          </w:p>
        </w:tc>
      </w:tr>
      <w:tr w:rsidR="006E2A08" w:rsidRPr="00A3463E" w:rsidTr="00C40A84">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6E2A08" w:rsidRPr="00A3463E" w:rsidRDefault="006E2A08" w:rsidP="00C40A84">
            <w:r w:rsidRPr="00A3463E">
              <w:t>NRF1</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5’GCAGTGGCTGATGGAGAGGTGGAAC-3’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96</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Cf02703906</w:t>
            </w:r>
          </w:p>
        </w:tc>
      </w:tr>
      <w:tr w:rsidR="006E2A08" w:rsidRPr="00A3463E" w:rsidTr="00C40A84">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6E2A08" w:rsidRPr="00A3463E" w:rsidRDefault="006E2A08" w:rsidP="00C40A84">
            <w:r w:rsidRPr="00A3463E">
              <w:t>PGC1A</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5’AGAGGCAGAGGCAGAAGGCAATTGA-3’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93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Cf02707650</w:t>
            </w:r>
          </w:p>
        </w:tc>
      </w:tr>
      <w:tr w:rsidR="006E2A08" w:rsidRPr="00A3463E" w:rsidTr="00C40A84">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6E2A08" w:rsidRPr="00A3463E" w:rsidRDefault="006E2A08" w:rsidP="00C40A84">
            <w:r w:rsidRPr="00A3463E">
              <w:t>SIRT1</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5’AAACGGCTTGATGGTAACCAGTATC-3’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84</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Cf02666196</w:t>
            </w:r>
          </w:p>
        </w:tc>
      </w:tr>
      <w:tr w:rsidR="006E2A08" w:rsidRPr="00A3463E" w:rsidTr="00C40A84">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6E2A08" w:rsidRPr="00A3463E" w:rsidRDefault="006E2A08" w:rsidP="00C40A84">
            <w:r w:rsidRPr="00A3463E">
              <w:t>SIRT3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5’CTGGGGCCCGGCAGGGTGGAGGAGT-3’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139</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Cf02664398</w:t>
            </w:r>
          </w:p>
        </w:tc>
      </w:tr>
      <w:tr w:rsidR="006E2A08" w:rsidRPr="00A3463E" w:rsidTr="00C40A84">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6E2A08" w:rsidRPr="00A3463E" w:rsidRDefault="006E2A08" w:rsidP="00C40A84">
            <w:r w:rsidRPr="00A3463E">
              <w:t>UCP2</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5’ TCATGACAGATGACCTCCCTTGCCA-3’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93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Cf02730413</w:t>
            </w:r>
          </w:p>
        </w:tc>
      </w:tr>
      <w:tr w:rsidR="006E2A08" w:rsidRPr="00A3463E" w:rsidTr="00C40A84">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6E2A08" w:rsidRPr="00A3463E" w:rsidRDefault="006E2A08" w:rsidP="00C40A84">
            <w:r w:rsidRPr="00A3463E">
              <w:t>UCP3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5’-GGATCAGACCACTCCAGCATCACTA-3’</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91</w:t>
            </w:r>
          </w:p>
        </w:tc>
        <w:tc>
          <w:tcPr>
            <w:tcW w:w="0" w:type="auto"/>
          </w:tcPr>
          <w:p w:rsidR="006E2A08" w:rsidRPr="00A3463E" w:rsidRDefault="006E2A08" w:rsidP="00C40A84">
            <w:pPr>
              <w:cnfStyle w:val="000000000000" w:firstRow="0" w:lastRow="0" w:firstColumn="0" w:lastColumn="0" w:oddVBand="0" w:evenVBand="0" w:oddHBand="0" w:evenHBand="0" w:firstRowFirstColumn="0" w:firstRowLastColumn="0" w:lastRowFirstColumn="0" w:lastRowLastColumn="0"/>
            </w:pPr>
            <w:r w:rsidRPr="00A3463E">
              <w:t>Cf02621970</w:t>
            </w:r>
          </w:p>
        </w:tc>
      </w:tr>
    </w:tbl>
    <w:p w:rsidR="006E2A08" w:rsidRDefault="006E2A08" w:rsidP="00A1362C">
      <w:pPr>
        <w:sectPr w:rsidR="006E2A08" w:rsidSect="006E2A08">
          <w:pgSz w:w="15840" w:h="12240" w:orient="landscape" w:code="1"/>
          <w:pgMar w:top="1800" w:right="1440" w:bottom="1800" w:left="1872" w:header="720" w:footer="1440" w:gutter="0"/>
          <w:cols w:space="720"/>
          <w:noEndnote/>
          <w:docGrid w:linePitch="360"/>
        </w:sectPr>
      </w:pPr>
    </w:p>
    <w:p w:rsidR="006E2A08" w:rsidRPr="00CC21E8" w:rsidRDefault="006E2A08" w:rsidP="006E2A08">
      <w:pPr>
        <w:shd w:val="clear" w:color="auto" w:fill="FFFFFF"/>
        <w:textAlignment w:val="top"/>
        <w:rPr>
          <w:b/>
          <w:bCs/>
          <w:color w:val="0E3A79"/>
        </w:rPr>
      </w:pPr>
      <w:r w:rsidRPr="00CC21E8">
        <w:rPr>
          <w:b/>
          <w:bCs/>
          <w:color w:val="0E3A79"/>
        </w:rPr>
        <w:lastRenderedPageBreak/>
        <w:t xml:space="preserve">Parameter Set: </w:t>
      </w:r>
    </w:p>
    <w:p w:rsidR="006E2A08" w:rsidRPr="00065E7F" w:rsidRDefault="006E2A08" w:rsidP="006E2A08">
      <w:pPr>
        <w:shd w:val="clear" w:color="auto" w:fill="FFFFFF"/>
        <w:textAlignment w:val="top"/>
        <w:rPr>
          <w:color w:val="232323"/>
        </w:rPr>
      </w:pPr>
      <w:r w:rsidRPr="00CC21E8">
        <w:rPr>
          <w:color w:val="232323"/>
        </w:rPr>
        <w:t>RT-qPCR (Primers with Probe</w:t>
      </w:r>
      <w:proofErr w:type="gramStart"/>
      <w:r w:rsidRPr="00CC21E8">
        <w:rPr>
          <w:color w:val="232323"/>
        </w:rPr>
        <w:t>)  Amplicon</w:t>
      </w:r>
      <w:proofErr w:type="gramEnd"/>
      <w:r w:rsidRPr="00CC21E8">
        <w:rPr>
          <w:color w:val="232323"/>
        </w:rPr>
        <w:t xml:space="preserve"> length = 72</w:t>
      </w:r>
      <w:r w:rsidRPr="00CC21E8">
        <w:rPr>
          <w:color w:val="232323"/>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35" type="#_x0000_t75" style="width:1in;height:18pt" o:ole="">
            <v:imagedata r:id="rId28" o:title=""/>
          </v:shape>
          <w:control r:id="rId29" w:name="DefaultOcxName" w:shapeid="_x0000_i1835"/>
        </w:object>
      </w:r>
      <w:r w:rsidRPr="00CC21E8">
        <w:rPr>
          <w:color w:val="232323"/>
        </w:rPr>
        <w:object w:dxaOrig="0" w:dyaOrig="0">
          <v:shape id="_x0000_i1834" type="#_x0000_t75" style="width:1in;height:18pt" o:ole="">
            <v:imagedata r:id="rId30" o:title=""/>
          </v:shape>
          <w:control r:id="rId31" w:name="DefaultOcxName1" w:shapeid="_x0000_i1834"/>
        </w:object>
      </w:r>
    </w:p>
    <w:tbl>
      <w:tblPr>
        <w:tblW w:w="0" w:type="auto"/>
        <w:tblCellSpacing w:w="15" w:type="dxa"/>
        <w:tblCellMar>
          <w:top w:w="225" w:type="dxa"/>
          <w:left w:w="15" w:type="dxa"/>
          <w:bottom w:w="15" w:type="dxa"/>
          <w:right w:w="15" w:type="dxa"/>
        </w:tblCellMar>
        <w:tblLook w:val="04A0" w:firstRow="1" w:lastRow="0" w:firstColumn="1" w:lastColumn="0" w:noHBand="0" w:noVBand="1"/>
      </w:tblPr>
      <w:tblGrid>
        <w:gridCol w:w="5278"/>
        <w:gridCol w:w="687"/>
        <w:gridCol w:w="674"/>
        <w:gridCol w:w="915"/>
        <w:gridCol w:w="527"/>
        <w:gridCol w:w="769"/>
      </w:tblGrid>
      <w:tr w:rsidR="006E2A08" w:rsidRPr="00CC21E8" w:rsidTr="00C40A84">
        <w:trPr>
          <w:tblCellSpacing w:w="15" w:type="dxa"/>
        </w:trPr>
        <w:tc>
          <w:tcPr>
            <w:tcW w:w="0" w:type="auto"/>
            <w:shd w:val="clear" w:color="auto" w:fill="auto"/>
            <w:tcMar>
              <w:top w:w="30" w:type="dxa"/>
              <w:left w:w="75" w:type="dxa"/>
              <w:bottom w:w="30" w:type="dxa"/>
              <w:right w:w="75" w:type="dxa"/>
            </w:tcMar>
            <w:vAlign w:val="center"/>
            <w:hideMark/>
          </w:tcPr>
          <w:p w:rsidR="006E2A08" w:rsidRPr="00CC21E8" w:rsidRDefault="006E2A08" w:rsidP="00C40A84"/>
        </w:tc>
        <w:tc>
          <w:tcPr>
            <w:tcW w:w="0" w:type="auto"/>
            <w:shd w:val="clear" w:color="auto" w:fill="auto"/>
            <w:tcMar>
              <w:top w:w="30" w:type="dxa"/>
              <w:left w:w="75" w:type="dxa"/>
              <w:bottom w:w="30" w:type="dxa"/>
              <w:right w:w="75" w:type="dxa"/>
            </w:tcMar>
            <w:vAlign w:val="center"/>
            <w:hideMark/>
          </w:tcPr>
          <w:p w:rsidR="006E2A08" w:rsidRPr="00CC21E8" w:rsidRDefault="006E2A08" w:rsidP="00C40A84">
            <w:r w:rsidRPr="00CC21E8">
              <w:t>Start</w:t>
            </w:r>
          </w:p>
        </w:tc>
        <w:tc>
          <w:tcPr>
            <w:tcW w:w="0" w:type="auto"/>
            <w:shd w:val="clear" w:color="auto" w:fill="auto"/>
            <w:tcMar>
              <w:top w:w="30" w:type="dxa"/>
              <w:left w:w="75" w:type="dxa"/>
              <w:bottom w:w="30" w:type="dxa"/>
              <w:right w:w="75" w:type="dxa"/>
            </w:tcMar>
            <w:vAlign w:val="center"/>
            <w:hideMark/>
          </w:tcPr>
          <w:p w:rsidR="006E2A08" w:rsidRPr="00CC21E8" w:rsidRDefault="006E2A08" w:rsidP="00C40A84">
            <w:r w:rsidRPr="00CC21E8">
              <w:t>Stop</w:t>
            </w:r>
          </w:p>
        </w:tc>
        <w:tc>
          <w:tcPr>
            <w:tcW w:w="0" w:type="auto"/>
            <w:shd w:val="clear" w:color="auto" w:fill="auto"/>
            <w:tcMar>
              <w:top w:w="30" w:type="dxa"/>
              <w:left w:w="75" w:type="dxa"/>
              <w:bottom w:w="30" w:type="dxa"/>
              <w:right w:w="75" w:type="dxa"/>
            </w:tcMar>
            <w:vAlign w:val="center"/>
            <w:hideMark/>
          </w:tcPr>
          <w:p w:rsidR="006E2A08" w:rsidRPr="00CC21E8" w:rsidRDefault="006E2A08" w:rsidP="00C40A84">
            <w:r w:rsidRPr="00CC21E8">
              <w:t>Length</w:t>
            </w:r>
          </w:p>
        </w:tc>
        <w:tc>
          <w:tcPr>
            <w:tcW w:w="0" w:type="auto"/>
            <w:shd w:val="clear" w:color="auto" w:fill="auto"/>
            <w:tcMar>
              <w:top w:w="30" w:type="dxa"/>
              <w:left w:w="75" w:type="dxa"/>
              <w:bottom w:w="30" w:type="dxa"/>
              <w:right w:w="75" w:type="dxa"/>
            </w:tcMar>
            <w:vAlign w:val="center"/>
            <w:hideMark/>
          </w:tcPr>
          <w:p w:rsidR="006E2A08" w:rsidRPr="00CC21E8" w:rsidRDefault="006E2A08" w:rsidP="00C40A84">
            <w:r w:rsidRPr="00CC21E8">
              <w:t>Tm</w:t>
            </w:r>
          </w:p>
        </w:tc>
        <w:tc>
          <w:tcPr>
            <w:tcW w:w="0" w:type="auto"/>
            <w:shd w:val="clear" w:color="auto" w:fill="auto"/>
            <w:tcMar>
              <w:top w:w="30" w:type="dxa"/>
              <w:left w:w="75" w:type="dxa"/>
              <w:bottom w:w="30" w:type="dxa"/>
              <w:right w:w="75" w:type="dxa"/>
            </w:tcMar>
            <w:vAlign w:val="center"/>
            <w:hideMark/>
          </w:tcPr>
          <w:p w:rsidR="006E2A08" w:rsidRPr="00CC21E8" w:rsidRDefault="006E2A08" w:rsidP="00C40A84">
            <w:r w:rsidRPr="00CC21E8">
              <w:t>GC%</w:t>
            </w:r>
          </w:p>
        </w:tc>
      </w:tr>
      <w:tr w:rsidR="006E2A08" w:rsidRPr="00CC21E8" w:rsidTr="00C40A84">
        <w:trPr>
          <w:tblCellSpacing w:w="15" w:type="dxa"/>
        </w:trPr>
        <w:tc>
          <w:tcPr>
            <w:tcW w:w="0" w:type="auto"/>
            <w:shd w:val="clear" w:color="auto" w:fill="EEEEEE"/>
            <w:tcMar>
              <w:top w:w="30" w:type="dxa"/>
              <w:left w:w="75" w:type="dxa"/>
              <w:bottom w:w="30" w:type="dxa"/>
              <w:right w:w="75" w:type="dxa"/>
            </w:tcMar>
            <w:hideMark/>
          </w:tcPr>
          <w:p w:rsidR="006E2A08" w:rsidRPr="00CC21E8" w:rsidRDefault="006E2A08" w:rsidP="00C40A84">
            <w:r w:rsidRPr="00CC21E8">
              <w:rPr>
                <w:highlight w:val="yellow"/>
              </w:rPr>
              <w:t>Forward</w:t>
            </w:r>
          </w:p>
          <w:p w:rsidR="006E2A08" w:rsidRPr="00CC21E8" w:rsidRDefault="006E2A08" w:rsidP="00C40A84">
            <w:r w:rsidRPr="00CC21E8">
              <w:rPr>
                <w:color w:val="008000"/>
                <w:u w:val="single"/>
              </w:rPr>
              <w:t>CTGGGGCTCACTTGAAAGG (Sense)</w:t>
            </w:r>
            <w:r w:rsidRPr="00CC21E8">
              <w:t xml:space="preserve"> </w:t>
            </w:r>
            <w:r w:rsidRPr="00CC21E8">
              <w:rPr>
                <w:vanish/>
              </w:rPr>
              <w:t>Hairpin</w:t>
            </w:r>
            <w:r w:rsidRPr="00CC21E8">
              <w:t xml:space="preserve"> </w:t>
            </w:r>
            <w:r w:rsidRPr="00CC21E8">
              <w:rPr>
                <w:vanish/>
              </w:rPr>
              <w:t>Blast</w:t>
            </w:r>
            <w:r w:rsidRPr="00CC21E8">
              <w:t xml:space="preserve"> </w:t>
            </w:r>
          </w:p>
        </w:tc>
        <w:tc>
          <w:tcPr>
            <w:tcW w:w="0" w:type="auto"/>
            <w:shd w:val="clear" w:color="auto" w:fill="EEEEEE"/>
            <w:tcMar>
              <w:top w:w="30" w:type="dxa"/>
              <w:left w:w="75" w:type="dxa"/>
              <w:bottom w:w="30" w:type="dxa"/>
              <w:right w:w="75" w:type="dxa"/>
            </w:tcMar>
            <w:hideMark/>
          </w:tcPr>
          <w:p w:rsidR="006E2A08" w:rsidRPr="00CC21E8" w:rsidRDefault="006E2A08" w:rsidP="00C40A84">
            <w:r w:rsidRPr="00CC21E8">
              <w:t>372</w:t>
            </w:r>
          </w:p>
        </w:tc>
        <w:tc>
          <w:tcPr>
            <w:tcW w:w="0" w:type="auto"/>
            <w:shd w:val="clear" w:color="auto" w:fill="EEEEEE"/>
            <w:tcMar>
              <w:top w:w="30" w:type="dxa"/>
              <w:left w:w="75" w:type="dxa"/>
              <w:bottom w:w="30" w:type="dxa"/>
              <w:right w:w="75" w:type="dxa"/>
            </w:tcMar>
            <w:hideMark/>
          </w:tcPr>
          <w:p w:rsidR="006E2A08" w:rsidRPr="00CC21E8" w:rsidRDefault="006E2A08" w:rsidP="00C40A84">
            <w:r w:rsidRPr="00CC21E8">
              <w:t>391</w:t>
            </w:r>
          </w:p>
        </w:tc>
        <w:tc>
          <w:tcPr>
            <w:tcW w:w="0" w:type="auto"/>
            <w:shd w:val="clear" w:color="auto" w:fill="EEEEEE"/>
            <w:tcMar>
              <w:top w:w="30" w:type="dxa"/>
              <w:left w:w="75" w:type="dxa"/>
              <w:bottom w:w="30" w:type="dxa"/>
              <w:right w:w="75" w:type="dxa"/>
            </w:tcMar>
            <w:hideMark/>
          </w:tcPr>
          <w:p w:rsidR="006E2A08" w:rsidRPr="00CC21E8" w:rsidRDefault="006E2A08" w:rsidP="00C40A84">
            <w:r w:rsidRPr="00CC21E8">
              <w:t>19</w:t>
            </w:r>
          </w:p>
        </w:tc>
        <w:tc>
          <w:tcPr>
            <w:tcW w:w="0" w:type="auto"/>
            <w:shd w:val="clear" w:color="auto" w:fill="EEEEEE"/>
            <w:tcMar>
              <w:top w:w="30" w:type="dxa"/>
              <w:left w:w="75" w:type="dxa"/>
              <w:bottom w:w="30" w:type="dxa"/>
              <w:right w:w="75" w:type="dxa"/>
            </w:tcMar>
            <w:hideMark/>
          </w:tcPr>
          <w:p w:rsidR="006E2A08" w:rsidRPr="00CC21E8" w:rsidRDefault="006E2A08" w:rsidP="00C40A84">
            <w:r w:rsidRPr="00CC21E8">
              <w:t>62</w:t>
            </w:r>
          </w:p>
        </w:tc>
        <w:tc>
          <w:tcPr>
            <w:tcW w:w="0" w:type="auto"/>
            <w:shd w:val="clear" w:color="auto" w:fill="EEEEEE"/>
            <w:tcMar>
              <w:top w:w="30" w:type="dxa"/>
              <w:left w:w="75" w:type="dxa"/>
              <w:bottom w:w="30" w:type="dxa"/>
              <w:right w:w="75" w:type="dxa"/>
            </w:tcMar>
            <w:hideMark/>
          </w:tcPr>
          <w:p w:rsidR="006E2A08" w:rsidRPr="00CC21E8" w:rsidRDefault="006E2A08" w:rsidP="00C40A84">
            <w:r w:rsidRPr="00CC21E8">
              <w:t>57.9</w:t>
            </w:r>
          </w:p>
        </w:tc>
      </w:tr>
      <w:tr w:rsidR="006E2A08" w:rsidRPr="00CC21E8" w:rsidTr="00C40A84">
        <w:trPr>
          <w:tblCellSpacing w:w="15" w:type="dxa"/>
        </w:trPr>
        <w:tc>
          <w:tcPr>
            <w:tcW w:w="0" w:type="auto"/>
            <w:shd w:val="clear" w:color="auto" w:fill="auto"/>
            <w:tcMar>
              <w:top w:w="30" w:type="dxa"/>
              <w:left w:w="75" w:type="dxa"/>
              <w:bottom w:w="30" w:type="dxa"/>
              <w:right w:w="75" w:type="dxa"/>
            </w:tcMar>
            <w:hideMark/>
          </w:tcPr>
          <w:p w:rsidR="006E2A08" w:rsidRPr="00CC21E8" w:rsidRDefault="006E2A08" w:rsidP="00C40A84">
            <w:r w:rsidRPr="00CC21E8">
              <w:rPr>
                <w:highlight w:val="cyan"/>
              </w:rPr>
              <w:t>Probe</w:t>
            </w:r>
          </w:p>
          <w:p w:rsidR="006E2A08" w:rsidRPr="00CC21E8" w:rsidRDefault="006E2A08" w:rsidP="00C40A84">
            <w:r w:rsidRPr="00CC21E8">
              <w:rPr>
                <w:color w:val="FF6900"/>
                <w:u w:val="single"/>
              </w:rPr>
              <w:t>AGCAGAGATGATGACCCTCTTGGC (AntiSense)</w:t>
            </w:r>
            <w:r w:rsidRPr="00CC21E8">
              <w:t xml:space="preserve"> </w:t>
            </w:r>
            <w:r w:rsidRPr="00CC21E8">
              <w:rPr>
                <w:vanish/>
              </w:rPr>
              <w:t>Hairpin</w:t>
            </w:r>
            <w:r w:rsidRPr="00CC21E8">
              <w:t xml:space="preserve"> </w:t>
            </w:r>
            <w:r w:rsidRPr="00CC21E8">
              <w:rPr>
                <w:vanish/>
              </w:rPr>
              <w:t>Blast</w:t>
            </w:r>
            <w:r w:rsidRPr="00CC21E8">
              <w:t xml:space="preserve"> </w:t>
            </w:r>
          </w:p>
        </w:tc>
        <w:tc>
          <w:tcPr>
            <w:tcW w:w="0" w:type="auto"/>
            <w:shd w:val="clear" w:color="auto" w:fill="auto"/>
            <w:tcMar>
              <w:top w:w="30" w:type="dxa"/>
              <w:left w:w="75" w:type="dxa"/>
              <w:bottom w:w="30" w:type="dxa"/>
              <w:right w:w="75" w:type="dxa"/>
            </w:tcMar>
            <w:hideMark/>
          </w:tcPr>
          <w:p w:rsidR="006E2A08" w:rsidRPr="00CC21E8" w:rsidRDefault="006E2A08" w:rsidP="00C40A84">
            <w:r w:rsidRPr="00CC21E8">
              <w:t>395</w:t>
            </w:r>
          </w:p>
        </w:tc>
        <w:tc>
          <w:tcPr>
            <w:tcW w:w="0" w:type="auto"/>
            <w:shd w:val="clear" w:color="auto" w:fill="auto"/>
            <w:tcMar>
              <w:top w:w="30" w:type="dxa"/>
              <w:left w:w="75" w:type="dxa"/>
              <w:bottom w:w="30" w:type="dxa"/>
              <w:right w:w="75" w:type="dxa"/>
            </w:tcMar>
            <w:hideMark/>
          </w:tcPr>
          <w:p w:rsidR="006E2A08" w:rsidRPr="00CC21E8" w:rsidRDefault="006E2A08" w:rsidP="00C40A84">
            <w:r w:rsidRPr="00CC21E8">
              <w:t>419</w:t>
            </w:r>
          </w:p>
        </w:tc>
        <w:tc>
          <w:tcPr>
            <w:tcW w:w="0" w:type="auto"/>
            <w:shd w:val="clear" w:color="auto" w:fill="auto"/>
            <w:tcMar>
              <w:top w:w="30" w:type="dxa"/>
              <w:left w:w="75" w:type="dxa"/>
              <w:bottom w:w="30" w:type="dxa"/>
              <w:right w:w="75" w:type="dxa"/>
            </w:tcMar>
            <w:hideMark/>
          </w:tcPr>
          <w:p w:rsidR="006E2A08" w:rsidRPr="00CC21E8" w:rsidRDefault="006E2A08" w:rsidP="00C40A84">
            <w:r w:rsidRPr="00CC21E8">
              <w:t>24</w:t>
            </w:r>
          </w:p>
        </w:tc>
        <w:tc>
          <w:tcPr>
            <w:tcW w:w="0" w:type="auto"/>
            <w:shd w:val="clear" w:color="auto" w:fill="auto"/>
            <w:tcMar>
              <w:top w:w="30" w:type="dxa"/>
              <w:left w:w="75" w:type="dxa"/>
              <w:bottom w:w="30" w:type="dxa"/>
              <w:right w:w="75" w:type="dxa"/>
            </w:tcMar>
            <w:hideMark/>
          </w:tcPr>
          <w:p w:rsidR="006E2A08" w:rsidRPr="00CC21E8" w:rsidRDefault="006E2A08" w:rsidP="00C40A84">
            <w:r w:rsidRPr="00CC21E8">
              <w:t>68</w:t>
            </w:r>
          </w:p>
        </w:tc>
        <w:tc>
          <w:tcPr>
            <w:tcW w:w="0" w:type="auto"/>
            <w:shd w:val="clear" w:color="auto" w:fill="auto"/>
            <w:tcMar>
              <w:top w:w="30" w:type="dxa"/>
              <w:left w:w="75" w:type="dxa"/>
              <w:bottom w:w="30" w:type="dxa"/>
              <w:right w:w="75" w:type="dxa"/>
            </w:tcMar>
            <w:hideMark/>
          </w:tcPr>
          <w:p w:rsidR="006E2A08" w:rsidRPr="00CC21E8" w:rsidRDefault="006E2A08" w:rsidP="00C40A84">
            <w:r w:rsidRPr="00CC21E8">
              <w:t>54</w:t>
            </w:r>
          </w:p>
        </w:tc>
      </w:tr>
      <w:tr w:rsidR="006E2A08" w:rsidRPr="00CC21E8" w:rsidTr="00C40A84">
        <w:trPr>
          <w:tblCellSpacing w:w="15" w:type="dxa"/>
        </w:trPr>
        <w:tc>
          <w:tcPr>
            <w:tcW w:w="0" w:type="auto"/>
            <w:shd w:val="clear" w:color="auto" w:fill="EEEEEE"/>
            <w:tcMar>
              <w:top w:w="30" w:type="dxa"/>
              <w:left w:w="75" w:type="dxa"/>
              <w:bottom w:w="30" w:type="dxa"/>
              <w:right w:w="75" w:type="dxa"/>
            </w:tcMar>
            <w:hideMark/>
          </w:tcPr>
          <w:p w:rsidR="006E2A08" w:rsidRPr="00CC21E8" w:rsidRDefault="006E2A08" w:rsidP="00C40A84">
            <w:r w:rsidRPr="00CC21E8">
              <w:rPr>
                <w:highlight w:val="green"/>
              </w:rPr>
              <w:t>Reverse</w:t>
            </w:r>
          </w:p>
          <w:p w:rsidR="006E2A08" w:rsidRPr="00CC21E8" w:rsidRDefault="006E2A08" w:rsidP="00C40A84">
            <w:r w:rsidRPr="00CC21E8">
              <w:rPr>
                <w:color w:val="FF0000"/>
                <w:u w:val="single"/>
              </w:rPr>
              <w:t>CAAACATGGGGGCATCAG (AntiSense)</w:t>
            </w:r>
            <w:r w:rsidRPr="00CC21E8">
              <w:t xml:space="preserve"> </w:t>
            </w:r>
          </w:p>
        </w:tc>
        <w:tc>
          <w:tcPr>
            <w:tcW w:w="0" w:type="auto"/>
            <w:shd w:val="clear" w:color="auto" w:fill="EEEEEE"/>
            <w:tcMar>
              <w:top w:w="30" w:type="dxa"/>
              <w:left w:w="75" w:type="dxa"/>
              <w:bottom w:w="30" w:type="dxa"/>
              <w:right w:w="75" w:type="dxa"/>
            </w:tcMar>
            <w:hideMark/>
          </w:tcPr>
          <w:p w:rsidR="006E2A08" w:rsidRPr="00CC21E8" w:rsidRDefault="006E2A08" w:rsidP="00C40A84">
            <w:r w:rsidRPr="00CC21E8">
              <w:t>426</w:t>
            </w:r>
          </w:p>
        </w:tc>
        <w:tc>
          <w:tcPr>
            <w:tcW w:w="0" w:type="auto"/>
            <w:shd w:val="clear" w:color="auto" w:fill="EEEEEE"/>
            <w:tcMar>
              <w:top w:w="30" w:type="dxa"/>
              <w:left w:w="75" w:type="dxa"/>
              <w:bottom w:w="30" w:type="dxa"/>
              <w:right w:w="75" w:type="dxa"/>
            </w:tcMar>
            <w:hideMark/>
          </w:tcPr>
          <w:p w:rsidR="006E2A08" w:rsidRPr="00CC21E8" w:rsidRDefault="006E2A08" w:rsidP="00C40A84">
            <w:r w:rsidRPr="00CC21E8">
              <w:t>444</w:t>
            </w:r>
          </w:p>
        </w:tc>
        <w:tc>
          <w:tcPr>
            <w:tcW w:w="0" w:type="auto"/>
            <w:shd w:val="clear" w:color="auto" w:fill="EEEEEE"/>
            <w:tcMar>
              <w:top w:w="30" w:type="dxa"/>
              <w:left w:w="75" w:type="dxa"/>
              <w:bottom w:w="30" w:type="dxa"/>
              <w:right w:w="75" w:type="dxa"/>
            </w:tcMar>
            <w:hideMark/>
          </w:tcPr>
          <w:p w:rsidR="006E2A08" w:rsidRPr="00CC21E8" w:rsidRDefault="006E2A08" w:rsidP="00C40A84">
            <w:r w:rsidRPr="00CC21E8">
              <w:t>18</w:t>
            </w:r>
          </w:p>
        </w:tc>
        <w:tc>
          <w:tcPr>
            <w:tcW w:w="0" w:type="auto"/>
            <w:shd w:val="clear" w:color="auto" w:fill="EEEEEE"/>
            <w:tcMar>
              <w:top w:w="30" w:type="dxa"/>
              <w:left w:w="75" w:type="dxa"/>
              <w:bottom w:w="30" w:type="dxa"/>
              <w:right w:w="75" w:type="dxa"/>
            </w:tcMar>
            <w:hideMark/>
          </w:tcPr>
          <w:p w:rsidR="006E2A08" w:rsidRPr="00CC21E8" w:rsidRDefault="006E2A08" w:rsidP="00C40A84">
            <w:r w:rsidRPr="00CC21E8">
              <w:t>61</w:t>
            </w:r>
          </w:p>
        </w:tc>
        <w:tc>
          <w:tcPr>
            <w:tcW w:w="0" w:type="auto"/>
            <w:shd w:val="clear" w:color="auto" w:fill="EEEEEE"/>
            <w:tcMar>
              <w:top w:w="30" w:type="dxa"/>
              <w:left w:w="75" w:type="dxa"/>
              <w:bottom w:w="30" w:type="dxa"/>
              <w:right w:w="75" w:type="dxa"/>
            </w:tcMar>
            <w:hideMark/>
          </w:tcPr>
          <w:p w:rsidR="006E2A08" w:rsidRPr="00CC21E8" w:rsidRDefault="006E2A08" w:rsidP="00C40A84">
            <w:r w:rsidRPr="00CC21E8">
              <w:t>55.6</w:t>
            </w:r>
          </w:p>
        </w:tc>
      </w:tr>
    </w:tbl>
    <w:p w:rsidR="006E2A08" w:rsidRDefault="006E2A08" w:rsidP="006E2A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pPr>
    </w:p>
    <w:p w:rsidR="006E2A08" w:rsidRPr="00CC21E8" w:rsidRDefault="006E2A08" w:rsidP="006E2A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sz w:val="20"/>
          <w:szCs w:val="20"/>
        </w:rPr>
      </w:pPr>
      <w:r w:rsidRPr="00CC21E8">
        <w:rPr>
          <w:sz w:val="20"/>
          <w:szCs w:val="20"/>
        </w:rPr>
        <w:t>&gt;</w:t>
      </w:r>
      <w:r w:rsidRPr="00CC21E8">
        <w:rPr>
          <w:rFonts w:eastAsiaTheme="minorHAnsi"/>
          <w:sz w:val="20"/>
          <w:szCs w:val="20"/>
        </w:rPr>
        <w:t>XM_003435649_2</w:t>
      </w:r>
    </w:p>
    <w:p w:rsidR="006E2A08" w:rsidRPr="00065E7F" w:rsidRDefault="006E2A08" w:rsidP="006E2A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sz w:val="20"/>
          <w:szCs w:val="20"/>
        </w:rPr>
      </w:pPr>
      <w:r w:rsidRPr="00CC21E8">
        <w:rPr>
          <w:sz w:val="20"/>
          <w:szCs w:val="20"/>
        </w:rPr>
        <w:t>GCCCGACAGACAGCCGCGTCTTCTGGTGCTGCGCCAGGCGCGTCCCCGAGGCACGATGGTGAAGGTCGGAGTGAACGGATTTGGCCATATTGGGCGCCTGGTCACCAGGGCTGCTTTTAACTCTGGCAAAGTGGATATTGTCGCCATCAATGACCCCTTCATTGATCTCAACTACATGGTGTACATGTTCCAGTATGATTCTACCCACAGCAAATTCCACGGCACAGTCAAGGCTGAGAACGGGAAACTTGTCATCAACGGGAAGTCCATCTCCATCTTCCAGGAGCGAGATCCTGCCAACGTCAAATGGGGTGATGCTGGTGCTGAGTATGTTGTGGAGTCCACTGGGGTCTTCACCACCATGGAGAAGG</w:t>
      </w:r>
      <w:r w:rsidRPr="00CC21E8">
        <w:rPr>
          <w:sz w:val="20"/>
          <w:szCs w:val="20"/>
          <w:highlight w:val="yellow"/>
        </w:rPr>
        <w:t>CTGGGGCTCACTTGAAAGG</w:t>
      </w:r>
      <w:r w:rsidRPr="00CC21E8">
        <w:rPr>
          <w:sz w:val="20"/>
          <w:szCs w:val="20"/>
        </w:rPr>
        <w:t>CGTG</w:t>
      </w:r>
      <w:r w:rsidRPr="00CC21E8">
        <w:rPr>
          <w:sz w:val="20"/>
          <w:szCs w:val="20"/>
          <w:highlight w:val="cyan"/>
        </w:rPr>
        <w:t>GCCAAGAGGGTCATCATCTCTGCT</w:t>
      </w:r>
      <w:r w:rsidRPr="00CC21E8">
        <w:rPr>
          <w:sz w:val="20"/>
          <w:szCs w:val="20"/>
        </w:rPr>
        <w:t>CCTTCTG</w:t>
      </w:r>
      <w:r w:rsidRPr="00CC21E8">
        <w:rPr>
          <w:sz w:val="20"/>
          <w:szCs w:val="20"/>
          <w:highlight w:val="green"/>
        </w:rPr>
        <w:t>CTGATGCCCCCATGTTTG</w:t>
      </w:r>
      <w:r w:rsidRPr="00CC21E8">
        <w:rPr>
          <w:sz w:val="20"/>
          <w:szCs w:val="20"/>
        </w:rPr>
        <w:t>TGATGGGCGTGAACCATGAGAAGTATGACAACTCCCTCAAGATTGTCAGCAATGCCTCCTGCACCACCAACTGCTTGGCTCCTCTAGCCAAAGTCATCCATGACCACTTCGGCATCGTGGAGGGCCTCATGACCACCGTCCATGCCATCACTGCCACCCAGAAGACCGTGGAGGGTCCCTCTGGGAAGCTGTGGCGTGACGGCCGAGGGGCTGCCCAGAACATCATCCCTGCTTCCACTGGCGCCGCCAAGGCTGTGGGCAAGGTCATCCCTGAGCTGAACGGGAAGCTCACTGGCATGGCCTTCCGTGTCCCCACCCCCAATGTATCAGTTGTGGATCTGACCTGCCGCCTGGAGAAAGCTGCCAAATATGACGACATCAAGAAGGTAGTGAAGCAGGCATCGGAGGGACCCCTCAAGGGCATCCTGGGCTACACTGAGGACCAGGTGGTCTCCTGTGACTTCAACAGTGACACCCACTCTTCCACCTTCGACGCCGGGGCTGGCATTGCCCTCAATGACCACTTTGTCAAGCTCATTTCCTGGTATGACAATGAATTCGGCTACAGCAACCGGGTGGTGGACCTCATGGTCCACATGGCCTCCAAGGAGTAAGAGCCTCCTGGACCACCAGCCCCAGCAAGAACAAGAGGAAGAGAGAGGCCCTCAGCTGCTGGGGAGTCCCTGCCCCAACTTAATCCCCCAACACACTGAGAATCTCCTGACCTCCAATTTACATCCTAGACCCCAAGGAAGGGGAGGGGCTTGGGGAGCCCTACCTTGTCATGTACCATCAATAAAGTATACTGTACCCAGCCAAAA</w:t>
      </w:r>
    </w:p>
    <w:p w:rsidR="006E2A08" w:rsidRPr="00CC21E8" w:rsidRDefault="006E2A08" w:rsidP="006E2A08">
      <w:pPr>
        <w:pStyle w:val="Caption"/>
        <w:rPr>
          <w:rFonts w:eastAsiaTheme="minorHAnsi"/>
        </w:rPr>
      </w:pPr>
      <w:bookmarkStart w:id="58" w:name="_Toc373267092"/>
      <w:bookmarkStart w:id="59" w:name="_Toc376465874"/>
      <w:r>
        <w:t xml:space="preserve">Figure </w:t>
      </w:r>
      <w:r>
        <w:fldChar w:fldCharType="begin"/>
      </w:r>
      <w:r>
        <w:instrText xml:space="preserve"> SEQ Figure \* ARABIC </w:instrText>
      </w:r>
      <w:r>
        <w:fldChar w:fldCharType="separate"/>
      </w:r>
      <w:proofErr w:type="gramStart"/>
      <w:r w:rsidR="00DE5561">
        <w:rPr>
          <w:noProof/>
        </w:rPr>
        <w:t>14</w:t>
      </w:r>
      <w:r>
        <w:rPr>
          <w:noProof/>
        </w:rPr>
        <w:fldChar w:fldCharType="end"/>
      </w:r>
      <w:r>
        <w:t xml:space="preserve"> GAPDH primer/probe information</w:t>
      </w:r>
      <w:bookmarkEnd w:id="58"/>
      <w:proofErr w:type="gramEnd"/>
      <w:r>
        <w:t>.</w:t>
      </w:r>
      <w:bookmarkEnd w:id="59"/>
    </w:p>
    <w:p w:rsidR="006E2A08" w:rsidRDefault="006E2A08" w:rsidP="00A1362C"/>
    <w:p w:rsidR="006E2A08" w:rsidRDefault="006E2A08" w:rsidP="00A1362C"/>
    <w:p w:rsidR="006E2A08" w:rsidRDefault="006E2A08" w:rsidP="00A1362C"/>
    <w:p w:rsidR="006E2A08" w:rsidRDefault="006E2A08" w:rsidP="00A1362C"/>
    <w:p w:rsidR="00A1362C" w:rsidRDefault="00A1362C" w:rsidP="00A1362C">
      <w:proofErr w:type="gramStart"/>
      <w:r>
        <w:t>dogs</w:t>
      </w:r>
      <w:proofErr w:type="gramEnd"/>
      <w:r>
        <w:t>.  Canine adiponectin sandwich ELISA kits were obtained from EMD Millipore (St. Charles, MO) and anal</w:t>
      </w:r>
      <w:r w:rsidR="006E2A08">
        <w:t xml:space="preserve">ysis was performed according to </w:t>
      </w:r>
      <w:r>
        <w:t>manufacturer instructions.  All samples, controls, and standards were run in duplicate and no samples from the same collection date for a single dog were run on the same plate.  Absorbance was read at 450 nm on an E</w:t>
      </w:r>
      <w:r w:rsidRPr="00B871D4">
        <w:t>L x 800 Universal Microplate Reader (Bio-Tek Instruments; Winooski, VT) and analyzed using Gen5 2.01.14 software (Bio-Tek Instruments; Winooski, VT).</w:t>
      </w:r>
      <w:r>
        <w:t xml:space="preserve">  </w:t>
      </w:r>
    </w:p>
    <w:p w:rsidR="00A1362C" w:rsidRPr="00334400" w:rsidRDefault="00A1362C" w:rsidP="00A1362C">
      <w:pPr>
        <w:pStyle w:val="Heading3"/>
      </w:pPr>
      <w:bookmarkStart w:id="60" w:name="_Toc376465777"/>
      <w:r>
        <w:t>Multiplex ELISA</w:t>
      </w:r>
      <w:bookmarkEnd w:id="60"/>
    </w:p>
    <w:p w:rsidR="00A1362C" w:rsidRDefault="00A1362C" w:rsidP="00A1362C">
      <w:pPr>
        <w:rPr>
          <w:color w:val="FF0000"/>
        </w:rPr>
      </w:pPr>
      <w:r>
        <w:t xml:space="preserve">Previously frozen serum samples were thawed to room temperature prior to use.  Select canine gut hormones were analyzed at three time points (0, 120, 420 minutes).  Select canine cytokines were analyzed at two time points (0, 420 minutes).  Three sample dates (baseline, one week, twelve weeks into treatment) were analyzed for all 36 dogs.  Multiple gut hormone (active ghrelin, active GLP1, insulin, leptin, total PYY) and cytokine (IL-6, IL-15) kits were obtained from EMD Millipore (St. Charles, MO) and analysis was performed according to manufacturer instructions.  All samples, controls, and standards were run in duplicate and no samples from the same collection date for a single dog were run on the same plate.  Kits were read using the </w:t>
      </w:r>
      <w:r>
        <w:rPr>
          <w:color w:val="FF0000"/>
        </w:rPr>
        <w:t xml:space="preserve">Luminex reader </w:t>
      </w:r>
      <w:proofErr w:type="gramStart"/>
      <w:r>
        <w:rPr>
          <w:color w:val="FF0000"/>
        </w:rPr>
        <w:t>version ??</w:t>
      </w:r>
      <w:proofErr w:type="gramEnd"/>
      <w:r>
        <w:rPr>
          <w:color w:val="FF0000"/>
        </w:rPr>
        <w:t xml:space="preserve"> (</w:t>
      </w:r>
      <w:proofErr w:type="gramStart"/>
      <w:r>
        <w:rPr>
          <w:color w:val="FF0000"/>
        </w:rPr>
        <w:t>location</w:t>
      </w:r>
      <w:proofErr w:type="gramEnd"/>
      <w:r>
        <w:rPr>
          <w:color w:val="FF0000"/>
        </w:rPr>
        <w:t>)</w:t>
      </w:r>
      <w:r>
        <w:t xml:space="preserve"> and analyzed using </w:t>
      </w:r>
      <w:r>
        <w:rPr>
          <w:color w:val="FF0000"/>
        </w:rPr>
        <w:t>Millipore analysis package (location).</w:t>
      </w:r>
    </w:p>
    <w:p w:rsidR="00A1362C" w:rsidRDefault="00A1362C" w:rsidP="00A1362C">
      <w:pPr>
        <w:pStyle w:val="Heading3"/>
      </w:pPr>
      <w:bookmarkStart w:id="61" w:name="_Toc376465778"/>
      <w:r>
        <w:t>Insulin</w:t>
      </w:r>
      <w:proofErr w:type="gramStart"/>
      <w:r>
        <w:t>:glucose</w:t>
      </w:r>
      <w:proofErr w:type="gramEnd"/>
      <w:r>
        <w:t xml:space="preserve"> ratio</w:t>
      </w:r>
      <w:bookmarkEnd w:id="61"/>
    </w:p>
    <w:p w:rsidR="00A1362C" w:rsidRDefault="00A1362C" w:rsidP="00A1362C">
      <w:r>
        <w:t>The insulin</w:t>
      </w:r>
      <w:proofErr w:type="gramStart"/>
      <w:r>
        <w:t>:glucose</w:t>
      </w:r>
      <w:proofErr w:type="gramEnd"/>
      <w:r>
        <w:t xml:space="preserve"> ratio was calculated using the average of the 420 minute duplicate insulin results and the 420 minute glucose value.  Unit conversion calculations were performed using the molecular weight of insulin (5808 g/mol) and a fixed conversion factor (1 µU/ml insulin = 6 nmol/L) as follows:</w:t>
      </w:r>
      <w:r>
        <w:fldChar w:fldCharType="begin"/>
      </w:r>
      <w:r w:rsidR="000A492A">
        <w:instrText xml:space="preserve"> ADDIN ZOTERO_ITEM CSL_CITATION {"citationID":"14jnblu5jj","properties":{"formattedCitation":"{\\rtf \\super 145,405\\nosupersub{}}","plainCitation":"145,405"},"citationItems":[{"id":550,"uris":["http://zotero.org/users/171999/items/USCF44KE"],"uri":["http://zotero.org/users/171999/items/USCF44KE"],"itemData":{"id":550,"type":"article-journal","title":"Insulin Assay Standardization: Leading to Measures of Insulin Sensitivity and Secretion for Practical Clinical Care Response to Staten et al.","container-title":"Diabetes Care","page":"e83-e83","volume":"33","issue":"6","source":"care.diabetesjournals.org","DOI":"10.2337/dc10-0034","ISSN":"0149-5992, 1935-5548","note":"PMID: 20508228","shortTitle":"Insulin Assay Standardization","journalAbbreviation":"Dia Care","language":"en","author":[{"family":"Heinemann","given":"Lutz"}],"issued":{"date-parts":[["2010",6,1]]},"accessed":{"date-parts":[["2013",11,22]]},"PMID":"20508228"}},{"id":"Gpwq8jj7/QN4EDEKg","uris":["http://zotero.org/users/local/Ry4zHLbn/items/T3HJ3BEN"],"uri":["http://zotero.org/users/local/Ry4zHLbn/items/T3HJ3BEN"],"itemData":{"id":"Gpwq8jj7/QN4EDEKg","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Endocrinol."}}],"schema":"https://github.com/citation-style-language/schema/raw/master/csl-citation.json"} </w:instrText>
      </w:r>
      <w:r>
        <w:fldChar w:fldCharType="separate"/>
      </w:r>
      <w:r w:rsidR="000A492A" w:rsidRPr="000A492A">
        <w:rPr>
          <w:vertAlign w:val="superscript"/>
        </w:rPr>
        <w:t>145,405</w:t>
      </w:r>
      <w:r>
        <w:fldChar w:fldCharType="end"/>
      </w:r>
    </w:p>
    <w:p w:rsidR="00A1362C" w:rsidRDefault="00A1362C" w:rsidP="00A1362C"/>
    <w:p w:rsidR="00A1362C" w:rsidRPr="00474A7D" w:rsidRDefault="00A1362C" w:rsidP="00A1362C">
      <w:pPr>
        <w:rPr>
          <w:rFonts w:ascii="Cambria Math" w:hAnsi="Cambria Math"/>
          <w:oMath/>
        </w:rPr>
      </w:pPr>
      <m:oMathPara>
        <m:oMath>
          <m:r>
            <w:rPr>
              <w:rFonts w:ascii="Cambria Math" w:hAnsi="Cambria Math"/>
            </w:rPr>
            <m:t xml:space="preserve">Insulin </m:t>
          </m:r>
          <m:d>
            <m:dPr>
              <m:ctrlPr>
                <w:rPr>
                  <w:rFonts w:ascii="Cambria Math" w:hAnsi="Cambria Math"/>
                  <w:i/>
                </w:rPr>
              </m:ctrlPr>
            </m:dPr>
            <m:e>
              <m:f>
                <m:fPr>
                  <m:ctrlPr>
                    <w:rPr>
                      <w:rFonts w:ascii="Cambria Math" w:hAnsi="Cambria Math"/>
                      <w:i/>
                    </w:rPr>
                  </m:ctrlPr>
                </m:fPr>
                <m:num>
                  <m:r>
                    <w:rPr>
                      <w:rFonts w:ascii="Cambria Math" w:hAnsi="Cambria Math"/>
                    </w:rPr>
                    <m:t>pmol</m:t>
                  </m:r>
                </m:num>
                <m:den>
                  <m:r>
                    <w:rPr>
                      <w:rFonts w:ascii="Cambria Math" w:hAnsi="Cambria Math"/>
                    </w:rPr>
                    <m:t>L</m:t>
                  </m:r>
                </m:den>
              </m:f>
            </m:e>
          </m:d>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 xml:space="preserve">Insulin </m:t>
                  </m:r>
                  <m:d>
                    <m:dPr>
                      <m:ctrlPr>
                        <w:rPr>
                          <w:rFonts w:ascii="Cambria Math" w:hAnsi="Cambria Math"/>
                          <w:i/>
                        </w:rPr>
                      </m:ctrlPr>
                    </m:dPr>
                    <m:e>
                      <m:f>
                        <m:fPr>
                          <m:ctrlPr>
                            <w:rPr>
                              <w:rFonts w:ascii="Cambria Math" w:hAnsi="Cambria Math"/>
                              <w:i/>
                            </w:rPr>
                          </m:ctrlPr>
                        </m:fPr>
                        <m:num>
                          <m:r>
                            <w:rPr>
                              <w:rFonts w:ascii="Cambria Math" w:hAnsi="Cambria Math"/>
                            </w:rPr>
                            <m:t>pg</m:t>
                          </m:r>
                        </m:num>
                        <m:den>
                          <m:r>
                            <w:rPr>
                              <w:rFonts w:ascii="Cambria Math" w:hAnsi="Cambria Math"/>
                            </w:rPr>
                            <m:t>ml</m:t>
                          </m:r>
                        </m:den>
                      </m:f>
                    </m:e>
                  </m:d>
                </m:e>
              </m:d>
            </m:num>
            <m:den>
              <m:d>
                <m:dPr>
                  <m:begChr m:val="["/>
                  <m:endChr m:val="]"/>
                  <m:ctrlPr>
                    <w:rPr>
                      <w:rFonts w:ascii="Cambria Math" w:hAnsi="Cambria Math"/>
                      <w:i/>
                    </w:rPr>
                  </m:ctrlPr>
                </m:dPr>
                <m:e>
                  <m:r>
                    <w:rPr>
                      <w:rFonts w:ascii="Cambria Math" w:hAnsi="Cambria Math"/>
                    </w:rPr>
                    <m:t>5808</m:t>
                  </m:r>
                  <m:f>
                    <m:fPr>
                      <m:ctrlPr>
                        <w:rPr>
                          <w:rFonts w:ascii="Cambria Math" w:hAnsi="Cambria Math"/>
                          <w:i/>
                        </w:rPr>
                      </m:ctrlPr>
                    </m:fPr>
                    <m:num>
                      <m:r>
                        <w:rPr>
                          <w:rFonts w:ascii="Cambria Math" w:hAnsi="Cambria Math"/>
                        </w:rPr>
                        <m:t>g</m:t>
                      </m:r>
                    </m:num>
                    <m:den>
                      <m:r>
                        <w:rPr>
                          <w:rFonts w:ascii="Cambria Math" w:hAnsi="Cambria Math"/>
                        </w:rPr>
                        <m:t>mol</m:t>
                      </m:r>
                    </m:den>
                  </m:f>
                </m:e>
              </m:d>
            </m:den>
          </m:f>
        </m:oMath>
      </m:oMathPara>
    </w:p>
    <w:p w:rsidR="00A1362C" w:rsidRDefault="00A1362C" w:rsidP="00A1362C"/>
    <w:p w:rsidR="00A1362C" w:rsidRPr="00C430C6" w:rsidRDefault="00A1362C" w:rsidP="00A1362C">
      <w:pPr>
        <w:rPr>
          <w:rFonts w:ascii="Cambria Math" w:hAnsi="Cambria Math"/>
          <w:oMath/>
        </w:rPr>
      </w:pPr>
      <m:oMathPara>
        <m:oMath>
          <m:r>
            <w:rPr>
              <w:rFonts w:ascii="Cambria Math" w:hAnsi="Cambria Math"/>
            </w:rPr>
            <m:t xml:space="preserve">Insulin </m:t>
          </m:r>
          <m:d>
            <m:dPr>
              <m:ctrlPr>
                <w:rPr>
                  <w:rFonts w:ascii="Cambria Math" w:hAnsi="Cambria Math"/>
                  <w:i/>
                </w:rPr>
              </m:ctrlPr>
            </m:dPr>
            <m:e>
              <m:f>
                <m:fPr>
                  <m:ctrlPr>
                    <w:rPr>
                      <w:rFonts w:ascii="Cambria Math" w:hAnsi="Cambria Math"/>
                      <w:i/>
                    </w:rPr>
                  </m:ctrlPr>
                </m:fPr>
                <m:num>
                  <m:r>
                    <w:rPr>
                      <w:rFonts w:ascii="Cambria Math" w:hAnsi="Cambria Math"/>
                    </w:rPr>
                    <m:t>µU</m:t>
                  </m:r>
                </m:num>
                <m:den>
                  <m:r>
                    <w:rPr>
                      <w:rFonts w:ascii="Cambria Math" w:hAnsi="Cambria Math"/>
                    </w:rPr>
                    <m:t>ml</m:t>
                  </m:r>
                </m:den>
              </m:f>
            </m:e>
          </m:d>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insulin</m:t>
                  </m:r>
                  <m:d>
                    <m:dPr>
                      <m:ctrlPr>
                        <w:rPr>
                          <w:rFonts w:ascii="Cambria Math" w:hAnsi="Cambria Math"/>
                          <w:i/>
                        </w:rPr>
                      </m:ctrlPr>
                    </m:dPr>
                    <m:e>
                      <m:f>
                        <m:fPr>
                          <m:ctrlPr>
                            <w:rPr>
                              <w:rFonts w:ascii="Cambria Math" w:hAnsi="Cambria Math"/>
                              <w:i/>
                            </w:rPr>
                          </m:ctrlPr>
                        </m:fPr>
                        <m:num>
                          <m:r>
                            <w:rPr>
                              <w:rFonts w:ascii="Cambria Math" w:hAnsi="Cambria Math"/>
                            </w:rPr>
                            <m:t>p</m:t>
                          </m:r>
                          <m:r>
                            <w:rPr>
                              <w:rFonts w:ascii="Cambria Math" w:hAnsi="Cambria Math"/>
                            </w:rPr>
                            <m:t>mol</m:t>
                          </m:r>
                        </m:num>
                        <m:den>
                          <m:r>
                            <w:rPr>
                              <w:rFonts w:ascii="Cambria Math" w:hAnsi="Cambria Math"/>
                            </w:rPr>
                            <m:t>L</m:t>
                          </m:r>
                        </m:den>
                      </m:f>
                    </m:e>
                  </m:d>
                </m:e>
              </m:d>
            </m:num>
            <m:den>
              <m:d>
                <m:dPr>
                  <m:begChr m:val="["/>
                  <m:endChr m:val="]"/>
                  <m:ctrlPr>
                    <w:rPr>
                      <w:rFonts w:ascii="Cambria Math" w:hAnsi="Cambria Math"/>
                      <w:i/>
                    </w:rPr>
                  </m:ctrlPr>
                </m:dPr>
                <m:e>
                  <m:r>
                    <w:rPr>
                      <w:rFonts w:ascii="Cambria Math" w:hAnsi="Cambria Math"/>
                    </w:rPr>
                    <m:t>6</m:t>
                  </m:r>
                  <m:d>
                    <m:dPr>
                      <m:ctrlPr>
                        <w:rPr>
                          <w:rFonts w:ascii="Cambria Math" w:hAnsi="Cambria Math"/>
                          <w:i/>
                        </w:rPr>
                      </m:ctrlPr>
                    </m:dPr>
                    <m:e>
                      <m:f>
                        <m:fPr>
                          <m:ctrlPr>
                            <w:rPr>
                              <w:rFonts w:ascii="Cambria Math" w:hAnsi="Cambria Math"/>
                              <w:i/>
                            </w:rPr>
                          </m:ctrlPr>
                        </m:fPr>
                        <m:num>
                          <m:r>
                            <w:rPr>
                              <w:rFonts w:ascii="Cambria Math" w:hAnsi="Cambria Math"/>
                            </w:rPr>
                            <m:t>nmol</m:t>
                          </m:r>
                        </m:num>
                        <m:den>
                          <m:r>
                            <w:rPr>
                              <w:rFonts w:ascii="Cambria Math" w:hAnsi="Cambria Math"/>
                            </w:rPr>
                            <m:t>L</m:t>
                          </m:r>
                        </m:den>
                      </m:f>
                    </m:e>
                  </m:d>
                </m:e>
              </m:d>
            </m:den>
          </m:f>
        </m:oMath>
      </m:oMathPara>
    </w:p>
    <w:p w:rsidR="00A1362C" w:rsidRDefault="00A1362C" w:rsidP="00A1362C"/>
    <w:p w:rsidR="00A1362C" w:rsidRPr="00C123DB" w:rsidRDefault="00A1362C" w:rsidP="00A1362C">
      <m:oMathPara>
        <m:oMath>
          <m:r>
            <w:rPr>
              <w:rFonts w:ascii="Cambria Math" w:hAnsi="Cambria Math"/>
            </w:rPr>
            <m:t>I:G=</m:t>
          </m:r>
          <m:f>
            <m:fPr>
              <m:ctrlPr>
                <w:rPr>
                  <w:rFonts w:ascii="Cambria Math" w:hAnsi="Cambria Math"/>
                  <w:i/>
                </w:rPr>
              </m:ctrlPr>
            </m:fPr>
            <m:num>
              <m:d>
                <m:dPr>
                  <m:begChr m:val="["/>
                  <m:endChr m:val="]"/>
                  <m:ctrlPr>
                    <w:rPr>
                      <w:rFonts w:ascii="Cambria Math" w:hAnsi="Cambria Math"/>
                      <w:i/>
                    </w:rPr>
                  </m:ctrlPr>
                </m:dPr>
                <m:e>
                  <m:r>
                    <w:rPr>
                      <w:rFonts w:ascii="Cambria Math" w:hAnsi="Cambria Math"/>
                    </w:rPr>
                    <m:t xml:space="preserve">Insulin </m:t>
                  </m:r>
                  <m:d>
                    <m:dPr>
                      <m:ctrlPr>
                        <w:rPr>
                          <w:rFonts w:ascii="Cambria Math" w:hAnsi="Cambria Math"/>
                          <w:i/>
                        </w:rPr>
                      </m:ctrlPr>
                    </m:dPr>
                    <m:e>
                      <m:f>
                        <m:fPr>
                          <m:ctrlPr>
                            <w:rPr>
                              <w:rFonts w:ascii="Cambria Math" w:hAnsi="Cambria Math"/>
                              <w:i/>
                            </w:rPr>
                          </m:ctrlPr>
                        </m:fPr>
                        <m:num>
                          <m:r>
                            <w:rPr>
                              <w:rFonts w:ascii="Cambria Math" w:hAnsi="Cambria Math"/>
                            </w:rPr>
                            <m:t>µU</m:t>
                          </m:r>
                        </m:num>
                        <m:den>
                          <m:r>
                            <w:rPr>
                              <w:rFonts w:ascii="Cambria Math" w:hAnsi="Cambria Math"/>
                            </w:rPr>
                            <m:t>ml</m:t>
                          </m:r>
                        </m:den>
                      </m:f>
                    </m:e>
                  </m:d>
                  <m:r>
                    <w:rPr>
                      <w:rFonts w:ascii="Cambria Math" w:hAnsi="Cambria Math"/>
                    </w:rPr>
                    <m:t>x 100</m:t>
                  </m:r>
                </m:e>
              </m:d>
            </m:num>
            <m:den>
              <m:r>
                <w:rPr>
                  <w:rFonts w:ascii="Cambria Math" w:hAnsi="Cambria Math"/>
                </w:rPr>
                <m:t xml:space="preserve">Fasting glucose </m:t>
              </m:r>
              <m:d>
                <m:dPr>
                  <m:ctrlPr>
                    <w:rPr>
                      <w:rFonts w:ascii="Cambria Math" w:hAnsi="Cambria Math"/>
                      <w:i/>
                    </w:rPr>
                  </m:ctrlPr>
                </m:dPr>
                <m:e>
                  <m:f>
                    <m:fPr>
                      <m:ctrlPr>
                        <w:rPr>
                          <w:rFonts w:ascii="Cambria Math" w:hAnsi="Cambria Math"/>
                          <w:i/>
                        </w:rPr>
                      </m:ctrlPr>
                    </m:fPr>
                    <m:num>
                      <m:r>
                        <w:rPr>
                          <w:rFonts w:ascii="Cambria Math" w:hAnsi="Cambria Math"/>
                        </w:rPr>
                        <m:t>mg</m:t>
                      </m:r>
                    </m:num>
                    <m:den>
                      <m:r>
                        <w:rPr>
                          <w:rFonts w:ascii="Cambria Math" w:hAnsi="Cambria Math"/>
                        </w:rPr>
                        <m:t>dl</m:t>
                      </m:r>
                    </m:den>
                  </m:f>
                </m:e>
              </m:d>
            </m:den>
          </m:f>
        </m:oMath>
      </m:oMathPara>
    </w:p>
    <w:p w:rsidR="00A1362C" w:rsidRDefault="00A1362C" w:rsidP="00A1362C">
      <w:pPr>
        <w:pStyle w:val="Heading3"/>
      </w:pPr>
      <w:bookmarkStart w:id="62" w:name="_Toc376465779"/>
      <w:r>
        <w:t>Statistical analysis</w:t>
      </w:r>
      <w:bookmarkEnd w:id="62"/>
    </w:p>
    <w:p w:rsidR="00A1362C" w:rsidRDefault="00A1362C" w:rsidP="00A1362C">
      <w:r>
        <w:t xml:space="preserve">Based on a power calculation, six dogs per group </w:t>
      </w:r>
      <w:proofErr w:type="gramStart"/>
      <w:r>
        <w:t>was</w:t>
      </w:r>
      <w:proofErr w:type="gramEnd"/>
      <w:r>
        <w:t xml:space="preserve"> considered sufficient to demonstrate significant differences.  The calculation utilized assumptions of a difference in mean body fat between treated (ObN) and untreated (ObP) dogs of 15% (increase in body fat from 15 to 25% in treated and 15 to 40% in untreated dogs), a within standard deviation of 25% in body fat, an alpha of 0.05, and a beta of 0.9.</w:t>
      </w:r>
    </w:p>
    <w:p w:rsidR="00A1362C" w:rsidRDefault="00A1362C" w:rsidP="00A1362C"/>
    <w:p w:rsidR="00A1362C" w:rsidRDefault="00A1362C" w:rsidP="00A1362C">
      <w:r>
        <w:t>Data was analyzed using MANOVA for repeated measures with SAS® version 9.4 (SAS Institute, Inc., Cary, NC).  Multiple comparisons within group, time and their interaction effects were corrected with Tukey's HSD.  P values less than 0.05 were reported as statistically significant.</w:t>
      </w:r>
    </w:p>
    <w:p w:rsidR="00A1362C" w:rsidRDefault="00A1362C" w:rsidP="00A1362C"/>
    <w:p w:rsidR="00A1362C" w:rsidRDefault="00A1362C" w:rsidP="00A1362C">
      <w:r>
        <w:t>Positive behavioral observations were counted and analyzed based on count number for all behaviors except cage position.  Since one of three possible cage positions was recorded at all observation times, distribution of position was analyzed.</w:t>
      </w:r>
    </w:p>
    <w:p w:rsidR="00A1362C" w:rsidRDefault="00A1362C" w:rsidP="00A1362C"/>
    <w:p w:rsidR="00A1362C" w:rsidRDefault="00A1362C" w:rsidP="00A1362C">
      <w:r>
        <w:t xml:space="preserve">Gut hormone and endocrine factor plasma samples were further analyzed for </w:t>
      </w:r>
      <w:r w:rsidR="00F125C0">
        <w:t xml:space="preserve">the </w:t>
      </w:r>
      <w:r>
        <w:t>420-minute subgroup.  The significant </w:t>
      </w:r>
      <w:r w:rsidRPr="00F125C0">
        <w:rPr>
          <w:i/>
        </w:rPr>
        <w:t>p</w:t>
      </w:r>
      <w:r>
        <w:t xml:space="preserve"> value was adjusted using the Bonferroni procedure to control for the risk of type I error.</w:t>
      </w:r>
    </w:p>
    <w:p w:rsidR="00B15C64" w:rsidRPr="009F00CC" w:rsidRDefault="00927570" w:rsidP="009F00CC">
      <w:pPr>
        <w:pStyle w:val="Heading2"/>
      </w:pPr>
      <w:bookmarkStart w:id="63" w:name="_Toc376465780"/>
      <w:r>
        <w:t>Results</w:t>
      </w:r>
      <w:bookmarkEnd w:id="63"/>
    </w:p>
    <w:p w:rsidR="00B15C64" w:rsidRDefault="001B31FB" w:rsidP="00E17B56">
      <w:r>
        <w:t>Twenty-four</w:t>
      </w:r>
      <w:r w:rsidR="00B15C64">
        <w:t xml:space="preserve"> do</w:t>
      </w:r>
      <w:r w:rsidR="00E66BB2">
        <w:t xml:space="preserve">gs started the study and </w:t>
      </w:r>
      <w:r>
        <w:t>twenty-one</w:t>
      </w:r>
      <w:r w:rsidR="00B15C64">
        <w:t xml:space="preserve"> dogs were included in final data analysis.  Three dogs (one from each </w:t>
      </w:r>
      <w:r w:rsidR="00E66BB2">
        <w:t xml:space="preserve">obesification </w:t>
      </w:r>
      <w:r w:rsidR="00B15C64">
        <w:t>group) did not reach the required 30% BF threshold du</w:t>
      </w:r>
      <w:r w:rsidR="001F3202">
        <w:t xml:space="preserve">ring obesification and </w:t>
      </w:r>
      <w:r w:rsidR="001F3202" w:rsidRPr="00676476">
        <w:t>were</w:t>
      </w:r>
      <w:r w:rsidR="00B15C64" w:rsidRPr="00676476">
        <w:t xml:space="preserve"> dropped from analysis.  </w:t>
      </w:r>
      <w:r w:rsidR="00443CBC" w:rsidRPr="00676476">
        <w:t>One dog from WL</w:t>
      </w:r>
      <w:r w:rsidR="00676476" w:rsidRPr="00676476">
        <w:t xml:space="preserve">D reached ideal body weight (18.2 %BF) at week 8 </w:t>
      </w:r>
      <w:r w:rsidR="00443CBC" w:rsidRPr="00676476">
        <w:t>and ended study parti</w:t>
      </w:r>
      <w:r>
        <w:t>cipation at that point.</w:t>
      </w:r>
    </w:p>
    <w:p w:rsidR="007F5660" w:rsidRDefault="007F5660" w:rsidP="00AD2956">
      <w:pPr>
        <w:pStyle w:val="Heading3"/>
      </w:pPr>
      <w:bookmarkStart w:id="64" w:name="_Toc376465781"/>
      <w:r>
        <w:t>Scale weight and BCS</w:t>
      </w:r>
      <w:bookmarkEnd w:id="64"/>
    </w:p>
    <w:p w:rsidR="00E60D1C" w:rsidRPr="00D2510B" w:rsidRDefault="00697339" w:rsidP="007F5660">
      <w:r>
        <w:t>There were</w:t>
      </w:r>
      <w:r w:rsidR="007F5660">
        <w:t xml:space="preserve"> no differences </w:t>
      </w:r>
      <w:r w:rsidR="00E8121C">
        <w:t xml:space="preserve">in </w:t>
      </w:r>
      <w:r w:rsidR="007F5660">
        <w:t>body weight</w:t>
      </w:r>
      <w:r w:rsidR="00FB2ADB">
        <w:t xml:space="preserve"> (BW)</w:t>
      </w:r>
      <w:r w:rsidR="00BB01D7">
        <w:t xml:space="preserve"> and </w:t>
      </w:r>
      <w:r w:rsidR="00E8121C">
        <w:t>BCS</w:t>
      </w:r>
      <w:r w:rsidR="007F5660">
        <w:t xml:space="preserve"> at baseline or one week into treatment within or between groups.  At the end of treatment, </w:t>
      </w:r>
      <w:r w:rsidR="00FB2ADB">
        <w:t>BW</w:t>
      </w:r>
      <w:r w:rsidR="007F5660">
        <w:t xml:space="preserve"> </w:t>
      </w:r>
      <w:r w:rsidR="00E8121C">
        <w:t xml:space="preserve">and BCS </w:t>
      </w:r>
      <w:r w:rsidR="007F5660">
        <w:t>for group ObP</w:t>
      </w:r>
      <w:r w:rsidR="00D2510B">
        <w:rPr>
          <w:vertAlign w:val="superscript"/>
        </w:rPr>
        <w:t xml:space="preserve"> </w:t>
      </w:r>
      <w:r w:rsidR="00E8121C">
        <w:t>were</w:t>
      </w:r>
      <w:r w:rsidR="007F5660">
        <w:t xml:space="preserve"> not different from baselin</w:t>
      </w:r>
      <w:r w:rsidR="00D2510B">
        <w:t xml:space="preserve">e </w:t>
      </w:r>
      <w:r w:rsidR="00491273">
        <w:t>or one week value</w:t>
      </w:r>
      <w:r w:rsidR="00D2510B">
        <w:t>s.  Compared to baseline and one week</w:t>
      </w:r>
      <w:r w:rsidR="00FB2ADB">
        <w:t>, BW</w:t>
      </w:r>
      <w:r w:rsidR="00BB01D7">
        <w:t xml:space="preserve"> and BCS</w:t>
      </w:r>
      <w:r w:rsidR="00D2510B">
        <w:t xml:space="preserve"> for group ObN and WLD were significantly different from their respective end</w:t>
      </w:r>
      <w:r w:rsidR="00BB01D7">
        <w:t>ing values</w:t>
      </w:r>
      <w:r w:rsidR="00D2510B">
        <w:t>, but were not different from each other</w:t>
      </w:r>
      <w:r w:rsidR="00BB01D7">
        <w:t>.  Group ObP e</w:t>
      </w:r>
      <w:r w:rsidR="00FB2ADB">
        <w:t>nd of treatment BW</w:t>
      </w:r>
      <w:r w:rsidR="00BB01D7">
        <w:t xml:space="preserve"> was different from ObN and WLD</w:t>
      </w:r>
      <w:r w:rsidR="003B7034">
        <w:t xml:space="preserve"> (</w:t>
      </w:r>
      <w:r w:rsidR="003B7034">
        <w:rPr>
          <w:i/>
        </w:rPr>
        <w:t xml:space="preserve">p </w:t>
      </w:r>
      <w:r w:rsidR="003B7034">
        <w:t>&lt; 0.0001</w:t>
      </w:r>
      <w:r w:rsidR="00327784">
        <w:t>),</w:t>
      </w:r>
      <w:r w:rsidR="00BB01D7">
        <w:t xml:space="preserve"> but mean BCS </w:t>
      </w:r>
      <w:r w:rsidR="003F688A">
        <w:t xml:space="preserve">did not differ for group ObP </w:t>
      </w:r>
      <w:r w:rsidR="00C3303D">
        <w:t>versus</w:t>
      </w:r>
      <w:r w:rsidR="00BB01D7">
        <w:t xml:space="preserve"> ObN</w:t>
      </w:r>
      <w:r w:rsidR="003B7034">
        <w:t xml:space="preserve">, while WLD </w:t>
      </w:r>
      <w:r w:rsidR="001F3202">
        <w:t>differ</w:t>
      </w:r>
      <w:r w:rsidR="003B7034">
        <w:t>ed from both</w:t>
      </w:r>
      <w:r w:rsidR="001B31FB">
        <w:t xml:space="preserve"> (</w:t>
      </w:r>
      <w:r w:rsidR="003B7034">
        <w:rPr>
          <w:i/>
        </w:rPr>
        <w:t>p</w:t>
      </w:r>
      <w:r w:rsidR="003B7034" w:rsidRPr="003B7034">
        <w:t xml:space="preserve"> &lt; 0.01;</w:t>
      </w:r>
      <w:r w:rsidR="003B7034">
        <w:rPr>
          <w:i/>
        </w:rPr>
        <w:t xml:space="preserve"> </w:t>
      </w:r>
      <w:r w:rsidR="0047437A">
        <w:rPr>
          <w:color w:val="FF0000"/>
        </w:rPr>
        <w:t>Table 4</w:t>
      </w:r>
      <w:r w:rsidR="001B31FB">
        <w:rPr>
          <w:color w:val="FF0000"/>
        </w:rPr>
        <w:t>)</w:t>
      </w:r>
      <w:r w:rsidR="00BB01D7">
        <w:t>.</w:t>
      </w:r>
      <w:r w:rsidR="00327784">
        <w:t xml:space="preserve">  Based on change from baseline, ObN and WLD lost similar levels of BW after twelve weeks of treatment, and more than ObP (</w:t>
      </w:r>
      <w:r w:rsidR="00327784">
        <w:rPr>
          <w:i/>
        </w:rPr>
        <w:t>p</w:t>
      </w:r>
      <w:r w:rsidR="00327784">
        <w:t xml:space="preserve"> &lt; 0.0001; </w:t>
      </w:r>
      <w:r w:rsidR="00327784">
        <w:rPr>
          <w:color w:val="FF0000"/>
        </w:rPr>
        <w:t>Table 5</w:t>
      </w:r>
      <w:r w:rsidR="00327784">
        <w:t>).</w:t>
      </w:r>
    </w:p>
    <w:p w:rsidR="00AD2956" w:rsidRDefault="00AD2956" w:rsidP="00AD2956">
      <w:pPr>
        <w:pStyle w:val="Heading3"/>
      </w:pPr>
      <w:bookmarkStart w:id="65" w:name="_Toc376465782"/>
      <w:r>
        <w:t>Food consumption</w:t>
      </w:r>
      <w:bookmarkEnd w:id="65"/>
    </w:p>
    <w:p w:rsidR="00E4760C" w:rsidRPr="00DE322F" w:rsidRDefault="00E4760C" w:rsidP="00E4760C">
      <w:r>
        <w:t>Consumption followed a similar significance pattern when analyzed as kcal, kcal/</w:t>
      </w:r>
      <w:r w:rsidRPr="003E7D46">
        <w:t>BW</w:t>
      </w:r>
      <w:r w:rsidRPr="003E7D46">
        <w:rPr>
          <w:vertAlign w:val="subscript"/>
        </w:rPr>
        <w:t>kg</w:t>
      </w:r>
      <w:r>
        <w:t>, and kcal/BW</w:t>
      </w:r>
      <w:r>
        <w:rPr>
          <w:vertAlign w:val="subscript"/>
        </w:rPr>
        <w:t>kg</w:t>
      </w:r>
      <w:r>
        <w:rPr>
          <w:vertAlign w:val="superscript"/>
        </w:rPr>
        <w:t>0.75</w:t>
      </w:r>
      <w:r>
        <w:t>.  As the metabolic body weight (BW</w:t>
      </w:r>
      <w:r>
        <w:rPr>
          <w:vertAlign w:val="subscript"/>
        </w:rPr>
        <w:t>kg</w:t>
      </w:r>
      <w:r>
        <w:rPr>
          <w:vertAlign w:val="superscript"/>
        </w:rPr>
        <w:t>0.75</w:t>
      </w:r>
      <w:r>
        <w:t>) is considered a more suitable way to describe the relationship between mass and energy in dogs, it will be used in reference to caloric intake discussions.</w:t>
      </w:r>
      <w:r>
        <w:fldChar w:fldCharType="begin"/>
      </w:r>
      <w:r>
        <w:instrText xml:space="preserve"> ADDIN ZOTERO_ITEM CSL_CITATION {"citationID":"2ekm3qjt5m","properties":{"formattedCitation":"{\\rtf \\super 67\\nosupersub{}}","plainCitation":"67"},"citationItems":[{"id":"Gpwq8jj7/vTXSqUDi","uris":["http://zotero.org/users/local/Ry4zHLbn/items/BB5Q46C6"],"uri":["http://zotero.org/users/local/Ry4zHLbn/items/BB5Q46C6"],"itemData":{"id":"Gpwq8jj7/vTXSqUDi","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fldChar w:fldCharType="separate"/>
      </w:r>
      <w:r w:rsidRPr="003E7D46">
        <w:rPr>
          <w:vertAlign w:val="superscript"/>
        </w:rPr>
        <w:t>67</w:t>
      </w:r>
      <w:r>
        <w:fldChar w:fldCharType="end"/>
      </w:r>
      <w:r>
        <w:t xml:space="preserve">  Kcal and kcal/BW</w:t>
      </w:r>
      <w:r>
        <w:rPr>
          <w:vertAlign w:val="subscript"/>
        </w:rPr>
        <w:t>kg</w:t>
      </w:r>
      <w:r>
        <w:t xml:space="preserve"> values are provided in </w:t>
      </w:r>
      <w:r w:rsidRPr="003E7D46">
        <w:rPr>
          <w:color w:val="FF0000"/>
        </w:rPr>
        <w:t xml:space="preserve">Table </w:t>
      </w:r>
      <w:r w:rsidR="0047437A">
        <w:rPr>
          <w:color w:val="FF0000"/>
        </w:rPr>
        <w:t>4</w:t>
      </w:r>
      <w:r>
        <w:t xml:space="preserve"> for additional reference.</w:t>
      </w:r>
    </w:p>
    <w:p w:rsidR="0047437A" w:rsidRDefault="0047437A" w:rsidP="0047437A">
      <w:pPr>
        <w:pStyle w:val="Caption"/>
        <w:sectPr w:rsidR="0047437A" w:rsidSect="00F92278">
          <w:pgSz w:w="12240" w:h="15840" w:code="1"/>
          <w:pgMar w:top="1440" w:right="1800" w:bottom="1872" w:left="1800" w:header="720" w:footer="1440" w:gutter="0"/>
          <w:cols w:space="720"/>
          <w:noEndnote/>
          <w:docGrid w:linePitch="360"/>
        </w:sectPr>
      </w:pPr>
    </w:p>
    <w:p w:rsidR="0047437A" w:rsidRDefault="0047437A" w:rsidP="0047437A">
      <w:pPr>
        <w:pStyle w:val="Caption"/>
      </w:pPr>
      <w:bookmarkStart w:id="66" w:name="_Toc376465826"/>
      <w:r>
        <w:t xml:space="preserve">Table </w:t>
      </w:r>
      <w:fldSimple w:instr=" SEQ Table \* ARABIC ">
        <w:r w:rsidR="00736DB0">
          <w:rPr>
            <w:noProof/>
          </w:rPr>
          <w:t>4</w:t>
        </w:r>
      </w:fldSimple>
      <w:r>
        <w:t xml:space="preserve"> Body weight, BCS, and food consumption by obesification group and time point (study week).</w:t>
      </w:r>
      <w:bookmarkEnd w:id="66"/>
    </w:p>
    <w:tbl>
      <w:tblPr>
        <w:tblStyle w:val="TableClassic1"/>
        <w:tblW w:w="0" w:type="auto"/>
        <w:tblLook w:val="04A0" w:firstRow="1" w:lastRow="0" w:firstColumn="1" w:lastColumn="0" w:noHBand="0" w:noVBand="1"/>
      </w:tblPr>
      <w:tblGrid>
        <w:gridCol w:w="1817"/>
        <w:gridCol w:w="2164"/>
        <w:gridCol w:w="2184"/>
        <w:gridCol w:w="2184"/>
        <w:gridCol w:w="2183"/>
        <w:gridCol w:w="2212"/>
      </w:tblGrid>
      <w:tr w:rsidR="0047437A" w:rsidTr="00C40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r>
              <w:t>Group</w:t>
            </w:r>
          </w:p>
        </w:tc>
        <w:tc>
          <w:tcPr>
            <w:tcW w:w="2164" w:type="dxa"/>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Baseline</w:t>
            </w:r>
          </w:p>
        </w:tc>
        <w:tc>
          <w:tcPr>
            <w:tcW w:w="2184" w:type="dxa"/>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One week</w:t>
            </w:r>
          </w:p>
        </w:tc>
        <w:tc>
          <w:tcPr>
            <w:tcW w:w="2184" w:type="dxa"/>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Four weeks</w:t>
            </w:r>
          </w:p>
        </w:tc>
        <w:tc>
          <w:tcPr>
            <w:tcW w:w="2183" w:type="dxa"/>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Eight weeks</w:t>
            </w:r>
          </w:p>
        </w:tc>
        <w:tc>
          <w:tcPr>
            <w:tcW w:w="2212" w:type="dxa"/>
          </w:tcPr>
          <w:p w:rsidR="0047437A" w:rsidRPr="000A0CC0" w:rsidRDefault="0047437A" w:rsidP="00C40A84">
            <w:pPr>
              <w:cnfStyle w:val="100000000000" w:firstRow="1" w:lastRow="0" w:firstColumn="0" w:lastColumn="0" w:oddVBand="0" w:evenVBand="0" w:oddHBand="0" w:evenHBand="0" w:firstRowFirstColumn="0" w:firstRowLastColumn="0" w:lastRowFirstColumn="0" w:lastRowLastColumn="0"/>
            </w:pPr>
            <w:r w:rsidRPr="000A0CC0">
              <w:t>Twelve weeks</w:t>
            </w:r>
            <w:r>
              <w:rPr>
                <w:vertAlign w:val="superscript"/>
              </w:rPr>
              <w:t>1</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r>
              <w:t>Scale weight (kg)</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212"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Pr="001D73C7" w:rsidRDefault="0047437A" w:rsidP="00C40A84">
            <w:pPr>
              <w:jc w:val="center"/>
              <w:rPr>
                <w:vertAlign w:val="superscript"/>
              </w:rPr>
            </w:pPr>
            <w:r>
              <w:t>ObN</w:t>
            </w:r>
            <w:r>
              <w:rPr>
                <w:vertAlign w:val="superscript"/>
              </w:rPr>
              <w:t>*</w:t>
            </w:r>
          </w:p>
        </w:tc>
        <w:tc>
          <w:tcPr>
            <w:tcW w:w="2164" w:type="dxa"/>
          </w:tcPr>
          <w:p w:rsidR="0047437A" w:rsidRPr="00C62000"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16.4 ± 0.7</w:t>
            </w:r>
            <w:r>
              <w:rPr>
                <w:vertAlign w:val="superscript"/>
              </w:rPr>
              <w:t>a,#</w:t>
            </w:r>
          </w:p>
        </w:tc>
        <w:tc>
          <w:tcPr>
            <w:tcW w:w="2184" w:type="dxa"/>
          </w:tcPr>
          <w:p w:rsidR="0047437A" w:rsidRPr="00C62000"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16.0 ± 0.8</w:t>
            </w:r>
            <w:r>
              <w:rPr>
                <w:vertAlign w:val="superscript"/>
              </w:rPr>
              <w:t>a,b,#,$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15.0 ± 1.1</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13.7 ± 1.3</w:t>
            </w:r>
            <w:r>
              <w:rPr>
                <w:vertAlign w:val="superscript"/>
              </w:rPr>
              <w:t>a,%</w:t>
            </w:r>
          </w:p>
        </w:tc>
        <w:tc>
          <w:tcPr>
            <w:tcW w:w="2212" w:type="dxa"/>
          </w:tcPr>
          <w:p w:rsidR="0047437A" w:rsidRPr="00C62000"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12.9 ± 1.5</w:t>
            </w:r>
            <w:r>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Pr="001D73C7" w:rsidRDefault="0047437A" w:rsidP="00C40A84">
            <w:pPr>
              <w:jc w:val="center"/>
              <w:rPr>
                <w:vertAlign w:val="superscript"/>
              </w:rPr>
            </w:pPr>
            <w:r>
              <w:t>ObP</w:t>
            </w:r>
            <w:r>
              <w:rPr>
                <w:vertAlign w:val="superscript"/>
              </w:rPr>
              <w:t>*</w:t>
            </w:r>
          </w:p>
        </w:tc>
        <w:tc>
          <w:tcPr>
            <w:tcW w:w="2164" w:type="dxa"/>
          </w:tcPr>
          <w:p w:rsidR="0047437A" w:rsidRPr="00C62000"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17.2 ± 1.4</w:t>
            </w:r>
            <w:r>
              <w:rPr>
                <w:vertAlign w:val="superscript"/>
              </w:rPr>
              <w:t>a,#</w:t>
            </w:r>
          </w:p>
        </w:tc>
        <w:tc>
          <w:tcPr>
            <w:tcW w:w="2184" w:type="dxa"/>
          </w:tcPr>
          <w:p w:rsidR="0047437A" w:rsidRPr="00C62000"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17.0 ± 1.1</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16.8 ± 0.9</w:t>
            </w:r>
            <w:r>
              <w:rPr>
                <w:vertAlign w:val="superscript"/>
              </w:rPr>
              <w:t>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15.9 ± 0.4</w:t>
            </w:r>
            <w:r>
              <w:rPr>
                <w:vertAlign w:val="superscript"/>
              </w:rPr>
              <w:t>b,#</w:t>
            </w:r>
          </w:p>
        </w:tc>
        <w:tc>
          <w:tcPr>
            <w:tcW w:w="2212" w:type="dxa"/>
          </w:tcPr>
          <w:p w:rsidR="0047437A" w:rsidRPr="00C62000"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16.0 ± 0.4</w:t>
            </w:r>
            <w:r>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Pr="001D73C7" w:rsidRDefault="0047437A" w:rsidP="00C40A84">
            <w:pPr>
              <w:jc w:val="center"/>
              <w:rPr>
                <w:vertAlign w:val="superscript"/>
              </w:rPr>
            </w:pPr>
            <w:r>
              <w:t>WLD</w:t>
            </w:r>
            <w:r>
              <w:rPr>
                <w:vertAlign w:val="superscript"/>
              </w:rPr>
              <w:t>*</w:t>
            </w:r>
          </w:p>
        </w:tc>
        <w:tc>
          <w:tcPr>
            <w:tcW w:w="2164" w:type="dxa"/>
          </w:tcPr>
          <w:p w:rsidR="0047437A" w:rsidRPr="00C62000"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16.3 ± 1.4</w:t>
            </w:r>
            <w:r>
              <w:rPr>
                <w:vertAlign w:val="superscript"/>
              </w:rPr>
              <w:t>a,#</w:t>
            </w:r>
          </w:p>
        </w:tc>
        <w:tc>
          <w:tcPr>
            <w:tcW w:w="2184" w:type="dxa"/>
          </w:tcPr>
          <w:p w:rsidR="0047437A" w:rsidRPr="00C62000"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15.3 ± 1.4</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14.7 ± 1.0</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13.9 ± 1.0</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12.4 ± 1.0</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r>
              <w:t>BCS</w:t>
            </w:r>
          </w:p>
          <w:p w:rsidR="0047437A" w:rsidRDefault="0047437A" w:rsidP="00C40A84">
            <w:r>
              <w:t>(9-point)</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ObN</w:t>
            </w:r>
          </w:p>
        </w:tc>
        <w:tc>
          <w:tcPr>
            <w:tcW w:w="2164" w:type="dxa"/>
          </w:tcPr>
          <w:p w:rsidR="0047437A" w:rsidRPr="003A274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8.8 ± 0.4</w:t>
            </w:r>
            <w:r>
              <w:rPr>
                <w:vertAlign w:val="superscript"/>
              </w:rPr>
              <w:t>a,#</w:t>
            </w:r>
          </w:p>
        </w:tc>
        <w:tc>
          <w:tcPr>
            <w:tcW w:w="2184" w:type="dxa"/>
          </w:tcPr>
          <w:p w:rsidR="0047437A" w:rsidRPr="003A274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8.8 ± 0.4</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8.0 ± 0.7</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7.4 ± 0.9</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6.4 ± 0.9</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ObP</w:t>
            </w:r>
          </w:p>
        </w:tc>
        <w:tc>
          <w:tcPr>
            <w:tcW w:w="2164" w:type="dxa"/>
          </w:tcPr>
          <w:p w:rsidR="0047437A" w:rsidRPr="003A274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8.2 ± 0.8</w:t>
            </w:r>
            <w:r>
              <w:rPr>
                <w:vertAlign w:val="superscript"/>
              </w:rPr>
              <w:t>a,#</w:t>
            </w:r>
          </w:p>
        </w:tc>
        <w:tc>
          <w:tcPr>
            <w:tcW w:w="2184" w:type="dxa"/>
          </w:tcPr>
          <w:p w:rsidR="0047437A" w:rsidRPr="003A274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8.0 ± 1.0</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8.0 ± 0.7</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8.0 ± 1.4</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7.4 ± 0.9</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WLD</w:t>
            </w:r>
          </w:p>
        </w:tc>
        <w:tc>
          <w:tcPr>
            <w:tcW w:w="2164" w:type="dxa"/>
          </w:tcPr>
          <w:p w:rsidR="0047437A" w:rsidRPr="003A274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8.4 ± 1.3</w:t>
            </w:r>
            <w:r>
              <w:rPr>
                <w:vertAlign w:val="superscript"/>
              </w:rPr>
              <w:t>a,#</w:t>
            </w:r>
          </w:p>
        </w:tc>
        <w:tc>
          <w:tcPr>
            <w:tcW w:w="2184" w:type="dxa"/>
          </w:tcPr>
          <w:p w:rsidR="0047437A" w:rsidRPr="003A274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8.0 ± 1.2</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7.8 ± 1.1</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6.8 ± 1.3</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5.3 ± 1.0</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r>
              <w:t>Food offered (kcal)</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ObN</w:t>
            </w:r>
          </w:p>
        </w:tc>
        <w:tc>
          <w:tcPr>
            <w:tcW w:w="2164" w:type="dxa"/>
          </w:tcPr>
          <w:p w:rsidR="0047437A" w:rsidRPr="00202AE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614.4 ± 150.4</w:t>
            </w:r>
            <w:r>
              <w:rPr>
                <w:vertAlign w:val="superscript"/>
              </w:rPr>
              <w:t>a,#</w:t>
            </w:r>
          </w:p>
        </w:tc>
        <w:tc>
          <w:tcPr>
            <w:tcW w:w="2184" w:type="dxa"/>
          </w:tcPr>
          <w:p w:rsidR="0047437A" w:rsidRPr="00202AE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641.6 ± 147.6</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641.9 ± 139.2</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650.2 ± 115.5</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687.3 ± 101.2</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ObP</w:t>
            </w:r>
          </w:p>
        </w:tc>
        <w:tc>
          <w:tcPr>
            <w:tcW w:w="2164" w:type="dxa"/>
          </w:tcPr>
          <w:p w:rsidR="0047437A" w:rsidRPr="00202AE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1177.37 ± 284.8</w:t>
            </w:r>
            <w:r>
              <w:rPr>
                <w:vertAlign w:val="superscript"/>
              </w:rPr>
              <w:t>b,#</w:t>
            </w:r>
          </w:p>
        </w:tc>
        <w:tc>
          <w:tcPr>
            <w:tcW w:w="2184" w:type="dxa"/>
          </w:tcPr>
          <w:p w:rsidR="0047437A" w:rsidRPr="00202AE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1071.0 ± 127.9</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1067.9 ± 135.6</w:t>
            </w:r>
            <w:r>
              <w:rPr>
                <w:vertAlign w:val="superscript"/>
              </w:rPr>
              <w:t>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1065.31 ±123.3</w:t>
            </w:r>
            <w:r>
              <w:rPr>
                <w:vertAlign w:val="superscript"/>
              </w:rPr>
              <w:t>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1074.4 ± 133.7</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WLD</w:t>
            </w:r>
          </w:p>
        </w:tc>
        <w:tc>
          <w:tcPr>
            <w:tcW w:w="2164" w:type="dxa"/>
          </w:tcPr>
          <w:p w:rsidR="0047437A" w:rsidRPr="009D43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977.4 ± 406.9</w:t>
            </w:r>
            <w:r>
              <w:rPr>
                <w:vertAlign w:val="superscript"/>
              </w:rPr>
              <w:t>c,#</w:t>
            </w:r>
          </w:p>
        </w:tc>
        <w:tc>
          <w:tcPr>
            <w:tcW w:w="2184" w:type="dxa"/>
          </w:tcPr>
          <w:p w:rsidR="0047437A" w:rsidRPr="009D43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848.7 ± 256.9</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847.2 ± 253.8</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867.0 ± 267.7</w:t>
            </w:r>
            <w:r>
              <w:rPr>
                <w:vertAlign w:val="superscript"/>
              </w:rPr>
              <w:t>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780.6 ± 236.2</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r>
              <w:t>Food intake (kcal)</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ObN</w:t>
            </w:r>
          </w:p>
        </w:tc>
        <w:tc>
          <w:tcPr>
            <w:tcW w:w="2164" w:type="dxa"/>
          </w:tcPr>
          <w:p w:rsidR="0047437A" w:rsidRPr="009D43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515.6 ± 134.5</w:t>
            </w:r>
            <w:r>
              <w:rPr>
                <w:vertAlign w:val="superscript"/>
              </w:rPr>
              <w:t>a,#</w:t>
            </w:r>
          </w:p>
        </w:tc>
        <w:tc>
          <w:tcPr>
            <w:tcW w:w="2184" w:type="dxa"/>
          </w:tcPr>
          <w:p w:rsidR="0047437A" w:rsidRPr="009D43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641.6 ± 147.6</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641.9 ± 139.2</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650.2 ± 115.5</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687.3 ± 101.2</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ObP</w:t>
            </w:r>
          </w:p>
        </w:tc>
        <w:tc>
          <w:tcPr>
            <w:tcW w:w="2164" w:type="dxa"/>
          </w:tcPr>
          <w:p w:rsidR="0047437A" w:rsidRPr="009D43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749.4 ± 169.0</w:t>
            </w:r>
            <w:r>
              <w:rPr>
                <w:vertAlign w:val="superscript"/>
              </w:rPr>
              <w:t>b,#</w:t>
            </w:r>
          </w:p>
        </w:tc>
        <w:tc>
          <w:tcPr>
            <w:tcW w:w="2184" w:type="dxa"/>
          </w:tcPr>
          <w:p w:rsidR="0047437A" w:rsidRPr="009D43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1000.8 ± 177.4</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1060.2 ± 149.5</w:t>
            </w:r>
            <w:r>
              <w:rPr>
                <w:vertAlign w:val="superscript"/>
              </w:rPr>
              <w:t>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1065.3 ± 123.3</w:t>
            </w:r>
            <w:r>
              <w:rPr>
                <w:vertAlign w:val="superscript"/>
              </w:rPr>
              <w:t>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1074.4 ± 133.7</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WLD</w:t>
            </w:r>
          </w:p>
        </w:tc>
        <w:tc>
          <w:tcPr>
            <w:tcW w:w="2164" w:type="dxa"/>
          </w:tcPr>
          <w:p w:rsidR="0047437A" w:rsidRPr="009D43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696.0 ± 158.4</w:t>
            </w:r>
            <w:r>
              <w:rPr>
                <w:vertAlign w:val="superscript"/>
              </w:rPr>
              <w:t>b,#</w:t>
            </w:r>
          </w:p>
        </w:tc>
        <w:tc>
          <w:tcPr>
            <w:tcW w:w="2184" w:type="dxa"/>
          </w:tcPr>
          <w:p w:rsidR="0047437A" w:rsidRPr="009D43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672.3 ± 79.7</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842.6 ± 247.8</w:t>
            </w:r>
            <w:r>
              <w:rPr>
                <w:vertAlign w:val="superscript"/>
              </w:rPr>
              <w:t>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867.0 ± 267.7</w:t>
            </w:r>
            <w:r>
              <w:rPr>
                <w:vertAlign w:val="superscript"/>
              </w:rPr>
              <w:t>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747.2 ± 173.9</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r>
              <w:t>Food not eaten (kcal)</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ObN</w:t>
            </w:r>
          </w:p>
        </w:tc>
        <w:tc>
          <w:tcPr>
            <w:tcW w:w="2164" w:type="dxa"/>
          </w:tcPr>
          <w:p w:rsidR="0047437A" w:rsidRPr="00BC1EAF"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98.8 ± 136.0</w:t>
            </w:r>
            <w:r>
              <w:rPr>
                <w:vertAlign w:val="superscript"/>
              </w:rPr>
              <w:t>a,#</w:t>
            </w:r>
          </w:p>
        </w:tc>
        <w:tc>
          <w:tcPr>
            <w:tcW w:w="2184" w:type="dxa"/>
          </w:tcPr>
          <w:p w:rsidR="0047437A" w:rsidRPr="00BC1EAF"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0 ± 0</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0 ± 0</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0 ± 0</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0 ± 0</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ObP</w:t>
            </w:r>
          </w:p>
        </w:tc>
        <w:tc>
          <w:tcPr>
            <w:tcW w:w="2164" w:type="dxa"/>
          </w:tcPr>
          <w:p w:rsidR="0047437A" w:rsidRPr="00BC1EAF"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428.0 ± 317.3</w:t>
            </w:r>
            <w:r>
              <w:rPr>
                <w:vertAlign w:val="superscript"/>
              </w:rPr>
              <w:t>a,#</w:t>
            </w:r>
          </w:p>
        </w:tc>
        <w:tc>
          <w:tcPr>
            <w:tcW w:w="2184" w:type="dxa"/>
          </w:tcPr>
          <w:p w:rsidR="0047437A" w:rsidRPr="00BC1EAF"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70.2 ± 83.7</w:t>
            </w:r>
            <w:r>
              <w:rPr>
                <w:vertAlign w:val="superscript"/>
              </w:rPr>
              <w:t>a,b,#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7.7 ± 17.3</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0 ± 0</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0 ± 0</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WLD</w:t>
            </w:r>
          </w:p>
        </w:tc>
        <w:tc>
          <w:tcPr>
            <w:tcW w:w="2164" w:type="dxa"/>
          </w:tcPr>
          <w:p w:rsidR="0047437A" w:rsidRPr="00BC1EAF"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281.4 ± 265.4</w:t>
            </w:r>
            <w:r>
              <w:rPr>
                <w:vertAlign w:val="superscript"/>
              </w:rPr>
              <w:t>a,#</w:t>
            </w:r>
          </w:p>
        </w:tc>
        <w:tc>
          <w:tcPr>
            <w:tcW w:w="2184" w:type="dxa"/>
          </w:tcPr>
          <w:p w:rsidR="0047437A" w:rsidRPr="00BC1EAF"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176.1 ± 214.7</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4.5 ± 10.2</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0 ± 0</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33.5 ± 65.9</w:t>
            </w:r>
            <w:r w:rsidRPr="00E825D1">
              <w:rPr>
                <w:vertAlign w:val="superscript"/>
              </w:rPr>
              <w:t>a,#,$,%</w:t>
            </w:r>
          </w:p>
        </w:tc>
      </w:tr>
    </w:tbl>
    <w:p w:rsidR="0047437A" w:rsidRDefault="0047437A" w:rsidP="0047437A">
      <w:pPr>
        <w:pStyle w:val="Caption"/>
      </w:pPr>
    </w:p>
    <w:p w:rsidR="0047437A" w:rsidRDefault="0047437A" w:rsidP="0047437A">
      <w:pPr>
        <w:pStyle w:val="Caption"/>
      </w:pPr>
      <w:r w:rsidRPr="00AB75F9">
        <w:rPr>
          <w:color w:val="FF0000"/>
        </w:rPr>
        <w:t xml:space="preserve">Table </w:t>
      </w:r>
      <w:r>
        <w:rPr>
          <w:color w:val="FF0000"/>
        </w:rPr>
        <w:t>4</w:t>
      </w:r>
      <w:r>
        <w:t xml:space="preserve"> (</w:t>
      </w:r>
      <w:r w:rsidRPr="00D329AE">
        <w:t>Continued) Body weight, BCS, and food consumption by obesification group and time point</w:t>
      </w:r>
      <w:r>
        <w:t xml:space="preserve"> (study week).</w:t>
      </w:r>
    </w:p>
    <w:tbl>
      <w:tblPr>
        <w:tblStyle w:val="TableClassic1"/>
        <w:tblW w:w="0" w:type="auto"/>
        <w:tblLook w:val="04A0" w:firstRow="1" w:lastRow="0" w:firstColumn="1" w:lastColumn="0" w:noHBand="0" w:noVBand="1"/>
      </w:tblPr>
      <w:tblGrid>
        <w:gridCol w:w="1817"/>
        <w:gridCol w:w="2164"/>
        <w:gridCol w:w="2184"/>
        <w:gridCol w:w="2184"/>
        <w:gridCol w:w="2183"/>
        <w:gridCol w:w="2212"/>
      </w:tblGrid>
      <w:tr w:rsidR="0047437A" w:rsidTr="00C40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r>
              <w:t>Group</w:t>
            </w:r>
          </w:p>
        </w:tc>
        <w:tc>
          <w:tcPr>
            <w:tcW w:w="2164" w:type="dxa"/>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Baseline</w:t>
            </w:r>
          </w:p>
        </w:tc>
        <w:tc>
          <w:tcPr>
            <w:tcW w:w="2184" w:type="dxa"/>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One week</w:t>
            </w:r>
          </w:p>
        </w:tc>
        <w:tc>
          <w:tcPr>
            <w:tcW w:w="2184" w:type="dxa"/>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Four weeks</w:t>
            </w:r>
          </w:p>
        </w:tc>
        <w:tc>
          <w:tcPr>
            <w:tcW w:w="2183" w:type="dxa"/>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Eight weeks</w:t>
            </w:r>
          </w:p>
        </w:tc>
        <w:tc>
          <w:tcPr>
            <w:tcW w:w="2212" w:type="dxa"/>
          </w:tcPr>
          <w:p w:rsidR="0047437A" w:rsidRPr="000A0CC0" w:rsidRDefault="0047437A" w:rsidP="00C40A84">
            <w:pPr>
              <w:cnfStyle w:val="100000000000" w:firstRow="1" w:lastRow="0" w:firstColumn="0" w:lastColumn="0" w:oddVBand="0" w:evenVBand="0" w:oddHBand="0" w:evenHBand="0" w:firstRowFirstColumn="0" w:firstRowLastColumn="0" w:lastRowFirstColumn="0" w:lastRowLastColumn="0"/>
            </w:pPr>
            <w:r w:rsidRPr="000A0CC0">
              <w:t>Twelve weeks</w:t>
            </w:r>
            <w:r>
              <w:rPr>
                <w:vertAlign w:val="superscript"/>
              </w:rPr>
              <w:t>1</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Pr="001D73C7" w:rsidRDefault="0047437A" w:rsidP="00C40A84">
            <w:r>
              <w:t>Food offered (kcal/BW</w:t>
            </w:r>
            <w:r>
              <w:rPr>
                <w:vertAlign w:val="subscript"/>
              </w:rPr>
              <w:t>kg</w:t>
            </w:r>
            <w:r>
              <w:t>)</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ObN</w:t>
            </w:r>
          </w:p>
        </w:tc>
        <w:tc>
          <w:tcPr>
            <w:tcW w:w="2164" w:type="dxa"/>
          </w:tcPr>
          <w:p w:rsidR="0047437A" w:rsidRPr="000D197C"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37.2 ± 8.3</w:t>
            </w:r>
            <w:r>
              <w:rPr>
                <w:vertAlign w:val="superscript"/>
              </w:rPr>
              <w:t>a,#</w:t>
            </w:r>
          </w:p>
        </w:tc>
        <w:tc>
          <w:tcPr>
            <w:tcW w:w="2184" w:type="dxa"/>
          </w:tcPr>
          <w:p w:rsidR="0047437A" w:rsidRPr="000D197C"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39.7 ± 7.7</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42.3 ± 7.0</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47.2 ± 5.2</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53.6 ± 7.1</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ObP</w:t>
            </w:r>
          </w:p>
        </w:tc>
        <w:tc>
          <w:tcPr>
            <w:tcW w:w="2164" w:type="dxa"/>
          </w:tcPr>
          <w:p w:rsidR="0047437A" w:rsidRPr="000D197C"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69.8 ± 21.6</w:t>
            </w:r>
            <w:r>
              <w:rPr>
                <w:vertAlign w:val="superscript"/>
              </w:rPr>
              <w:t>b,#</w:t>
            </w:r>
          </w:p>
        </w:tc>
        <w:tc>
          <w:tcPr>
            <w:tcW w:w="2184" w:type="dxa"/>
          </w:tcPr>
          <w:p w:rsidR="0047437A" w:rsidRPr="000D197C"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63.6 ± 10.3</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63.8 ± 9.7</w:t>
            </w:r>
            <w:r>
              <w:rPr>
                <w:vertAlign w:val="superscript"/>
              </w:rPr>
              <w:t>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67.2 ± 8.5</w:t>
            </w:r>
            <w:r>
              <w:rPr>
                <w:vertAlign w:val="superscript"/>
              </w:rPr>
              <w:t>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67.0 ± 8.8</w:t>
            </w:r>
            <w:r w:rsidRPr="00E825D1">
              <w:rPr>
                <w:vertAlign w:val="superscript"/>
              </w:rPr>
              <w:t>a,b,#</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WLD</w:t>
            </w:r>
          </w:p>
        </w:tc>
        <w:tc>
          <w:tcPr>
            <w:tcW w:w="2164" w:type="dxa"/>
          </w:tcPr>
          <w:p w:rsidR="0047437A" w:rsidRPr="000D197C"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62.0 ± 30.9</w:t>
            </w:r>
            <w:r>
              <w:rPr>
                <w:vertAlign w:val="superscript"/>
              </w:rPr>
              <w:t>b,#</w:t>
            </w:r>
          </w:p>
        </w:tc>
        <w:tc>
          <w:tcPr>
            <w:tcW w:w="2184" w:type="dxa"/>
          </w:tcPr>
          <w:p w:rsidR="0047437A" w:rsidRPr="000D197C"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56.7 ± 21.6</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58.6 ± 20.5</w:t>
            </w:r>
            <w:r>
              <w:rPr>
                <w:vertAlign w:val="superscript"/>
              </w:rPr>
              <w:t>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62.6 ± 20.3</w:t>
            </w:r>
            <w:r>
              <w:rPr>
                <w:vertAlign w:val="superscript"/>
              </w:rPr>
              <w:t>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62.5 ± 15.9</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Pr="00C55791" w:rsidRDefault="0047437A" w:rsidP="00C40A84">
            <w:r>
              <w:t>Food intake (kcal/BW</w:t>
            </w:r>
            <w:r>
              <w:rPr>
                <w:vertAlign w:val="subscript"/>
              </w:rPr>
              <w:t>kg</w:t>
            </w:r>
            <w:r>
              <w:t>)</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ObN</w:t>
            </w:r>
          </w:p>
        </w:tc>
        <w:tc>
          <w:tcPr>
            <w:tcW w:w="2164" w:type="dxa"/>
          </w:tcPr>
          <w:p w:rsidR="0047437A" w:rsidRPr="0088576A" w:rsidRDefault="0047437A" w:rsidP="00C40A84">
            <w:pPr>
              <w:cnfStyle w:val="000000000000" w:firstRow="0" w:lastRow="0" w:firstColumn="0" w:lastColumn="0" w:oddVBand="0" w:evenVBand="0" w:oddHBand="0" w:evenHBand="0" w:firstRowFirstColumn="0" w:firstRowLastColumn="0" w:lastRowFirstColumn="0" w:lastRowLastColumn="0"/>
            </w:pPr>
            <w:r>
              <w:t>31.3 ± 8.0</w:t>
            </w:r>
            <w:r w:rsidRPr="0088576A">
              <w:rPr>
                <w:vertAlign w:val="superscript"/>
              </w:rPr>
              <w:t>a</w:t>
            </w:r>
            <w:r>
              <w:rPr>
                <w:vertAlign w:val="superscript"/>
              </w:rPr>
              <w:t>,#</w:t>
            </w:r>
          </w:p>
        </w:tc>
        <w:tc>
          <w:tcPr>
            <w:tcW w:w="2184" w:type="dxa"/>
          </w:tcPr>
          <w:p w:rsidR="0047437A" w:rsidRPr="008857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39.7 ± 7.7</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42.3 ± 7.0</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47.2 ± 5.2</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53.6 ± 7.1</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ObP</w:t>
            </w:r>
          </w:p>
        </w:tc>
        <w:tc>
          <w:tcPr>
            <w:tcW w:w="2164" w:type="dxa"/>
          </w:tcPr>
          <w:p w:rsidR="0047437A" w:rsidRPr="008857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43.5 ± 8.1</w:t>
            </w:r>
            <w:r>
              <w:rPr>
                <w:vertAlign w:val="superscript"/>
              </w:rPr>
              <w:t>a,#</w:t>
            </w:r>
          </w:p>
        </w:tc>
        <w:tc>
          <w:tcPr>
            <w:tcW w:w="2184" w:type="dxa"/>
          </w:tcPr>
          <w:p w:rsidR="0047437A" w:rsidRPr="008857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59.4 ± 12.4</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63.4 ± 10.5</w:t>
            </w:r>
            <w:r>
              <w:rPr>
                <w:vertAlign w:val="superscript"/>
              </w:rPr>
              <w:t>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67.2 ± 8.5</w:t>
            </w:r>
            <w:r>
              <w:rPr>
                <w:vertAlign w:val="superscript"/>
              </w:rPr>
              <w:t>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67.0 ± 8.8</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WLD</w:t>
            </w:r>
          </w:p>
        </w:tc>
        <w:tc>
          <w:tcPr>
            <w:tcW w:w="2164" w:type="dxa"/>
          </w:tcPr>
          <w:p w:rsidR="0047437A" w:rsidRPr="008857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43.7 ± 14.0</w:t>
            </w:r>
            <w:r>
              <w:rPr>
                <w:vertAlign w:val="superscript"/>
              </w:rPr>
              <w:t>a,#</w:t>
            </w:r>
          </w:p>
        </w:tc>
        <w:tc>
          <w:tcPr>
            <w:tcW w:w="2184" w:type="dxa"/>
          </w:tcPr>
          <w:p w:rsidR="0047437A" w:rsidRPr="0088576A"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44.5 ± 9.6</w:t>
            </w:r>
            <w:r>
              <w:rPr>
                <w:vertAlign w:val="superscript"/>
              </w:rPr>
              <w:t>a,b,#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58.3 ± 20.2</w:t>
            </w:r>
            <w:r>
              <w:rPr>
                <w:vertAlign w:val="superscript"/>
              </w:rPr>
              <w:t>a,b,#,$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62.6 ± 20.3</w:t>
            </w:r>
            <w:r>
              <w:rPr>
                <w:vertAlign w:val="superscript"/>
              </w:rPr>
              <w:t>a,b,$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60.0 ± 11.8</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Pr="001D73C7" w:rsidRDefault="0047437A" w:rsidP="00C40A84">
            <w:r>
              <w:t>Food offered (kcal/BW</w:t>
            </w:r>
            <w:r>
              <w:rPr>
                <w:vertAlign w:val="subscript"/>
              </w:rPr>
              <w:t>kg</w:t>
            </w:r>
            <w:r>
              <w:rPr>
                <w:vertAlign w:val="superscript"/>
              </w:rPr>
              <w:t>0.75</w:t>
            </w:r>
            <w:r>
              <w:t>)</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ObN</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75.0 ± 17.2</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79.6 ± 16.1</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83.6 ± 14.9</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90.8 ± 11.3</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r w:rsidRPr="00E825D1">
              <w:t>101.3 ± 12.7</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ObP</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141.4 ± 41.2</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128.7 ± 19.2</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129.1 ± 18.6</w:t>
            </w:r>
            <w:r>
              <w:rPr>
                <w:vertAlign w:val="superscript"/>
              </w:rPr>
              <w:t>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134.0 ± 16.6</w:t>
            </w:r>
            <w:r>
              <w:rPr>
                <w:vertAlign w:val="superscript"/>
              </w:rPr>
              <w:t>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r w:rsidRPr="00E825D1">
              <w:t>134.1 ± 17.3</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WLD</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123.4 ± 58.9</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111.5 ± 40.2</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114.3 ± 38.4</w:t>
            </w:r>
            <w:r>
              <w:rPr>
                <w:vertAlign w:val="superscript"/>
              </w:rPr>
              <w:t>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120.7 ± 38.5</w:t>
            </w:r>
            <w:r>
              <w:rPr>
                <w:vertAlign w:val="superscript"/>
              </w:rPr>
              <w:t>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r w:rsidRPr="00E825D1">
              <w:t>117.5 ± 31.1</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Pr="00C55791" w:rsidRDefault="0047437A" w:rsidP="00C40A84">
            <w:r>
              <w:t>Food intake (kcal/BW</w:t>
            </w:r>
            <w:r>
              <w:rPr>
                <w:vertAlign w:val="subscript"/>
              </w:rPr>
              <w:t>kg</w:t>
            </w:r>
            <w:r>
              <w:rPr>
                <w:vertAlign w:val="superscript"/>
              </w:rPr>
              <w:t>0.75</w:t>
            </w:r>
            <w:r>
              <w:t>)</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ObN</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63.1 ± 16.2</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79.6 ± 16.1</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83.6 ± 14.9</w:t>
            </w:r>
            <w:r>
              <w:rPr>
                <w:vertAlign w:val="superscript"/>
              </w:rPr>
              <w:t>a,#,$</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90.8 ± 11.3</w:t>
            </w:r>
            <w:r>
              <w:rPr>
                <w:vertAlign w:val="superscript"/>
              </w:rPr>
              <w:t>a,#,$</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r w:rsidRPr="00E825D1">
              <w:t>101.3 ± 12.7</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Pr>
          <w:p w:rsidR="0047437A" w:rsidRDefault="0047437A" w:rsidP="00C40A84">
            <w:pPr>
              <w:jc w:val="center"/>
            </w:pPr>
            <w:r>
              <w:t>ObP</w:t>
            </w:r>
          </w:p>
        </w:tc>
        <w:tc>
          <w:tcPr>
            <w:tcW w:w="216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88.6 ± 17.2</w:t>
            </w:r>
            <w:r>
              <w:rPr>
                <w:vertAlign w:val="superscript"/>
              </w:rPr>
              <w:t>a,#</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120.3 ± 23.9</w:t>
            </w:r>
            <w:r>
              <w:rPr>
                <w:vertAlign w:val="superscript"/>
              </w:rPr>
              <w:t>b,$</w:t>
            </w:r>
          </w:p>
        </w:tc>
        <w:tc>
          <w:tcPr>
            <w:tcW w:w="2184"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128.1 ± 20.2</w:t>
            </w:r>
            <w:r>
              <w:rPr>
                <w:vertAlign w:val="superscript"/>
              </w:rPr>
              <w:t>b,$</w:t>
            </w:r>
          </w:p>
        </w:tc>
        <w:tc>
          <w:tcPr>
            <w:tcW w:w="2183" w:type="dxa"/>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134.0 ± 16.6</w:t>
            </w:r>
            <w:r>
              <w:rPr>
                <w:vertAlign w:val="superscript"/>
              </w:rPr>
              <w:t>b,$</w:t>
            </w:r>
          </w:p>
        </w:tc>
        <w:tc>
          <w:tcPr>
            <w:tcW w:w="2212" w:type="dxa"/>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r w:rsidRPr="00E825D1">
              <w:t>134.1 ± 17.3</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817" w:type="dxa"/>
            <w:tcBorders>
              <w:bottom w:val="single" w:sz="12" w:space="0" w:color="000000"/>
            </w:tcBorders>
          </w:tcPr>
          <w:p w:rsidR="0047437A" w:rsidRDefault="0047437A" w:rsidP="00C40A84">
            <w:pPr>
              <w:jc w:val="center"/>
            </w:pPr>
            <w:r>
              <w:t>WLD</w:t>
            </w:r>
          </w:p>
        </w:tc>
        <w:tc>
          <w:tcPr>
            <w:tcW w:w="2164" w:type="dxa"/>
            <w:tcBorders>
              <w:bottom w:val="single" w:sz="12" w:space="0" w:color="000000"/>
            </w:tcBorders>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87.2 ± 25.8</w:t>
            </w:r>
            <w:r>
              <w:rPr>
                <w:vertAlign w:val="superscript"/>
              </w:rPr>
              <w:t>a,#</w:t>
            </w:r>
          </w:p>
        </w:tc>
        <w:tc>
          <w:tcPr>
            <w:tcW w:w="2184" w:type="dxa"/>
            <w:tcBorders>
              <w:bottom w:val="single" w:sz="12" w:space="0" w:color="000000"/>
            </w:tcBorders>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87.7 ± 16.7</w:t>
            </w:r>
            <w:r>
              <w:rPr>
                <w:vertAlign w:val="superscript"/>
              </w:rPr>
              <w:t>a,#</w:t>
            </w:r>
          </w:p>
        </w:tc>
        <w:tc>
          <w:tcPr>
            <w:tcW w:w="2184" w:type="dxa"/>
            <w:tcBorders>
              <w:bottom w:val="single" w:sz="12" w:space="0" w:color="000000"/>
            </w:tcBorders>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113.7 ± 37.7</w:t>
            </w:r>
            <w:r>
              <w:rPr>
                <w:vertAlign w:val="superscript"/>
              </w:rPr>
              <w:t>a,b,#,$</w:t>
            </w:r>
          </w:p>
        </w:tc>
        <w:tc>
          <w:tcPr>
            <w:tcW w:w="2183" w:type="dxa"/>
            <w:tcBorders>
              <w:bottom w:val="single" w:sz="12" w:space="0" w:color="000000"/>
            </w:tcBorders>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120.7 ± 38.5</w:t>
            </w:r>
            <w:r>
              <w:rPr>
                <w:vertAlign w:val="superscript"/>
              </w:rPr>
              <w:t>a,b,$</w:t>
            </w:r>
          </w:p>
        </w:tc>
        <w:tc>
          <w:tcPr>
            <w:tcW w:w="2212" w:type="dxa"/>
            <w:tcBorders>
              <w:bottom w:val="single" w:sz="12" w:space="0" w:color="000000"/>
            </w:tcBorders>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r w:rsidRPr="00E825D1">
              <w:t>112.7 ± 22.8</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12744" w:type="dxa"/>
            <w:gridSpan w:val="6"/>
            <w:tcBorders>
              <w:top w:val="single" w:sz="12" w:space="0" w:color="000000"/>
              <w:bottom w:val="nil"/>
              <w:right w:val="nil"/>
            </w:tcBorders>
          </w:tcPr>
          <w:p w:rsidR="0047437A" w:rsidRPr="00A60C91" w:rsidRDefault="0047437A" w:rsidP="00C40A84">
            <w:pPr>
              <w:rPr>
                <w:sz w:val="18"/>
                <w:szCs w:val="18"/>
              </w:rPr>
            </w:pPr>
            <w:r w:rsidRPr="00A60C91">
              <w:rPr>
                <w:sz w:val="18"/>
                <w:szCs w:val="18"/>
              </w:rPr>
              <w:t>Numerical data presented as mean ± standard deviation.</w:t>
            </w:r>
          </w:p>
          <w:p w:rsidR="0047437A" w:rsidRPr="00A60C91" w:rsidRDefault="0047437A" w:rsidP="00C40A84">
            <w:pPr>
              <w:rPr>
                <w:sz w:val="18"/>
                <w:szCs w:val="18"/>
              </w:rPr>
            </w:pPr>
            <w:r w:rsidRPr="00A60C91">
              <w:rPr>
                <w:sz w:val="18"/>
                <w:szCs w:val="18"/>
                <w:vertAlign w:val="superscript"/>
              </w:rPr>
              <w:t>*</w:t>
            </w:r>
            <w:r w:rsidRPr="00A60C91">
              <w:rPr>
                <w:sz w:val="18"/>
                <w:szCs w:val="18"/>
              </w:rPr>
              <w:t>ObN, obese nutraceutical group; ObP, obese placebo group; WLD, weight loss diet group.</w:t>
            </w:r>
          </w:p>
          <w:p w:rsidR="0047437A" w:rsidRPr="00A60C91" w:rsidRDefault="0047437A" w:rsidP="00C40A84">
            <w:pPr>
              <w:rPr>
                <w:sz w:val="18"/>
                <w:szCs w:val="18"/>
              </w:rPr>
            </w:pPr>
            <w:r w:rsidRPr="00A60C91">
              <w:rPr>
                <w:sz w:val="18"/>
                <w:szCs w:val="18"/>
                <w:vertAlign w:val="superscript"/>
              </w:rPr>
              <w:t>1</w:t>
            </w:r>
            <w:r w:rsidRPr="00A60C91">
              <w:rPr>
                <w:sz w:val="18"/>
                <w:szCs w:val="18"/>
              </w:rPr>
              <w:t xml:space="preserve">WLD in this column determined from 4 dogs, because 1 dog reached ideal weight and ended treatment at 8 weeks. </w:t>
            </w:r>
          </w:p>
          <w:p w:rsidR="0047437A" w:rsidRPr="00A60C91" w:rsidRDefault="0047437A" w:rsidP="00C40A84">
            <w:pPr>
              <w:rPr>
                <w:sz w:val="18"/>
                <w:szCs w:val="18"/>
              </w:rPr>
            </w:pPr>
            <w:proofErr w:type="gramStart"/>
            <w:r w:rsidRPr="00A60C91">
              <w:rPr>
                <w:sz w:val="18"/>
                <w:szCs w:val="18"/>
                <w:vertAlign w:val="superscript"/>
              </w:rPr>
              <w:t>a,</w:t>
            </w:r>
            <w:proofErr w:type="gramEnd"/>
            <w:r w:rsidRPr="00A60C91">
              <w:rPr>
                <w:sz w:val="18"/>
                <w:szCs w:val="18"/>
                <w:vertAlign w:val="superscript"/>
              </w:rPr>
              <w:t>b</w:t>
            </w:r>
            <w:r w:rsidRPr="00A60C91">
              <w:rPr>
                <w:sz w:val="18"/>
                <w:szCs w:val="18"/>
              </w:rPr>
              <w:t>Within a column, values with different superscript letters differ significantly (</w:t>
            </w:r>
            <w:r w:rsidRPr="00A60C91">
              <w:rPr>
                <w:i/>
                <w:sz w:val="18"/>
                <w:szCs w:val="18"/>
              </w:rPr>
              <w:t>p</w:t>
            </w:r>
            <w:r w:rsidRPr="00A60C91">
              <w:rPr>
                <w:sz w:val="18"/>
                <w:szCs w:val="18"/>
              </w:rPr>
              <w:t>&lt; 0.05).</w:t>
            </w:r>
          </w:p>
          <w:p w:rsidR="0047437A" w:rsidRPr="006E1409" w:rsidRDefault="0047437A" w:rsidP="00C40A84">
            <w:r w:rsidRPr="00A60C91">
              <w:rPr>
                <w:sz w:val="18"/>
                <w:szCs w:val="18"/>
                <w:vertAlign w:val="superscript"/>
              </w:rPr>
              <w:t>#</w:t>
            </w:r>
            <w:proofErr w:type="gramStart"/>
            <w:r w:rsidRPr="00A60C91">
              <w:rPr>
                <w:sz w:val="18"/>
                <w:szCs w:val="18"/>
                <w:vertAlign w:val="superscript"/>
              </w:rPr>
              <w:t>,$</w:t>
            </w:r>
            <w:proofErr w:type="gramEnd"/>
            <w:r w:rsidRPr="00A60C91">
              <w:rPr>
                <w:sz w:val="18"/>
                <w:szCs w:val="18"/>
                <w:vertAlign w:val="superscript"/>
              </w:rPr>
              <w:t>,%</w:t>
            </w:r>
            <w:r w:rsidRPr="00A60C91">
              <w:rPr>
                <w:sz w:val="18"/>
                <w:szCs w:val="18"/>
              </w:rPr>
              <w:t>Across columns, values with different superscript symbols differ significantly (</w:t>
            </w:r>
            <w:r w:rsidRPr="00A60C91">
              <w:rPr>
                <w:i/>
                <w:sz w:val="18"/>
                <w:szCs w:val="18"/>
              </w:rPr>
              <w:t>p</w:t>
            </w:r>
            <w:r w:rsidRPr="00A60C91">
              <w:rPr>
                <w:sz w:val="18"/>
                <w:szCs w:val="18"/>
              </w:rPr>
              <w:t>&lt; 0.05).</w:t>
            </w:r>
          </w:p>
        </w:tc>
      </w:tr>
    </w:tbl>
    <w:p w:rsidR="0047437A" w:rsidRDefault="0047437A" w:rsidP="009F00CC">
      <w:pPr>
        <w:pStyle w:val="Heading4"/>
        <w:sectPr w:rsidR="0047437A" w:rsidSect="0047437A">
          <w:pgSz w:w="15840" w:h="12240" w:orient="landscape" w:code="1"/>
          <w:pgMar w:top="1800" w:right="1440" w:bottom="1800" w:left="1872" w:header="720" w:footer="1440" w:gutter="0"/>
          <w:cols w:space="720"/>
          <w:noEndnote/>
          <w:docGrid w:linePitch="360"/>
        </w:sectPr>
      </w:pPr>
    </w:p>
    <w:p w:rsidR="0047437A" w:rsidRDefault="0047437A" w:rsidP="0047437A">
      <w:pPr>
        <w:pStyle w:val="Caption"/>
      </w:pPr>
      <w:bookmarkStart w:id="67" w:name="_Toc376465827"/>
      <w:r>
        <w:t xml:space="preserve">Table </w:t>
      </w:r>
      <w:fldSimple w:instr=" SEQ Table \* ARABIC ">
        <w:r w:rsidR="00736DB0">
          <w:rPr>
            <w:noProof/>
          </w:rPr>
          <w:t>5</w:t>
        </w:r>
      </w:fldSimple>
      <w:r>
        <w:t xml:space="preserve"> Change in body composition by obesification group and</w:t>
      </w:r>
      <w:r w:rsidRPr="00D329AE">
        <w:t xml:space="preserve"> time point</w:t>
      </w:r>
      <w:bookmarkEnd w:id="67"/>
    </w:p>
    <w:tbl>
      <w:tblPr>
        <w:tblStyle w:val="TableClassic1"/>
        <w:tblW w:w="0" w:type="auto"/>
        <w:tblLook w:val="04A0" w:firstRow="1" w:lastRow="0" w:firstColumn="1" w:lastColumn="0" w:noHBand="0" w:noVBand="1"/>
      </w:tblPr>
      <w:tblGrid>
        <w:gridCol w:w="3038"/>
        <w:gridCol w:w="1752"/>
        <w:gridCol w:w="1899"/>
        <w:gridCol w:w="2167"/>
      </w:tblGrid>
      <w:tr w:rsidR="0047437A" w:rsidTr="00C40A84">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Change from baseline</w:t>
            </w:r>
          </w:p>
        </w:tc>
        <w:tc>
          <w:tcPr>
            <w:tcW w:w="0" w:type="auto"/>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Four weeks</w:t>
            </w:r>
          </w:p>
        </w:tc>
        <w:tc>
          <w:tcPr>
            <w:tcW w:w="0" w:type="auto"/>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Eight weeks</w:t>
            </w:r>
          </w:p>
        </w:tc>
        <w:tc>
          <w:tcPr>
            <w:tcW w:w="0" w:type="auto"/>
          </w:tcPr>
          <w:p w:rsidR="0047437A" w:rsidRPr="00DA3033" w:rsidRDefault="0047437A" w:rsidP="00C40A84">
            <w:pPr>
              <w:cnfStyle w:val="100000000000" w:firstRow="1" w:lastRow="0" w:firstColumn="0" w:lastColumn="0" w:oddVBand="0" w:evenVBand="0" w:oddHBand="0" w:evenHBand="0" w:firstRowFirstColumn="0" w:firstRowLastColumn="0" w:lastRowFirstColumn="0" w:lastRowLastColumn="0"/>
            </w:pPr>
            <w:r>
              <w:t>Twelve weeks</w:t>
            </w:r>
            <w:r>
              <w:rPr>
                <w:vertAlign w:val="superscript"/>
              </w:rPr>
              <w:t>1</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Scale weight (kg)</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rPr>
          <w:trHeight w:val="263"/>
        </w:trPr>
        <w:tc>
          <w:tcPr>
            <w:cnfStyle w:val="001000000000" w:firstRow="0" w:lastRow="0" w:firstColumn="1" w:lastColumn="0" w:oddVBand="0" w:evenVBand="0" w:oddHBand="0" w:evenHBand="0" w:firstRowFirstColumn="0" w:firstRowLastColumn="0" w:lastRowFirstColumn="0" w:lastRowLastColumn="0"/>
            <w:tcW w:w="0" w:type="auto"/>
          </w:tcPr>
          <w:p w:rsidR="0047437A" w:rsidRPr="001D73C7" w:rsidRDefault="0047437A" w:rsidP="00C40A84">
            <w:pPr>
              <w:jc w:val="center"/>
              <w:rPr>
                <w:vertAlign w:val="superscript"/>
              </w:rPr>
            </w:pPr>
            <w:r>
              <w:t>ObN</w:t>
            </w:r>
            <w:r>
              <w:rPr>
                <w:vertAlign w:val="superscript"/>
              </w:rPr>
              <w:t>*</w:t>
            </w:r>
          </w:p>
        </w:tc>
        <w:tc>
          <w:tcPr>
            <w:tcW w:w="0" w:type="auto"/>
          </w:tcPr>
          <w:p w:rsidR="0047437A" w:rsidRPr="00E21B88"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1.2 ± 0.5</w:t>
            </w:r>
            <w:r>
              <w:rPr>
                <w:vertAlign w:val="superscript"/>
              </w:rPr>
              <w:t>a,#</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2.5 ± 0.5</w:t>
            </w:r>
            <w:r>
              <w:rPr>
                <w:vertAlign w:val="superscript"/>
              </w:rPr>
              <w:t>a,#,$</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3.4 ± 0.6</w:t>
            </w:r>
            <w:r>
              <w:rPr>
                <w:vertAlign w:val="superscript"/>
              </w:rPr>
              <w:t>a,$</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Pr="001D73C7" w:rsidRDefault="0047437A" w:rsidP="00C40A84">
            <w:pPr>
              <w:jc w:val="center"/>
              <w:rPr>
                <w:vertAlign w:val="superscript"/>
              </w:rPr>
            </w:pPr>
            <w:r>
              <w:t>ObP</w:t>
            </w:r>
            <w:r>
              <w:rPr>
                <w:vertAlign w:val="superscript"/>
              </w:rPr>
              <w:t>*</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0.5 ± 0.5</w:t>
            </w:r>
            <w:r>
              <w:rPr>
                <w:vertAlign w:val="superscript"/>
              </w:rPr>
              <w:t>a,#</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1.4 ± 0.9</w:t>
            </w:r>
            <w:r>
              <w:rPr>
                <w:vertAlign w:val="superscript"/>
              </w:rPr>
              <w:t>b,$</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1.2 ± 1.0</w:t>
            </w:r>
            <w:r>
              <w:rPr>
                <w:vertAlign w:val="superscript"/>
              </w:rPr>
              <w:t>b,#,$</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Pr="001D73C7" w:rsidRDefault="0047437A" w:rsidP="00C40A84">
            <w:pPr>
              <w:jc w:val="center"/>
              <w:rPr>
                <w:vertAlign w:val="superscript"/>
              </w:rPr>
            </w:pPr>
            <w:r>
              <w:t>WLD</w:t>
            </w:r>
            <w:r>
              <w:rPr>
                <w:vertAlign w:val="superscript"/>
              </w:rPr>
              <w:t>*</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1.6 ± 0.5</w:t>
            </w:r>
            <w:r>
              <w:rPr>
                <w:vertAlign w:val="superscript"/>
              </w:rPr>
              <w:t>a,#</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2.3 ± 1.0</w:t>
            </w:r>
            <w:r>
              <w:rPr>
                <w:vertAlign w:val="superscript"/>
              </w:rPr>
              <w:t>a,#</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4.4 ± 1.1</w:t>
            </w:r>
            <w:r>
              <w:rPr>
                <w:vertAlign w:val="superscript"/>
              </w:rPr>
              <w:t>a,$</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Fat mass (kg)</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ObN</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1.2 ± 0.3</w:t>
            </w:r>
            <w:r>
              <w:rPr>
                <w:vertAlign w:val="superscript"/>
              </w:rPr>
              <w:t>a,#</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2.2 ± 0.4</w:t>
            </w:r>
            <w:r>
              <w:rPr>
                <w:vertAlign w:val="superscript"/>
              </w:rPr>
              <w:t>a,$</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3.1 ± 0.6</w:t>
            </w:r>
            <w:r>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ObP</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0.4 ± 0.5</w:t>
            </w:r>
            <w:r>
              <w:rPr>
                <w:vertAlign w:val="superscript"/>
              </w:rPr>
              <w:t>b,#</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0.8 ± 0.7</w:t>
            </w:r>
            <w:r>
              <w:rPr>
                <w:vertAlign w:val="superscript"/>
              </w:rPr>
              <w:t>b,#</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0.9 ± 1.0</w:t>
            </w:r>
            <w:r>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WLD</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1.5 ± 0.4</w:t>
            </w:r>
            <w:r>
              <w:rPr>
                <w:vertAlign w:val="superscript"/>
              </w:rPr>
              <w:t>a,#</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2.7 ± 0.8</w:t>
            </w:r>
            <w:r>
              <w:rPr>
                <w:vertAlign w:val="superscript"/>
              </w:rPr>
              <w:t>a,$</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r>
              <w:t>3.9 ± 0.8</w:t>
            </w:r>
            <w:r>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Body fat (%)</w:t>
            </w: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476D9D"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ObN</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3.4 ± 1.3</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7.3 ± 1.7</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12.1 ± 3.7</w:t>
            </w:r>
            <w:r>
              <w:rPr>
                <w:vertAlign w:val="superscript"/>
              </w:rPr>
              <w:t>a,$</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ObP</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0.7 ± 1.0</w:t>
            </w:r>
            <w:r>
              <w:rPr>
                <w:vertAlign w:val="superscript"/>
              </w:rPr>
              <w:t>b,#</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2.4 ± 2.2</w:t>
            </w:r>
            <w:r>
              <w:rPr>
                <w:vertAlign w:val="superscript"/>
              </w:rPr>
              <w:t>b,#</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2.6 ± 3.2</w:t>
            </w:r>
            <w:r>
              <w:rPr>
                <w:vertAlign w:val="superscript"/>
              </w:rPr>
              <w:t>b,#</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WLD</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5.2 ± 1.9</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11.7 ± 3.2</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17.0 ± 4.8</w:t>
            </w:r>
            <w:r>
              <w:rPr>
                <w:vertAlign w:val="superscript"/>
              </w:rPr>
              <w:t>a,$</w:t>
            </w:r>
          </w:p>
        </w:tc>
      </w:tr>
      <w:tr w:rsidR="0047437A" w:rsidTr="00C40A84">
        <w:trPr>
          <w:trHeight w:val="26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Lean mass (kg)</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ObN</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0.5 ± 0.3</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0.6 ± 0.5</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0.6 ± 0.3</w:t>
            </w:r>
            <w:r>
              <w:rPr>
                <w:vertAlign w:val="superscript"/>
              </w:rPr>
              <w:t>a,#</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ObP</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0.3 ± 0.3</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0.3 ± 0.2</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0.4 ± 0.3</w:t>
            </w:r>
            <w:r>
              <w:rPr>
                <w:vertAlign w:val="superscript"/>
              </w:rPr>
              <w:t>a,#</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WLD</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0.4 ± 0.5</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0.4 ± 0.6</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0.4 ± 0.5</w:t>
            </w:r>
            <w:r>
              <w:rPr>
                <w:vertAlign w:val="superscript"/>
              </w:rPr>
              <w:t>a,#</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Lean (%)</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ObN</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-3.0 ± 1.3</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-6.7 ± 1.5</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-11.3 ± 3</w:t>
            </w:r>
            <w:r>
              <w:rPr>
                <w:vertAlign w:val="superscript"/>
              </w:rPr>
              <w:t>a,$</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ObP</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-0.5 ± 0.8</w:t>
            </w:r>
            <w:r>
              <w:rPr>
                <w:vertAlign w:val="superscript"/>
              </w:rPr>
              <w:t>a,#</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-3.6 ± 3.6</w:t>
            </w:r>
            <w:r>
              <w:rPr>
                <w:vertAlign w:val="superscript"/>
              </w:rPr>
              <w:t>b,#</w:t>
            </w:r>
          </w:p>
        </w:tc>
        <w:tc>
          <w:tcPr>
            <w:tcW w:w="0" w:type="auto"/>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-2.4 ± 3.0</w:t>
            </w:r>
            <w:r>
              <w:rPr>
                <w:vertAlign w:val="superscript"/>
              </w:rPr>
              <w:t>b,#</w:t>
            </w:r>
          </w:p>
        </w:tc>
      </w:tr>
      <w:tr w:rsidR="0047437A" w:rsidTr="00C40A84">
        <w:trPr>
          <w:trHeight w:val="283"/>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47437A" w:rsidRDefault="0047437A" w:rsidP="00C40A84">
            <w:pPr>
              <w:jc w:val="center"/>
            </w:pPr>
            <w:r>
              <w:t>WLD</w:t>
            </w:r>
          </w:p>
        </w:tc>
        <w:tc>
          <w:tcPr>
            <w:tcW w:w="0" w:type="auto"/>
            <w:tcBorders>
              <w:bottom w:val="single" w:sz="12" w:space="0" w:color="000000"/>
            </w:tcBorders>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-4.8 ± 2.0</w:t>
            </w:r>
            <w:r>
              <w:rPr>
                <w:vertAlign w:val="superscript"/>
              </w:rPr>
              <w:t>a,#</w:t>
            </w:r>
          </w:p>
        </w:tc>
        <w:tc>
          <w:tcPr>
            <w:tcW w:w="0" w:type="auto"/>
            <w:tcBorders>
              <w:bottom w:val="single" w:sz="12" w:space="0" w:color="000000"/>
            </w:tcBorders>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-10.7 ± 3.3</w:t>
            </w:r>
            <w:r>
              <w:rPr>
                <w:vertAlign w:val="superscript"/>
              </w:rPr>
              <w:t>a,$</w:t>
            </w:r>
          </w:p>
        </w:tc>
        <w:tc>
          <w:tcPr>
            <w:tcW w:w="0" w:type="auto"/>
            <w:tcBorders>
              <w:bottom w:val="single" w:sz="12" w:space="0" w:color="000000"/>
            </w:tcBorders>
          </w:tcPr>
          <w:p w:rsidR="0047437A" w:rsidRPr="00C65267" w:rsidRDefault="0047437A" w:rsidP="00C40A84">
            <w:pPr>
              <w:cnfStyle w:val="000000000000" w:firstRow="0" w:lastRow="0" w:firstColumn="0" w:lastColumn="0" w:oddVBand="0" w:evenVBand="0" w:oddHBand="0" w:evenHBand="0" w:firstRowFirstColumn="0" w:firstRowLastColumn="0" w:lastRowFirstColumn="0" w:lastRowLastColumn="0"/>
            </w:pPr>
            <w:r>
              <w:t>-16.2 ± 4.7</w:t>
            </w:r>
            <w:r>
              <w:rPr>
                <w:vertAlign w:val="superscript"/>
              </w:rPr>
              <w:t>a,$</w:t>
            </w:r>
          </w:p>
        </w:tc>
      </w:tr>
      <w:tr w:rsidR="0047437A" w:rsidTr="00C40A84">
        <w:trPr>
          <w:trHeight w:val="546"/>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12" w:space="0" w:color="000000"/>
              <w:bottom w:val="nil"/>
              <w:right w:val="nil"/>
            </w:tcBorders>
          </w:tcPr>
          <w:p w:rsidR="0047437A" w:rsidRPr="00A60C91" w:rsidRDefault="0047437A" w:rsidP="00C40A84">
            <w:pPr>
              <w:rPr>
                <w:sz w:val="18"/>
                <w:szCs w:val="18"/>
              </w:rPr>
            </w:pPr>
            <w:r w:rsidRPr="00A60C91">
              <w:rPr>
                <w:sz w:val="18"/>
                <w:szCs w:val="18"/>
              </w:rPr>
              <w:t>Numerical data presented as mean ± standard deviation.</w:t>
            </w:r>
          </w:p>
          <w:p w:rsidR="0047437A" w:rsidRPr="00A60C91" w:rsidRDefault="0047437A" w:rsidP="00C40A84">
            <w:pPr>
              <w:rPr>
                <w:sz w:val="18"/>
                <w:szCs w:val="18"/>
              </w:rPr>
            </w:pPr>
            <w:r w:rsidRPr="00A60C91">
              <w:rPr>
                <w:sz w:val="18"/>
                <w:szCs w:val="18"/>
                <w:vertAlign w:val="superscript"/>
              </w:rPr>
              <w:t>*</w:t>
            </w:r>
            <w:r w:rsidRPr="00A60C91">
              <w:rPr>
                <w:sz w:val="18"/>
                <w:szCs w:val="18"/>
              </w:rPr>
              <w:t>ObN, obese nutraceutical group; ObP, obese placebo group; WLD, weight loss diet group.</w:t>
            </w:r>
          </w:p>
          <w:p w:rsidR="0047437A" w:rsidRPr="00A60C91" w:rsidRDefault="0047437A" w:rsidP="00C40A84">
            <w:pPr>
              <w:rPr>
                <w:sz w:val="18"/>
                <w:szCs w:val="18"/>
              </w:rPr>
            </w:pPr>
            <w:r w:rsidRPr="00A60C91">
              <w:rPr>
                <w:sz w:val="18"/>
                <w:szCs w:val="18"/>
                <w:vertAlign w:val="superscript"/>
              </w:rPr>
              <w:t>1</w:t>
            </w:r>
            <w:r w:rsidRPr="00A60C91">
              <w:rPr>
                <w:sz w:val="18"/>
                <w:szCs w:val="18"/>
              </w:rPr>
              <w:t xml:space="preserve">WLD in this column determined from 4 dogs, because 1 dog reached ideal weight and ended treatment at 8 weeks. </w:t>
            </w:r>
          </w:p>
          <w:p w:rsidR="0047437A" w:rsidRPr="00A60C91" w:rsidRDefault="0047437A" w:rsidP="00C40A84">
            <w:pPr>
              <w:rPr>
                <w:sz w:val="18"/>
                <w:szCs w:val="18"/>
              </w:rPr>
            </w:pPr>
            <w:proofErr w:type="gramStart"/>
            <w:r w:rsidRPr="00A60C91">
              <w:rPr>
                <w:sz w:val="18"/>
                <w:szCs w:val="18"/>
                <w:vertAlign w:val="superscript"/>
              </w:rPr>
              <w:t>a,</w:t>
            </w:r>
            <w:proofErr w:type="gramEnd"/>
            <w:r w:rsidRPr="00A60C91">
              <w:rPr>
                <w:sz w:val="18"/>
                <w:szCs w:val="18"/>
                <w:vertAlign w:val="superscript"/>
              </w:rPr>
              <w:t>b</w:t>
            </w:r>
            <w:r w:rsidRPr="00A60C91">
              <w:rPr>
                <w:sz w:val="18"/>
                <w:szCs w:val="18"/>
              </w:rPr>
              <w:t>Within a column, values with different superscript letters differ significantly (</w:t>
            </w:r>
            <w:r w:rsidRPr="00A60C91">
              <w:rPr>
                <w:i/>
                <w:sz w:val="18"/>
                <w:szCs w:val="18"/>
              </w:rPr>
              <w:t>p</w:t>
            </w:r>
            <w:r w:rsidRPr="00A60C91">
              <w:rPr>
                <w:sz w:val="18"/>
                <w:szCs w:val="18"/>
              </w:rPr>
              <w:t>&lt; 0.05).</w:t>
            </w:r>
          </w:p>
          <w:p w:rsidR="0047437A" w:rsidRPr="006E1409" w:rsidRDefault="0047437A" w:rsidP="00C40A84">
            <w:r w:rsidRPr="00A60C91">
              <w:rPr>
                <w:sz w:val="18"/>
                <w:szCs w:val="18"/>
                <w:vertAlign w:val="superscript"/>
              </w:rPr>
              <w:t>#</w:t>
            </w:r>
            <w:proofErr w:type="gramStart"/>
            <w:r w:rsidRPr="00A60C91">
              <w:rPr>
                <w:sz w:val="18"/>
                <w:szCs w:val="18"/>
                <w:vertAlign w:val="superscript"/>
              </w:rPr>
              <w:t>,$</w:t>
            </w:r>
            <w:proofErr w:type="gramEnd"/>
            <w:r w:rsidRPr="00A60C91">
              <w:rPr>
                <w:sz w:val="18"/>
                <w:szCs w:val="18"/>
                <w:vertAlign w:val="superscript"/>
              </w:rPr>
              <w:t>,%</w:t>
            </w:r>
            <w:r w:rsidRPr="00A60C91">
              <w:rPr>
                <w:sz w:val="18"/>
                <w:szCs w:val="18"/>
              </w:rPr>
              <w:t>Across columns, values with different superscript symbols differ significantly (</w:t>
            </w:r>
            <w:r w:rsidRPr="00A60C91">
              <w:rPr>
                <w:i/>
                <w:sz w:val="18"/>
                <w:szCs w:val="18"/>
              </w:rPr>
              <w:t>p</w:t>
            </w:r>
            <w:r w:rsidRPr="00A60C91">
              <w:rPr>
                <w:sz w:val="18"/>
                <w:szCs w:val="18"/>
              </w:rPr>
              <w:t>&lt; 0.05).</w:t>
            </w:r>
          </w:p>
        </w:tc>
      </w:tr>
    </w:tbl>
    <w:p w:rsidR="0047437A" w:rsidRDefault="0047437A" w:rsidP="0047437A"/>
    <w:p w:rsidR="0047437A" w:rsidRDefault="0047437A" w:rsidP="0047437A"/>
    <w:p w:rsidR="0047437A" w:rsidRDefault="0047437A" w:rsidP="0047437A"/>
    <w:p w:rsidR="009F00CC" w:rsidRPr="009F00CC" w:rsidRDefault="009F00CC" w:rsidP="009F00CC">
      <w:pPr>
        <w:pStyle w:val="Heading4"/>
      </w:pPr>
      <w:r>
        <w:t>F</w:t>
      </w:r>
      <w:r w:rsidR="003B7034">
        <w:t>ood offered</w:t>
      </w:r>
    </w:p>
    <w:p w:rsidR="00B75EBE" w:rsidRPr="003C609A" w:rsidRDefault="00506609" w:rsidP="00AD2956">
      <w:r>
        <w:t>There</w:t>
      </w:r>
      <w:r w:rsidR="00E4760C">
        <w:t xml:space="preserve"> were no differences in kcal/BW</w:t>
      </w:r>
      <w:r w:rsidR="00E4760C">
        <w:rPr>
          <w:vertAlign w:val="subscript"/>
        </w:rPr>
        <w:t>kg</w:t>
      </w:r>
      <w:r w:rsidR="00E4760C" w:rsidRPr="003E7D46">
        <w:rPr>
          <w:vertAlign w:val="superscript"/>
        </w:rPr>
        <w:t>0.75</w:t>
      </w:r>
      <w:r w:rsidR="00E4760C">
        <w:t xml:space="preserve"> </w:t>
      </w:r>
      <w:r>
        <w:t>offered within groups</w:t>
      </w:r>
      <w:r w:rsidR="00E4760C">
        <w:t xml:space="preserve"> at all time points</w:t>
      </w:r>
      <w:r w:rsidR="00AA1303">
        <w:t>, except twelve weeks</w:t>
      </w:r>
      <w:r w:rsidR="00E4760C">
        <w:t xml:space="preserve">.  </w:t>
      </w:r>
      <w:r w:rsidR="00AA1303">
        <w:t>At this final time point, group ObN was offered a greater metabolic amount of calories than was offered at baseline (</w:t>
      </w:r>
      <w:r w:rsidR="00AA1303" w:rsidRPr="00AA1303">
        <w:rPr>
          <w:i/>
        </w:rPr>
        <w:t>p</w:t>
      </w:r>
      <w:r w:rsidR="00AA1303">
        <w:t xml:space="preserve"> = 0.0116), due to a feeding amount transcription error at baseline.  </w:t>
      </w:r>
      <w:r w:rsidR="00E4760C" w:rsidRPr="00AA1303">
        <w:t>Kcal</w:t>
      </w:r>
      <w:r w:rsidR="00E4760C">
        <w:t>/BW</w:t>
      </w:r>
      <w:r w:rsidR="00E4760C">
        <w:rPr>
          <w:vertAlign w:val="subscript"/>
        </w:rPr>
        <w:t>kg</w:t>
      </w:r>
      <w:r w:rsidR="00E4760C" w:rsidRPr="003E7D46">
        <w:rPr>
          <w:vertAlign w:val="superscript"/>
        </w:rPr>
        <w:t>0.75</w:t>
      </w:r>
      <w:r w:rsidR="00E4760C">
        <w:t xml:space="preserve"> </w:t>
      </w:r>
      <w:r w:rsidR="00AA1303">
        <w:t>offered to group ObN</w:t>
      </w:r>
      <w:r w:rsidR="00B75EBE">
        <w:t xml:space="preserve"> were</w:t>
      </w:r>
      <w:r>
        <w:t xml:space="preserve"> significantly </w:t>
      </w:r>
      <w:r w:rsidR="00AA1303">
        <w:t>less</w:t>
      </w:r>
      <w:r>
        <w:t xml:space="preserve"> than</w:t>
      </w:r>
      <w:r w:rsidR="00B75EBE">
        <w:t xml:space="preserve"> those</w:t>
      </w:r>
      <w:r w:rsidR="00AA1303">
        <w:t xml:space="preserve"> offered to ObP</w:t>
      </w:r>
      <w:r>
        <w:t xml:space="preserve"> and WLD, which were not different from each other,</w:t>
      </w:r>
      <w:r w:rsidR="00B75EBE">
        <w:t xml:space="preserve"> </w:t>
      </w:r>
      <w:r w:rsidR="00AA1303">
        <w:t>at all</w:t>
      </w:r>
      <w:r w:rsidR="00B75EBE">
        <w:t xml:space="preserve"> time points</w:t>
      </w:r>
      <w:r w:rsidR="00AA1303">
        <w:t xml:space="preserve"> (</w:t>
      </w:r>
      <w:r w:rsidR="00AA1303">
        <w:rPr>
          <w:i/>
        </w:rPr>
        <w:t>p</w:t>
      </w:r>
      <w:r w:rsidR="00AA1303">
        <w:t xml:space="preserve"> &lt; 0.05)</w:t>
      </w:r>
      <w:r>
        <w:t>.</w:t>
      </w:r>
      <w:r w:rsidR="00C14C95">
        <w:t xml:space="preserve">  Based </w:t>
      </w:r>
      <w:r w:rsidR="003C609A">
        <w:t xml:space="preserve">on baseline versus end of study comparisons, including the WLD dog that ended study participation at 8 weeks, metabolic food offered to WLD did not differ from ObN or ObP, which differed from each other (ObN, </w:t>
      </w:r>
      <w:r w:rsidR="003C609A" w:rsidRPr="00E825D1">
        <w:t>101.3 ± 12.7</w:t>
      </w:r>
      <w:r w:rsidR="003C609A">
        <w:t xml:space="preserve">; ObP, </w:t>
      </w:r>
      <w:r w:rsidR="003C609A" w:rsidRPr="00E825D1">
        <w:t>134.1 ± 17.3</w:t>
      </w:r>
      <w:r w:rsidR="003C609A">
        <w:t xml:space="preserve">; WLD, 127.9 ± 35.5; </w:t>
      </w:r>
      <w:r w:rsidR="003C609A">
        <w:rPr>
          <w:i/>
        </w:rPr>
        <w:t>p</w:t>
      </w:r>
      <w:r w:rsidR="003C609A">
        <w:t xml:space="preserve"> = 0.0077).</w:t>
      </w:r>
    </w:p>
    <w:p w:rsidR="009F00CC" w:rsidRDefault="00AA1303" w:rsidP="009F00CC">
      <w:pPr>
        <w:pStyle w:val="Heading4"/>
      </w:pPr>
      <w:r>
        <w:t>Food not consumed</w:t>
      </w:r>
    </w:p>
    <w:p w:rsidR="00B75EBE" w:rsidRDefault="002E32A7" w:rsidP="00AD2956">
      <w:r>
        <w:t>All three groups left food behind at statistically similar levels before treatment started.  One week into treatment, the amount left behind</w:t>
      </w:r>
      <w:r w:rsidR="00D5057D">
        <w:t xml:space="preserve"> was similar between </w:t>
      </w:r>
      <w:r>
        <w:t xml:space="preserve">group ObN </w:t>
      </w:r>
      <w:r w:rsidR="00C3303D">
        <w:t>versus</w:t>
      </w:r>
      <w:r>
        <w:t xml:space="preserve"> ObP</w:t>
      </w:r>
      <w:r w:rsidR="00C3303D">
        <w:t xml:space="preserve"> and ObP versus</w:t>
      </w:r>
      <w:r w:rsidR="00D5057D">
        <w:t xml:space="preserve"> WLD, but WLD left more behind than ObN</w:t>
      </w:r>
      <w:r w:rsidR="003A2A33">
        <w:t xml:space="preserve"> (</w:t>
      </w:r>
      <w:r w:rsidR="003A2A33">
        <w:rPr>
          <w:i/>
        </w:rPr>
        <w:t>p</w:t>
      </w:r>
      <w:r w:rsidR="003A2A33">
        <w:t xml:space="preserve"> = 0.0072).  From week four to </w:t>
      </w:r>
      <w:r w:rsidR="00D5057D">
        <w:t>study termination, all three groups left behind similar levels of calories.</w:t>
      </w:r>
    </w:p>
    <w:p w:rsidR="009F00CC" w:rsidRPr="009F00CC" w:rsidRDefault="009F00CC" w:rsidP="009F00CC">
      <w:pPr>
        <w:pStyle w:val="Heading4"/>
      </w:pPr>
      <w:r>
        <w:t>Fo</w:t>
      </w:r>
      <w:r w:rsidR="003A2A33">
        <w:t>od consumed</w:t>
      </w:r>
    </w:p>
    <w:p w:rsidR="000911D6" w:rsidRPr="00F956B1" w:rsidRDefault="00E954A1" w:rsidP="00F956B1">
      <w:r>
        <w:t>Metabolic food intake between</w:t>
      </w:r>
      <w:r w:rsidR="00BF40E9">
        <w:t xml:space="preserve"> groups did not differ</w:t>
      </w:r>
      <w:r>
        <w:t xml:space="preserve"> at baseline.  One week into treatment, ObP consumed more food than at baseline, (</w:t>
      </w:r>
      <w:r>
        <w:rPr>
          <w:i/>
        </w:rPr>
        <w:t>p</w:t>
      </w:r>
      <w:r>
        <w:t xml:space="preserve"> = 0.0046)</w:t>
      </w:r>
      <w:r w:rsidR="00F956B1">
        <w:t xml:space="preserve"> and consumption remained unchanged for the duration.</w:t>
      </w:r>
      <w:r w:rsidR="00BF40E9">
        <w:t xml:space="preserve">  </w:t>
      </w:r>
      <w:r w:rsidR="00F956B1">
        <w:t>At week twelve, group ObN consumed more kcal/BW</w:t>
      </w:r>
      <w:r w:rsidR="00F956B1">
        <w:rPr>
          <w:vertAlign w:val="subscript"/>
        </w:rPr>
        <w:t>kg</w:t>
      </w:r>
      <w:r w:rsidR="00F956B1" w:rsidRPr="003E7D46">
        <w:rPr>
          <w:vertAlign w:val="superscript"/>
        </w:rPr>
        <w:t>0.75</w:t>
      </w:r>
      <w:r w:rsidR="00F956B1">
        <w:t xml:space="preserve"> than at baseline (</w:t>
      </w:r>
      <w:r w:rsidR="00F956B1" w:rsidRPr="00F956B1">
        <w:rPr>
          <w:i/>
        </w:rPr>
        <w:t>p</w:t>
      </w:r>
      <w:r w:rsidR="00F956B1">
        <w:t xml:space="preserve"> = 0.001).  WLD consumed more kcal/BW</w:t>
      </w:r>
      <w:r w:rsidR="00F956B1">
        <w:rPr>
          <w:vertAlign w:val="subscript"/>
        </w:rPr>
        <w:t>kg</w:t>
      </w:r>
      <w:r w:rsidR="00F956B1" w:rsidRPr="003E7D46">
        <w:rPr>
          <w:vertAlign w:val="superscript"/>
        </w:rPr>
        <w:t>0.75</w:t>
      </w:r>
      <w:r w:rsidR="00F956B1">
        <w:t xml:space="preserve"> at weeks 8 and 12 than they did at baseline (</w:t>
      </w:r>
      <w:r w:rsidR="00F956B1">
        <w:rPr>
          <w:i/>
        </w:rPr>
        <w:t>p</w:t>
      </w:r>
      <w:r w:rsidR="00F956B1">
        <w:t xml:space="preserve"> &lt; 0.006).  By the end of treatment, kcal/BW</w:t>
      </w:r>
      <w:r w:rsidR="00F956B1">
        <w:rPr>
          <w:vertAlign w:val="subscript"/>
        </w:rPr>
        <w:t>kg</w:t>
      </w:r>
      <w:r w:rsidR="00F956B1" w:rsidRPr="003E7D46">
        <w:rPr>
          <w:vertAlign w:val="superscript"/>
        </w:rPr>
        <w:t>0.75</w:t>
      </w:r>
      <w:r w:rsidR="00F956B1">
        <w:rPr>
          <w:vertAlign w:val="superscript"/>
        </w:rPr>
        <w:t xml:space="preserve"> </w:t>
      </w:r>
      <w:r w:rsidR="00F956B1">
        <w:t>consumption was similar between all groups.</w:t>
      </w:r>
    </w:p>
    <w:p w:rsidR="00AD2956" w:rsidRDefault="00AD2956" w:rsidP="00AD2956">
      <w:pPr>
        <w:pStyle w:val="Heading3"/>
      </w:pPr>
      <w:bookmarkStart w:id="68" w:name="_Toc376465783"/>
      <w:r>
        <w:t>Body composition</w:t>
      </w:r>
      <w:bookmarkEnd w:id="68"/>
    </w:p>
    <w:p w:rsidR="00857418" w:rsidRPr="00857418" w:rsidRDefault="00857418" w:rsidP="00857418">
      <w:pPr>
        <w:rPr>
          <w:color w:val="FF0000"/>
        </w:rPr>
      </w:pPr>
      <w:r>
        <w:t xml:space="preserve">Body composition </w:t>
      </w:r>
      <w:r w:rsidR="0047437A">
        <w:t>data for obesification groups are</w:t>
      </w:r>
      <w:r>
        <w:t xml:space="preserve"> listed in </w:t>
      </w:r>
      <w:r w:rsidR="0047437A">
        <w:rPr>
          <w:color w:val="FF0000"/>
        </w:rPr>
        <w:t>Table 6</w:t>
      </w:r>
      <w:r>
        <w:rPr>
          <w:color w:val="FF0000"/>
        </w:rPr>
        <w:t>.</w:t>
      </w:r>
    </w:p>
    <w:p w:rsidR="00F46D2B" w:rsidRDefault="00F46D2B" w:rsidP="00F46D2B">
      <w:pPr>
        <w:pStyle w:val="Heading4"/>
      </w:pPr>
      <w:r>
        <w:t>Fat mass</w:t>
      </w:r>
    </w:p>
    <w:p w:rsidR="00A5705B" w:rsidRPr="003C609A" w:rsidRDefault="00FB2ADB" w:rsidP="00A5705B">
      <w:r>
        <w:t>Within and across groups, both absolute</w:t>
      </w:r>
      <w:r w:rsidR="00265C9F">
        <w:t xml:space="preserve"> (AF)</w:t>
      </w:r>
      <w:r>
        <w:t xml:space="preserve"> and percent fat mass (%BF) did not differ at baseline or one week into treatment.  </w:t>
      </w:r>
      <w:r w:rsidR="00265C9F">
        <w:t>Within groups, ObN and ObP lost AF and %BF compared to baseline (</w:t>
      </w:r>
      <w:r w:rsidR="00265C9F">
        <w:rPr>
          <w:i/>
        </w:rPr>
        <w:t>p</w:t>
      </w:r>
      <w:r w:rsidR="00265C9F">
        <w:t xml:space="preserve"> &lt; 0.0001), while ObP did not.  </w:t>
      </w:r>
      <w:r>
        <w:t xml:space="preserve">At study termination, WLD </w:t>
      </w:r>
      <w:r w:rsidR="00265C9F">
        <w:t>AF was significantly less than ObN (</w:t>
      </w:r>
      <w:r w:rsidR="00265C9F">
        <w:rPr>
          <w:i/>
        </w:rPr>
        <w:t>p</w:t>
      </w:r>
      <w:r w:rsidR="00265C9F" w:rsidRPr="00265C9F">
        <w:t xml:space="preserve"> = 0.0379)</w:t>
      </w:r>
      <w:r w:rsidR="00265C9F">
        <w:t xml:space="preserve"> and ObP (</w:t>
      </w:r>
      <w:r w:rsidR="00265C9F">
        <w:rPr>
          <w:i/>
        </w:rPr>
        <w:t>p</w:t>
      </w:r>
      <w:r w:rsidR="00265C9F">
        <w:t xml:space="preserve"> &lt; 0.0001).  ObN AF was also less than ObP (</w:t>
      </w:r>
      <w:r w:rsidR="00265C9F">
        <w:rPr>
          <w:i/>
        </w:rPr>
        <w:t>p</w:t>
      </w:r>
      <w:r w:rsidR="00265C9F">
        <w:t xml:space="preserve"> &lt;0.0001).  %BF was lower than ObN and ObP (</w:t>
      </w:r>
      <w:r w:rsidR="00265C9F">
        <w:rPr>
          <w:i/>
        </w:rPr>
        <w:t xml:space="preserve">p </w:t>
      </w:r>
      <w:r w:rsidR="00265C9F">
        <w:t>&lt; 0.0003) at twelve weeks, which did not differ.</w:t>
      </w:r>
      <w:r w:rsidR="00786AAF">
        <w:t xml:space="preserve">  Based on change from baseline, ObN and WLD lost similar levels of AF and %BF after twelve weeks of treatment, and more than ObP (</w:t>
      </w:r>
      <w:r w:rsidR="00786AAF">
        <w:rPr>
          <w:i/>
        </w:rPr>
        <w:t>p</w:t>
      </w:r>
      <w:r w:rsidR="00786AAF">
        <w:t xml:space="preserve"> &lt; 0.0001</w:t>
      </w:r>
      <w:r w:rsidR="00327784">
        <w:t xml:space="preserve">; </w:t>
      </w:r>
      <w:r w:rsidR="00327784">
        <w:rPr>
          <w:color w:val="FF0000"/>
        </w:rPr>
        <w:t>Table 5</w:t>
      </w:r>
      <w:r w:rsidR="00786AAF">
        <w:t>).</w:t>
      </w:r>
      <w:r w:rsidR="00A5705B">
        <w:t xml:space="preserve">  Based on baseline versus end of study comparisons, including the WLD dog that ended study participation at 8 weeks, WLD end of study AF did not differ from ObN, but both were less than ObP (ObN, 4.0</w:t>
      </w:r>
      <w:r w:rsidR="00A5705B" w:rsidRPr="00E825D1">
        <w:t xml:space="preserve"> ± 1</w:t>
      </w:r>
      <w:r w:rsidR="00A5705B">
        <w:t>.0; ObP, 5.7</w:t>
      </w:r>
      <w:r w:rsidR="00A5705B" w:rsidRPr="00E825D1">
        <w:t xml:space="preserve"> ± </w:t>
      </w:r>
      <w:r w:rsidR="00A5705B">
        <w:t xml:space="preserve">0.8; WLD, 3.0 ± 0.7; </w:t>
      </w:r>
      <w:r w:rsidR="00A5705B">
        <w:rPr>
          <w:i/>
        </w:rPr>
        <w:t>p</w:t>
      </w:r>
      <w:r w:rsidR="00A5705B">
        <w:t xml:space="preserve"> &lt; 0.0001).</w:t>
      </w:r>
    </w:p>
    <w:p w:rsidR="00F46D2B" w:rsidRPr="00F46D2B" w:rsidRDefault="00F46D2B" w:rsidP="00F46D2B">
      <w:pPr>
        <w:pStyle w:val="Heading4"/>
      </w:pPr>
      <w:r>
        <w:t>Lean mass</w:t>
      </w:r>
    </w:p>
    <w:p w:rsidR="009F00CC" w:rsidRPr="00786AAF" w:rsidRDefault="004D0A7E" w:rsidP="00732C1B">
      <w:r>
        <w:t>Within groups, absolute lean mass</w:t>
      </w:r>
      <w:r w:rsidR="00EF1EC0">
        <w:t xml:space="preserve"> (AL)</w:t>
      </w:r>
      <w:r>
        <w:t xml:space="preserve"> was static across </w:t>
      </w:r>
      <w:r w:rsidR="00C37D1E">
        <w:t>time.  Percent lean mass (%LM</w:t>
      </w:r>
      <w:r>
        <w:t xml:space="preserve">) was higher at study termination compared </w:t>
      </w:r>
      <w:r w:rsidR="00C37D1E">
        <w:t>baseline for ObN and WLD (</w:t>
      </w:r>
      <w:r w:rsidR="00C37D1E" w:rsidRPr="00C37D1E">
        <w:rPr>
          <w:i/>
        </w:rPr>
        <w:t>p</w:t>
      </w:r>
      <w:r w:rsidR="00C37D1E" w:rsidRPr="00C37D1E">
        <w:t xml:space="preserve"> &lt; 0.0001)</w:t>
      </w:r>
      <w:r w:rsidR="00C37D1E">
        <w:t>, not ObP</w:t>
      </w:r>
      <w:r>
        <w:t xml:space="preserve">.  </w:t>
      </w:r>
      <w:r w:rsidR="00AE328A">
        <w:t>Baseline AL was higher in ObP versus ObN (</w:t>
      </w:r>
      <w:r w:rsidR="00B50A83">
        <w:rPr>
          <w:i/>
        </w:rPr>
        <w:t>p</w:t>
      </w:r>
      <w:r w:rsidR="00B50A83">
        <w:t xml:space="preserve"> = 0.0073), not versus WLD</w:t>
      </w:r>
      <w:r w:rsidR="00B97E0A">
        <w:t xml:space="preserve">.  At the end of treatment, </w:t>
      </w:r>
      <w:r w:rsidR="001B0EA9">
        <w:t>AL</w:t>
      </w:r>
      <w:r w:rsidR="00B97E0A">
        <w:t xml:space="preserve"> did not differ between ObP and WLD, but ObN was significantly lower</w:t>
      </w:r>
      <w:r w:rsidR="001B0EA9">
        <w:t xml:space="preserve"> than ObP (</w:t>
      </w:r>
      <w:r w:rsidR="001B0EA9">
        <w:rPr>
          <w:i/>
        </w:rPr>
        <w:t>p</w:t>
      </w:r>
      <w:r w:rsidR="001B0EA9">
        <w:t xml:space="preserve"> &lt; 0.0001)</w:t>
      </w:r>
      <w:r w:rsidR="00B97E0A">
        <w:t>.</w:t>
      </w:r>
      <w:r w:rsidR="00EE2300">
        <w:t xml:space="preserve">  %</w:t>
      </w:r>
      <w:r w:rsidR="001B0EA9">
        <w:t>LM</w:t>
      </w:r>
      <w:r w:rsidR="00EE2300">
        <w:t xml:space="preserve"> was consistent both within and across groups at baseline and one week.  By the end of treatment, WLD %</w:t>
      </w:r>
      <w:r w:rsidR="001B0EA9">
        <w:t xml:space="preserve">LM </w:t>
      </w:r>
      <w:r w:rsidR="00EE2300">
        <w:t>was higher than ObN and ObP</w:t>
      </w:r>
      <w:r w:rsidR="001B0EA9">
        <w:t xml:space="preserve"> (</w:t>
      </w:r>
      <w:r w:rsidR="001B0EA9">
        <w:rPr>
          <w:i/>
        </w:rPr>
        <w:t>p</w:t>
      </w:r>
      <w:r w:rsidR="001B0EA9">
        <w:t xml:space="preserve"> &lt; 0.0003)</w:t>
      </w:r>
      <w:r w:rsidR="00EE2300">
        <w:t>, which did not differ.</w:t>
      </w:r>
      <w:r w:rsidR="00786AAF" w:rsidRPr="00786AAF">
        <w:t xml:space="preserve"> </w:t>
      </w:r>
      <w:r w:rsidR="00786AAF">
        <w:t xml:space="preserve"> Based on change from baseline, all three groups maintained similar levels of AL, but</w:t>
      </w:r>
      <w:r w:rsidR="00327784">
        <w:t xml:space="preserve"> ObN and WLD gained more</w:t>
      </w:r>
      <w:r w:rsidR="00786AAF">
        <w:t xml:space="preserve"> %LM after twelve weeks of treatment compared to ObP (</w:t>
      </w:r>
      <w:r w:rsidR="00786AAF">
        <w:rPr>
          <w:i/>
        </w:rPr>
        <w:t>p</w:t>
      </w:r>
      <w:r w:rsidR="00786AAF">
        <w:t xml:space="preserve"> &lt; 0.0001</w:t>
      </w:r>
      <w:r w:rsidR="00327784">
        <w:t xml:space="preserve">; </w:t>
      </w:r>
      <w:r w:rsidR="00327784">
        <w:rPr>
          <w:color w:val="FF0000"/>
        </w:rPr>
        <w:t>Table 5</w:t>
      </w:r>
      <w:r w:rsidR="00786AAF">
        <w:t>).</w:t>
      </w:r>
    </w:p>
    <w:p w:rsidR="0047437A" w:rsidRDefault="0047437A" w:rsidP="0047437A">
      <w:pPr>
        <w:pStyle w:val="Caption"/>
        <w:sectPr w:rsidR="0047437A" w:rsidSect="00F92278">
          <w:pgSz w:w="12240" w:h="15840" w:code="1"/>
          <w:pgMar w:top="1440" w:right="1800" w:bottom="1872" w:left="1800" w:header="720" w:footer="1440" w:gutter="0"/>
          <w:cols w:space="720"/>
          <w:noEndnote/>
          <w:docGrid w:linePitch="360"/>
        </w:sectPr>
      </w:pPr>
    </w:p>
    <w:p w:rsidR="0047437A" w:rsidRDefault="0047437A" w:rsidP="0047437A">
      <w:pPr>
        <w:pStyle w:val="Caption"/>
      </w:pPr>
      <w:bookmarkStart w:id="69" w:name="_Toc376465828"/>
      <w:r>
        <w:t xml:space="preserve">Table </w:t>
      </w:r>
      <w:r>
        <w:fldChar w:fldCharType="begin"/>
      </w:r>
      <w:r>
        <w:instrText xml:space="preserve"> SEQ Table \* ARABIC </w:instrText>
      </w:r>
      <w:r>
        <w:fldChar w:fldCharType="separate"/>
      </w:r>
      <w:proofErr w:type="gramStart"/>
      <w:r w:rsidR="00736DB0">
        <w:rPr>
          <w:noProof/>
        </w:rPr>
        <w:t>6</w:t>
      </w:r>
      <w:r>
        <w:rPr>
          <w:noProof/>
        </w:rPr>
        <w:fldChar w:fldCharType="end"/>
      </w:r>
      <w:r>
        <w:t xml:space="preserve"> DXA body composition</w:t>
      </w:r>
      <w:proofErr w:type="gramEnd"/>
      <w:r w:rsidRPr="00D329AE">
        <w:t xml:space="preserve"> by obesification group and time point</w:t>
      </w:r>
      <w:r>
        <w:t xml:space="preserve"> (study week).</w:t>
      </w:r>
      <w:bookmarkEnd w:id="69"/>
    </w:p>
    <w:tbl>
      <w:tblPr>
        <w:tblStyle w:val="TableClassic1"/>
        <w:tblW w:w="0" w:type="auto"/>
        <w:tblLook w:val="04A0" w:firstRow="1" w:lastRow="0" w:firstColumn="1" w:lastColumn="0" w:noHBand="0" w:noVBand="1"/>
      </w:tblPr>
      <w:tblGrid>
        <w:gridCol w:w="2350"/>
        <w:gridCol w:w="1505"/>
        <w:gridCol w:w="1638"/>
        <w:gridCol w:w="1691"/>
        <w:gridCol w:w="1691"/>
        <w:gridCol w:w="1813"/>
      </w:tblGrid>
      <w:tr w:rsidR="0047437A" w:rsidTr="00C40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Group</w:t>
            </w:r>
          </w:p>
        </w:tc>
        <w:tc>
          <w:tcPr>
            <w:tcW w:w="0" w:type="auto"/>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Baseline</w:t>
            </w:r>
          </w:p>
        </w:tc>
        <w:tc>
          <w:tcPr>
            <w:tcW w:w="0" w:type="auto"/>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One week</w:t>
            </w:r>
          </w:p>
        </w:tc>
        <w:tc>
          <w:tcPr>
            <w:tcW w:w="0" w:type="auto"/>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Four weeks</w:t>
            </w:r>
          </w:p>
        </w:tc>
        <w:tc>
          <w:tcPr>
            <w:tcW w:w="0" w:type="auto"/>
          </w:tcPr>
          <w:p w:rsidR="0047437A" w:rsidRDefault="0047437A" w:rsidP="00C40A84">
            <w:pPr>
              <w:cnfStyle w:val="100000000000" w:firstRow="1" w:lastRow="0" w:firstColumn="0" w:lastColumn="0" w:oddVBand="0" w:evenVBand="0" w:oddHBand="0" w:evenHBand="0" w:firstRowFirstColumn="0" w:firstRowLastColumn="0" w:lastRowFirstColumn="0" w:lastRowLastColumn="0"/>
            </w:pPr>
            <w:r>
              <w:t>Eight weeks</w:t>
            </w:r>
          </w:p>
        </w:tc>
        <w:tc>
          <w:tcPr>
            <w:tcW w:w="0" w:type="auto"/>
          </w:tcPr>
          <w:p w:rsidR="0047437A" w:rsidRPr="000A0CC0" w:rsidRDefault="0047437A" w:rsidP="00C40A84">
            <w:pPr>
              <w:cnfStyle w:val="100000000000" w:firstRow="1" w:lastRow="0" w:firstColumn="0" w:lastColumn="0" w:oddVBand="0" w:evenVBand="0" w:oddHBand="0" w:evenHBand="0" w:firstRowFirstColumn="0" w:firstRowLastColumn="0" w:lastRowFirstColumn="0" w:lastRowLastColumn="0"/>
            </w:pPr>
            <w:r w:rsidRPr="000A0CC0">
              <w:t>Twelve weeks</w:t>
            </w:r>
            <w:r>
              <w:rPr>
                <w:vertAlign w:val="superscript"/>
              </w:rPr>
              <w:t>1</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Fat mass (kg)</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ObN</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7.1 ± 0.5</w:t>
            </w:r>
            <w:r>
              <w:rPr>
                <w:vertAlign w:val="superscript"/>
              </w:rPr>
              <w:t>a,#</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6.7 ± 0.5</w:t>
            </w:r>
            <w:r>
              <w:rPr>
                <w:vertAlign w:val="superscript"/>
              </w:rPr>
              <w:t>a,#</w:t>
            </w:r>
          </w:p>
        </w:tc>
        <w:tc>
          <w:tcPr>
            <w:tcW w:w="0" w:type="auto"/>
          </w:tcPr>
          <w:p w:rsidR="0047437A" w:rsidRPr="00193060"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5.9 ± 0.6</w:t>
            </w:r>
            <w:r>
              <w:rPr>
                <w:vertAlign w:val="superscript"/>
              </w:rPr>
              <w:t>a,b,#,$</w:t>
            </w:r>
          </w:p>
        </w:tc>
        <w:tc>
          <w:tcPr>
            <w:tcW w:w="0" w:type="auto"/>
          </w:tcPr>
          <w:p w:rsidR="0047437A" w:rsidRPr="00193060"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4.9 ± 0.7</w:t>
            </w:r>
            <w:r>
              <w:rPr>
                <w:vertAlign w:val="superscript"/>
              </w:rPr>
              <w:t>a,b,$,%</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4.0 ± 1.0</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ObP</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6.7 ± 1.0</w:t>
            </w:r>
            <w:r>
              <w:rPr>
                <w:vertAlign w:val="superscript"/>
              </w:rPr>
              <w:t>a,#</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6.3 ± 0.7</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6.3 ± 0.7</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5.8 ± 0.7</w:t>
            </w:r>
            <w:r>
              <w:rPr>
                <w:vertAlign w:val="superscript"/>
              </w:rPr>
              <w:t>a,#</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5.7 ± 0.8</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WLD</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6.4 ± 1.4</w:t>
            </w:r>
            <w:r>
              <w:rPr>
                <w:vertAlign w:val="superscript"/>
              </w:rPr>
              <w:t>a,#</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5.9 ± 1.4</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4.9 ± 1.1</w:t>
            </w:r>
            <w:r>
              <w:rPr>
                <w:vertAlign w:val="superscript"/>
              </w:rPr>
              <w:t>b,$</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3.7 ± 0.9</w:t>
            </w:r>
            <w:r>
              <w:rPr>
                <w:vertAlign w:val="superscript"/>
              </w:rPr>
              <w:t>b,$,%</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3.1 ± 0.8</w:t>
            </w:r>
            <w:r w:rsidRPr="00E825D1">
              <w:rPr>
                <w:vertAlign w:val="superscript"/>
              </w:rPr>
              <w:t>c,%</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Body fat (%)</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ObN</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42.9 ± 2.9</w:t>
            </w:r>
            <w:r>
              <w:rPr>
                <w:vertAlign w:val="superscript"/>
              </w:rPr>
              <w:t>a,#</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42.9 ± 3.0</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39.5 ± 2.5</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35.6 ± 2.9</w:t>
            </w:r>
            <w:r>
              <w:rPr>
                <w:vertAlign w:val="superscript"/>
              </w:rPr>
              <w:t>a,$,%</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30.8 ± 5.4</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ObP</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38.7 ± 3.6</w:t>
            </w:r>
            <w:r>
              <w:rPr>
                <w:vertAlign w:val="superscript"/>
              </w:rPr>
              <w:t>a,#</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37.3 ± 3.5</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38.0 ± 3.5</w:t>
            </w:r>
            <w:r w:rsidRPr="009F4F42">
              <w:rPr>
                <w:vertAlign w:val="superscript"/>
              </w:rPr>
              <w:t>a</w:t>
            </w:r>
            <w:r>
              <w:rPr>
                <w:vertAlign w:val="superscript"/>
              </w:rPr>
              <w:t>,b</w:t>
            </w:r>
            <w:r w:rsidRPr="009F4F42">
              <w:rPr>
                <w:vertAlign w:val="superscript"/>
              </w:rPr>
              <w:t>,</w:t>
            </w:r>
            <w:r>
              <w:rPr>
                <w:vertAlign w:val="superscript"/>
              </w:rPr>
              <w:t>#</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36.3 ± 4.0</w:t>
            </w:r>
            <w:r>
              <w:rPr>
                <w:vertAlign w:val="superscript"/>
              </w:rPr>
              <w:t>a,#</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36.0 ± 4.9</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WLD</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38.8 ± 5.3</w:t>
            </w:r>
            <w:r>
              <w:rPr>
                <w:vertAlign w:val="superscript"/>
              </w:rPr>
              <w:t>a,#</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37.5 ± 6.1</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33.6 ± 5.8</w:t>
            </w:r>
            <w:r>
              <w:rPr>
                <w:vertAlign w:val="superscript"/>
              </w:rPr>
              <w:t>b,$</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27.1 ± 6.3</w:t>
            </w:r>
            <w:r>
              <w:rPr>
                <w:vertAlign w:val="superscript"/>
              </w:rPr>
              <w:t>b,%</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24.0 ± 4.6</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Lean mass (kg)</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ObN</w:t>
            </w:r>
          </w:p>
        </w:tc>
        <w:tc>
          <w:tcPr>
            <w:tcW w:w="0" w:type="auto"/>
          </w:tcPr>
          <w:p w:rsidR="0047437A" w:rsidRPr="00EC1D34"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9.0 ± 0.6</w:t>
            </w:r>
            <w:r>
              <w:rPr>
                <w:vertAlign w:val="superscript"/>
              </w:rPr>
              <w:t>a,#</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8.5 ± 0.7</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8.5 ± 0.6</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8.4 ± 0.9</w:t>
            </w:r>
            <w:r>
              <w:rPr>
                <w:vertAlign w:val="superscript"/>
              </w:rPr>
              <w:t>a,#</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8.4 ± 0.7</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ObP</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10.1 ± 0.9</w:t>
            </w:r>
            <w:r>
              <w:rPr>
                <w:vertAlign w:val="superscript"/>
              </w:rPr>
              <w:t>b,#</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10.0 ± 1.1</w:t>
            </w:r>
            <w:r>
              <w:rPr>
                <w:vertAlign w:val="superscript"/>
              </w:rPr>
              <w:t>b,#</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9.8 ± 0.7</w:t>
            </w:r>
            <w:r>
              <w:rPr>
                <w:vertAlign w:val="superscript"/>
              </w:rPr>
              <w:t>b,#</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9.8 ± 0.8</w:t>
            </w:r>
            <w:r>
              <w:rPr>
                <w:vertAlign w:val="superscript"/>
              </w:rPr>
              <w:t>b,#</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9.7 ± 0.8</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WLD</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9.6 ± 0.4</w:t>
            </w:r>
            <w:r>
              <w:rPr>
                <w:vertAlign w:val="superscript"/>
              </w:rPr>
              <w:t>a,b,#</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9.2 ± 0.2</w:t>
            </w:r>
            <w:r>
              <w:rPr>
                <w:vertAlign w:val="superscript"/>
              </w:rPr>
              <w:t>a,b,#</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9.1 ± 0.2</w:t>
            </w:r>
            <w:r>
              <w:rPr>
                <w:vertAlign w:val="superscript"/>
              </w:rPr>
              <w:t>a,b,#</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9.2 ± 0.4</w:t>
            </w:r>
            <w:r>
              <w:rPr>
                <w:vertAlign w:val="superscript"/>
              </w:rPr>
              <w:t>a,b,#</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9.1 ± 0.2</w:t>
            </w:r>
            <w:r w:rsidRPr="00E825D1">
              <w:rPr>
                <w:vertAlign w:val="superscript"/>
              </w:rPr>
              <w:t>a,b,#</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Lean (%)</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ObN</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54.4 ± 2.9</w:t>
            </w:r>
            <w:r>
              <w:rPr>
                <w:vertAlign w:val="superscript"/>
              </w:rPr>
              <w:t>a,#</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54.3 ± 3.0</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57.4 ± 2.5</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61.1 ± 2.8</w:t>
            </w:r>
            <w:r>
              <w:rPr>
                <w:vertAlign w:val="superscript"/>
              </w:rPr>
              <w:t>a,$,%</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65.7 ± 5.1</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ObP</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58.6 ± 3.4</w:t>
            </w:r>
            <w:r>
              <w:rPr>
                <w:vertAlign w:val="superscript"/>
              </w:rPr>
              <w:t>a,#</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59.7 ± 3.5</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59.1 ± 3.4</w:t>
            </w:r>
            <w:r>
              <w:rPr>
                <w:vertAlign w:val="superscript"/>
              </w:rPr>
              <w:t>a,b,#</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60.7 ± 4.0</w:t>
            </w:r>
            <w:r>
              <w:rPr>
                <w:vertAlign w:val="superscript"/>
              </w:rPr>
              <w:t>a,#</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60.9 ± 4.9</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WLD</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58.5 ± 5.0</w:t>
            </w:r>
            <w:r>
              <w:rPr>
                <w:vertAlign w:val="superscript"/>
              </w:rPr>
              <w:t>a,#</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59.6 ± 5.8</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63.3 ± 5.6</w:t>
            </w:r>
            <w:r>
              <w:rPr>
                <w:vertAlign w:val="superscript"/>
              </w:rPr>
              <w:t>b,#,$</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69.2 ± 5.8</w:t>
            </w:r>
            <w:r>
              <w:rPr>
                <w:vertAlign w:val="superscript"/>
              </w:rPr>
              <w:t>b,$,%</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72.6 ± 4.6</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r>
              <w:t>DXA total mass (kg)</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pP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ObN</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16.5 ± 0.6</w:t>
            </w:r>
            <w:r>
              <w:rPr>
                <w:vertAlign w:val="superscript"/>
              </w:rPr>
              <w:t>a,#</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15.7 ± 0.7</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14.9 ± 1.0</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13.7 ± 1.4</w:t>
            </w:r>
            <w:r>
              <w:rPr>
                <w:vertAlign w:val="superscript"/>
              </w:rPr>
              <w:t>a,%,^</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12.8 ± 1.4</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Pr>
          <w:p w:rsidR="0047437A" w:rsidRDefault="0047437A" w:rsidP="00C40A84">
            <w:pPr>
              <w:jc w:val="center"/>
            </w:pPr>
            <w:r>
              <w:t>ObP</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17.2 ± 1.4</w:t>
            </w:r>
            <w:r>
              <w:rPr>
                <w:vertAlign w:val="superscript"/>
              </w:rPr>
              <w:t>a,#</w:t>
            </w:r>
          </w:p>
        </w:tc>
        <w:tc>
          <w:tcPr>
            <w:tcW w:w="0" w:type="auto"/>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16.8 ± 1.2</w:t>
            </w:r>
            <w:r>
              <w:rPr>
                <w:vertAlign w:val="superscript"/>
              </w:rPr>
              <w:t>a,#</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16.6 ± 0.8</w:t>
            </w:r>
            <w:r>
              <w:rPr>
                <w:vertAlign w:val="superscript"/>
              </w:rPr>
              <w:t>b,#</w:t>
            </w:r>
          </w:p>
        </w:tc>
        <w:tc>
          <w:tcPr>
            <w:tcW w:w="0" w:type="auto"/>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16.1 ± 0.6</w:t>
            </w:r>
            <w:r>
              <w:rPr>
                <w:vertAlign w:val="superscript"/>
              </w:rPr>
              <w:t>b,#</w:t>
            </w:r>
          </w:p>
        </w:tc>
        <w:tc>
          <w:tcPr>
            <w:tcW w:w="0" w:type="auto"/>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15.9 ± 0.5</w:t>
            </w:r>
            <w:r w:rsidRPr="00E825D1">
              <w:rPr>
                <w:vertAlign w:val="superscript"/>
              </w:rPr>
              <w:t>b,#</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47437A" w:rsidRDefault="0047437A" w:rsidP="00C40A84">
            <w:pPr>
              <w:jc w:val="center"/>
            </w:pPr>
            <w:r>
              <w:t>WLD</w:t>
            </w:r>
          </w:p>
        </w:tc>
        <w:tc>
          <w:tcPr>
            <w:tcW w:w="0" w:type="auto"/>
            <w:tcBorders>
              <w:bottom w:val="single" w:sz="12" w:space="0" w:color="000000"/>
            </w:tcBorders>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16.5 ± 1.5</w:t>
            </w:r>
            <w:r>
              <w:rPr>
                <w:vertAlign w:val="superscript"/>
              </w:rPr>
              <w:t>a,#</w:t>
            </w:r>
          </w:p>
        </w:tc>
        <w:tc>
          <w:tcPr>
            <w:tcW w:w="0" w:type="auto"/>
            <w:tcBorders>
              <w:bottom w:val="single" w:sz="12" w:space="0" w:color="000000"/>
            </w:tcBorders>
          </w:tcPr>
          <w:p w:rsidR="0047437A" w:rsidRPr="00B92D52"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t>15.6 ± 1.4</w:t>
            </w:r>
            <w:r>
              <w:rPr>
                <w:vertAlign w:val="superscript"/>
              </w:rPr>
              <w:t>a,#,$</w:t>
            </w:r>
          </w:p>
        </w:tc>
        <w:tc>
          <w:tcPr>
            <w:tcW w:w="0" w:type="auto"/>
            <w:tcBorders>
              <w:bottom w:val="single" w:sz="12" w:space="0" w:color="000000"/>
            </w:tcBorders>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14.5 ± 1.0</w:t>
            </w:r>
            <w:r>
              <w:rPr>
                <w:vertAlign w:val="superscript"/>
              </w:rPr>
              <w:t>a,$</w:t>
            </w:r>
          </w:p>
        </w:tc>
        <w:tc>
          <w:tcPr>
            <w:tcW w:w="0" w:type="auto"/>
            <w:tcBorders>
              <w:bottom w:val="single" w:sz="12" w:space="0" w:color="000000"/>
            </w:tcBorders>
          </w:tcPr>
          <w:p w:rsidR="0047437A" w:rsidRDefault="0047437A" w:rsidP="00C40A84">
            <w:pPr>
              <w:cnfStyle w:val="000000000000" w:firstRow="0" w:lastRow="0" w:firstColumn="0" w:lastColumn="0" w:oddVBand="0" w:evenVBand="0" w:oddHBand="0" w:evenHBand="0" w:firstRowFirstColumn="0" w:firstRowLastColumn="0" w:lastRowFirstColumn="0" w:lastRowLastColumn="0"/>
            </w:pPr>
            <w:r>
              <w:t>13.3 ± 0.8</w:t>
            </w:r>
            <w:r>
              <w:rPr>
                <w:vertAlign w:val="superscript"/>
              </w:rPr>
              <w:t>a,%</w:t>
            </w:r>
          </w:p>
        </w:tc>
        <w:tc>
          <w:tcPr>
            <w:tcW w:w="0" w:type="auto"/>
            <w:tcBorders>
              <w:bottom w:val="single" w:sz="12" w:space="0" w:color="000000"/>
            </w:tcBorders>
          </w:tcPr>
          <w:p w:rsidR="0047437A" w:rsidRPr="00E825D1" w:rsidRDefault="0047437A" w:rsidP="00C40A84">
            <w:pPr>
              <w:cnfStyle w:val="000000000000" w:firstRow="0" w:lastRow="0" w:firstColumn="0" w:lastColumn="0" w:oddVBand="0" w:evenVBand="0" w:oddHBand="0" w:evenHBand="0" w:firstRowFirstColumn="0" w:firstRowLastColumn="0" w:lastRowFirstColumn="0" w:lastRowLastColumn="0"/>
              <w:rPr>
                <w:vertAlign w:val="superscript"/>
              </w:rPr>
            </w:pPr>
            <w:r w:rsidRPr="00E825D1">
              <w:t>12.6 ± 1.0</w:t>
            </w:r>
            <w:r w:rsidRPr="00E825D1">
              <w:rPr>
                <w:vertAlign w:val="superscript"/>
              </w:rPr>
              <w:t>a,%</w:t>
            </w:r>
          </w:p>
        </w:tc>
      </w:tr>
      <w:tr w:rsidR="0047437A" w:rsidTr="00C40A84">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12" w:space="0" w:color="000000"/>
              <w:bottom w:val="nil"/>
              <w:right w:val="nil"/>
            </w:tcBorders>
          </w:tcPr>
          <w:p w:rsidR="0047437A" w:rsidRPr="00A60C91" w:rsidRDefault="0047437A" w:rsidP="00C40A84">
            <w:pPr>
              <w:rPr>
                <w:sz w:val="18"/>
                <w:szCs w:val="18"/>
              </w:rPr>
            </w:pPr>
            <w:r w:rsidRPr="00A60C91">
              <w:rPr>
                <w:sz w:val="18"/>
                <w:szCs w:val="18"/>
              </w:rPr>
              <w:t>Numerical data presented as mean ± standard deviation.</w:t>
            </w:r>
          </w:p>
          <w:p w:rsidR="0047437A" w:rsidRPr="00A60C91" w:rsidRDefault="0047437A" w:rsidP="00C40A84">
            <w:pPr>
              <w:rPr>
                <w:sz w:val="18"/>
                <w:szCs w:val="18"/>
              </w:rPr>
            </w:pPr>
            <w:r w:rsidRPr="00A60C91">
              <w:rPr>
                <w:sz w:val="18"/>
                <w:szCs w:val="18"/>
                <w:vertAlign w:val="superscript"/>
              </w:rPr>
              <w:t>*</w:t>
            </w:r>
            <w:r w:rsidRPr="00A60C91">
              <w:rPr>
                <w:sz w:val="18"/>
                <w:szCs w:val="18"/>
              </w:rPr>
              <w:t>ObN, obese nutraceutical group; ObP, obese placebo group; WLD, weight loss diet group.</w:t>
            </w:r>
          </w:p>
          <w:p w:rsidR="0047437A" w:rsidRPr="00A60C91" w:rsidRDefault="0047437A" w:rsidP="00C40A84">
            <w:pPr>
              <w:rPr>
                <w:sz w:val="18"/>
                <w:szCs w:val="18"/>
              </w:rPr>
            </w:pPr>
            <w:r w:rsidRPr="00A60C91">
              <w:rPr>
                <w:sz w:val="18"/>
                <w:szCs w:val="18"/>
                <w:vertAlign w:val="superscript"/>
              </w:rPr>
              <w:t>1</w:t>
            </w:r>
            <w:r w:rsidRPr="00A60C91">
              <w:rPr>
                <w:sz w:val="18"/>
                <w:szCs w:val="18"/>
              </w:rPr>
              <w:t xml:space="preserve">WLD in this column determined from 4 dogs, because 1 dog reached ideal weight and ended treatment at 8 weeks. </w:t>
            </w:r>
          </w:p>
          <w:p w:rsidR="0047437A" w:rsidRPr="00A60C91" w:rsidRDefault="0047437A" w:rsidP="00C40A84">
            <w:pPr>
              <w:rPr>
                <w:sz w:val="18"/>
                <w:szCs w:val="18"/>
              </w:rPr>
            </w:pPr>
            <w:proofErr w:type="gramStart"/>
            <w:r w:rsidRPr="00A60C91">
              <w:rPr>
                <w:sz w:val="18"/>
                <w:szCs w:val="18"/>
                <w:vertAlign w:val="superscript"/>
              </w:rPr>
              <w:t>a,</w:t>
            </w:r>
            <w:proofErr w:type="gramEnd"/>
            <w:r w:rsidRPr="00A60C91">
              <w:rPr>
                <w:sz w:val="18"/>
                <w:szCs w:val="18"/>
                <w:vertAlign w:val="superscript"/>
              </w:rPr>
              <w:t>b</w:t>
            </w:r>
            <w:r w:rsidRPr="00A60C91">
              <w:rPr>
                <w:sz w:val="18"/>
                <w:szCs w:val="18"/>
              </w:rPr>
              <w:t>Within a column, values with different superscript letters differ significantly (</w:t>
            </w:r>
            <w:r w:rsidRPr="00A60C91">
              <w:rPr>
                <w:i/>
                <w:sz w:val="18"/>
                <w:szCs w:val="18"/>
              </w:rPr>
              <w:t>p</w:t>
            </w:r>
            <w:r w:rsidRPr="00A60C91">
              <w:rPr>
                <w:sz w:val="18"/>
                <w:szCs w:val="18"/>
              </w:rPr>
              <w:t>&lt; 0.05).</w:t>
            </w:r>
          </w:p>
          <w:p w:rsidR="0047437A" w:rsidRPr="006E1409" w:rsidRDefault="0047437A" w:rsidP="00C40A84">
            <w:r w:rsidRPr="00A60C91">
              <w:rPr>
                <w:sz w:val="18"/>
                <w:szCs w:val="18"/>
                <w:vertAlign w:val="superscript"/>
              </w:rPr>
              <w:t>#</w:t>
            </w:r>
            <w:proofErr w:type="gramStart"/>
            <w:r w:rsidRPr="00A60C91">
              <w:rPr>
                <w:sz w:val="18"/>
                <w:szCs w:val="18"/>
                <w:vertAlign w:val="superscript"/>
              </w:rPr>
              <w:t>,$</w:t>
            </w:r>
            <w:proofErr w:type="gramEnd"/>
            <w:r w:rsidRPr="00A60C91">
              <w:rPr>
                <w:sz w:val="18"/>
                <w:szCs w:val="18"/>
                <w:vertAlign w:val="superscript"/>
              </w:rPr>
              <w:t>,%,^</w:t>
            </w:r>
            <w:r w:rsidRPr="00A60C91">
              <w:rPr>
                <w:sz w:val="18"/>
                <w:szCs w:val="18"/>
              </w:rPr>
              <w:t>Across columns, values with different superscript symbols differ significantly (</w:t>
            </w:r>
            <w:r w:rsidRPr="00A60C91">
              <w:rPr>
                <w:i/>
                <w:sz w:val="18"/>
                <w:szCs w:val="18"/>
              </w:rPr>
              <w:t>p</w:t>
            </w:r>
            <w:r w:rsidRPr="00A60C91">
              <w:rPr>
                <w:sz w:val="18"/>
                <w:szCs w:val="18"/>
              </w:rPr>
              <w:t>&lt; 0.05).</w:t>
            </w:r>
          </w:p>
        </w:tc>
      </w:tr>
    </w:tbl>
    <w:p w:rsidR="0047437A" w:rsidRDefault="0047437A" w:rsidP="00E60D1C">
      <w:pPr>
        <w:sectPr w:rsidR="0047437A" w:rsidSect="0047437A">
          <w:pgSz w:w="15840" w:h="12240" w:orient="landscape" w:code="1"/>
          <w:pgMar w:top="1800" w:right="1440" w:bottom="1800" w:left="1872" w:header="720" w:footer="1440" w:gutter="0"/>
          <w:cols w:space="720"/>
          <w:noEndnote/>
          <w:docGrid w:linePitch="360"/>
        </w:sectPr>
      </w:pPr>
    </w:p>
    <w:p w:rsidR="00111582" w:rsidRDefault="00111582" w:rsidP="00111582">
      <w:pPr>
        <w:pStyle w:val="Heading4"/>
      </w:pPr>
      <w:r>
        <w:t>Total mass</w:t>
      </w:r>
    </w:p>
    <w:p w:rsidR="00111582" w:rsidRDefault="00111582" w:rsidP="00111582">
      <w:r>
        <w:t xml:space="preserve">Total mass determined by </w:t>
      </w:r>
      <w:commentRangeStart w:id="70"/>
      <w:r>
        <w:t xml:space="preserve">DXA did not differ </w:t>
      </w:r>
      <w:commentRangeEnd w:id="70"/>
      <w:r>
        <w:rPr>
          <w:rStyle w:val="CommentReference"/>
        </w:rPr>
        <w:commentReference w:id="70"/>
      </w:r>
      <w:r>
        <w:t>from BW recorded from digital scales.  Group differences by BW are outlined above.</w:t>
      </w:r>
    </w:p>
    <w:p w:rsidR="00111582" w:rsidRDefault="00111582" w:rsidP="00111582">
      <w:pPr>
        <w:pStyle w:val="Heading3"/>
      </w:pPr>
      <w:bookmarkStart w:id="71" w:name="_Toc376465784"/>
      <w:r>
        <w:t>Negative control (Group IBW)</w:t>
      </w:r>
      <w:bookmarkEnd w:id="71"/>
    </w:p>
    <w:p w:rsidR="00065BB7" w:rsidRDefault="00111582" w:rsidP="00E60D1C">
      <w:r>
        <w:t>BW, AF, and %BF increased at eight weeks compared to baseline (</w:t>
      </w:r>
      <w:r>
        <w:rPr>
          <w:i/>
        </w:rPr>
        <w:t>p</w:t>
      </w:r>
      <w:r>
        <w:t xml:space="preserve"> &lt; 0.008</w:t>
      </w:r>
      <w:r w:rsidRPr="00E27EA6">
        <w:t>)</w:t>
      </w:r>
      <w:r>
        <w:t xml:space="preserve"> and decreased back to baseline levels at week 12.  BCS, food not eaten, LM, and DXA total mass were consistent for the duration of the study.  %LM decreased over time, although the twelve week level did not differ from baseline.  </w:t>
      </w:r>
      <w:r w:rsidR="00E60D1C">
        <w:t>Over time, food offere</w:t>
      </w:r>
      <w:r w:rsidR="00C676ED">
        <w:t>d</w:t>
      </w:r>
      <w:r w:rsidR="00E60D1C">
        <w:t xml:space="preserve"> (and subsequent</w:t>
      </w:r>
      <w:r w:rsidR="00C676ED">
        <w:t xml:space="preserve"> food</w:t>
      </w:r>
      <w:r w:rsidR="00E60D1C">
        <w:t xml:space="preserve"> intake</w:t>
      </w:r>
      <w:r w:rsidR="00C2499C">
        <w:t xml:space="preserve">; </w:t>
      </w:r>
      <w:r w:rsidR="00C2499C">
        <w:rPr>
          <w:i/>
        </w:rPr>
        <w:t>p</w:t>
      </w:r>
      <w:r w:rsidR="00C2499C">
        <w:t xml:space="preserve"> &lt; 0.0001</w:t>
      </w:r>
      <w:r w:rsidR="00E60D1C">
        <w:t>)</w:t>
      </w:r>
      <w:r w:rsidR="00C676ED">
        <w:t xml:space="preserve"> was significantly decreased to maintain ideal BW (</w:t>
      </w:r>
      <w:r w:rsidR="0047437A">
        <w:rPr>
          <w:color w:val="FF0000"/>
        </w:rPr>
        <w:t>Table 7</w:t>
      </w:r>
      <w:r w:rsidR="00C676ED">
        <w:rPr>
          <w:color w:val="FF0000"/>
        </w:rPr>
        <w:t>)</w:t>
      </w:r>
      <w:r w:rsidR="00C676ED">
        <w:t>.  Compared to baseline, food offered (kcal/BW</w:t>
      </w:r>
      <w:r w:rsidR="00C676ED">
        <w:rPr>
          <w:vertAlign w:val="subscript"/>
        </w:rPr>
        <w:t>kg</w:t>
      </w:r>
      <w:r w:rsidR="00C2499C">
        <w:rPr>
          <w:vertAlign w:val="superscript"/>
        </w:rPr>
        <w:t>0.75</w:t>
      </w:r>
      <w:r w:rsidR="00C676ED">
        <w:t>) w</w:t>
      </w:r>
      <w:r w:rsidR="00C2499C">
        <w:t>as decreased by approximately 35</w:t>
      </w:r>
      <w:r w:rsidR="00C676ED">
        <w:t>% at study termination</w:t>
      </w:r>
      <w:r w:rsidR="00C2499C">
        <w:t xml:space="preserve"> in order to maintain ideal BW</w:t>
      </w:r>
      <w:r w:rsidR="00C676ED">
        <w:t>.  This end of study value (</w:t>
      </w:r>
      <w:r w:rsidR="00C2499C">
        <w:t>139.8 ± 38.9</w:t>
      </w:r>
      <w:r w:rsidR="00C676ED">
        <w:t>kcal/BW</w:t>
      </w:r>
      <w:r w:rsidR="00C676ED">
        <w:rPr>
          <w:vertAlign w:val="subscript"/>
        </w:rPr>
        <w:t>kg</w:t>
      </w:r>
      <w:r w:rsidR="00C2499C">
        <w:rPr>
          <w:vertAlign w:val="superscript"/>
        </w:rPr>
        <w:t>0.75</w:t>
      </w:r>
      <w:r w:rsidR="00C676ED">
        <w:t>) did not differ from ObP (</w:t>
      </w:r>
      <w:r w:rsidR="00C2499C" w:rsidRPr="00E825D1">
        <w:t>134.1 ± 17.</w:t>
      </w:r>
      <w:r w:rsidR="00C2499C">
        <w:t>3</w:t>
      </w:r>
      <w:r w:rsidR="00C676ED">
        <w:t xml:space="preserve"> kcal/BW</w:t>
      </w:r>
      <w:r w:rsidR="00C676ED">
        <w:rPr>
          <w:vertAlign w:val="subscript"/>
        </w:rPr>
        <w:t>kg</w:t>
      </w:r>
      <w:r w:rsidR="00C2499C">
        <w:rPr>
          <w:vertAlign w:val="superscript"/>
        </w:rPr>
        <w:t>0.75</w:t>
      </w:r>
      <w:r w:rsidR="00C676ED">
        <w:t>) or WLD (</w:t>
      </w:r>
      <w:r w:rsidR="00C2499C" w:rsidRPr="00E825D1">
        <w:t>117.5 ± 31.1</w:t>
      </w:r>
      <w:r w:rsidR="00C676ED">
        <w:t xml:space="preserve"> kcal/BW</w:t>
      </w:r>
      <w:r w:rsidR="00C676ED">
        <w:rPr>
          <w:vertAlign w:val="subscript"/>
        </w:rPr>
        <w:t>kg</w:t>
      </w:r>
      <w:r w:rsidR="00C2499C">
        <w:rPr>
          <w:vertAlign w:val="superscript"/>
        </w:rPr>
        <w:t>0.75</w:t>
      </w:r>
      <w:r w:rsidR="00C676ED">
        <w:t>), but was greater than ObN (</w:t>
      </w:r>
      <w:r w:rsidR="00C2499C" w:rsidRPr="00E825D1">
        <w:t>101.3 ± 12.7</w:t>
      </w:r>
      <w:r w:rsidR="00065BB7">
        <w:t xml:space="preserve"> </w:t>
      </w:r>
      <w:r w:rsidR="00C676ED">
        <w:t>kcal/BW</w:t>
      </w:r>
      <w:r w:rsidR="00C676ED">
        <w:rPr>
          <w:vertAlign w:val="subscript"/>
        </w:rPr>
        <w:t>kg</w:t>
      </w:r>
      <w:r w:rsidR="00C2499C">
        <w:rPr>
          <w:vertAlign w:val="superscript"/>
        </w:rPr>
        <w:t>0.75</w:t>
      </w:r>
      <w:r w:rsidR="00C2499C">
        <w:t xml:space="preserve">; </w:t>
      </w:r>
      <w:r w:rsidR="00C2499C">
        <w:rPr>
          <w:i/>
        </w:rPr>
        <w:t xml:space="preserve">p </w:t>
      </w:r>
      <w:r w:rsidR="00C2499C">
        <w:t>= 0.0004</w:t>
      </w:r>
      <w:r w:rsidR="00C676ED">
        <w:t>).</w:t>
      </w:r>
    </w:p>
    <w:p w:rsidR="00065BB7" w:rsidRDefault="00065BB7" w:rsidP="00065BB7">
      <w:pPr>
        <w:pStyle w:val="Heading3"/>
      </w:pPr>
      <w:bookmarkStart w:id="72" w:name="_Toc373267019"/>
      <w:bookmarkStart w:id="73" w:name="_Toc376465785"/>
      <w:r>
        <w:t>Intrusion meal consumption</w:t>
      </w:r>
      <w:bookmarkEnd w:id="72"/>
      <w:bookmarkEnd w:id="73"/>
    </w:p>
    <w:p w:rsidR="00065BB7" w:rsidRDefault="00065BB7" w:rsidP="00E60D1C">
      <w:r>
        <w:t>Kcal/BW</w:t>
      </w:r>
      <w:r>
        <w:rPr>
          <w:vertAlign w:val="subscript"/>
        </w:rPr>
        <w:t>kg</w:t>
      </w:r>
      <w:r w:rsidRPr="003E7D46">
        <w:rPr>
          <w:vertAlign w:val="superscript"/>
        </w:rPr>
        <w:t>0.75</w:t>
      </w:r>
      <w:r>
        <w:t xml:space="preserve"> consumption increased over time for ObP (</w:t>
      </w:r>
      <w:r>
        <w:rPr>
          <w:i/>
        </w:rPr>
        <w:t>p</w:t>
      </w:r>
      <w:r>
        <w:t xml:space="preserve"> = 0.0049) and WLD (</w:t>
      </w:r>
      <w:r>
        <w:rPr>
          <w:i/>
        </w:rPr>
        <w:t xml:space="preserve">p </w:t>
      </w:r>
      <w:r w:rsidRPr="00FF00F1">
        <w:t>= 0.0132)</w:t>
      </w:r>
      <w:r>
        <w:t>, while it remained constant for ObN.  All three groups, however had consumption levels similar to each other at all time points</w:t>
      </w:r>
      <w:r w:rsidR="00C40A84">
        <w:t>.  Group IBW maintained intrusion food consumption levels fo</w:t>
      </w:r>
      <w:r w:rsidR="00C40A84" w:rsidRPr="008E47F6">
        <w:t>r the duration of the study.</w:t>
      </w:r>
      <w:r w:rsidR="00C40A84">
        <w:t xml:space="preserve">  At baseline, consumption differed from ObN, ObP, and WLD (</w:t>
      </w:r>
      <w:r w:rsidR="00C40A84">
        <w:rPr>
          <w:i/>
        </w:rPr>
        <w:t>p</w:t>
      </w:r>
      <w:r w:rsidR="00C40A84">
        <w:t xml:space="preserve"> &lt; 0.0004).  One week into treatment, IBW intrusion consumption was greater than all other groups (</w:t>
      </w:r>
      <w:r w:rsidR="00C40A84">
        <w:rPr>
          <w:i/>
        </w:rPr>
        <w:t xml:space="preserve">p &lt; </w:t>
      </w:r>
      <w:r w:rsidR="00C40A84">
        <w:t>0.0068), which did not differ from each other.  At study termination, IBW intrusion consumption did not differ from ObN, ObP, and WLD</w:t>
      </w:r>
      <w:r>
        <w:t xml:space="preserve"> (</w:t>
      </w:r>
      <w:r>
        <w:rPr>
          <w:color w:val="FF0000"/>
        </w:rPr>
        <w:t>Table 8)</w:t>
      </w:r>
      <w:r>
        <w:t>.</w:t>
      </w:r>
    </w:p>
    <w:p w:rsidR="00C40A84" w:rsidRDefault="00C40A84" w:rsidP="00C40A84">
      <w:pPr>
        <w:pStyle w:val="Heading3"/>
      </w:pPr>
      <w:bookmarkStart w:id="74" w:name="_Toc373267020"/>
      <w:bookmarkStart w:id="75" w:name="_Toc376465786"/>
      <w:r>
        <w:t>Behavioral observations</w:t>
      </w:r>
      <w:bookmarkEnd w:id="74"/>
      <w:bookmarkEnd w:id="75"/>
    </w:p>
    <w:p w:rsidR="00C40A84" w:rsidRPr="003B36B4" w:rsidRDefault="00C40A84" w:rsidP="00C40A84">
      <w:r w:rsidRPr="003B36B4">
        <w:t>Any time point without a notation for resting, lying, sitting, standing, or walking/running/jumping was entered as standing.  When cage position was not specified, two positions were marked, or a notation other than front, middle, or back was used, middle was recorded as the position for analysis.</w:t>
      </w:r>
      <w:r>
        <w:t xml:space="preserve">  </w:t>
      </w:r>
      <w:r w:rsidRPr="003B36B4">
        <w:t>One dog from group IBW had lying and sitting both marked at the same time point.  Lying was used as the count for analysis.  One dog from group WLD and another in group ObN had both walking and standing marked at the same time point.  Walking was used in the analysis for both dogs.</w:t>
      </w:r>
    </w:p>
    <w:p w:rsidR="00C40A84" w:rsidRDefault="00C40A84" w:rsidP="00C40A84">
      <w:pPr>
        <w:rPr>
          <w:color w:val="FF0000"/>
        </w:rPr>
      </w:pPr>
    </w:p>
    <w:p w:rsidR="00C40A84" w:rsidRDefault="00C40A84" w:rsidP="00C40A84">
      <w:r w:rsidRPr="00C74D44">
        <w:t>Volunteers did not consistently record total time spent eating meals,</w:t>
      </w:r>
      <w:r>
        <w:t xml:space="preserve"> so this data could not be anal</w:t>
      </w:r>
      <w:r w:rsidRPr="00C74D44">
        <w:t>yzed.</w:t>
      </w:r>
      <w:r>
        <w:t xml:space="preserve">  There were no significant group differences for drinking, urinating/defecating, yawning, body shaking, </w:t>
      </w:r>
      <w:r w:rsidR="00527CF9">
        <w:t xml:space="preserve">playing with toys, grooming, </w:t>
      </w:r>
      <w:r>
        <w:t>lying (head up)</w:t>
      </w:r>
      <w:r w:rsidR="00527CF9">
        <w:t>, or walking/running/jumping</w:t>
      </w:r>
      <w:r>
        <w:t>.  There were no recorded instances of corprophagia and no significant differences in cage position by group or time point (</w:t>
      </w:r>
      <w:r>
        <w:rPr>
          <w:color w:val="FF0000"/>
        </w:rPr>
        <w:t>Figure 15)</w:t>
      </w:r>
      <w:r>
        <w:t>.</w:t>
      </w:r>
    </w:p>
    <w:p w:rsidR="00C40A84" w:rsidRPr="00C676ED" w:rsidRDefault="00C40A84" w:rsidP="00E60D1C">
      <w:pPr>
        <w:sectPr w:rsidR="00C40A84" w:rsidRPr="00C676ED" w:rsidSect="00F92278">
          <w:pgSz w:w="12240" w:h="15840" w:code="1"/>
          <w:pgMar w:top="1440" w:right="1800" w:bottom="1872" w:left="1800" w:header="720" w:footer="1440" w:gutter="0"/>
          <w:cols w:space="720"/>
          <w:noEndnote/>
          <w:docGrid w:linePitch="360"/>
        </w:sectPr>
      </w:pPr>
    </w:p>
    <w:p w:rsidR="002E726B" w:rsidRDefault="002E726B" w:rsidP="002E726B">
      <w:pPr>
        <w:pStyle w:val="Caption"/>
      </w:pPr>
      <w:bookmarkStart w:id="76" w:name="_Toc376465829"/>
      <w:r>
        <w:t xml:space="preserve">Table </w:t>
      </w:r>
      <w:fldSimple w:instr=" SEQ Table \* ARABIC ">
        <w:r w:rsidR="00736DB0">
          <w:rPr>
            <w:noProof/>
          </w:rPr>
          <w:t>7</w:t>
        </w:r>
      </w:fldSimple>
      <w:r>
        <w:t xml:space="preserve"> </w:t>
      </w:r>
      <w:r w:rsidR="00AB75F9">
        <w:t>F</w:t>
      </w:r>
      <w:r w:rsidR="00AB75F9" w:rsidRPr="00D329AE">
        <w:t>ood consumption</w:t>
      </w:r>
      <w:r w:rsidR="00AB75F9">
        <w:t xml:space="preserve"> and body composition</w:t>
      </w:r>
      <w:r w:rsidR="00AB75F9" w:rsidRPr="00D329AE">
        <w:t xml:space="preserve"> by </w:t>
      </w:r>
      <w:r w:rsidR="00AB75F9">
        <w:t>ideal body weight group</w:t>
      </w:r>
      <w:r w:rsidR="00AB75F9" w:rsidRPr="00D329AE">
        <w:t xml:space="preserve"> time point</w:t>
      </w:r>
      <w:bookmarkEnd w:id="76"/>
    </w:p>
    <w:tbl>
      <w:tblPr>
        <w:tblStyle w:val="TableClassic1"/>
        <w:tblW w:w="12818" w:type="dxa"/>
        <w:tblLayout w:type="fixed"/>
        <w:tblLook w:val="04A0" w:firstRow="1" w:lastRow="0" w:firstColumn="1" w:lastColumn="0" w:noHBand="0" w:noVBand="1"/>
      </w:tblPr>
      <w:tblGrid>
        <w:gridCol w:w="2507"/>
        <w:gridCol w:w="2062"/>
        <w:gridCol w:w="2062"/>
        <w:gridCol w:w="2062"/>
        <w:gridCol w:w="2062"/>
        <w:gridCol w:w="2063"/>
      </w:tblGrid>
      <w:tr w:rsidR="00AD7002" w:rsidTr="00A60C91">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507" w:type="dxa"/>
          </w:tcPr>
          <w:p w:rsidR="002C1D55" w:rsidRDefault="002C1D55" w:rsidP="00732C1B"/>
        </w:tc>
        <w:tc>
          <w:tcPr>
            <w:tcW w:w="2062" w:type="dxa"/>
          </w:tcPr>
          <w:p w:rsidR="002C1D55" w:rsidRDefault="002C1D55" w:rsidP="00732C1B">
            <w:pPr>
              <w:cnfStyle w:val="100000000000" w:firstRow="1" w:lastRow="0" w:firstColumn="0" w:lastColumn="0" w:oddVBand="0" w:evenVBand="0" w:oddHBand="0" w:evenHBand="0" w:firstRowFirstColumn="0" w:firstRowLastColumn="0" w:lastRowFirstColumn="0" w:lastRowLastColumn="0"/>
            </w:pPr>
            <w:r>
              <w:t>Baseline</w:t>
            </w:r>
          </w:p>
        </w:tc>
        <w:tc>
          <w:tcPr>
            <w:tcW w:w="2062" w:type="dxa"/>
          </w:tcPr>
          <w:p w:rsidR="002C1D55" w:rsidRDefault="002C1D55" w:rsidP="00732C1B">
            <w:pPr>
              <w:cnfStyle w:val="100000000000" w:firstRow="1" w:lastRow="0" w:firstColumn="0" w:lastColumn="0" w:oddVBand="0" w:evenVBand="0" w:oddHBand="0" w:evenHBand="0" w:firstRowFirstColumn="0" w:firstRowLastColumn="0" w:lastRowFirstColumn="0" w:lastRowLastColumn="0"/>
            </w:pPr>
            <w:r>
              <w:t>One week</w:t>
            </w:r>
          </w:p>
        </w:tc>
        <w:tc>
          <w:tcPr>
            <w:tcW w:w="2062" w:type="dxa"/>
          </w:tcPr>
          <w:p w:rsidR="002C1D55" w:rsidRDefault="002C1D55" w:rsidP="00732C1B">
            <w:pPr>
              <w:cnfStyle w:val="100000000000" w:firstRow="1" w:lastRow="0" w:firstColumn="0" w:lastColumn="0" w:oddVBand="0" w:evenVBand="0" w:oddHBand="0" w:evenHBand="0" w:firstRowFirstColumn="0" w:firstRowLastColumn="0" w:lastRowFirstColumn="0" w:lastRowLastColumn="0"/>
            </w:pPr>
            <w:r>
              <w:t>Four weeks</w:t>
            </w:r>
          </w:p>
        </w:tc>
        <w:tc>
          <w:tcPr>
            <w:tcW w:w="2062" w:type="dxa"/>
          </w:tcPr>
          <w:p w:rsidR="002C1D55" w:rsidRDefault="002C1D55" w:rsidP="00732C1B">
            <w:pPr>
              <w:cnfStyle w:val="100000000000" w:firstRow="1" w:lastRow="0" w:firstColumn="0" w:lastColumn="0" w:oddVBand="0" w:evenVBand="0" w:oddHBand="0" w:evenHBand="0" w:firstRowFirstColumn="0" w:firstRowLastColumn="0" w:lastRowFirstColumn="0" w:lastRowLastColumn="0"/>
            </w:pPr>
            <w:r>
              <w:t>Eight weeks</w:t>
            </w:r>
          </w:p>
        </w:tc>
        <w:tc>
          <w:tcPr>
            <w:tcW w:w="2062" w:type="dxa"/>
          </w:tcPr>
          <w:p w:rsidR="002C1D55" w:rsidRDefault="00DA3033" w:rsidP="00732C1B">
            <w:pPr>
              <w:cnfStyle w:val="100000000000" w:firstRow="1" w:lastRow="0" w:firstColumn="0" w:lastColumn="0" w:oddVBand="0" w:evenVBand="0" w:oddHBand="0" w:evenHBand="0" w:firstRowFirstColumn="0" w:firstRowLastColumn="0" w:lastRowFirstColumn="0" w:lastRowLastColumn="0"/>
            </w:pPr>
            <w:r>
              <w:t>Twelve weeks</w:t>
            </w:r>
          </w:p>
        </w:tc>
      </w:tr>
      <w:tr w:rsidR="00AD7002" w:rsidTr="00A60C91">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2C1D55" w:rsidRPr="00566860" w:rsidRDefault="002C1D55" w:rsidP="00A05353">
            <w:pPr>
              <w:rPr>
                <w:vertAlign w:val="superscript"/>
              </w:rPr>
            </w:pPr>
            <w:r>
              <w:t>Scale weight (kg)</w:t>
            </w:r>
          </w:p>
        </w:tc>
        <w:tc>
          <w:tcPr>
            <w:tcW w:w="2062" w:type="dxa"/>
          </w:tcPr>
          <w:p w:rsidR="002C1D55" w:rsidRPr="00BC1EAF" w:rsidRDefault="002C1D55" w:rsidP="00917366">
            <w:pPr>
              <w:cnfStyle w:val="000000000000" w:firstRow="0" w:lastRow="0" w:firstColumn="0" w:lastColumn="0" w:oddVBand="0" w:evenVBand="0" w:oddHBand="0" w:evenHBand="0" w:firstRowFirstColumn="0" w:firstRowLastColumn="0" w:lastRowFirstColumn="0" w:lastRowLastColumn="0"/>
              <w:rPr>
                <w:vertAlign w:val="superscript"/>
              </w:rPr>
            </w:pPr>
            <w:r>
              <w:t>11.2 ± 0.8</w:t>
            </w:r>
            <w:r>
              <w:rPr>
                <w:vertAlign w:val="superscript"/>
              </w:rPr>
              <w:t>#</w:t>
            </w:r>
          </w:p>
        </w:tc>
        <w:tc>
          <w:tcPr>
            <w:tcW w:w="2062" w:type="dxa"/>
          </w:tcPr>
          <w:p w:rsidR="002C1D55" w:rsidRPr="00BC1EAF" w:rsidRDefault="002C1D55" w:rsidP="00917366">
            <w:pPr>
              <w:cnfStyle w:val="000000000000" w:firstRow="0" w:lastRow="0" w:firstColumn="0" w:lastColumn="0" w:oddVBand="0" w:evenVBand="0" w:oddHBand="0" w:evenHBand="0" w:firstRowFirstColumn="0" w:firstRowLastColumn="0" w:lastRowFirstColumn="0" w:lastRowLastColumn="0"/>
              <w:rPr>
                <w:vertAlign w:val="superscript"/>
              </w:rPr>
            </w:pPr>
            <w:r>
              <w:t>11.3 ± 0.7</w:t>
            </w:r>
            <w:r>
              <w:rPr>
                <w:vertAlign w:val="superscript"/>
              </w:rPr>
              <w:t>#</w:t>
            </w:r>
            <w:r w:rsidR="0068141E">
              <w:rPr>
                <w:vertAlign w:val="superscript"/>
              </w:rPr>
              <w:t>,$</w:t>
            </w:r>
          </w:p>
        </w:tc>
        <w:tc>
          <w:tcPr>
            <w:tcW w:w="2062" w:type="dxa"/>
          </w:tcPr>
          <w:p w:rsidR="002C1D55" w:rsidRDefault="002C1D55" w:rsidP="00917366">
            <w:pPr>
              <w:cnfStyle w:val="000000000000" w:firstRow="0" w:lastRow="0" w:firstColumn="0" w:lastColumn="0" w:oddVBand="0" w:evenVBand="0" w:oddHBand="0" w:evenHBand="0" w:firstRowFirstColumn="0" w:firstRowLastColumn="0" w:lastRowFirstColumn="0" w:lastRowLastColumn="0"/>
            </w:pPr>
            <w:r>
              <w:t>12.2 ± 0.7</w:t>
            </w:r>
            <w:r w:rsidR="0068141E">
              <w:rPr>
                <w:vertAlign w:val="superscript"/>
              </w:rPr>
              <w:t>#,$</w:t>
            </w:r>
          </w:p>
        </w:tc>
        <w:tc>
          <w:tcPr>
            <w:tcW w:w="2062" w:type="dxa"/>
          </w:tcPr>
          <w:p w:rsidR="002C1D55" w:rsidRDefault="002C1D55" w:rsidP="00917366">
            <w:pPr>
              <w:cnfStyle w:val="000000000000" w:firstRow="0" w:lastRow="0" w:firstColumn="0" w:lastColumn="0" w:oddVBand="0" w:evenVBand="0" w:oddHBand="0" w:evenHBand="0" w:firstRowFirstColumn="0" w:firstRowLastColumn="0" w:lastRowFirstColumn="0" w:lastRowLastColumn="0"/>
            </w:pPr>
            <w:r>
              <w:t>12.5 ± 0.8</w:t>
            </w:r>
            <w:r w:rsidR="0068141E">
              <w:rPr>
                <w:vertAlign w:val="superscript"/>
              </w:rPr>
              <w:t>$</w:t>
            </w:r>
          </w:p>
        </w:tc>
        <w:tc>
          <w:tcPr>
            <w:tcW w:w="2062" w:type="dxa"/>
          </w:tcPr>
          <w:p w:rsidR="002C1D55" w:rsidRPr="00BC1EAF" w:rsidRDefault="002C1D55" w:rsidP="00917366">
            <w:pPr>
              <w:cnfStyle w:val="000000000000" w:firstRow="0" w:lastRow="0" w:firstColumn="0" w:lastColumn="0" w:oddVBand="0" w:evenVBand="0" w:oddHBand="0" w:evenHBand="0" w:firstRowFirstColumn="0" w:firstRowLastColumn="0" w:lastRowFirstColumn="0" w:lastRowLastColumn="0"/>
              <w:rPr>
                <w:vertAlign w:val="superscript"/>
              </w:rPr>
            </w:pPr>
            <w:r>
              <w:t>11.8 ± 0.9</w:t>
            </w:r>
            <w:r>
              <w:rPr>
                <w:vertAlign w:val="superscript"/>
              </w:rPr>
              <w:t>#</w:t>
            </w:r>
            <w:r w:rsidR="0068141E">
              <w:rPr>
                <w:vertAlign w:val="superscript"/>
              </w:rPr>
              <w:t>,$</w:t>
            </w:r>
          </w:p>
        </w:tc>
      </w:tr>
      <w:tr w:rsidR="00AD7002" w:rsidTr="00A60C91">
        <w:trPr>
          <w:trHeight w:val="263"/>
        </w:trPr>
        <w:tc>
          <w:tcPr>
            <w:cnfStyle w:val="001000000000" w:firstRow="0" w:lastRow="0" w:firstColumn="1" w:lastColumn="0" w:oddVBand="0" w:evenVBand="0" w:oddHBand="0" w:evenHBand="0" w:firstRowFirstColumn="0" w:firstRowLastColumn="0" w:lastRowFirstColumn="0" w:lastRowLastColumn="0"/>
            <w:tcW w:w="2507" w:type="dxa"/>
          </w:tcPr>
          <w:p w:rsidR="002C1D55" w:rsidRDefault="002C1D55" w:rsidP="00AD7002">
            <w:r>
              <w:t>BCS</w:t>
            </w:r>
            <w:r w:rsidR="00AD7002">
              <w:t xml:space="preserve"> </w:t>
            </w:r>
            <w:r>
              <w:t>(9-point)</w:t>
            </w:r>
          </w:p>
        </w:tc>
        <w:tc>
          <w:tcPr>
            <w:tcW w:w="2062" w:type="dxa"/>
          </w:tcPr>
          <w:p w:rsidR="002C1D55" w:rsidRPr="00BC1EAF" w:rsidRDefault="002C1D55" w:rsidP="00917366">
            <w:pPr>
              <w:cnfStyle w:val="000000000000" w:firstRow="0" w:lastRow="0" w:firstColumn="0" w:lastColumn="0" w:oddVBand="0" w:evenVBand="0" w:oddHBand="0" w:evenHBand="0" w:firstRowFirstColumn="0" w:firstRowLastColumn="0" w:lastRowFirstColumn="0" w:lastRowLastColumn="0"/>
              <w:rPr>
                <w:vertAlign w:val="superscript"/>
              </w:rPr>
            </w:pPr>
            <w:r>
              <w:t>4.3 ± 0.8</w:t>
            </w:r>
            <w:r>
              <w:rPr>
                <w:vertAlign w:val="superscript"/>
              </w:rPr>
              <w:t>#</w:t>
            </w:r>
          </w:p>
        </w:tc>
        <w:tc>
          <w:tcPr>
            <w:tcW w:w="2062" w:type="dxa"/>
          </w:tcPr>
          <w:p w:rsidR="002C1D55" w:rsidRPr="00BC1EAF" w:rsidRDefault="002C1D55" w:rsidP="00917366">
            <w:pPr>
              <w:cnfStyle w:val="000000000000" w:firstRow="0" w:lastRow="0" w:firstColumn="0" w:lastColumn="0" w:oddVBand="0" w:evenVBand="0" w:oddHBand="0" w:evenHBand="0" w:firstRowFirstColumn="0" w:firstRowLastColumn="0" w:lastRowFirstColumn="0" w:lastRowLastColumn="0"/>
              <w:rPr>
                <w:vertAlign w:val="superscript"/>
              </w:rPr>
            </w:pPr>
            <w:r>
              <w:t>4.5 ± 0.5</w:t>
            </w:r>
            <w:r>
              <w:rPr>
                <w:vertAlign w:val="superscript"/>
              </w:rPr>
              <w:t>#</w:t>
            </w:r>
          </w:p>
        </w:tc>
        <w:tc>
          <w:tcPr>
            <w:tcW w:w="2062" w:type="dxa"/>
          </w:tcPr>
          <w:p w:rsidR="002C1D55" w:rsidRDefault="0076409C" w:rsidP="00917366">
            <w:pPr>
              <w:cnfStyle w:val="000000000000" w:firstRow="0" w:lastRow="0" w:firstColumn="0" w:lastColumn="0" w:oddVBand="0" w:evenVBand="0" w:oddHBand="0" w:evenHBand="0" w:firstRowFirstColumn="0" w:firstRowLastColumn="0" w:lastRowFirstColumn="0" w:lastRowLastColumn="0"/>
            </w:pPr>
            <w:r>
              <w:t>5.0 ± 0</w:t>
            </w:r>
            <w:r w:rsidR="0068141E">
              <w:rPr>
                <w:vertAlign w:val="superscript"/>
              </w:rPr>
              <w:t xml:space="preserve"> a,#</w:t>
            </w:r>
          </w:p>
        </w:tc>
        <w:tc>
          <w:tcPr>
            <w:tcW w:w="2062" w:type="dxa"/>
          </w:tcPr>
          <w:p w:rsidR="002C1D55" w:rsidRDefault="0076409C" w:rsidP="00917366">
            <w:pPr>
              <w:cnfStyle w:val="000000000000" w:firstRow="0" w:lastRow="0" w:firstColumn="0" w:lastColumn="0" w:oddVBand="0" w:evenVBand="0" w:oddHBand="0" w:evenHBand="0" w:firstRowFirstColumn="0" w:firstRowLastColumn="0" w:lastRowFirstColumn="0" w:lastRowLastColumn="0"/>
            </w:pPr>
            <w:r>
              <w:t>5.0 ± 0</w:t>
            </w:r>
            <w:r w:rsidR="0068141E">
              <w:rPr>
                <w:vertAlign w:val="superscript"/>
              </w:rPr>
              <w:t xml:space="preserve"> #</w:t>
            </w:r>
          </w:p>
        </w:tc>
        <w:tc>
          <w:tcPr>
            <w:tcW w:w="2062" w:type="dxa"/>
          </w:tcPr>
          <w:p w:rsidR="002C1D55" w:rsidRPr="00BC1EAF" w:rsidRDefault="002C1D55" w:rsidP="00917366">
            <w:pPr>
              <w:cnfStyle w:val="000000000000" w:firstRow="0" w:lastRow="0" w:firstColumn="0" w:lastColumn="0" w:oddVBand="0" w:evenVBand="0" w:oddHBand="0" w:evenHBand="0" w:firstRowFirstColumn="0" w:firstRowLastColumn="0" w:lastRowFirstColumn="0" w:lastRowLastColumn="0"/>
              <w:rPr>
                <w:vertAlign w:val="superscript"/>
              </w:rPr>
            </w:pPr>
            <w:r>
              <w:t>4.2 ± 0.4</w:t>
            </w:r>
            <w:r>
              <w:rPr>
                <w:vertAlign w:val="superscript"/>
              </w:rPr>
              <w:t>#</w:t>
            </w:r>
          </w:p>
        </w:tc>
      </w:tr>
      <w:tr w:rsidR="00AD7002" w:rsidTr="00A60C91">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2C1D55" w:rsidRDefault="00AD7002" w:rsidP="00A05353">
            <w:r>
              <w:t xml:space="preserve">Food offered </w:t>
            </w:r>
            <w:r w:rsidR="002C1D55">
              <w:t>(kcal)</w:t>
            </w:r>
          </w:p>
        </w:tc>
        <w:tc>
          <w:tcPr>
            <w:tcW w:w="2062" w:type="dxa"/>
          </w:tcPr>
          <w:p w:rsidR="002C1D55" w:rsidRPr="00BC1EAF" w:rsidRDefault="002C1D55" w:rsidP="00165284">
            <w:pPr>
              <w:cnfStyle w:val="000000000000" w:firstRow="0" w:lastRow="0" w:firstColumn="0" w:lastColumn="0" w:oddVBand="0" w:evenVBand="0" w:oddHBand="0" w:evenHBand="0" w:firstRowFirstColumn="0" w:firstRowLastColumn="0" w:lastRowFirstColumn="0" w:lastRowLastColumn="0"/>
              <w:rPr>
                <w:vertAlign w:val="superscript"/>
              </w:rPr>
            </w:pPr>
            <w:r>
              <w:t>1301.7 ± 200.9</w:t>
            </w:r>
            <w:r>
              <w:rPr>
                <w:vertAlign w:val="superscript"/>
              </w:rPr>
              <w:t>#</w:t>
            </w:r>
          </w:p>
        </w:tc>
        <w:tc>
          <w:tcPr>
            <w:tcW w:w="2062" w:type="dxa"/>
          </w:tcPr>
          <w:p w:rsidR="002C1D55" w:rsidRPr="00BC1EAF" w:rsidRDefault="002C1D55" w:rsidP="002C1D55">
            <w:pPr>
              <w:cnfStyle w:val="000000000000" w:firstRow="0" w:lastRow="0" w:firstColumn="0" w:lastColumn="0" w:oddVBand="0" w:evenVBand="0" w:oddHBand="0" w:evenHBand="0" w:firstRowFirstColumn="0" w:firstRowLastColumn="0" w:lastRowFirstColumn="0" w:lastRowLastColumn="0"/>
              <w:rPr>
                <w:vertAlign w:val="superscript"/>
              </w:rPr>
            </w:pPr>
            <w:r>
              <w:t>1274.6 ± 208.4</w:t>
            </w:r>
            <w:r>
              <w:rPr>
                <w:vertAlign w:val="superscript"/>
              </w:rPr>
              <w:t>#</w:t>
            </w:r>
          </w:p>
        </w:tc>
        <w:tc>
          <w:tcPr>
            <w:tcW w:w="2062" w:type="dxa"/>
          </w:tcPr>
          <w:p w:rsidR="002C1D55" w:rsidRDefault="002C1D55" w:rsidP="00917366">
            <w:pPr>
              <w:cnfStyle w:val="000000000000" w:firstRow="0" w:lastRow="0" w:firstColumn="0" w:lastColumn="0" w:oddVBand="0" w:evenVBand="0" w:oddHBand="0" w:evenHBand="0" w:firstRowFirstColumn="0" w:firstRowLastColumn="0" w:lastRowFirstColumn="0" w:lastRowLastColumn="0"/>
            </w:pPr>
            <w:r>
              <w:t>1171.1 ± 221.3</w:t>
            </w:r>
            <w:r w:rsidR="0068141E">
              <w:rPr>
                <w:vertAlign w:val="superscript"/>
              </w:rPr>
              <w:t>#,$</w:t>
            </w:r>
          </w:p>
        </w:tc>
        <w:tc>
          <w:tcPr>
            <w:tcW w:w="2062" w:type="dxa"/>
          </w:tcPr>
          <w:p w:rsidR="002C1D55" w:rsidRDefault="00AD7002" w:rsidP="00917366">
            <w:pPr>
              <w:cnfStyle w:val="000000000000" w:firstRow="0" w:lastRow="0" w:firstColumn="0" w:lastColumn="0" w:oddVBand="0" w:evenVBand="0" w:oddHBand="0" w:evenHBand="0" w:firstRowFirstColumn="0" w:firstRowLastColumn="0" w:lastRowFirstColumn="0" w:lastRowLastColumn="0"/>
            </w:pPr>
            <w:r>
              <w:t>1037.1 ±</w:t>
            </w:r>
            <w:r w:rsidR="002C1D55">
              <w:t>213.1</w:t>
            </w:r>
            <w:r w:rsidR="0068141E">
              <w:rPr>
                <w:vertAlign w:val="superscript"/>
              </w:rPr>
              <w:t>$,%</w:t>
            </w:r>
          </w:p>
        </w:tc>
        <w:tc>
          <w:tcPr>
            <w:tcW w:w="2062" w:type="dxa"/>
          </w:tcPr>
          <w:p w:rsidR="002C1D55" w:rsidRPr="00BC1EAF" w:rsidRDefault="002C1D55" w:rsidP="002C1D55">
            <w:pPr>
              <w:cnfStyle w:val="000000000000" w:firstRow="0" w:lastRow="0" w:firstColumn="0" w:lastColumn="0" w:oddVBand="0" w:evenVBand="0" w:oddHBand="0" w:evenHBand="0" w:firstRowFirstColumn="0" w:firstRowLastColumn="0" w:lastRowFirstColumn="0" w:lastRowLastColumn="0"/>
              <w:rPr>
                <w:vertAlign w:val="superscript"/>
              </w:rPr>
            </w:pPr>
            <w:r>
              <w:t>887.6 ± 255.3</w:t>
            </w:r>
            <w:r w:rsidR="0068141E">
              <w:rPr>
                <w:vertAlign w:val="superscript"/>
              </w:rPr>
              <w:t>%</w:t>
            </w:r>
          </w:p>
        </w:tc>
      </w:tr>
      <w:tr w:rsidR="00AD7002" w:rsidTr="00A60C91">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2C1D55" w:rsidRDefault="002C1D55" w:rsidP="009F462E">
            <w:r>
              <w:t>Food intake (kcal)</w:t>
            </w:r>
          </w:p>
        </w:tc>
        <w:tc>
          <w:tcPr>
            <w:tcW w:w="2062" w:type="dxa"/>
          </w:tcPr>
          <w:p w:rsidR="002C1D55" w:rsidRPr="00BC1EAF" w:rsidRDefault="002C1D55" w:rsidP="00917366">
            <w:pPr>
              <w:cnfStyle w:val="000000000000" w:firstRow="0" w:lastRow="0" w:firstColumn="0" w:lastColumn="0" w:oddVBand="0" w:evenVBand="0" w:oddHBand="0" w:evenHBand="0" w:firstRowFirstColumn="0" w:firstRowLastColumn="0" w:lastRowFirstColumn="0" w:lastRowLastColumn="0"/>
              <w:rPr>
                <w:vertAlign w:val="superscript"/>
              </w:rPr>
            </w:pPr>
            <w:r>
              <w:t>1301.5 ± 201.1</w:t>
            </w:r>
            <w:r>
              <w:rPr>
                <w:vertAlign w:val="superscript"/>
              </w:rPr>
              <w:t>#</w:t>
            </w:r>
          </w:p>
        </w:tc>
        <w:tc>
          <w:tcPr>
            <w:tcW w:w="2062" w:type="dxa"/>
          </w:tcPr>
          <w:p w:rsidR="002C1D55" w:rsidRPr="00BC1EAF" w:rsidRDefault="00A56B37" w:rsidP="00A56B37">
            <w:pPr>
              <w:cnfStyle w:val="000000000000" w:firstRow="0" w:lastRow="0" w:firstColumn="0" w:lastColumn="0" w:oddVBand="0" w:evenVBand="0" w:oddHBand="0" w:evenHBand="0" w:firstRowFirstColumn="0" w:firstRowLastColumn="0" w:lastRowFirstColumn="0" w:lastRowLastColumn="0"/>
              <w:rPr>
                <w:vertAlign w:val="superscript"/>
              </w:rPr>
            </w:pPr>
            <w:r>
              <w:t>1274.6</w:t>
            </w:r>
            <w:r w:rsidR="002C1D55">
              <w:t xml:space="preserve"> ± </w:t>
            </w:r>
            <w:r>
              <w:t>208.4</w:t>
            </w:r>
            <w:r w:rsidR="002C1D55">
              <w:rPr>
                <w:vertAlign w:val="superscript"/>
              </w:rPr>
              <w:t>#</w:t>
            </w:r>
          </w:p>
        </w:tc>
        <w:tc>
          <w:tcPr>
            <w:tcW w:w="2062" w:type="dxa"/>
          </w:tcPr>
          <w:p w:rsidR="002C1D55" w:rsidRDefault="00A56B37" w:rsidP="00A56B37">
            <w:pPr>
              <w:cnfStyle w:val="000000000000" w:firstRow="0" w:lastRow="0" w:firstColumn="0" w:lastColumn="0" w:oddVBand="0" w:evenVBand="0" w:oddHBand="0" w:evenHBand="0" w:firstRowFirstColumn="0" w:firstRowLastColumn="0" w:lastRowFirstColumn="0" w:lastRowLastColumn="0"/>
            </w:pPr>
            <w:r>
              <w:t>1171.1</w:t>
            </w:r>
            <w:r w:rsidR="002C1D55">
              <w:t xml:space="preserve"> ± </w:t>
            </w:r>
            <w:r>
              <w:t>221.3</w:t>
            </w:r>
            <w:r w:rsidR="0068141E">
              <w:rPr>
                <w:vertAlign w:val="superscript"/>
              </w:rPr>
              <w:t>#</w:t>
            </w:r>
          </w:p>
        </w:tc>
        <w:tc>
          <w:tcPr>
            <w:tcW w:w="2062" w:type="dxa"/>
          </w:tcPr>
          <w:p w:rsidR="002C1D55" w:rsidRDefault="00A56B37" w:rsidP="00A56B37">
            <w:pPr>
              <w:cnfStyle w:val="000000000000" w:firstRow="0" w:lastRow="0" w:firstColumn="0" w:lastColumn="0" w:oddVBand="0" w:evenVBand="0" w:oddHBand="0" w:evenHBand="0" w:firstRowFirstColumn="0" w:firstRowLastColumn="0" w:lastRowFirstColumn="0" w:lastRowLastColumn="0"/>
            </w:pPr>
            <w:r>
              <w:t>1037.1</w:t>
            </w:r>
            <w:r w:rsidR="002C1D55">
              <w:t xml:space="preserve"> ± </w:t>
            </w:r>
            <w:r>
              <w:t>213.1</w:t>
            </w:r>
            <w:r w:rsidR="0068141E">
              <w:rPr>
                <w:vertAlign w:val="superscript"/>
              </w:rPr>
              <w:t>#</w:t>
            </w:r>
            <w:r w:rsidR="00AD7002">
              <w:rPr>
                <w:vertAlign w:val="superscript"/>
              </w:rPr>
              <w:t>,$</w:t>
            </w:r>
          </w:p>
        </w:tc>
        <w:tc>
          <w:tcPr>
            <w:tcW w:w="2062" w:type="dxa"/>
          </w:tcPr>
          <w:p w:rsidR="002C1D55" w:rsidRPr="00BC1EAF" w:rsidRDefault="00A56B37" w:rsidP="00A56B37">
            <w:pPr>
              <w:cnfStyle w:val="000000000000" w:firstRow="0" w:lastRow="0" w:firstColumn="0" w:lastColumn="0" w:oddVBand="0" w:evenVBand="0" w:oddHBand="0" w:evenHBand="0" w:firstRowFirstColumn="0" w:firstRowLastColumn="0" w:lastRowFirstColumn="0" w:lastRowLastColumn="0"/>
              <w:rPr>
                <w:vertAlign w:val="superscript"/>
              </w:rPr>
            </w:pPr>
            <w:r>
              <w:t>887.5</w:t>
            </w:r>
            <w:r w:rsidR="002C1D55">
              <w:t xml:space="preserve"> ± </w:t>
            </w:r>
            <w:r>
              <w:t>255.3</w:t>
            </w:r>
            <w:r w:rsidR="002C1D55">
              <w:rPr>
                <w:vertAlign w:val="superscript"/>
              </w:rPr>
              <w:t>$</w:t>
            </w:r>
          </w:p>
        </w:tc>
      </w:tr>
      <w:tr w:rsidR="00AD7002" w:rsidTr="00A60C91">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2C1D55" w:rsidRDefault="00AD7002" w:rsidP="00A05353">
            <w:r>
              <w:t xml:space="preserve">Food not eaten </w:t>
            </w:r>
            <w:r w:rsidR="002C1D55">
              <w:t>(kcal)</w:t>
            </w:r>
          </w:p>
        </w:tc>
        <w:tc>
          <w:tcPr>
            <w:tcW w:w="2062" w:type="dxa"/>
          </w:tcPr>
          <w:p w:rsidR="002C1D55" w:rsidRPr="00BC1EAF" w:rsidRDefault="002C1D55" w:rsidP="00917366">
            <w:pPr>
              <w:cnfStyle w:val="000000000000" w:firstRow="0" w:lastRow="0" w:firstColumn="0" w:lastColumn="0" w:oddVBand="0" w:evenVBand="0" w:oddHBand="0" w:evenHBand="0" w:firstRowFirstColumn="0" w:firstRowLastColumn="0" w:lastRowFirstColumn="0" w:lastRowLastColumn="0"/>
              <w:rPr>
                <w:vertAlign w:val="superscript"/>
              </w:rPr>
            </w:pPr>
            <w:r>
              <w:t>0.2 ± 0.3</w:t>
            </w:r>
            <w:r>
              <w:rPr>
                <w:vertAlign w:val="superscript"/>
              </w:rPr>
              <w:t>#</w:t>
            </w:r>
          </w:p>
        </w:tc>
        <w:tc>
          <w:tcPr>
            <w:tcW w:w="2062" w:type="dxa"/>
          </w:tcPr>
          <w:p w:rsidR="002C1D55" w:rsidRPr="00BC1EAF" w:rsidRDefault="00A56B37" w:rsidP="00A56B37">
            <w:pPr>
              <w:cnfStyle w:val="000000000000" w:firstRow="0" w:lastRow="0" w:firstColumn="0" w:lastColumn="0" w:oddVBand="0" w:evenVBand="0" w:oddHBand="0" w:evenHBand="0" w:firstRowFirstColumn="0" w:firstRowLastColumn="0" w:lastRowFirstColumn="0" w:lastRowLastColumn="0"/>
              <w:rPr>
                <w:vertAlign w:val="superscript"/>
              </w:rPr>
            </w:pPr>
            <w:r>
              <w:t>0</w:t>
            </w:r>
            <w:r w:rsidR="002C1D55">
              <w:t xml:space="preserve"> ± </w:t>
            </w:r>
            <w:r>
              <w:t>0</w:t>
            </w:r>
            <w:r w:rsidR="002C1D55">
              <w:rPr>
                <w:vertAlign w:val="superscript"/>
              </w:rPr>
              <w:t>#</w:t>
            </w:r>
          </w:p>
        </w:tc>
        <w:tc>
          <w:tcPr>
            <w:tcW w:w="2062" w:type="dxa"/>
          </w:tcPr>
          <w:p w:rsidR="002C1D55" w:rsidRDefault="00A56B37" w:rsidP="00A56B37">
            <w:pPr>
              <w:cnfStyle w:val="000000000000" w:firstRow="0" w:lastRow="0" w:firstColumn="0" w:lastColumn="0" w:oddVBand="0" w:evenVBand="0" w:oddHBand="0" w:evenHBand="0" w:firstRowFirstColumn="0" w:firstRowLastColumn="0" w:lastRowFirstColumn="0" w:lastRowLastColumn="0"/>
            </w:pPr>
            <w:r>
              <w:t>0</w:t>
            </w:r>
            <w:r w:rsidR="00FE7A87">
              <w:t xml:space="preserve"> ± </w:t>
            </w:r>
            <w:r>
              <w:t>0</w:t>
            </w:r>
            <w:r w:rsidR="0068141E">
              <w:rPr>
                <w:vertAlign w:val="superscript"/>
              </w:rPr>
              <w:t xml:space="preserve"> a,#</w:t>
            </w:r>
          </w:p>
        </w:tc>
        <w:tc>
          <w:tcPr>
            <w:tcW w:w="2062" w:type="dxa"/>
          </w:tcPr>
          <w:p w:rsidR="002C1D55" w:rsidRDefault="00A56B37" w:rsidP="00A56B37">
            <w:pPr>
              <w:cnfStyle w:val="000000000000" w:firstRow="0" w:lastRow="0" w:firstColumn="0" w:lastColumn="0" w:oddVBand="0" w:evenVBand="0" w:oddHBand="0" w:evenHBand="0" w:firstRowFirstColumn="0" w:firstRowLastColumn="0" w:lastRowFirstColumn="0" w:lastRowLastColumn="0"/>
            </w:pPr>
            <w:r>
              <w:t>0</w:t>
            </w:r>
            <w:r w:rsidR="00FE7A87">
              <w:t xml:space="preserve"> ± </w:t>
            </w:r>
            <w:r>
              <w:t>0</w:t>
            </w:r>
            <w:r w:rsidR="0068141E">
              <w:rPr>
                <w:vertAlign w:val="superscript"/>
              </w:rPr>
              <w:t xml:space="preserve"> a,#</w:t>
            </w:r>
          </w:p>
        </w:tc>
        <w:tc>
          <w:tcPr>
            <w:tcW w:w="2062" w:type="dxa"/>
          </w:tcPr>
          <w:p w:rsidR="002C1D55" w:rsidRPr="00BC1EAF" w:rsidRDefault="00A56B37" w:rsidP="00A56B37">
            <w:pPr>
              <w:cnfStyle w:val="000000000000" w:firstRow="0" w:lastRow="0" w:firstColumn="0" w:lastColumn="0" w:oddVBand="0" w:evenVBand="0" w:oddHBand="0" w:evenHBand="0" w:firstRowFirstColumn="0" w:firstRowLastColumn="0" w:lastRowFirstColumn="0" w:lastRowLastColumn="0"/>
              <w:rPr>
                <w:vertAlign w:val="superscript"/>
              </w:rPr>
            </w:pPr>
            <w:r>
              <w:t>0.1</w:t>
            </w:r>
            <w:r w:rsidR="002C1D55">
              <w:t xml:space="preserve"> ± </w:t>
            </w:r>
            <w:r>
              <w:t>0.1</w:t>
            </w:r>
            <w:r w:rsidR="002C1D55">
              <w:rPr>
                <w:vertAlign w:val="superscript"/>
              </w:rPr>
              <w:t>#</w:t>
            </w:r>
          </w:p>
        </w:tc>
      </w:tr>
      <w:tr w:rsidR="00AD7002" w:rsidTr="00A60C91">
        <w:trPr>
          <w:trHeight w:val="546"/>
        </w:trPr>
        <w:tc>
          <w:tcPr>
            <w:cnfStyle w:val="001000000000" w:firstRow="0" w:lastRow="0" w:firstColumn="1" w:lastColumn="0" w:oddVBand="0" w:evenVBand="0" w:oddHBand="0" w:evenHBand="0" w:firstRowFirstColumn="0" w:firstRowLastColumn="0" w:lastRowFirstColumn="0" w:lastRowLastColumn="0"/>
            <w:tcW w:w="2507" w:type="dxa"/>
          </w:tcPr>
          <w:p w:rsidR="002C1D55" w:rsidRDefault="002C1D55" w:rsidP="00A05353">
            <w:r>
              <w:t>Food offered (kcal/BW</w:t>
            </w:r>
            <w:r>
              <w:rPr>
                <w:vertAlign w:val="subscript"/>
              </w:rPr>
              <w:t>kg</w:t>
            </w:r>
            <w:r>
              <w:t>)</w:t>
            </w:r>
          </w:p>
        </w:tc>
        <w:tc>
          <w:tcPr>
            <w:tcW w:w="2062" w:type="dxa"/>
          </w:tcPr>
          <w:p w:rsidR="002C1D55" w:rsidRPr="0093629F" w:rsidRDefault="00A56B37" w:rsidP="00125969">
            <w:pPr>
              <w:cnfStyle w:val="000000000000" w:firstRow="0" w:lastRow="0" w:firstColumn="0" w:lastColumn="0" w:oddVBand="0" w:evenVBand="0" w:oddHBand="0" w:evenHBand="0" w:firstRowFirstColumn="0" w:firstRowLastColumn="0" w:lastRowFirstColumn="0" w:lastRowLastColumn="0"/>
              <w:rPr>
                <w:vertAlign w:val="superscript"/>
              </w:rPr>
            </w:pPr>
            <w:r>
              <w:t>118.2 ± 25.3</w:t>
            </w:r>
            <w:r w:rsidR="002C1D55">
              <w:rPr>
                <w:vertAlign w:val="superscript"/>
              </w:rPr>
              <w:t>#</w:t>
            </w:r>
          </w:p>
        </w:tc>
        <w:tc>
          <w:tcPr>
            <w:tcW w:w="2062" w:type="dxa"/>
          </w:tcPr>
          <w:p w:rsidR="002C1D55" w:rsidRPr="0093629F" w:rsidRDefault="002C1D55" w:rsidP="00A56B37">
            <w:pPr>
              <w:cnfStyle w:val="000000000000" w:firstRow="0" w:lastRow="0" w:firstColumn="0" w:lastColumn="0" w:oddVBand="0" w:evenVBand="0" w:oddHBand="0" w:evenHBand="0" w:firstRowFirstColumn="0" w:firstRowLastColumn="0" w:lastRowFirstColumn="0" w:lastRowLastColumn="0"/>
              <w:rPr>
                <w:vertAlign w:val="superscript"/>
              </w:rPr>
            </w:pPr>
            <w:r>
              <w:t>11</w:t>
            </w:r>
            <w:r w:rsidR="00A56B37">
              <w:t>3.4</w:t>
            </w:r>
            <w:r>
              <w:t xml:space="preserve"> ± 23.</w:t>
            </w:r>
            <w:r w:rsidR="00A56B37">
              <w:t>3</w:t>
            </w:r>
            <w:r>
              <w:rPr>
                <w:vertAlign w:val="superscript"/>
              </w:rPr>
              <w:t>#</w:t>
            </w:r>
          </w:p>
        </w:tc>
        <w:tc>
          <w:tcPr>
            <w:tcW w:w="2062" w:type="dxa"/>
          </w:tcPr>
          <w:p w:rsidR="002C1D55" w:rsidRDefault="00A56B37" w:rsidP="00125969">
            <w:pPr>
              <w:cnfStyle w:val="000000000000" w:firstRow="0" w:lastRow="0" w:firstColumn="0" w:lastColumn="0" w:oddVBand="0" w:evenVBand="0" w:oddHBand="0" w:evenHBand="0" w:firstRowFirstColumn="0" w:firstRowLastColumn="0" w:lastRowFirstColumn="0" w:lastRowLastColumn="0"/>
            </w:pPr>
            <w:r>
              <w:t>96.2 ± 17.6</w:t>
            </w:r>
            <w:r w:rsidR="0068141E">
              <w:rPr>
                <w:vertAlign w:val="superscript"/>
              </w:rPr>
              <w:t>#</w:t>
            </w:r>
            <w:r w:rsidR="00AD7002">
              <w:rPr>
                <w:vertAlign w:val="superscript"/>
              </w:rPr>
              <w:t>,$</w:t>
            </w:r>
          </w:p>
        </w:tc>
        <w:tc>
          <w:tcPr>
            <w:tcW w:w="2062" w:type="dxa"/>
          </w:tcPr>
          <w:p w:rsidR="002C1D55" w:rsidRDefault="00A56B37" w:rsidP="00125969">
            <w:pPr>
              <w:cnfStyle w:val="000000000000" w:firstRow="0" w:lastRow="0" w:firstColumn="0" w:lastColumn="0" w:oddVBand="0" w:evenVBand="0" w:oddHBand="0" w:evenHBand="0" w:firstRowFirstColumn="0" w:firstRowLastColumn="0" w:lastRowFirstColumn="0" w:lastRowLastColumn="0"/>
            </w:pPr>
            <w:r>
              <w:t>83.4 ± 17.0</w:t>
            </w:r>
            <w:r w:rsidR="00AD7002">
              <w:rPr>
                <w:vertAlign w:val="superscript"/>
              </w:rPr>
              <w:t>$,%</w:t>
            </w:r>
          </w:p>
        </w:tc>
        <w:tc>
          <w:tcPr>
            <w:tcW w:w="2062" w:type="dxa"/>
          </w:tcPr>
          <w:p w:rsidR="002C1D55" w:rsidRPr="0093629F" w:rsidRDefault="00A56B37" w:rsidP="00A56B37">
            <w:pPr>
              <w:cnfStyle w:val="000000000000" w:firstRow="0" w:lastRow="0" w:firstColumn="0" w:lastColumn="0" w:oddVBand="0" w:evenVBand="0" w:oddHBand="0" w:evenHBand="0" w:firstRowFirstColumn="0" w:firstRowLastColumn="0" w:lastRowFirstColumn="0" w:lastRowLastColumn="0"/>
              <w:rPr>
                <w:vertAlign w:val="superscript"/>
              </w:rPr>
            </w:pPr>
            <w:r>
              <w:t>75.5</w:t>
            </w:r>
            <w:r w:rsidR="002C1D55">
              <w:t xml:space="preserve"> ± </w:t>
            </w:r>
            <w:r>
              <w:t>21.0</w:t>
            </w:r>
            <w:r w:rsidR="00AD7002">
              <w:rPr>
                <w:vertAlign w:val="superscript"/>
              </w:rPr>
              <w:t>%</w:t>
            </w:r>
          </w:p>
        </w:tc>
      </w:tr>
      <w:tr w:rsidR="00AD7002" w:rsidTr="00A60C91">
        <w:trPr>
          <w:trHeight w:val="566"/>
        </w:trPr>
        <w:tc>
          <w:tcPr>
            <w:cnfStyle w:val="001000000000" w:firstRow="0" w:lastRow="0" w:firstColumn="1" w:lastColumn="0" w:oddVBand="0" w:evenVBand="0" w:oddHBand="0" w:evenHBand="0" w:firstRowFirstColumn="0" w:firstRowLastColumn="0" w:lastRowFirstColumn="0" w:lastRowLastColumn="0"/>
            <w:tcW w:w="2507" w:type="dxa"/>
          </w:tcPr>
          <w:p w:rsidR="002C1D55" w:rsidRDefault="002C1D55" w:rsidP="00A05353">
            <w:r>
              <w:t>Food intake (kcal/BW</w:t>
            </w:r>
            <w:r>
              <w:rPr>
                <w:vertAlign w:val="subscript"/>
              </w:rPr>
              <w:t>kg</w:t>
            </w:r>
            <w:r>
              <w:t>)</w:t>
            </w:r>
          </w:p>
        </w:tc>
        <w:tc>
          <w:tcPr>
            <w:tcW w:w="2062" w:type="dxa"/>
          </w:tcPr>
          <w:p w:rsidR="002C1D55" w:rsidRPr="00BC1EAF" w:rsidRDefault="00A56B37" w:rsidP="00A56B37">
            <w:pPr>
              <w:cnfStyle w:val="000000000000" w:firstRow="0" w:lastRow="0" w:firstColumn="0" w:lastColumn="0" w:oddVBand="0" w:evenVBand="0" w:oddHBand="0" w:evenHBand="0" w:firstRowFirstColumn="0" w:firstRowLastColumn="0" w:lastRowFirstColumn="0" w:lastRowLastColumn="0"/>
              <w:rPr>
                <w:vertAlign w:val="superscript"/>
              </w:rPr>
            </w:pPr>
            <w:r>
              <w:t>118.1</w:t>
            </w:r>
            <w:r w:rsidR="002C1D55">
              <w:t xml:space="preserve"> ± 25.</w:t>
            </w:r>
            <w:r>
              <w:t>3</w:t>
            </w:r>
            <w:r w:rsidR="002C1D55">
              <w:rPr>
                <w:vertAlign w:val="superscript"/>
              </w:rPr>
              <w:t>#</w:t>
            </w:r>
          </w:p>
        </w:tc>
        <w:tc>
          <w:tcPr>
            <w:tcW w:w="2062" w:type="dxa"/>
          </w:tcPr>
          <w:p w:rsidR="002C1D55" w:rsidRPr="00BC1EAF" w:rsidRDefault="002C1D55" w:rsidP="00A56B37">
            <w:pPr>
              <w:cnfStyle w:val="000000000000" w:firstRow="0" w:lastRow="0" w:firstColumn="0" w:lastColumn="0" w:oddVBand="0" w:evenVBand="0" w:oddHBand="0" w:evenHBand="0" w:firstRowFirstColumn="0" w:firstRowLastColumn="0" w:lastRowFirstColumn="0" w:lastRowLastColumn="0"/>
              <w:rPr>
                <w:vertAlign w:val="superscript"/>
              </w:rPr>
            </w:pPr>
            <w:r>
              <w:t>11</w:t>
            </w:r>
            <w:r w:rsidR="00A56B37">
              <w:t>3.4</w:t>
            </w:r>
            <w:r>
              <w:t xml:space="preserve"> ± 23.</w:t>
            </w:r>
            <w:r w:rsidR="00A56B37">
              <w:t>3</w:t>
            </w:r>
            <w:r>
              <w:rPr>
                <w:vertAlign w:val="superscript"/>
              </w:rPr>
              <w:t>#</w:t>
            </w:r>
          </w:p>
        </w:tc>
        <w:tc>
          <w:tcPr>
            <w:tcW w:w="2062" w:type="dxa"/>
          </w:tcPr>
          <w:p w:rsidR="002C1D55" w:rsidRDefault="00A56B37" w:rsidP="00917366">
            <w:pPr>
              <w:cnfStyle w:val="000000000000" w:firstRow="0" w:lastRow="0" w:firstColumn="0" w:lastColumn="0" w:oddVBand="0" w:evenVBand="0" w:oddHBand="0" w:evenHBand="0" w:firstRowFirstColumn="0" w:firstRowLastColumn="0" w:lastRowFirstColumn="0" w:lastRowLastColumn="0"/>
            </w:pPr>
            <w:r>
              <w:t>96.2 ± 17.6</w:t>
            </w:r>
            <w:r w:rsidR="0068141E">
              <w:rPr>
                <w:vertAlign w:val="superscript"/>
              </w:rPr>
              <w:t>#</w:t>
            </w:r>
            <w:r w:rsidR="00AD7002">
              <w:rPr>
                <w:vertAlign w:val="superscript"/>
              </w:rPr>
              <w:t>,$</w:t>
            </w:r>
          </w:p>
        </w:tc>
        <w:tc>
          <w:tcPr>
            <w:tcW w:w="2062" w:type="dxa"/>
          </w:tcPr>
          <w:p w:rsidR="002C1D55" w:rsidRDefault="00A56B37" w:rsidP="00917366">
            <w:pPr>
              <w:cnfStyle w:val="000000000000" w:firstRow="0" w:lastRow="0" w:firstColumn="0" w:lastColumn="0" w:oddVBand="0" w:evenVBand="0" w:oddHBand="0" w:evenHBand="0" w:firstRowFirstColumn="0" w:firstRowLastColumn="0" w:lastRowFirstColumn="0" w:lastRowLastColumn="0"/>
            </w:pPr>
            <w:r>
              <w:t>83.4 ± 17.0</w:t>
            </w:r>
            <w:r w:rsidR="00AD7002">
              <w:rPr>
                <w:vertAlign w:val="superscript"/>
              </w:rPr>
              <w:t>$,%</w:t>
            </w:r>
          </w:p>
        </w:tc>
        <w:tc>
          <w:tcPr>
            <w:tcW w:w="2062" w:type="dxa"/>
          </w:tcPr>
          <w:p w:rsidR="002C1D55" w:rsidRPr="00BC1EAF" w:rsidRDefault="00A56B37" w:rsidP="00A56B37">
            <w:pPr>
              <w:cnfStyle w:val="000000000000" w:firstRow="0" w:lastRow="0" w:firstColumn="0" w:lastColumn="0" w:oddVBand="0" w:evenVBand="0" w:oddHBand="0" w:evenHBand="0" w:firstRowFirstColumn="0" w:firstRowLastColumn="0" w:lastRowFirstColumn="0" w:lastRowLastColumn="0"/>
              <w:rPr>
                <w:vertAlign w:val="superscript"/>
              </w:rPr>
            </w:pPr>
            <w:r>
              <w:t>75.5</w:t>
            </w:r>
            <w:r w:rsidR="002C1D55">
              <w:t xml:space="preserve"> ± 21.</w:t>
            </w:r>
            <w:r>
              <w:t>0</w:t>
            </w:r>
            <w:r w:rsidR="00AD7002">
              <w:rPr>
                <w:vertAlign w:val="superscript"/>
              </w:rPr>
              <w:t>%</w:t>
            </w:r>
          </w:p>
        </w:tc>
      </w:tr>
      <w:tr w:rsidR="00AD7002" w:rsidTr="00A60C91">
        <w:trPr>
          <w:trHeight w:val="566"/>
        </w:trPr>
        <w:tc>
          <w:tcPr>
            <w:cnfStyle w:val="001000000000" w:firstRow="0" w:lastRow="0" w:firstColumn="1" w:lastColumn="0" w:oddVBand="0" w:evenVBand="0" w:oddHBand="0" w:evenHBand="0" w:firstRowFirstColumn="0" w:firstRowLastColumn="0" w:lastRowFirstColumn="0" w:lastRowLastColumn="0"/>
            <w:tcW w:w="2507" w:type="dxa"/>
          </w:tcPr>
          <w:p w:rsidR="00A56B37" w:rsidRDefault="00A56B37" w:rsidP="00D632A6">
            <w:r>
              <w:t>Food offered (kcal/BW</w:t>
            </w:r>
            <w:r>
              <w:rPr>
                <w:vertAlign w:val="subscript"/>
              </w:rPr>
              <w:t>kg</w:t>
            </w:r>
            <w:r>
              <w:rPr>
                <w:vertAlign w:val="superscript"/>
              </w:rPr>
              <w:t>0.75</w:t>
            </w:r>
            <w:r>
              <w:t>)</w:t>
            </w:r>
          </w:p>
        </w:tc>
        <w:tc>
          <w:tcPr>
            <w:tcW w:w="2062" w:type="dxa"/>
          </w:tcPr>
          <w:p w:rsidR="00A56B37" w:rsidRDefault="00DD2D4B" w:rsidP="00A56B37">
            <w:pPr>
              <w:cnfStyle w:val="000000000000" w:firstRow="0" w:lastRow="0" w:firstColumn="0" w:lastColumn="0" w:oddVBand="0" w:evenVBand="0" w:oddHBand="0" w:evenHBand="0" w:firstRowFirstColumn="0" w:firstRowLastColumn="0" w:lastRowFirstColumn="0" w:lastRowLastColumn="0"/>
            </w:pPr>
            <w:r>
              <w:t>215.2 ± 42.6</w:t>
            </w:r>
            <w:r w:rsidR="0068141E">
              <w:rPr>
                <w:vertAlign w:val="superscript"/>
              </w:rPr>
              <w:t>#</w:t>
            </w:r>
          </w:p>
        </w:tc>
        <w:tc>
          <w:tcPr>
            <w:tcW w:w="2062" w:type="dxa"/>
          </w:tcPr>
          <w:p w:rsidR="00A56B37" w:rsidRDefault="00DD2D4B" w:rsidP="00A56B37">
            <w:pPr>
              <w:cnfStyle w:val="000000000000" w:firstRow="0" w:lastRow="0" w:firstColumn="0" w:lastColumn="0" w:oddVBand="0" w:evenVBand="0" w:oddHBand="0" w:evenHBand="0" w:firstRowFirstColumn="0" w:firstRowLastColumn="0" w:lastRowFirstColumn="0" w:lastRowLastColumn="0"/>
            </w:pPr>
            <w:r>
              <w:t>207.6 ± 40.2</w:t>
            </w:r>
            <w:r w:rsidR="0068141E">
              <w:rPr>
                <w:vertAlign w:val="superscript"/>
              </w:rPr>
              <w:t>#</w:t>
            </w:r>
          </w:p>
        </w:tc>
        <w:tc>
          <w:tcPr>
            <w:tcW w:w="2062" w:type="dxa"/>
          </w:tcPr>
          <w:p w:rsidR="00A56B37" w:rsidRDefault="00DD2D4B" w:rsidP="00917366">
            <w:pPr>
              <w:cnfStyle w:val="000000000000" w:firstRow="0" w:lastRow="0" w:firstColumn="0" w:lastColumn="0" w:oddVBand="0" w:evenVBand="0" w:oddHBand="0" w:evenHBand="0" w:firstRowFirstColumn="0" w:firstRowLastColumn="0" w:lastRowFirstColumn="0" w:lastRowLastColumn="0"/>
            </w:pPr>
            <w:r>
              <w:t>179.7 ± 32.7</w:t>
            </w:r>
            <w:r w:rsidR="0068141E">
              <w:rPr>
                <w:vertAlign w:val="superscript"/>
              </w:rPr>
              <w:t>#</w:t>
            </w:r>
            <w:r w:rsidR="00AD7002">
              <w:rPr>
                <w:vertAlign w:val="superscript"/>
              </w:rPr>
              <w:t>,$</w:t>
            </w:r>
          </w:p>
        </w:tc>
        <w:tc>
          <w:tcPr>
            <w:tcW w:w="2062" w:type="dxa"/>
          </w:tcPr>
          <w:p w:rsidR="00A56B37" w:rsidRDefault="00DD2D4B" w:rsidP="00917366">
            <w:pPr>
              <w:cnfStyle w:val="000000000000" w:firstRow="0" w:lastRow="0" w:firstColumn="0" w:lastColumn="0" w:oddVBand="0" w:evenVBand="0" w:oddHBand="0" w:evenHBand="0" w:firstRowFirstColumn="0" w:firstRowLastColumn="0" w:lastRowFirstColumn="0" w:lastRowLastColumn="0"/>
            </w:pPr>
            <w:r>
              <w:t>156.5 ± 31.6</w:t>
            </w:r>
            <w:r w:rsidR="00AD7002">
              <w:rPr>
                <w:vertAlign w:val="superscript"/>
              </w:rPr>
              <w:t>$,%</w:t>
            </w:r>
          </w:p>
        </w:tc>
        <w:tc>
          <w:tcPr>
            <w:tcW w:w="2062" w:type="dxa"/>
          </w:tcPr>
          <w:p w:rsidR="00A56B37" w:rsidRDefault="00DD2D4B" w:rsidP="00A56B37">
            <w:pPr>
              <w:cnfStyle w:val="000000000000" w:firstRow="0" w:lastRow="0" w:firstColumn="0" w:lastColumn="0" w:oddVBand="0" w:evenVBand="0" w:oddHBand="0" w:evenHBand="0" w:firstRowFirstColumn="0" w:firstRowLastColumn="0" w:lastRowFirstColumn="0" w:lastRowLastColumn="0"/>
            </w:pPr>
            <w:r>
              <w:t>139.8 ± 38.9</w:t>
            </w:r>
            <w:r w:rsidR="00AD7002">
              <w:rPr>
                <w:vertAlign w:val="superscript"/>
              </w:rPr>
              <w:t>%</w:t>
            </w:r>
          </w:p>
        </w:tc>
      </w:tr>
      <w:tr w:rsidR="00AD7002" w:rsidTr="00A60C91">
        <w:trPr>
          <w:trHeight w:val="546"/>
        </w:trPr>
        <w:tc>
          <w:tcPr>
            <w:cnfStyle w:val="001000000000" w:firstRow="0" w:lastRow="0" w:firstColumn="1" w:lastColumn="0" w:oddVBand="0" w:evenVBand="0" w:oddHBand="0" w:evenHBand="0" w:firstRowFirstColumn="0" w:firstRowLastColumn="0" w:lastRowFirstColumn="0" w:lastRowLastColumn="0"/>
            <w:tcW w:w="2507" w:type="dxa"/>
          </w:tcPr>
          <w:p w:rsidR="00A56B37" w:rsidRDefault="00A56B37" w:rsidP="00D632A6">
            <w:r>
              <w:t>Food intake (kcal/BW</w:t>
            </w:r>
            <w:r>
              <w:rPr>
                <w:vertAlign w:val="subscript"/>
              </w:rPr>
              <w:t>kg</w:t>
            </w:r>
            <w:r>
              <w:rPr>
                <w:vertAlign w:val="superscript"/>
              </w:rPr>
              <w:t>0.75</w:t>
            </w:r>
            <w:r>
              <w:t>)</w:t>
            </w:r>
          </w:p>
        </w:tc>
        <w:tc>
          <w:tcPr>
            <w:tcW w:w="2062" w:type="dxa"/>
          </w:tcPr>
          <w:p w:rsidR="00A56B37" w:rsidRDefault="00DD2D4B" w:rsidP="00A56B37">
            <w:pPr>
              <w:cnfStyle w:val="000000000000" w:firstRow="0" w:lastRow="0" w:firstColumn="0" w:lastColumn="0" w:oddVBand="0" w:evenVBand="0" w:oddHBand="0" w:evenHBand="0" w:firstRowFirstColumn="0" w:firstRowLastColumn="0" w:lastRowFirstColumn="0" w:lastRowLastColumn="0"/>
            </w:pPr>
            <w:r>
              <w:t>215.1 ± 42.6</w:t>
            </w:r>
            <w:r w:rsidR="0068141E">
              <w:rPr>
                <w:vertAlign w:val="superscript"/>
              </w:rPr>
              <w:t>#</w:t>
            </w:r>
          </w:p>
        </w:tc>
        <w:tc>
          <w:tcPr>
            <w:tcW w:w="2062" w:type="dxa"/>
          </w:tcPr>
          <w:p w:rsidR="00A56B37" w:rsidRDefault="00DD2D4B" w:rsidP="00A56B37">
            <w:pPr>
              <w:cnfStyle w:val="000000000000" w:firstRow="0" w:lastRow="0" w:firstColumn="0" w:lastColumn="0" w:oddVBand="0" w:evenVBand="0" w:oddHBand="0" w:evenHBand="0" w:firstRowFirstColumn="0" w:firstRowLastColumn="0" w:lastRowFirstColumn="0" w:lastRowLastColumn="0"/>
            </w:pPr>
            <w:r>
              <w:t>207.6 ± 40.2</w:t>
            </w:r>
            <w:r w:rsidR="0068141E">
              <w:rPr>
                <w:vertAlign w:val="superscript"/>
              </w:rPr>
              <w:t>#</w:t>
            </w:r>
          </w:p>
        </w:tc>
        <w:tc>
          <w:tcPr>
            <w:tcW w:w="2062" w:type="dxa"/>
          </w:tcPr>
          <w:p w:rsidR="00A56B37" w:rsidRDefault="00DD2D4B" w:rsidP="00917366">
            <w:pPr>
              <w:cnfStyle w:val="000000000000" w:firstRow="0" w:lastRow="0" w:firstColumn="0" w:lastColumn="0" w:oddVBand="0" w:evenVBand="0" w:oddHBand="0" w:evenHBand="0" w:firstRowFirstColumn="0" w:firstRowLastColumn="0" w:lastRowFirstColumn="0" w:lastRowLastColumn="0"/>
            </w:pPr>
            <w:r>
              <w:t>179.7 ± 32.7</w:t>
            </w:r>
            <w:r w:rsidR="0068141E">
              <w:rPr>
                <w:vertAlign w:val="superscript"/>
              </w:rPr>
              <w:t>#</w:t>
            </w:r>
            <w:r w:rsidR="00AD7002">
              <w:rPr>
                <w:vertAlign w:val="superscript"/>
              </w:rPr>
              <w:t>,$</w:t>
            </w:r>
          </w:p>
        </w:tc>
        <w:tc>
          <w:tcPr>
            <w:tcW w:w="2062" w:type="dxa"/>
          </w:tcPr>
          <w:p w:rsidR="00A56B37" w:rsidRDefault="00DD2D4B" w:rsidP="00917366">
            <w:pPr>
              <w:cnfStyle w:val="000000000000" w:firstRow="0" w:lastRow="0" w:firstColumn="0" w:lastColumn="0" w:oddVBand="0" w:evenVBand="0" w:oddHBand="0" w:evenHBand="0" w:firstRowFirstColumn="0" w:firstRowLastColumn="0" w:lastRowFirstColumn="0" w:lastRowLastColumn="0"/>
            </w:pPr>
            <w:r>
              <w:t>156.5 ± 31.6</w:t>
            </w:r>
            <w:r w:rsidR="00AD7002">
              <w:rPr>
                <w:vertAlign w:val="superscript"/>
              </w:rPr>
              <w:t>$,%</w:t>
            </w:r>
          </w:p>
        </w:tc>
        <w:tc>
          <w:tcPr>
            <w:tcW w:w="2062" w:type="dxa"/>
          </w:tcPr>
          <w:p w:rsidR="00A56B37" w:rsidRDefault="00DD2D4B" w:rsidP="00A56B37">
            <w:pPr>
              <w:cnfStyle w:val="000000000000" w:firstRow="0" w:lastRow="0" w:firstColumn="0" w:lastColumn="0" w:oddVBand="0" w:evenVBand="0" w:oddHBand="0" w:evenHBand="0" w:firstRowFirstColumn="0" w:firstRowLastColumn="0" w:lastRowFirstColumn="0" w:lastRowLastColumn="0"/>
            </w:pPr>
            <w:r>
              <w:t>139.7 ± 38.9</w:t>
            </w:r>
            <w:r w:rsidR="00AD7002">
              <w:rPr>
                <w:vertAlign w:val="superscript"/>
              </w:rPr>
              <w:t>%</w:t>
            </w:r>
          </w:p>
        </w:tc>
      </w:tr>
      <w:tr w:rsidR="00AD7002" w:rsidTr="00A60C91">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A56B37" w:rsidRDefault="00AD7002" w:rsidP="00A05353">
            <w:r>
              <w:t xml:space="preserve">Fat mass </w:t>
            </w:r>
            <w:r w:rsidR="00A56B37">
              <w:t>(kg)</w:t>
            </w:r>
          </w:p>
        </w:tc>
        <w:tc>
          <w:tcPr>
            <w:tcW w:w="2062" w:type="dxa"/>
          </w:tcPr>
          <w:p w:rsidR="00A56B37" w:rsidRPr="00EC1D34"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2.1 ± 0.5</w:t>
            </w:r>
            <w:r>
              <w:rPr>
                <w:vertAlign w:val="superscript"/>
              </w:rPr>
              <w:t>#</w:t>
            </w:r>
          </w:p>
        </w:tc>
        <w:tc>
          <w:tcPr>
            <w:tcW w:w="2062" w:type="dxa"/>
          </w:tcPr>
          <w:p w:rsidR="00A56B37" w:rsidRPr="00EC1D34"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2.2 ± 0.4</w:t>
            </w:r>
            <w:r>
              <w:rPr>
                <w:vertAlign w:val="superscript"/>
              </w:rPr>
              <w:t>#</w:t>
            </w:r>
          </w:p>
        </w:tc>
        <w:tc>
          <w:tcPr>
            <w:tcW w:w="2062" w:type="dxa"/>
          </w:tcPr>
          <w:p w:rsidR="00A56B37" w:rsidRDefault="00A56B37" w:rsidP="00917366">
            <w:pPr>
              <w:cnfStyle w:val="000000000000" w:firstRow="0" w:lastRow="0" w:firstColumn="0" w:lastColumn="0" w:oddVBand="0" w:evenVBand="0" w:oddHBand="0" w:evenHBand="0" w:firstRowFirstColumn="0" w:firstRowLastColumn="0" w:lastRowFirstColumn="0" w:lastRowLastColumn="0"/>
            </w:pPr>
            <w:r>
              <w:t>2.8 ± 0.4</w:t>
            </w:r>
            <w:r>
              <w:rPr>
                <w:vertAlign w:val="superscript"/>
              </w:rPr>
              <w:t>#,$</w:t>
            </w:r>
          </w:p>
        </w:tc>
        <w:tc>
          <w:tcPr>
            <w:tcW w:w="2062" w:type="dxa"/>
          </w:tcPr>
          <w:p w:rsidR="00A56B37" w:rsidRDefault="00A56B37" w:rsidP="00917366">
            <w:pPr>
              <w:cnfStyle w:val="000000000000" w:firstRow="0" w:lastRow="0" w:firstColumn="0" w:lastColumn="0" w:oddVBand="0" w:evenVBand="0" w:oddHBand="0" w:evenHBand="0" w:firstRowFirstColumn="0" w:firstRowLastColumn="0" w:lastRowFirstColumn="0" w:lastRowLastColumn="0"/>
            </w:pPr>
            <w:r>
              <w:t>3.0 ± 0.4</w:t>
            </w:r>
            <w:r>
              <w:rPr>
                <w:vertAlign w:val="superscript"/>
              </w:rPr>
              <w:t>$</w:t>
            </w:r>
          </w:p>
        </w:tc>
        <w:tc>
          <w:tcPr>
            <w:tcW w:w="2062" w:type="dxa"/>
          </w:tcPr>
          <w:p w:rsidR="00A56B37" w:rsidRPr="00EC1D34"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2.8 ± 0.3</w:t>
            </w:r>
            <w:r>
              <w:rPr>
                <w:vertAlign w:val="superscript"/>
              </w:rPr>
              <w:t>#,$</w:t>
            </w:r>
          </w:p>
        </w:tc>
      </w:tr>
      <w:tr w:rsidR="00AD7002" w:rsidTr="00A60C91">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A56B37" w:rsidRDefault="00AD7002" w:rsidP="00A05353">
            <w:r>
              <w:t xml:space="preserve">Body fat </w:t>
            </w:r>
            <w:r w:rsidR="00A56B37">
              <w:t>(%)</w:t>
            </w:r>
          </w:p>
        </w:tc>
        <w:tc>
          <w:tcPr>
            <w:tcW w:w="2062" w:type="dxa"/>
          </w:tcPr>
          <w:p w:rsidR="00A56B37" w:rsidRPr="00EC1D34"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18.7 ± 4.0</w:t>
            </w:r>
            <w:r>
              <w:rPr>
                <w:vertAlign w:val="superscript"/>
              </w:rPr>
              <w:t>#</w:t>
            </w:r>
          </w:p>
        </w:tc>
        <w:tc>
          <w:tcPr>
            <w:tcW w:w="2062" w:type="dxa"/>
          </w:tcPr>
          <w:p w:rsidR="00A56B37" w:rsidRPr="00EC1D34"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19.4 ± 3.0</w:t>
            </w:r>
            <w:r>
              <w:rPr>
                <w:vertAlign w:val="superscript"/>
              </w:rPr>
              <w:t>#</w:t>
            </w:r>
          </w:p>
        </w:tc>
        <w:tc>
          <w:tcPr>
            <w:tcW w:w="2062" w:type="dxa"/>
          </w:tcPr>
          <w:p w:rsidR="00A56B37" w:rsidRDefault="00A56B37" w:rsidP="00917366">
            <w:pPr>
              <w:cnfStyle w:val="000000000000" w:firstRow="0" w:lastRow="0" w:firstColumn="0" w:lastColumn="0" w:oddVBand="0" w:evenVBand="0" w:oddHBand="0" w:evenHBand="0" w:firstRowFirstColumn="0" w:firstRowLastColumn="0" w:lastRowFirstColumn="0" w:lastRowLastColumn="0"/>
            </w:pPr>
            <w:r>
              <w:t>23.1 ± 2.7</w:t>
            </w:r>
            <w:r>
              <w:rPr>
                <w:vertAlign w:val="superscript"/>
              </w:rPr>
              <w:t>#,$</w:t>
            </w:r>
          </w:p>
        </w:tc>
        <w:tc>
          <w:tcPr>
            <w:tcW w:w="2062" w:type="dxa"/>
          </w:tcPr>
          <w:p w:rsidR="00A56B37" w:rsidRDefault="00A56B37" w:rsidP="00917366">
            <w:pPr>
              <w:cnfStyle w:val="000000000000" w:firstRow="0" w:lastRow="0" w:firstColumn="0" w:lastColumn="0" w:oddVBand="0" w:evenVBand="0" w:oddHBand="0" w:evenHBand="0" w:firstRowFirstColumn="0" w:firstRowLastColumn="0" w:lastRowFirstColumn="0" w:lastRowLastColumn="0"/>
            </w:pPr>
            <w:r>
              <w:t>25.3 ± 2.5</w:t>
            </w:r>
            <w:r>
              <w:rPr>
                <w:vertAlign w:val="superscript"/>
              </w:rPr>
              <w:t>$</w:t>
            </w:r>
          </w:p>
        </w:tc>
        <w:tc>
          <w:tcPr>
            <w:tcW w:w="2062" w:type="dxa"/>
          </w:tcPr>
          <w:p w:rsidR="00A56B37" w:rsidRPr="00EC1D34"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23.7 ± 2.2</w:t>
            </w:r>
            <w:r>
              <w:rPr>
                <w:vertAlign w:val="superscript"/>
              </w:rPr>
              <w:t>#,$</w:t>
            </w:r>
          </w:p>
        </w:tc>
      </w:tr>
      <w:tr w:rsidR="00AD7002" w:rsidTr="00A60C91">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A56B37" w:rsidRDefault="00A56B37" w:rsidP="00AD7002">
            <w:r>
              <w:t>Lean mass</w:t>
            </w:r>
            <w:r w:rsidR="00AD7002">
              <w:t xml:space="preserve"> </w:t>
            </w:r>
            <w:r>
              <w:t>(kg)</w:t>
            </w:r>
          </w:p>
        </w:tc>
        <w:tc>
          <w:tcPr>
            <w:tcW w:w="2062" w:type="dxa"/>
          </w:tcPr>
          <w:p w:rsidR="00A56B37" w:rsidRPr="00B92D52"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8.6 ± 0.8</w:t>
            </w:r>
            <w:r>
              <w:rPr>
                <w:vertAlign w:val="superscript"/>
              </w:rPr>
              <w:t>#</w:t>
            </w:r>
          </w:p>
        </w:tc>
        <w:tc>
          <w:tcPr>
            <w:tcW w:w="2062" w:type="dxa"/>
          </w:tcPr>
          <w:p w:rsidR="00A56B37" w:rsidRPr="00B92D52"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8.7 ± 0.6</w:t>
            </w:r>
            <w:r>
              <w:rPr>
                <w:vertAlign w:val="superscript"/>
              </w:rPr>
              <w:t>#</w:t>
            </w:r>
          </w:p>
        </w:tc>
        <w:tc>
          <w:tcPr>
            <w:tcW w:w="2062" w:type="dxa"/>
          </w:tcPr>
          <w:p w:rsidR="00A56B37" w:rsidRDefault="00A56B37" w:rsidP="00917366">
            <w:pPr>
              <w:cnfStyle w:val="000000000000" w:firstRow="0" w:lastRow="0" w:firstColumn="0" w:lastColumn="0" w:oddVBand="0" w:evenVBand="0" w:oddHBand="0" w:evenHBand="0" w:firstRowFirstColumn="0" w:firstRowLastColumn="0" w:lastRowFirstColumn="0" w:lastRowLastColumn="0"/>
            </w:pPr>
            <w:r>
              <w:t>8.7 ± 0.6</w:t>
            </w:r>
            <w:r>
              <w:rPr>
                <w:vertAlign w:val="superscript"/>
              </w:rPr>
              <w:t>,#</w:t>
            </w:r>
          </w:p>
        </w:tc>
        <w:tc>
          <w:tcPr>
            <w:tcW w:w="2062" w:type="dxa"/>
          </w:tcPr>
          <w:p w:rsidR="00A56B37" w:rsidRDefault="00A56B37" w:rsidP="0004517E">
            <w:pPr>
              <w:cnfStyle w:val="000000000000" w:firstRow="0" w:lastRow="0" w:firstColumn="0" w:lastColumn="0" w:oddVBand="0" w:evenVBand="0" w:oddHBand="0" w:evenHBand="0" w:firstRowFirstColumn="0" w:firstRowLastColumn="0" w:lastRowFirstColumn="0" w:lastRowLastColumn="0"/>
            </w:pPr>
            <w:r>
              <w:t>8.6 ± 0.6</w:t>
            </w:r>
            <w:r>
              <w:rPr>
                <w:vertAlign w:val="superscript"/>
              </w:rPr>
              <w:t>#</w:t>
            </w:r>
          </w:p>
        </w:tc>
        <w:tc>
          <w:tcPr>
            <w:tcW w:w="2062" w:type="dxa"/>
          </w:tcPr>
          <w:p w:rsidR="00A56B37" w:rsidRPr="00B92D52"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8.6 ± 0.5</w:t>
            </w:r>
            <w:r>
              <w:rPr>
                <w:vertAlign w:val="superscript"/>
              </w:rPr>
              <w:t>#</w:t>
            </w:r>
          </w:p>
        </w:tc>
      </w:tr>
      <w:tr w:rsidR="00AD7002" w:rsidTr="00A60C91">
        <w:trPr>
          <w:trHeight w:val="263"/>
        </w:trPr>
        <w:tc>
          <w:tcPr>
            <w:cnfStyle w:val="001000000000" w:firstRow="0" w:lastRow="0" w:firstColumn="1" w:lastColumn="0" w:oddVBand="0" w:evenVBand="0" w:oddHBand="0" w:evenHBand="0" w:firstRowFirstColumn="0" w:firstRowLastColumn="0" w:lastRowFirstColumn="0" w:lastRowLastColumn="0"/>
            <w:tcW w:w="2507" w:type="dxa"/>
          </w:tcPr>
          <w:p w:rsidR="00A56B37" w:rsidRDefault="00A56B37" w:rsidP="00AD7002">
            <w:r>
              <w:t>Lean</w:t>
            </w:r>
            <w:r w:rsidR="00AD7002">
              <w:t xml:space="preserve"> </w:t>
            </w:r>
            <w:r>
              <w:t>(%)</w:t>
            </w:r>
          </w:p>
        </w:tc>
        <w:tc>
          <w:tcPr>
            <w:tcW w:w="2062" w:type="dxa"/>
          </w:tcPr>
          <w:p w:rsidR="00A56B37" w:rsidRPr="00B92D52"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77.6 ± 4.0</w:t>
            </w:r>
            <w:r>
              <w:rPr>
                <w:vertAlign w:val="superscript"/>
              </w:rPr>
              <w:t>#</w:t>
            </w:r>
          </w:p>
        </w:tc>
        <w:tc>
          <w:tcPr>
            <w:tcW w:w="2062" w:type="dxa"/>
          </w:tcPr>
          <w:p w:rsidR="00A56B37" w:rsidRPr="00B92D52"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76.9 ± 2.9</w:t>
            </w:r>
            <w:r>
              <w:rPr>
                <w:vertAlign w:val="superscript"/>
              </w:rPr>
              <w:t>#</w:t>
            </w:r>
          </w:p>
        </w:tc>
        <w:tc>
          <w:tcPr>
            <w:tcW w:w="2062" w:type="dxa"/>
          </w:tcPr>
          <w:p w:rsidR="00A56B37" w:rsidRDefault="00A56B37" w:rsidP="00917366">
            <w:pPr>
              <w:cnfStyle w:val="000000000000" w:firstRow="0" w:lastRow="0" w:firstColumn="0" w:lastColumn="0" w:oddVBand="0" w:evenVBand="0" w:oddHBand="0" w:evenHBand="0" w:firstRowFirstColumn="0" w:firstRowLastColumn="0" w:lastRowFirstColumn="0" w:lastRowLastColumn="0"/>
            </w:pPr>
            <w:r>
              <w:t>73.4 ± 2.8</w:t>
            </w:r>
            <w:r>
              <w:rPr>
                <w:vertAlign w:val="superscript"/>
              </w:rPr>
              <w:t>#,$</w:t>
            </w:r>
          </w:p>
        </w:tc>
        <w:tc>
          <w:tcPr>
            <w:tcW w:w="2062" w:type="dxa"/>
          </w:tcPr>
          <w:p w:rsidR="00A56B37" w:rsidRDefault="00A56B37" w:rsidP="00917366">
            <w:pPr>
              <w:cnfStyle w:val="000000000000" w:firstRow="0" w:lastRow="0" w:firstColumn="0" w:lastColumn="0" w:oddVBand="0" w:evenVBand="0" w:oddHBand="0" w:evenHBand="0" w:firstRowFirstColumn="0" w:firstRowLastColumn="0" w:lastRowFirstColumn="0" w:lastRowLastColumn="0"/>
            </w:pPr>
            <w:r>
              <w:t>71.3 ± 2.5</w:t>
            </w:r>
            <w:r>
              <w:rPr>
                <w:vertAlign w:val="superscript"/>
              </w:rPr>
              <w:t>$</w:t>
            </w:r>
          </w:p>
        </w:tc>
        <w:tc>
          <w:tcPr>
            <w:tcW w:w="2062" w:type="dxa"/>
          </w:tcPr>
          <w:p w:rsidR="00A56B37" w:rsidRPr="00B92D52"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72.7 ± 2.3</w:t>
            </w:r>
            <w:r>
              <w:rPr>
                <w:vertAlign w:val="superscript"/>
              </w:rPr>
              <w:t>#,$</w:t>
            </w:r>
          </w:p>
        </w:tc>
      </w:tr>
      <w:tr w:rsidR="00AD7002" w:rsidTr="00A60C91">
        <w:trPr>
          <w:trHeight w:val="283"/>
        </w:trPr>
        <w:tc>
          <w:tcPr>
            <w:cnfStyle w:val="001000000000" w:firstRow="0" w:lastRow="0" w:firstColumn="1" w:lastColumn="0" w:oddVBand="0" w:evenVBand="0" w:oddHBand="0" w:evenHBand="0" w:firstRowFirstColumn="0" w:firstRowLastColumn="0" w:lastRowFirstColumn="0" w:lastRowLastColumn="0"/>
            <w:tcW w:w="2507" w:type="dxa"/>
            <w:tcBorders>
              <w:bottom w:val="single" w:sz="12" w:space="0" w:color="000000"/>
            </w:tcBorders>
          </w:tcPr>
          <w:p w:rsidR="00A56B37" w:rsidRDefault="00A56B37" w:rsidP="00A05353">
            <w:r>
              <w:t>DXA total mass (kg)</w:t>
            </w:r>
          </w:p>
        </w:tc>
        <w:tc>
          <w:tcPr>
            <w:tcW w:w="2062" w:type="dxa"/>
            <w:tcBorders>
              <w:bottom w:val="single" w:sz="12" w:space="0" w:color="000000"/>
            </w:tcBorders>
          </w:tcPr>
          <w:p w:rsidR="00A56B37" w:rsidRPr="00840DB5"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11.1 ± 0.8</w:t>
            </w:r>
            <w:r>
              <w:rPr>
                <w:vertAlign w:val="superscript"/>
              </w:rPr>
              <w:t>#</w:t>
            </w:r>
          </w:p>
        </w:tc>
        <w:tc>
          <w:tcPr>
            <w:tcW w:w="2062" w:type="dxa"/>
            <w:tcBorders>
              <w:bottom w:val="single" w:sz="12" w:space="0" w:color="000000"/>
            </w:tcBorders>
          </w:tcPr>
          <w:p w:rsidR="00A56B37" w:rsidRPr="00840DB5"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11.3 ± 0.7</w:t>
            </w:r>
            <w:r>
              <w:rPr>
                <w:vertAlign w:val="superscript"/>
              </w:rPr>
              <w:t>#</w:t>
            </w:r>
          </w:p>
        </w:tc>
        <w:tc>
          <w:tcPr>
            <w:tcW w:w="2062" w:type="dxa"/>
            <w:tcBorders>
              <w:bottom w:val="single" w:sz="12" w:space="0" w:color="000000"/>
            </w:tcBorders>
          </w:tcPr>
          <w:p w:rsidR="00A56B37" w:rsidRDefault="00A56B37" w:rsidP="00917366">
            <w:pPr>
              <w:cnfStyle w:val="000000000000" w:firstRow="0" w:lastRow="0" w:firstColumn="0" w:lastColumn="0" w:oddVBand="0" w:evenVBand="0" w:oddHBand="0" w:evenHBand="0" w:firstRowFirstColumn="0" w:firstRowLastColumn="0" w:lastRowFirstColumn="0" w:lastRowLastColumn="0"/>
            </w:pPr>
            <w:r>
              <w:t>11.9 ± 0.7</w:t>
            </w:r>
            <w:r>
              <w:rPr>
                <w:vertAlign w:val="superscript"/>
              </w:rPr>
              <w:t>#</w:t>
            </w:r>
          </w:p>
        </w:tc>
        <w:tc>
          <w:tcPr>
            <w:tcW w:w="2062" w:type="dxa"/>
            <w:tcBorders>
              <w:bottom w:val="single" w:sz="12" w:space="0" w:color="000000"/>
            </w:tcBorders>
          </w:tcPr>
          <w:p w:rsidR="00A56B37" w:rsidRDefault="00A56B37" w:rsidP="00917366">
            <w:pPr>
              <w:cnfStyle w:val="000000000000" w:firstRow="0" w:lastRow="0" w:firstColumn="0" w:lastColumn="0" w:oddVBand="0" w:evenVBand="0" w:oddHBand="0" w:evenHBand="0" w:firstRowFirstColumn="0" w:firstRowLastColumn="0" w:lastRowFirstColumn="0" w:lastRowLastColumn="0"/>
            </w:pPr>
            <w:r>
              <w:t>12.0 ± 0.7</w:t>
            </w:r>
            <w:r>
              <w:rPr>
                <w:vertAlign w:val="superscript"/>
              </w:rPr>
              <w:t>#</w:t>
            </w:r>
          </w:p>
        </w:tc>
        <w:tc>
          <w:tcPr>
            <w:tcW w:w="2062" w:type="dxa"/>
            <w:tcBorders>
              <w:bottom w:val="single" w:sz="12" w:space="0" w:color="000000"/>
            </w:tcBorders>
          </w:tcPr>
          <w:p w:rsidR="00A56B37" w:rsidRPr="00840DB5" w:rsidRDefault="00A56B37" w:rsidP="00917366">
            <w:pPr>
              <w:cnfStyle w:val="000000000000" w:firstRow="0" w:lastRow="0" w:firstColumn="0" w:lastColumn="0" w:oddVBand="0" w:evenVBand="0" w:oddHBand="0" w:evenHBand="0" w:firstRowFirstColumn="0" w:firstRowLastColumn="0" w:lastRowFirstColumn="0" w:lastRowLastColumn="0"/>
              <w:rPr>
                <w:vertAlign w:val="superscript"/>
              </w:rPr>
            </w:pPr>
            <w:r>
              <w:t>11.8 ± 0.7</w:t>
            </w:r>
            <w:r>
              <w:rPr>
                <w:vertAlign w:val="superscript"/>
              </w:rPr>
              <w:t>#</w:t>
            </w:r>
          </w:p>
        </w:tc>
      </w:tr>
      <w:tr w:rsidR="00A56B37" w:rsidTr="00A60C91">
        <w:trPr>
          <w:trHeight w:val="546"/>
        </w:trPr>
        <w:tc>
          <w:tcPr>
            <w:cnfStyle w:val="001000000000" w:firstRow="0" w:lastRow="0" w:firstColumn="1" w:lastColumn="0" w:oddVBand="0" w:evenVBand="0" w:oddHBand="0" w:evenHBand="0" w:firstRowFirstColumn="0" w:firstRowLastColumn="0" w:lastRowFirstColumn="0" w:lastRowLastColumn="0"/>
            <w:tcW w:w="12818" w:type="dxa"/>
            <w:gridSpan w:val="6"/>
            <w:tcBorders>
              <w:top w:val="single" w:sz="12" w:space="0" w:color="000000"/>
              <w:bottom w:val="nil"/>
              <w:right w:val="nil"/>
            </w:tcBorders>
          </w:tcPr>
          <w:p w:rsidR="00A56B37" w:rsidRPr="00A60C91" w:rsidRDefault="00A56B37" w:rsidP="00C55791">
            <w:pPr>
              <w:rPr>
                <w:sz w:val="18"/>
                <w:szCs w:val="18"/>
              </w:rPr>
            </w:pPr>
            <w:r w:rsidRPr="00A60C91">
              <w:rPr>
                <w:sz w:val="18"/>
                <w:szCs w:val="18"/>
              </w:rPr>
              <w:t>Numerical data presented as mean ± standard deviation.</w:t>
            </w:r>
          </w:p>
          <w:p w:rsidR="00A56B37" w:rsidRPr="006E1409" w:rsidRDefault="00A56B37" w:rsidP="00C55791">
            <w:r w:rsidRPr="00A60C91">
              <w:rPr>
                <w:sz w:val="18"/>
                <w:szCs w:val="18"/>
                <w:vertAlign w:val="superscript"/>
              </w:rPr>
              <w:t>#</w:t>
            </w:r>
            <w:proofErr w:type="gramStart"/>
            <w:r w:rsidRPr="00A60C91">
              <w:rPr>
                <w:sz w:val="18"/>
                <w:szCs w:val="18"/>
                <w:vertAlign w:val="superscript"/>
              </w:rPr>
              <w:t>,$</w:t>
            </w:r>
            <w:proofErr w:type="gramEnd"/>
            <w:r w:rsidR="00956A90" w:rsidRPr="00A60C91">
              <w:rPr>
                <w:sz w:val="18"/>
                <w:szCs w:val="18"/>
                <w:vertAlign w:val="superscript"/>
              </w:rPr>
              <w:t>,%</w:t>
            </w:r>
            <w:r w:rsidRPr="00A60C91">
              <w:rPr>
                <w:sz w:val="18"/>
                <w:szCs w:val="18"/>
              </w:rPr>
              <w:t>Across columns, values with different superscript symbols differ significantly (</w:t>
            </w:r>
            <w:r w:rsidRPr="00A60C91">
              <w:rPr>
                <w:i/>
                <w:sz w:val="18"/>
                <w:szCs w:val="18"/>
              </w:rPr>
              <w:t>p</w:t>
            </w:r>
            <w:r w:rsidRPr="00A60C91">
              <w:rPr>
                <w:sz w:val="18"/>
                <w:szCs w:val="18"/>
              </w:rPr>
              <w:t>&lt; 0.05).</w:t>
            </w:r>
          </w:p>
        </w:tc>
      </w:tr>
    </w:tbl>
    <w:p w:rsidR="002C1D55" w:rsidRDefault="002C1D55" w:rsidP="00732C1B"/>
    <w:p w:rsidR="00676476" w:rsidRDefault="00676476" w:rsidP="00732C1B"/>
    <w:p w:rsidR="00065BB7" w:rsidRDefault="00065BB7" w:rsidP="00732C1B"/>
    <w:p w:rsidR="00065BB7" w:rsidRDefault="00065BB7" w:rsidP="00732C1B"/>
    <w:p w:rsidR="00065BB7" w:rsidRDefault="00065BB7" w:rsidP="00732C1B"/>
    <w:p w:rsidR="00065BB7" w:rsidRDefault="00065BB7" w:rsidP="00732C1B"/>
    <w:p w:rsidR="00065BB7" w:rsidRDefault="00065BB7" w:rsidP="00732C1B"/>
    <w:p w:rsidR="00065BB7" w:rsidRDefault="00065BB7" w:rsidP="00065BB7">
      <w:pPr>
        <w:pStyle w:val="Caption"/>
        <w:sectPr w:rsidR="00065BB7" w:rsidSect="002C1D55">
          <w:pgSz w:w="15840" w:h="12240" w:orient="landscape" w:code="1"/>
          <w:pgMar w:top="1800" w:right="1440" w:bottom="1800" w:left="1872" w:header="720" w:footer="1440" w:gutter="0"/>
          <w:cols w:space="720"/>
          <w:noEndnote/>
          <w:docGrid w:linePitch="360"/>
        </w:sectPr>
      </w:pPr>
      <w:bookmarkStart w:id="77" w:name="_Toc373267055"/>
    </w:p>
    <w:p w:rsidR="00065BB7" w:rsidRDefault="00065BB7" w:rsidP="00065BB7">
      <w:pPr>
        <w:pStyle w:val="Caption"/>
      </w:pPr>
      <w:bookmarkStart w:id="78" w:name="_Toc376465830"/>
      <w:r>
        <w:t xml:space="preserve">Table </w:t>
      </w:r>
      <w:fldSimple w:instr=" SEQ Table \* ARABIC ">
        <w:r w:rsidR="00736DB0">
          <w:rPr>
            <w:noProof/>
          </w:rPr>
          <w:t>8</w:t>
        </w:r>
      </w:fldSimple>
      <w:r>
        <w:rPr>
          <w:noProof/>
        </w:rPr>
        <w:t xml:space="preserve"> Body weight, BCS, and intrusion meal intake by group and point</w:t>
      </w:r>
      <w:bookmarkEnd w:id="77"/>
      <w:r>
        <w:rPr>
          <w:noProof/>
        </w:rPr>
        <w:t>.</w:t>
      </w:r>
      <w:bookmarkEnd w:id="78"/>
    </w:p>
    <w:tbl>
      <w:tblPr>
        <w:tblStyle w:val="TableClassic1"/>
        <w:tblW w:w="0" w:type="auto"/>
        <w:tblLook w:val="04A0" w:firstRow="1" w:lastRow="0" w:firstColumn="1" w:lastColumn="0" w:noHBand="0" w:noVBand="1"/>
      </w:tblPr>
      <w:tblGrid>
        <w:gridCol w:w="2178"/>
        <w:gridCol w:w="2136"/>
        <w:gridCol w:w="2273"/>
        <w:gridCol w:w="2269"/>
      </w:tblGrid>
      <w:tr w:rsidR="00065BB7" w:rsidTr="00736D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r>
              <w:t>Group</w:t>
            </w:r>
          </w:p>
        </w:tc>
        <w:tc>
          <w:tcPr>
            <w:tcW w:w="2136" w:type="dxa"/>
          </w:tcPr>
          <w:p w:rsidR="00065BB7" w:rsidRDefault="00065BB7" w:rsidP="00C40A84">
            <w:pPr>
              <w:cnfStyle w:val="100000000000" w:firstRow="1" w:lastRow="0" w:firstColumn="0" w:lastColumn="0" w:oddVBand="0" w:evenVBand="0" w:oddHBand="0" w:evenHBand="0" w:firstRowFirstColumn="0" w:firstRowLastColumn="0" w:lastRowFirstColumn="0" w:lastRowLastColumn="0"/>
            </w:pPr>
            <w:r>
              <w:t>Baseline</w:t>
            </w:r>
          </w:p>
        </w:tc>
        <w:tc>
          <w:tcPr>
            <w:tcW w:w="2273" w:type="dxa"/>
          </w:tcPr>
          <w:p w:rsidR="00065BB7" w:rsidRDefault="00065BB7" w:rsidP="00C40A84">
            <w:pPr>
              <w:cnfStyle w:val="100000000000" w:firstRow="1" w:lastRow="0" w:firstColumn="0" w:lastColumn="0" w:oddVBand="0" w:evenVBand="0" w:oddHBand="0" w:evenHBand="0" w:firstRowFirstColumn="0" w:firstRowLastColumn="0" w:lastRowFirstColumn="0" w:lastRowLastColumn="0"/>
            </w:pPr>
            <w:r>
              <w:t>One week</w:t>
            </w:r>
          </w:p>
        </w:tc>
        <w:tc>
          <w:tcPr>
            <w:tcW w:w="2269" w:type="dxa"/>
          </w:tcPr>
          <w:p w:rsidR="00065BB7" w:rsidRDefault="00065BB7" w:rsidP="00C40A84">
            <w:pPr>
              <w:cnfStyle w:val="100000000000" w:firstRow="1" w:lastRow="0" w:firstColumn="0" w:lastColumn="0" w:oddVBand="0" w:evenVBand="0" w:oddHBand="0" w:evenHBand="0" w:firstRowFirstColumn="0" w:firstRowLastColumn="0" w:lastRowFirstColumn="0" w:lastRowLastColumn="0"/>
            </w:pPr>
            <w:r>
              <w:t>End of study</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r>
              <w:t>Scale weight (kg)</w:t>
            </w:r>
          </w:p>
        </w:tc>
        <w:tc>
          <w:tcPr>
            <w:tcW w:w="2136" w:type="dxa"/>
          </w:tcPr>
          <w:p w:rsidR="00065BB7" w:rsidRDefault="00065BB7" w:rsidP="00C40A84">
            <w:pPr>
              <w:cnfStyle w:val="000000000000" w:firstRow="0" w:lastRow="0" w:firstColumn="0" w:lastColumn="0" w:oddVBand="0" w:evenVBand="0" w:oddHBand="0" w:evenHBand="0" w:firstRowFirstColumn="0" w:firstRowLastColumn="0" w:lastRowFirstColumn="0" w:lastRowLastColumn="0"/>
            </w:pPr>
          </w:p>
        </w:tc>
        <w:tc>
          <w:tcPr>
            <w:tcW w:w="2273" w:type="dxa"/>
          </w:tcPr>
          <w:p w:rsidR="00065BB7" w:rsidRDefault="00065BB7" w:rsidP="00C40A84">
            <w:pPr>
              <w:cnfStyle w:val="000000000000" w:firstRow="0" w:lastRow="0" w:firstColumn="0" w:lastColumn="0" w:oddVBand="0" w:evenVBand="0" w:oddHBand="0" w:evenHBand="0" w:firstRowFirstColumn="0" w:firstRowLastColumn="0" w:lastRowFirstColumn="0" w:lastRowLastColumn="0"/>
            </w:pPr>
          </w:p>
        </w:tc>
        <w:tc>
          <w:tcPr>
            <w:tcW w:w="2269" w:type="dxa"/>
          </w:tcPr>
          <w:p w:rsidR="00065BB7" w:rsidRDefault="00065BB7" w:rsidP="00C40A84">
            <w:pPr>
              <w:cnfStyle w:val="000000000000" w:firstRow="0" w:lastRow="0" w:firstColumn="0" w:lastColumn="0" w:oddVBand="0" w:evenVBand="0" w:oddHBand="0" w:evenHBand="0" w:firstRowFirstColumn="0" w:firstRowLastColumn="0" w:lastRowFirstColumn="0" w:lastRowLastColumn="0"/>
            </w:pP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Pr="001D73C7" w:rsidRDefault="00065BB7" w:rsidP="00C40A84">
            <w:pPr>
              <w:jc w:val="center"/>
              <w:rPr>
                <w:vertAlign w:val="superscript"/>
              </w:rPr>
            </w:pPr>
            <w:r>
              <w:t>ObN</w:t>
            </w:r>
            <w:r>
              <w:rPr>
                <w:vertAlign w:val="superscript"/>
              </w:rPr>
              <w:t>*</w:t>
            </w:r>
          </w:p>
        </w:tc>
        <w:tc>
          <w:tcPr>
            <w:tcW w:w="2136" w:type="dxa"/>
          </w:tcPr>
          <w:p w:rsidR="00065BB7" w:rsidRPr="005105BC"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16.5 ± 0.8</w:t>
            </w:r>
            <w:r>
              <w:rPr>
                <w:vertAlign w:val="superscript"/>
              </w:rPr>
              <w:t>a,#</w:t>
            </w:r>
          </w:p>
        </w:tc>
        <w:tc>
          <w:tcPr>
            <w:tcW w:w="2273" w:type="dxa"/>
          </w:tcPr>
          <w:p w:rsidR="00065BB7" w:rsidRPr="005105BC"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16.0 ± 0.8</w:t>
            </w:r>
            <w:r>
              <w:rPr>
                <w:vertAlign w:val="superscript"/>
              </w:rPr>
              <w:t>a,#</w:t>
            </w:r>
          </w:p>
        </w:tc>
        <w:tc>
          <w:tcPr>
            <w:tcW w:w="2269" w:type="dxa"/>
          </w:tcPr>
          <w:p w:rsidR="00065BB7" w:rsidRPr="005105BC"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12.9 ± 1.5</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Pr="001D73C7" w:rsidRDefault="00065BB7" w:rsidP="00C40A84">
            <w:pPr>
              <w:jc w:val="center"/>
              <w:rPr>
                <w:vertAlign w:val="superscript"/>
              </w:rPr>
            </w:pPr>
            <w:r>
              <w:t>ObP</w:t>
            </w:r>
            <w:r>
              <w:rPr>
                <w:vertAlign w:val="superscript"/>
              </w:rPr>
              <w:t>*</w:t>
            </w:r>
          </w:p>
        </w:tc>
        <w:tc>
          <w:tcPr>
            <w:tcW w:w="2136" w:type="dxa"/>
          </w:tcPr>
          <w:p w:rsidR="00065BB7" w:rsidRPr="00047037"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17.5 ± 1.6</w:t>
            </w:r>
            <w:r>
              <w:rPr>
                <w:vertAlign w:val="superscript"/>
              </w:rPr>
              <w:t>a,#</w:t>
            </w:r>
          </w:p>
        </w:tc>
        <w:tc>
          <w:tcPr>
            <w:tcW w:w="2273" w:type="dxa"/>
          </w:tcPr>
          <w:p w:rsidR="00065BB7" w:rsidRPr="00047037"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17.0 ± 1.1</w:t>
            </w:r>
            <w:r>
              <w:rPr>
                <w:vertAlign w:val="superscript"/>
              </w:rPr>
              <w:t>a,#</w:t>
            </w:r>
          </w:p>
        </w:tc>
        <w:tc>
          <w:tcPr>
            <w:tcW w:w="2269" w:type="dxa"/>
          </w:tcPr>
          <w:p w:rsidR="00065BB7" w:rsidRPr="00047037"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16.0 ± 0.4</w:t>
            </w:r>
            <w:r>
              <w:rPr>
                <w:vertAlign w:val="superscript"/>
              </w:rPr>
              <w:t>b,#</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Pr="001D73C7" w:rsidRDefault="00065BB7" w:rsidP="00C40A84">
            <w:pPr>
              <w:jc w:val="center"/>
              <w:rPr>
                <w:vertAlign w:val="superscript"/>
              </w:rPr>
            </w:pPr>
            <w:r>
              <w:t>WLD</w:t>
            </w:r>
            <w:r>
              <w:rPr>
                <w:vertAlign w:val="superscript"/>
              </w:rPr>
              <w:t>*</w:t>
            </w:r>
          </w:p>
        </w:tc>
        <w:tc>
          <w:tcPr>
            <w:tcW w:w="2136" w:type="dxa"/>
          </w:tcPr>
          <w:p w:rsidR="00065BB7" w:rsidRPr="00047037"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17.0 ± 1.4</w:t>
            </w:r>
            <w:r>
              <w:rPr>
                <w:vertAlign w:val="superscript"/>
              </w:rPr>
              <w:t>a,#</w:t>
            </w:r>
          </w:p>
        </w:tc>
        <w:tc>
          <w:tcPr>
            <w:tcW w:w="2273" w:type="dxa"/>
          </w:tcPr>
          <w:p w:rsidR="00065BB7" w:rsidRPr="00047037"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15.3 ± 1.4</w:t>
            </w:r>
            <w:r>
              <w:rPr>
                <w:vertAlign w:val="superscript"/>
              </w:rPr>
              <w:t>a,#</w:t>
            </w:r>
          </w:p>
        </w:tc>
        <w:tc>
          <w:tcPr>
            <w:tcW w:w="2269" w:type="dxa"/>
          </w:tcPr>
          <w:p w:rsidR="00065BB7" w:rsidRPr="00047037"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12.5 ± 0.9</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Pr="004B21AC" w:rsidRDefault="00065BB7" w:rsidP="00C40A84">
            <w:pPr>
              <w:jc w:val="center"/>
              <w:rPr>
                <w:vertAlign w:val="superscript"/>
              </w:rPr>
            </w:pPr>
            <w:r>
              <w:t>IBW</w:t>
            </w:r>
            <w:r>
              <w:rPr>
                <w:vertAlign w:val="superscript"/>
              </w:rPr>
              <w:t>*</w:t>
            </w:r>
          </w:p>
        </w:tc>
        <w:tc>
          <w:tcPr>
            <w:tcW w:w="2136" w:type="dxa"/>
          </w:tcPr>
          <w:p w:rsidR="00065BB7" w:rsidRPr="00047037"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10.6 ± 0.7</w:t>
            </w:r>
            <w:r>
              <w:rPr>
                <w:vertAlign w:val="superscript"/>
              </w:rPr>
              <w:t>b,#</w:t>
            </w:r>
          </w:p>
        </w:tc>
        <w:tc>
          <w:tcPr>
            <w:tcW w:w="2273" w:type="dxa"/>
          </w:tcPr>
          <w:p w:rsidR="00065BB7" w:rsidRPr="00047037"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11.3 ± 0.7</w:t>
            </w:r>
            <w:r>
              <w:rPr>
                <w:vertAlign w:val="superscript"/>
              </w:rPr>
              <w:t>b,#</w:t>
            </w:r>
          </w:p>
        </w:tc>
        <w:tc>
          <w:tcPr>
            <w:tcW w:w="2269" w:type="dxa"/>
          </w:tcPr>
          <w:p w:rsidR="00065BB7" w:rsidRPr="00047037"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11.8 ± 7.6</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r>
              <w:t>BCS (9 point)</w:t>
            </w:r>
          </w:p>
        </w:tc>
        <w:tc>
          <w:tcPr>
            <w:tcW w:w="2136"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c>
          <w:tcPr>
            <w:tcW w:w="2273"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c>
          <w:tcPr>
            <w:tcW w:w="2269"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ObN</w:t>
            </w:r>
          </w:p>
        </w:tc>
        <w:tc>
          <w:tcPr>
            <w:tcW w:w="2136"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8.8 ± 0.4</w:t>
            </w:r>
            <w:r>
              <w:rPr>
                <w:vertAlign w:val="superscript"/>
              </w:rPr>
              <w:t>a,#</w:t>
            </w:r>
          </w:p>
        </w:tc>
        <w:tc>
          <w:tcPr>
            <w:tcW w:w="2273"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8.8 ± 0.4</w:t>
            </w:r>
            <w:r>
              <w:rPr>
                <w:vertAlign w:val="superscript"/>
              </w:rPr>
              <w:t>a,#</w:t>
            </w:r>
          </w:p>
        </w:tc>
        <w:tc>
          <w:tcPr>
            <w:tcW w:w="2269"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6.6 ± 1.1</w:t>
            </w:r>
            <w:r>
              <w:rPr>
                <w:vertAlign w:val="superscript"/>
              </w:rPr>
              <w:t>a,b,$</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ObP</w:t>
            </w:r>
          </w:p>
        </w:tc>
        <w:tc>
          <w:tcPr>
            <w:tcW w:w="2136"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8.2 ± 1.3</w:t>
            </w:r>
            <w:r>
              <w:rPr>
                <w:vertAlign w:val="superscript"/>
              </w:rPr>
              <w:t>a,#</w:t>
            </w:r>
          </w:p>
        </w:tc>
        <w:tc>
          <w:tcPr>
            <w:tcW w:w="2273"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8.0 ± 1.0</w:t>
            </w:r>
            <w:r>
              <w:rPr>
                <w:vertAlign w:val="superscript"/>
              </w:rPr>
              <w:t>a,#</w:t>
            </w:r>
          </w:p>
        </w:tc>
        <w:tc>
          <w:tcPr>
            <w:tcW w:w="2269"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7.8 ± 1.3</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WLD</w:t>
            </w:r>
          </w:p>
        </w:tc>
        <w:tc>
          <w:tcPr>
            <w:tcW w:w="2136"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7.4 ± 0.5</w:t>
            </w:r>
            <w:r>
              <w:rPr>
                <w:vertAlign w:val="superscript"/>
              </w:rPr>
              <w:t>a,#</w:t>
            </w:r>
          </w:p>
        </w:tc>
        <w:tc>
          <w:tcPr>
            <w:tcW w:w="2273"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8.0 ± 1.2</w:t>
            </w:r>
            <w:r>
              <w:rPr>
                <w:vertAlign w:val="superscript"/>
              </w:rPr>
              <w:t>a,#</w:t>
            </w:r>
          </w:p>
        </w:tc>
        <w:tc>
          <w:tcPr>
            <w:tcW w:w="2269"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5.2 ± 0.8</w:t>
            </w:r>
            <w:r>
              <w:rPr>
                <w:vertAlign w:val="superscript"/>
              </w:rPr>
              <w:t>b,$</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IBW</w:t>
            </w:r>
          </w:p>
        </w:tc>
        <w:tc>
          <w:tcPr>
            <w:tcW w:w="2136"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4.3 ± 0.5</w:t>
            </w:r>
            <w:r>
              <w:rPr>
                <w:vertAlign w:val="superscript"/>
              </w:rPr>
              <w:t>b,#</w:t>
            </w:r>
          </w:p>
        </w:tc>
        <w:tc>
          <w:tcPr>
            <w:tcW w:w="2273"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4.8 ± 0.4</w:t>
            </w:r>
            <w:r>
              <w:rPr>
                <w:vertAlign w:val="superscript"/>
              </w:rPr>
              <w:t>b,#</w:t>
            </w:r>
          </w:p>
        </w:tc>
        <w:tc>
          <w:tcPr>
            <w:tcW w:w="2269" w:type="dxa"/>
          </w:tcPr>
          <w:p w:rsidR="00065BB7" w:rsidRPr="007C228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5.2 ± 0.4</w:t>
            </w:r>
            <w:r>
              <w:rPr>
                <w:vertAlign w:val="superscript"/>
              </w:rPr>
              <w:t>b,#</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Pr="001D73C7" w:rsidRDefault="00065BB7" w:rsidP="00C40A84">
            <w:r>
              <w:t>Food eaten (kcal)</w:t>
            </w:r>
          </w:p>
        </w:tc>
        <w:tc>
          <w:tcPr>
            <w:tcW w:w="2136"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c>
          <w:tcPr>
            <w:tcW w:w="2273"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c>
          <w:tcPr>
            <w:tcW w:w="2269"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ObN</w:t>
            </w:r>
          </w:p>
        </w:tc>
        <w:tc>
          <w:tcPr>
            <w:tcW w:w="2136" w:type="dxa"/>
          </w:tcPr>
          <w:p w:rsidR="00065BB7" w:rsidRPr="00924C4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438.3 ± 218.3</w:t>
            </w:r>
            <w:r>
              <w:rPr>
                <w:vertAlign w:val="superscript"/>
              </w:rPr>
              <w:t>a,#</w:t>
            </w:r>
          </w:p>
        </w:tc>
        <w:tc>
          <w:tcPr>
            <w:tcW w:w="2273" w:type="dxa"/>
          </w:tcPr>
          <w:p w:rsidR="00065BB7" w:rsidRPr="00FB1E14"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649.9 ± 474.7</w:t>
            </w:r>
            <w:r>
              <w:rPr>
                <w:vertAlign w:val="superscript"/>
              </w:rPr>
              <w:t>a,#</w:t>
            </w:r>
          </w:p>
        </w:tc>
        <w:tc>
          <w:tcPr>
            <w:tcW w:w="2269" w:type="dxa"/>
          </w:tcPr>
          <w:p w:rsidR="00065BB7" w:rsidRPr="00FB1E14"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1203.4 ± 753.5</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ObP</w:t>
            </w:r>
          </w:p>
        </w:tc>
        <w:tc>
          <w:tcPr>
            <w:tcW w:w="2136" w:type="dxa"/>
          </w:tcPr>
          <w:p w:rsidR="00065BB7" w:rsidRPr="00924C41"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161.0 ± 218.3</w:t>
            </w:r>
            <w:r>
              <w:rPr>
                <w:vertAlign w:val="superscript"/>
              </w:rPr>
              <w:t>a,#</w:t>
            </w:r>
          </w:p>
        </w:tc>
        <w:tc>
          <w:tcPr>
            <w:tcW w:w="2273" w:type="dxa"/>
          </w:tcPr>
          <w:p w:rsidR="00065BB7" w:rsidRPr="00FB1E14"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633.5 ± 532.3</w:t>
            </w:r>
            <w:r>
              <w:rPr>
                <w:vertAlign w:val="superscript"/>
              </w:rPr>
              <w:t>a,#,$</w:t>
            </w:r>
          </w:p>
        </w:tc>
        <w:tc>
          <w:tcPr>
            <w:tcW w:w="2269" w:type="dxa"/>
          </w:tcPr>
          <w:p w:rsidR="00065BB7" w:rsidRPr="00FB1E14"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1102.8 ± 212.6</w:t>
            </w:r>
            <w:r>
              <w:rPr>
                <w:vertAlign w:val="superscript"/>
              </w:rPr>
              <w:t>a</w:t>
            </w:r>
            <w:r w:rsidRPr="0048749F">
              <w:rPr>
                <w:vertAlign w:val="superscript"/>
              </w:rPr>
              <w:t>,$</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WLD</w:t>
            </w:r>
          </w:p>
        </w:tc>
        <w:tc>
          <w:tcPr>
            <w:tcW w:w="2136" w:type="dxa"/>
          </w:tcPr>
          <w:p w:rsidR="00065BB7" w:rsidRPr="00FB1E14"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269.3 ± 255.5</w:t>
            </w:r>
            <w:r>
              <w:rPr>
                <w:vertAlign w:val="superscript"/>
              </w:rPr>
              <w:t>a,#</w:t>
            </w:r>
          </w:p>
        </w:tc>
        <w:tc>
          <w:tcPr>
            <w:tcW w:w="2273" w:type="dxa"/>
          </w:tcPr>
          <w:p w:rsidR="00065BB7" w:rsidRPr="00FB1E14"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612.0 ± 465.4</w:t>
            </w:r>
            <w:r>
              <w:rPr>
                <w:vertAlign w:val="superscript"/>
              </w:rPr>
              <w:t>a,#,$</w:t>
            </w:r>
          </w:p>
        </w:tc>
        <w:tc>
          <w:tcPr>
            <w:tcW w:w="2269" w:type="dxa"/>
          </w:tcPr>
          <w:p w:rsidR="00065BB7" w:rsidRPr="00FB1E14"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995.2 ± 440.7</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IBW</w:t>
            </w:r>
          </w:p>
        </w:tc>
        <w:tc>
          <w:tcPr>
            <w:tcW w:w="2136" w:type="dxa"/>
          </w:tcPr>
          <w:p w:rsidR="00065BB7" w:rsidRPr="00FB1E14"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1384.3 ± 319.9</w:t>
            </w:r>
            <w:r>
              <w:rPr>
                <w:vertAlign w:val="superscript"/>
              </w:rPr>
              <w:t>b,#</w:t>
            </w:r>
          </w:p>
        </w:tc>
        <w:tc>
          <w:tcPr>
            <w:tcW w:w="2273" w:type="dxa"/>
          </w:tcPr>
          <w:p w:rsidR="00065BB7" w:rsidRPr="00FB1E14"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1398.3 ± 164.0</w:t>
            </w:r>
            <w:r>
              <w:rPr>
                <w:vertAlign w:val="superscript"/>
              </w:rPr>
              <w:t>b,#</w:t>
            </w:r>
          </w:p>
        </w:tc>
        <w:tc>
          <w:tcPr>
            <w:tcW w:w="2269" w:type="dxa"/>
          </w:tcPr>
          <w:p w:rsidR="00065BB7" w:rsidRPr="00FB1E14"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1149.6 ± 510.5</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Pr="001D73C7" w:rsidRDefault="00065BB7" w:rsidP="00C40A84">
            <w:r>
              <w:t>Food eaten (kcal/BW</w:t>
            </w:r>
            <w:r>
              <w:rPr>
                <w:vertAlign w:val="subscript"/>
              </w:rPr>
              <w:t>kg</w:t>
            </w:r>
            <w:r>
              <w:t>)</w:t>
            </w:r>
          </w:p>
        </w:tc>
        <w:tc>
          <w:tcPr>
            <w:tcW w:w="2136"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c>
          <w:tcPr>
            <w:tcW w:w="2273"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c>
          <w:tcPr>
            <w:tcW w:w="2269"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ObN</w:t>
            </w:r>
          </w:p>
        </w:tc>
        <w:tc>
          <w:tcPr>
            <w:tcW w:w="2136" w:type="dxa"/>
          </w:tcPr>
          <w:p w:rsidR="00065BB7" w:rsidRPr="007029E6"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26.8 ± 13.6</w:t>
            </w:r>
            <w:r>
              <w:rPr>
                <w:vertAlign w:val="superscript"/>
              </w:rPr>
              <w:t>a,#</w:t>
            </w:r>
          </w:p>
        </w:tc>
        <w:tc>
          <w:tcPr>
            <w:tcW w:w="2273" w:type="dxa"/>
          </w:tcPr>
          <w:p w:rsidR="00065BB7" w:rsidRPr="000726B2"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40.0 ± 29.2</w:t>
            </w:r>
            <w:r>
              <w:rPr>
                <w:vertAlign w:val="superscript"/>
              </w:rPr>
              <w:t>a,#</w:t>
            </w:r>
          </w:p>
        </w:tc>
        <w:tc>
          <w:tcPr>
            <w:tcW w:w="2269" w:type="dxa"/>
          </w:tcPr>
          <w:p w:rsidR="00065BB7" w:rsidRPr="000726B2"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97.0 ± 65.1</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ObP</w:t>
            </w:r>
          </w:p>
        </w:tc>
        <w:tc>
          <w:tcPr>
            <w:tcW w:w="2136" w:type="dxa"/>
          </w:tcPr>
          <w:p w:rsidR="00065BB7" w:rsidRPr="007029E6"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10.2 ± 13.9</w:t>
            </w:r>
            <w:r>
              <w:rPr>
                <w:vertAlign w:val="superscript"/>
              </w:rPr>
              <w:t>a,#</w:t>
            </w:r>
          </w:p>
        </w:tc>
        <w:tc>
          <w:tcPr>
            <w:tcW w:w="2273" w:type="dxa"/>
          </w:tcPr>
          <w:p w:rsidR="00065BB7" w:rsidRPr="000726B2"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37.2 ± 30.1</w:t>
            </w:r>
            <w:r>
              <w:rPr>
                <w:vertAlign w:val="superscript"/>
              </w:rPr>
              <w:t>a,#,$</w:t>
            </w:r>
          </w:p>
        </w:tc>
        <w:tc>
          <w:tcPr>
            <w:tcW w:w="2269" w:type="dxa"/>
          </w:tcPr>
          <w:p w:rsidR="00065BB7" w:rsidRPr="000726B2"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68.6 ± 11.9</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WLD</w:t>
            </w:r>
          </w:p>
        </w:tc>
        <w:tc>
          <w:tcPr>
            <w:tcW w:w="2136" w:type="dxa"/>
          </w:tcPr>
          <w:p w:rsidR="00065BB7" w:rsidRPr="007029E6"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16.4 ± 15.6</w:t>
            </w:r>
            <w:r>
              <w:rPr>
                <w:vertAlign w:val="superscript"/>
              </w:rPr>
              <w:t>a,#</w:t>
            </w:r>
          </w:p>
        </w:tc>
        <w:tc>
          <w:tcPr>
            <w:tcW w:w="2273" w:type="dxa"/>
          </w:tcPr>
          <w:p w:rsidR="00065BB7" w:rsidRPr="000726B2"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38.9 ± 29.4</w:t>
            </w:r>
            <w:r>
              <w:rPr>
                <w:vertAlign w:val="superscript"/>
              </w:rPr>
              <w:t>a,#,$</w:t>
            </w:r>
          </w:p>
        </w:tc>
        <w:tc>
          <w:tcPr>
            <w:tcW w:w="2269" w:type="dxa"/>
          </w:tcPr>
          <w:p w:rsidR="00065BB7" w:rsidRPr="000726B2"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83.3 ± 39.1</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IBW</w:t>
            </w:r>
          </w:p>
        </w:tc>
        <w:tc>
          <w:tcPr>
            <w:tcW w:w="2136" w:type="dxa"/>
          </w:tcPr>
          <w:p w:rsidR="00065BB7" w:rsidRPr="000726B2"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130.3 ± 28.4</w:t>
            </w:r>
            <w:r>
              <w:rPr>
                <w:vertAlign w:val="superscript"/>
              </w:rPr>
              <w:t>b,#</w:t>
            </w:r>
          </w:p>
        </w:tc>
        <w:tc>
          <w:tcPr>
            <w:tcW w:w="2273" w:type="dxa"/>
          </w:tcPr>
          <w:p w:rsidR="00065BB7" w:rsidRPr="000726B2"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123.3 ± 11.1</w:t>
            </w:r>
            <w:r>
              <w:rPr>
                <w:vertAlign w:val="superscript"/>
              </w:rPr>
              <w:t>b,#</w:t>
            </w:r>
          </w:p>
        </w:tc>
        <w:tc>
          <w:tcPr>
            <w:tcW w:w="2269" w:type="dxa"/>
          </w:tcPr>
          <w:p w:rsidR="00065BB7" w:rsidRPr="000726B2" w:rsidRDefault="00065BB7" w:rsidP="00C40A84">
            <w:pPr>
              <w:cnfStyle w:val="000000000000" w:firstRow="0" w:lastRow="0" w:firstColumn="0" w:lastColumn="0" w:oddVBand="0" w:evenVBand="0" w:oddHBand="0" w:evenHBand="0" w:firstRowFirstColumn="0" w:firstRowLastColumn="0" w:lastRowFirstColumn="0" w:lastRowLastColumn="0"/>
              <w:rPr>
                <w:vertAlign w:val="superscript"/>
              </w:rPr>
            </w:pPr>
            <w:r>
              <w:t>98.0 ± 44.6</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Pr="001D73C7" w:rsidRDefault="00065BB7" w:rsidP="00C40A84">
            <w:r>
              <w:t>Food eaten (kcal/BW</w:t>
            </w:r>
            <w:r>
              <w:rPr>
                <w:vertAlign w:val="subscript"/>
              </w:rPr>
              <w:t>kg</w:t>
            </w:r>
            <w:r>
              <w:rPr>
                <w:vertAlign w:val="superscript"/>
              </w:rPr>
              <w:t>0.75</w:t>
            </w:r>
            <w:r>
              <w:t>)</w:t>
            </w:r>
          </w:p>
        </w:tc>
        <w:tc>
          <w:tcPr>
            <w:tcW w:w="2136"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c>
          <w:tcPr>
            <w:tcW w:w="2273"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c>
          <w:tcPr>
            <w:tcW w:w="2269" w:type="dxa"/>
          </w:tcPr>
          <w:p w:rsidR="00065BB7" w:rsidRPr="004F0306" w:rsidRDefault="00065BB7" w:rsidP="00C40A84">
            <w:pPr>
              <w:cnfStyle w:val="000000000000" w:firstRow="0" w:lastRow="0" w:firstColumn="0" w:lastColumn="0" w:oddVBand="0" w:evenVBand="0" w:oddHBand="0" w:evenHBand="0" w:firstRowFirstColumn="0" w:firstRowLastColumn="0" w:lastRowFirstColumn="0" w:lastRowLastColumn="0"/>
            </w:pP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ObN</w:t>
            </w:r>
          </w:p>
        </w:tc>
        <w:tc>
          <w:tcPr>
            <w:tcW w:w="2136" w:type="dxa"/>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53.9 ± 27.1</w:t>
            </w:r>
            <w:r>
              <w:rPr>
                <w:vertAlign w:val="superscript"/>
              </w:rPr>
              <w:t>a,#</w:t>
            </w:r>
          </w:p>
        </w:tc>
        <w:tc>
          <w:tcPr>
            <w:tcW w:w="2273" w:type="dxa"/>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80.2 ± 58.6</w:t>
            </w:r>
            <w:r>
              <w:rPr>
                <w:vertAlign w:val="superscript"/>
              </w:rPr>
              <w:t>a,#</w:t>
            </w:r>
          </w:p>
        </w:tc>
        <w:tc>
          <w:tcPr>
            <w:tcW w:w="2269" w:type="dxa"/>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181.8 ± 119.3</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ObP</w:t>
            </w:r>
          </w:p>
        </w:tc>
        <w:tc>
          <w:tcPr>
            <w:tcW w:w="2136" w:type="dxa"/>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20.3 ± 27.7</w:t>
            </w:r>
            <w:r>
              <w:rPr>
                <w:vertAlign w:val="superscript"/>
              </w:rPr>
              <w:t>a,#</w:t>
            </w:r>
          </w:p>
        </w:tc>
        <w:tc>
          <w:tcPr>
            <w:tcW w:w="2273" w:type="dxa"/>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75.6 ± 61.7</w:t>
            </w:r>
            <w:r>
              <w:rPr>
                <w:vertAlign w:val="superscript"/>
              </w:rPr>
              <w:t>a,#,$</w:t>
            </w:r>
          </w:p>
        </w:tc>
        <w:tc>
          <w:tcPr>
            <w:tcW w:w="2269" w:type="dxa"/>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137.3 ± 24.4</w:t>
            </w:r>
            <w:r>
              <w:rPr>
                <w:vertAlign w:val="superscript"/>
              </w:rPr>
              <w:t>a,b,$</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Pr>
          <w:p w:rsidR="00065BB7" w:rsidRDefault="00065BB7" w:rsidP="00C40A84">
            <w:pPr>
              <w:jc w:val="center"/>
            </w:pPr>
            <w:r>
              <w:t>WLD</w:t>
            </w:r>
          </w:p>
        </w:tc>
        <w:tc>
          <w:tcPr>
            <w:tcW w:w="2136" w:type="dxa"/>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33.0 ± 31.3</w:t>
            </w:r>
            <w:r>
              <w:rPr>
                <w:vertAlign w:val="superscript"/>
              </w:rPr>
              <w:t>a,#</w:t>
            </w:r>
          </w:p>
        </w:tc>
        <w:tc>
          <w:tcPr>
            <w:tcW w:w="2273" w:type="dxa"/>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77.4 ± 58.6</w:t>
            </w:r>
            <w:r>
              <w:rPr>
                <w:vertAlign w:val="superscript"/>
              </w:rPr>
              <w:t>a,#,$</w:t>
            </w:r>
          </w:p>
        </w:tc>
        <w:tc>
          <w:tcPr>
            <w:tcW w:w="2269" w:type="dxa"/>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156.0 ± 72.0</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2178" w:type="dxa"/>
            <w:tcBorders>
              <w:bottom w:val="single" w:sz="12" w:space="0" w:color="000000"/>
            </w:tcBorders>
          </w:tcPr>
          <w:p w:rsidR="00065BB7" w:rsidRDefault="00065BB7" w:rsidP="00C40A84">
            <w:pPr>
              <w:jc w:val="center"/>
            </w:pPr>
            <w:r>
              <w:t>IBW</w:t>
            </w:r>
          </w:p>
        </w:tc>
        <w:tc>
          <w:tcPr>
            <w:tcW w:w="2136" w:type="dxa"/>
            <w:tcBorders>
              <w:bottom w:val="single" w:sz="12" w:space="0" w:color="000000"/>
            </w:tcBorders>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235.2 ± 51.6</w:t>
            </w:r>
            <w:r>
              <w:rPr>
                <w:vertAlign w:val="superscript"/>
              </w:rPr>
              <w:t>b,#</w:t>
            </w:r>
          </w:p>
        </w:tc>
        <w:tc>
          <w:tcPr>
            <w:tcW w:w="2273" w:type="dxa"/>
            <w:tcBorders>
              <w:bottom w:val="single" w:sz="12" w:space="0" w:color="000000"/>
            </w:tcBorders>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226.1 ± 21.4</w:t>
            </w:r>
            <w:r>
              <w:rPr>
                <w:vertAlign w:val="superscript"/>
              </w:rPr>
              <w:t>b,#</w:t>
            </w:r>
          </w:p>
        </w:tc>
        <w:tc>
          <w:tcPr>
            <w:tcW w:w="2269" w:type="dxa"/>
            <w:tcBorders>
              <w:bottom w:val="single" w:sz="12" w:space="0" w:color="000000"/>
            </w:tcBorders>
          </w:tcPr>
          <w:p w:rsidR="00065BB7" w:rsidRPr="007F6C77" w:rsidRDefault="00065BB7" w:rsidP="00C40A84">
            <w:pPr>
              <w:cnfStyle w:val="000000000000" w:firstRow="0" w:lastRow="0" w:firstColumn="0" w:lastColumn="0" w:oddVBand="0" w:evenVBand="0" w:oddHBand="0" w:evenHBand="0" w:firstRowFirstColumn="0" w:firstRowLastColumn="0" w:lastRowFirstColumn="0" w:lastRowLastColumn="0"/>
            </w:pPr>
            <w:r>
              <w:t>181.3 ± 81.9</w:t>
            </w:r>
            <w:r>
              <w:rPr>
                <w:vertAlign w:val="superscript"/>
              </w:rPr>
              <w:t>a,#</w:t>
            </w:r>
          </w:p>
        </w:tc>
      </w:tr>
      <w:tr w:rsidR="00065BB7" w:rsidTr="00736DB0">
        <w:tc>
          <w:tcPr>
            <w:cnfStyle w:val="001000000000" w:firstRow="0" w:lastRow="0" w:firstColumn="1" w:lastColumn="0" w:oddVBand="0" w:evenVBand="0" w:oddHBand="0" w:evenHBand="0" w:firstRowFirstColumn="0" w:firstRowLastColumn="0" w:lastRowFirstColumn="0" w:lastRowLastColumn="0"/>
            <w:tcW w:w="8856" w:type="dxa"/>
            <w:gridSpan w:val="4"/>
            <w:tcBorders>
              <w:top w:val="single" w:sz="12" w:space="0" w:color="000000"/>
              <w:bottom w:val="nil"/>
              <w:right w:val="nil"/>
            </w:tcBorders>
          </w:tcPr>
          <w:p w:rsidR="00065BB7" w:rsidRPr="00850616" w:rsidRDefault="00065BB7" w:rsidP="00C40A84">
            <w:pPr>
              <w:rPr>
                <w:sz w:val="18"/>
                <w:szCs w:val="18"/>
              </w:rPr>
            </w:pPr>
            <w:r w:rsidRPr="00850616">
              <w:rPr>
                <w:sz w:val="18"/>
                <w:szCs w:val="18"/>
              </w:rPr>
              <w:t>Numerical data presented as mean ± standard deviation.</w:t>
            </w:r>
          </w:p>
          <w:p w:rsidR="00065BB7" w:rsidRPr="00850616" w:rsidRDefault="00065BB7" w:rsidP="00C40A84">
            <w:pPr>
              <w:rPr>
                <w:sz w:val="18"/>
                <w:szCs w:val="18"/>
              </w:rPr>
            </w:pPr>
            <w:r w:rsidRPr="00850616">
              <w:rPr>
                <w:sz w:val="18"/>
                <w:szCs w:val="18"/>
                <w:vertAlign w:val="superscript"/>
              </w:rPr>
              <w:t>*</w:t>
            </w:r>
            <w:r w:rsidRPr="00850616">
              <w:rPr>
                <w:sz w:val="18"/>
                <w:szCs w:val="18"/>
              </w:rPr>
              <w:t>ObN, obese nutraceutical group; ObP, obese placebo group; WLD, weight loss diet group; IBW, ideal body weight group.</w:t>
            </w:r>
          </w:p>
          <w:p w:rsidR="00065BB7" w:rsidRPr="00850616" w:rsidRDefault="00065BB7" w:rsidP="00C40A84">
            <w:pPr>
              <w:rPr>
                <w:sz w:val="18"/>
                <w:szCs w:val="18"/>
              </w:rPr>
            </w:pPr>
            <w:proofErr w:type="gramStart"/>
            <w:r w:rsidRPr="00850616">
              <w:rPr>
                <w:sz w:val="18"/>
                <w:szCs w:val="18"/>
                <w:vertAlign w:val="superscript"/>
              </w:rPr>
              <w:t>a-</w:t>
            </w:r>
            <w:r>
              <w:rPr>
                <w:sz w:val="18"/>
                <w:szCs w:val="18"/>
                <w:vertAlign w:val="superscript"/>
              </w:rPr>
              <w:t>b</w:t>
            </w:r>
            <w:r w:rsidRPr="00850616">
              <w:rPr>
                <w:sz w:val="18"/>
                <w:szCs w:val="18"/>
              </w:rPr>
              <w:t>Within</w:t>
            </w:r>
            <w:proofErr w:type="gramEnd"/>
            <w:r w:rsidRPr="00850616">
              <w:rPr>
                <w:sz w:val="18"/>
                <w:szCs w:val="18"/>
              </w:rPr>
              <w:t xml:space="preserve"> a column, values with different superscript letters differ significantly (</w:t>
            </w:r>
            <w:r w:rsidRPr="00850616">
              <w:rPr>
                <w:i/>
                <w:sz w:val="18"/>
                <w:szCs w:val="18"/>
              </w:rPr>
              <w:t>p</w:t>
            </w:r>
            <w:r w:rsidRPr="00850616">
              <w:rPr>
                <w:sz w:val="18"/>
                <w:szCs w:val="18"/>
              </w:rPr>
              <w:t>&lt; 0.05).</w:t>
            </w:r>
          </w:p>
          <w:p w:rsidR="00065BB7" w:rsidRPr="006E1409" w:rsidRDefault="00065BB7" w:rsidP="00C40A84">
            <w:r w:rsidRPr="00850616">
              <w:rPr>
                <w:sz w:val="18"/>
                <w:szCs w:val="18"/>
                <w:vertAlign w:val="superscript"/>
              </w:rPr>
              <w:t>#</w:t>
            </w:r>
            <w:proofErr w:type="gramStart"/>
            <w:r w:rsidRPr="00850616">
              <w:rPr>
                <w:sz w:val="18"/>
                <w:szCs w:val="18"/>
                <w:vertAlign w:val="superscript"/>
              </w:rPr>
              <w:t>,$</w:t>
            </w:r>
            <w:proofErr w:type="gramEnd"/>
            <w:r w:rsidRPr="00850616">
              <w:rPr>
                <w:sz w:val="18"/>
                <w:szCs w:val="18"/>
              </w:rPr>
              <w:t>Across columns, values with different superscript symbols differ significantly (</w:t>
            </w:r>
            <w:r w:rsidRPr="00850616">
              <w:rPr>
                <w:i/>
                <w:sz w:val="18"/>
                <w:szCs w:val="18"/>
              </w:rPr>
              <w:t>p</w:t>
            </w:r>
            <w:r w:rsidRPr="00850616">
              <w:rPr>
                <w:sz w:val="18"/>
                <w:szCs w:val="18"/>
              </w:rPr>
              <w:t>&lt; 0.05).</w:t>
            </w:r>
          </w:p>
        </w:tc>
      </w:tr>
    </w:tbl>
    <w:p w:rsidR="00065BB7" w:rsidRDefault="00065BB7" w:rsidP="00732C1B"/>
    <w:p w:rsidR="00C40A84" w:rsidRDefault="00C40A84" w:rsidP="00732C1B"/>
    <w:p w:rsidR="00C40A84" w:rsidRDefault="00C40A84" w:rsidP="00732C1B"/>
    <w:p w:rsidR="00C40A84" w:rsidRDefault="00C40A84" w:rsidP="00732C1B"/>
    <w:p w:rsidR="00C40A84" w:rsidRDefault="00C40A84" w:rsidP="00C40A84">
      <w:pPr>
        <w:pStyle w:val="Caption"/>
        <w:sectPr w:rsidR="00C40A84" w:rsidSect="00065BB7">
          <w:pgSz w:w="12240" w:h="15840" w:code="1"/>
          <w:pgMar w:top="1440" w:right="1800" w:bottom="1872" w:left="1800" w:header="720" w:footer="1440" w:gutter="0"/>
          <w:cols w:space="720"/>
          <w:noEndnote/>
          <w:docGrid w:linePitch="360"/>
        </w:sectPr>
      </w:pPr>
      <w:bookmarkStart w:id="79" w:name="_Toc373267080"/>
    </w:p>
    <w:p w:rsidR="00C40A84" w:rsidRDefault="00C40A84" w:rsidP="00C40A84">
      <w:pPr>
        <w:pStyle w:val="Caption"/>
      </w:pPr>
      <w:bookmarkStart w:id="80" w:name="_Toc376465875"/>
      <w:r w:rsidRPr="00C74D44">
        <w:rPr>
          <w:noProof/>
          <w:vertAlign w:val="superscript"/>
        </w:rPr>
        <mc:AlternateContent>
          <mc:Choice Requires="wps">
            <w:drawing>
              <wp:anchor distT="0" distB="0" distL="114300" distR="114300" simplePos="0" relativeHeight="251662336" behindDoc="0" locked="0" layoutInCell="1" allowOverlap="1" wp14:anchorId="4344447E" wp14:editId="2D047070">
                <wp:simplePos x="0" y="0"/>
                <wp:positionH relativeFrom="column">
                  <wp:posOffset>128905</wp:posOffset>
                </wp:positionH>
                <wp:positionV relativeFrom="paragraph">
                  <wp:posOffset>-397510</wp:posOffset>
                </wp:positionV>
                <wp:extent cx="2543175" cy="88900"/>
                <wp:effectExtent l="0" t="0" r="9525" b="635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88900"/>
                        </a:xfrm>
                        <a:prstGeom prst="rect">
                          <a:avLst/>
                        </a:prstGeom>
                        <a:solidFill>
                          <a:srgbClr val="FFFFFF"/>
                        </a:solidFill>
                        <a:ln w="9525">
                          <a:noFill/>
                          <a:miter lim="800000"/>
                          <a:headEnd/>
                          <a:tailEnd/>
                        </a:ln>
                      </wps:spPr>
                      <wps:txbx>
                        <w:txbxContent>
                          <w:p w:rsidR="007F0498" w:rsidRPr="002D19BB" w:rsidRDefault="007F0498" w:rsidP="00C40A84">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15pt;margin-top:-31.3pt;width:200.25pt;height: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" stroked="f">
                <v:textbox inset="0,0,0,0">
                  <w:txbxContent>
                    <w:p w:rsidR="007F0498" w:rsidRPr="002D19BB" w:rsidRDefault="007F0498" w:rsidP="00C40A84">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v:textbox>
              </v:shape>
            </w:pict>
          </mc:Fallback>
        </mc:AlternateContent>
      </w:r>
      <w:r w:rsidRPr="00C74D44">
        <w:rPr>
          <w:noProof/>
          <w:vertAlign w:val="superscript"/>
        </w:rPr>
        <mc:AlternateContent>
          <mc:Choice Requires="wps">
            <w:drawing>
              <wp:anchor distT="0" distB="0" distL="114300" distR="114300" simplePos="0" relativeHeight="251663360" behindDoc="0" locked="0" layoutInCell="1" allowOverlap="1" wp14:anchorId="1E5A4A49" wp14:editId="08E0A4F2">
                <wp:simplePos x="0" y="0"/>
                <wp:positionH relativeFrom="column">
                  <wp:posOffset>2780030</wp:posOffset>
                </wp:positionH>
                <wp:positionV relativeFrom="paragraph">
                  <wp:posOffset>-384810</wp:posOffset>
                </wp:positionV>
                <wp:extent cx="2543175" cy="88900"/>
                <wp:effectExtent l="0" t="0" r="9525" b="635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88900"/>
                        </a:xfrm>
                        <a:prstGeom prst="rect">
                          <a:avLst/>
                        </a:prstGeom>
                        <a:solidFill>
                          <a:srgbClr val="FFFFFF"/>
                        </a:solidFill>
                        <a:ln w="9525">
                          <a:noFill/>
                          <a:miter lim="800000"/>
                          <a:headEnd/>
                          <a:tailEnd/>
                        </a:ln>
                      </wps:spPr>
                      <wps:txbx>
                        <w:txbxContent>
                          <w:p w:rsidR="007F0498" w:rsidRPr="002D19BB" w:rsidRDefault="007F0498" w:rsidP="00C40A84">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18.9pt;margin-top:-30.3pt;width:200.25pt;height: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" stroked="f">
                <v:textbox inset="0,0,0,0">
                  <w:txbxContent>
                    <w:p w:rsidR="007F0498" w:rsidRPr="002D19BB" w:rsidRDefault="007F0498" w:rsidP="00C40A84">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v:textbox>
              </v:shape>
            </w:pict>
          </mc:Fallback>
        </mc:AlternateContent>
      </w:r>
      <w:r w:rsidRPr="00C74D44">
        <w:rPr>
          <w:noProof/>
          <w:vertAlign w:val="superscript"/>
        </w:rPr>
        <mc:AlternateContent>
          <mc:Choice Requires="wps">
            <w:drawing>
              <wp:anchor distT="0" distB="0" distL="114300" distR="114300" simplePos="0" relativeHeight="251664384" behindDoc="0" locked="0" layoutInCell="1" allowOverlap="1" wp14:anchorId="2D2483E6" wp14:editId="6CE4D9EE">
                <wp:simplePos x="0" y="0"/>
                <wp:positionH relativeFrom="column">
                  <wp:posOffset>5448300</wp:posOffset>
                </wp:positionH>
                <wp:positionV relativeFrom="paragraph">
                  <wp:posOffset>-407035</wp:posOffset>
                </wp:positionV>
                <wp:extent cx="2543175" cy="88900"/>
                <wp:effectExtent l="0" t="0" r="9525" b="635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88900"/>
                        </a:xfrm>
                        <a:prstGeom prst="rect">
                          <a:avLst/>
                        </a:prstGeom>
                        <a:solidFill>
                          <a:srgbClr val="FFFFFF"/>
                        </a:solidFill>
                        <a:ln w="9525">
                          <a:noFill/>
                          <a:miter lim="800000"/>
                          <a:headEnd/>
                          <a:tailEnd/>
                        </a:ln>
                      </wps:spPr>
                      <wps:txbx>
                        <w:txbxContent>
                          <w:p w:rsidR="007F0498" w:rsidRPr="002D19BB" w:rsidRDefault="007F0498" w:rsidP="00C40A84">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29pt;margin-top:-32.05pt;width:200.25pt;height: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" stroked="f">
                <v:textbox inset="0,0,0,0">
                  <w:txbxContent>
                    <w:p w:rsidR="007F0498" w:rsidRPr="002D19BB" w:rsidRDefault="007F0498" w:rsidP="00C40A84">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v:textbox>
              </v:shape>
            </w:pict>
          </mc:Fallback>
        </mc:AlternateContent>
      </w:r>
      <w:r>
        <w:rPr>
          <w:noProof/>
        </w:rPr>
        <w:drawing>
          <wp:anchor distT="0" distB="0" distL="114300" distR="114300" simplePos="0" relativeHeight="251659264" behindDoc="1" locked="0" layoutInCell="1" allowOverlap="1" wp14:anchorId="22897553" wp14:editId="0E66C05B">
            <wp:simplePos x="0" y="0"/>
            <wp:positionH relativeFrom="column">
              <wp:posOffset>5326380</wp:posOffset>
            </wp:positionH>
            <wp:positionV relativeFrom="paragraph">
              <wp:posOffset>0</wp:posOffset>
            </wp:positionV>
            <wp:extent cx="2667000" cy="2019300"/>
            <wp:effectExtent l="0" t="0" r="0" b="0"/>
            <wp:wrapTight wrapText="bothSides">
              <wp:wrapPolygon edited="0">
                <wp:start x="0" y="0"/>
                <wp:lineTo x="0" y="21396"/>
                <wp:lineTo x="21446" y="21396"/>
                <wp:lineTo x="21446"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extLst>
                        <a:ext uri="{28A0092B-C50C-407E-A947-70E740481C1C}">
                          <a14:useLocalDpi xmlns:a14="http://schemas.microsoft.com/office/drawing/2010/main" val="0"/>
                        </a:ext>
                      </a:extLst>
                    </a:blip>
                    <a:srcRect l="18749" t="15555" r="16435" b="5926"/>
                    <a:stretch/>
                  </pic:blipFill>
                  <pic:spPr bwMode="auto">
                    <a:xfrm>
                      <a:off x="0" y="0"/>
                      <a:ext cx="2667000" cy="2019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16EE1650" wp14:editId="46DAB7D4">
            <wp:simplePos x="0" y="0"/>
            <wp:positionH relativeFrom="column">
              <wp:posOffset>2663190</wp:posOffset>
            </wp:positionH>
            <wp:positionV relativeFrom="paragraph">
              <wp:posOffset>0</wp:posOffset>
            </wp:positionV>
            <wp:extent cx="2692400" cy="2019300"/>
            <wp:effectExtent l="0" t="0" r="0" b="0"/>
            <wp:wrapTight wrapText="bothSides">
              <wp:wrapPolygon edited="0">
                <wp:start x="0" y="0"/>
                <wp:lineTo x="0" y="21396"/>
                <wp:lineTo x="21396" y="21396"/>
                <wp:lineTo x="21396"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cstate="print">
                      <a:extLst>
                        <a:ext uri="{28A0092B-C50C-407E-A947-70E740481C1C}">
                          <a14:useLocalDpi xmlns:a14="http://schemas.microsoft.com/office/drawing/2010/main" val="0"/>
                        </a:ext>
                      </a:extLst>
                    </a:blip>
                    <a:srcRect l="18749" t="16296" r="16435" b="5926"/>
                    <a:stretch/>
                  </pic:blipFill>
                  <pic:spPr bwMode="auto">
                    <a:xfrm>
                      <a:off x="0" y="0"/>
                      <a:ext cx="2692400" cy="2019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4FCB25C5" wp14:editId="3F74C3AB">
            <wp:simplePos x="0" y="0"/>
            <wp:positionH relativeFrom="column">
              <wp:posOffset>5080</wp:posOffset>
            </wp:positionH>
            <wp:positionV relativeFrom="paragraph">
              <wp:posOffset>0</wp:posOffset>
            </wp:positionV>
            <wp:extent cx="2692400" cy="2023745"/>
            <wp:effectExtent l="0" t="0" r="0" b="0"/>
            <wp:wrapTight wrapText="bothSides">
              <wp:wrapPolygon edited="0">
                <wp:start x="0" y="0"/>
                <wp:lineTo x="0" y="21349"/>
                <wp:lineTo x="21396" y="21349"/>
                <wp:lineTo x="213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print">
                      <a:extLst>
                        <a:ext uri="{28A0092B-C50C-407E-A947-70E740481C1C}">
                          <a14:useLocalDpi xmlns:a14="http://schemas.microsoft.com/office/drawing/2010/main" val="0"/>
                        </a:ext>
                      </a:extLst>
                    </a:blip>
                    <a:srcRect l="18750" t="16296" r="16898" b="6296"/>
                    <a:stretch/>
                  </pic:blipFill>
                  <pic:spPr bwMode="auto">
                    <a:xfrm>
                      <a:off x="0" y="0"/>
                      <a:ext cx="2692400" cy="2023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Figure </w:t>
      </w:r>
      <w:fldSimple w:instr=" SEQ Figure \* ARABIC ">
        <w:r w:rsidR="00DE5561">
          <w:rPr>
            <w:noProof/>
          </w:rPr>
          <w:t>15</w:t>
        </w:r>
      </w:fldSimple>
      <w:r>
        <w:t xml:space="preserve"> Cage position by group one week into treatment</w:t>
      </w:r>
      <w:bookmarkEnd w:id="79"/>
      <w:r>
        <w:t>.</w:t>
      </w:r>
      <w:bookmarkEnd w:id="80"/>
    </w:p>
    <w:p w:rsidR="00C40A84" w:rsidRDefault="00C40A84" w:rsidP="00C40A84">
      <w:r>
        <w:t>B, baseline; O, one week; E, end of treatment; ObN, obese nutraceutical group; ObP, obese placebo group; WLD, weight loss diet group; E</w:t>
      </w:r>
      <w:bookmarkStart w:id="81" w:name="_GoBack"/>
      <w:bookmarkEnd w:id="81"/>
      <w:r>
        <w:t>xN, excess calories nutraceutical group; ExP, excess calories placebo group; IBW, ideal body weight group.</w:t>
      </w:r>
    </w:p>
    <w:p w:rsidR="00427A60" w:rsidRDefault="00427A60" w:rsidP="00732C1B">
      <w:pPr>
        <w:sectPr w:rsidR="00427A60" w:rsidSect="00427A60">
          <w:pgSz w:w="15840" w:h="12240" w:orient="landscape" w:code="1"/>
          <w:pgMar w:top="1800" w:right="1440" w:bottom="1800" w:left="1872" w:header="720" w:footer="1440" w:gutter="0"/>
          <w:cols w:space="720"/>
          <w:noEndnote/>
          <w:docGrid w:linePitch="360"/>
        </w:sectPr>
      </w:pPr>
    </w:p>
    <w:p w:rsidR="00171BD1" w:rsidRDefault="00171BD1" w:rsidP="00171BD1">
      <w:pPr>
        <w:rPr>
          <w:color w:val="FF0000"/>
        </w:rPr>
      </w:pPr>
      <w:r>
        <w:t xml:space="preserve">Selected instantaneous sampling of behavior related to medium term satiety intrusion meals are listed in </w:t>
      </w:r>
      <w:r>
        <w:rPr>
          <w:color w:val="FF0000"/>
        </w:rPr>
        <w:t>Table 9.</w:t>
      </w:r>
    </w:p>
    <w:p w:rsidR="00171BD1" w:rsidRDefault="00171BD1" w:rsidP="00171BD1">
      <w:pPr>
        <w:rPr>
          <w:color w:val="FF0000"/>
        </w:rPr>
      </w:pPr>
    </w:p>
    <w:p w:rsidR="00C40A84" w:rsidRPr="00695CA9" w:rsidRDefault="008C7AAF" w:rsidP="00427A60">
      <w:r>
        <w:t>There were no across group differences for head in bowl/eating, resting, lying, standing, and running/walking/jumping behaviors.  IBW vocalized more than ObN and ObP (</w:t>
      </w:r>
      <w:r>
        <w:rPr>
          <w:i/>
        </w:rPr>
        <w:t>p</w:t>
      </w:r>
      <w:r>
        <w:t xml:space="preserve"> = 0.0268) one week into treatment, but no other across or within group vocalizing differences were noted.  At baseline, IBW sat more than ObP (</w:t>
      </w:r>
      <w:r>
        <w:rPr>
          <w:i/>
        </w:rPr>
        <w:t>p</w:t>
      </w:r>
      <w:r>
        <w:t xml:space="preserve"> = 0.242).  IBW also sat more at baseline than at study termination (</w:t>
      </w:r>
      <w:r>
        <w:rPr>
          <w:i/>
        </w:rPr>
        <w:t>p</w:t>
      </w:r>
      <w:r>
        <w:t xml:space="preserve"> = 0.0299).  </w:t>
      </w:r>
      <w:r w:rsidR="00C40A84">
        <w:t>ObP had more instances of head in bowl/eating at end of study than at baseline (</w:t>
      </w:r>
      <w:r w:rsidR="00C40A84">
        <w:rPr>
          <w:i/>
        </w:rPr>
        <w:t>p</w:t>
      </w:r>
      <w:r w:rsidR="00C40A84">
        <w:t xml:space="preserve"> = 0.009), but one week counts did not differ from either.  One week standing counts for ObP were lower for one week than at end of treatment (</w:t>
      </w:r>
      <w:r w:rsidR="00C40A84">
        <w:rPr>
          <w:i/>
        </w:rPr>
        <w:t>p</w:t>
      </w:r>
      <w:r w:rsidR="00C40A84">
        <w:t xml:space="preserve"> = 0.016), while baseline counts did not differ from either.  No other within group differences </w:t>
      </w:r>
      <w:proofErr w:type="gramStart"/>
      <w:r w:rsidR="00C40A84">
        <w:t>were</w:t>
      </w:r>
      <w:proofErr w:type="gramEnd"/>
      <w:r w:rsidR="00C40A84">
        <w:t xml:space="preserve"> noted.</w:t>
      </w:r>
    </w:p>
    <w:p w:rsidR="00171BD1" w:rsidRDefault="00171BD1" w:rsidP="00732C1B"/>
    <w:p w:rsidR="00171BD1" w:rsidRDefault="00171BD1" w:rsidP="00732C1B"/>
    <w:p w:rsidR="00C4734A" w:rsidRDefault="00C4734A" w:rsidP="00732C1B"/>
    <w:p w:rsidR="00C4734A" w:rsidRDefault="00C4734A" w:rsidP="00C4734A">
      <w:pPr>
        <w:pStyle w:val="Caption"/>
      </w:pPr>
      <w:bookmarkStart w:id="82" w:name="_Toc371359723"/>
      <w:bookmarkStart w:id="83" w:name="_Toc373267056"/>
      <w:bookmarkStart w:id="84" w:name="_Toc376465831"/>
      <w:r>
        <w:t xml:space="preserve">Table </w:t>
      </w:r>
      <w:fldSimple w:instr=" SEQ Table \* ARABIC ">
        <w:r w:rsidR="00736DB0">
          <w:rPr>
            <w:noProof/>
          </w:rPr>
          <w:t>9</w:t>
        </w:r>
      </w:fldSimple>
      <w:r>
        <w:t xml:space="preserve"> </w:t>
      </w:r>
      <w:bookmarkEnd w:id="82"/>
      <w:r>
        <w:t>Selected instantaneous sampling of behavior related to medium term satiety intrusion meal</w:t>
      </w:r>
      <w:bookmarkEnd w:id="83"/>
      <w:r>
        <w:t>.</w:t>
      </w:r>
      <w:bookmarkEnd w:id="84"/>
    </w:p>
    <w:tbl>
      <w:tblPr>
        <w:tblStyle w:val="TableClassic1"/>
        <w:tblW w:w="5000" w:type="pct"/>
        <w:tblLook w:val="04A0" w:firstRow="1" w:lastRow="0" w:firstColumn="1" w:lastColumn="0" w:noHBand="0" w:noVBand="1"/>
      </w:tblPr>
      <w:tblGrid>
        <w:gridCol w:w="2908"/>
        <w:gridCol w:w="1872"/>
        <w:gridCol w:w="2037"/>
        <w:gridCol w:w="2039"/>
      </w:tblGrid>
      <w:tr w:rsidR="00C4734A" w:rsidTr="00D932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r>
              <w:t>Group</w:t>
            </w:r>
          </w:p>
        </w:tc>
        <w:tc>
          <w:tcPr>
            <w:tcW w:w="1057" w:type="pct"/>
          </w:tcPr>
          <w:p w:rsidR="00C4734A" w:rsidRDefault="00C4734A" w:rsidP="00E64B22">
            <w:pPr>
              <w:cnfStyle w:val="100000000000" w:firstRow="1" w:lastRow="0" w:firstColumn="0" w:lastColumn="0" w:oddVBand="0" w:evenVBand="0" w:oddHBand="0" w:evenHBand="0" w:firstRowFirstColumn="0" w:firstRowLastColumn="0" w:lastRowFirstColumn="0" w:lastRowLastColumn="0"/>
            </w:pPr>
            <w:r>
              <w:t>Baseline</w:t>
            </w:r>
          </w:p>
        </w:tc>
        <w:tc>
          <w:tcPr>
            <w:tcW w:w="1150" w:type="pct"/>
          </w:tcPr>
          <w:p w:rsidR="00C4734A" w:rsidRDefault="00C4734A" w:rsidP="00E64B22">
            <w:pPr>
              <w:cnfStyle w:val="100000000000" w:firstRow="1" w:lastRow="0" w:firstColumn="0" w:lastColumn="0" w:oddVBand="0" w:evenVBand="0" w:oddHBand="0" w:evenHBand="0" w:firstRowFirstColumn="0" w:firstRowLastColumn="0" w:lastRowFirstColumn="0" w:lastRowLastColumn="0"/>
            </w:pPr>
            <w:r>
              <w:t>One week</w:t>
            </w:r>
          </w:p>
        </w:tc>
        <w:tc>
          <w:tcPr>
            <w:tcW w:w="1151" w:type="pct"/>
          </w:tcPr>
          <w:p w:rsidR="00C4734A" w:rsidRDefault="00C4734A" w:rsidP="00E64B22">
            <w:pPr>
              <w:cnfStyle w:val="100000000000" w:firstRow="1" w:lastRow="0" w:firstColumn="0" w:lastColumn="0" w:oddVBand="0" w:evenVBand="0" w:oddHBand="0" w:evenHBand="0" w:firstRowFirstColumn="0" w:firstRowLastColumn="0" w:lastRowFirstColumn="0" w:lastRowLastColumn="0"/>
            </w:pPr>
            <w:r>
              <w:t>End of study</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r>
              <w:t>Head in bowl/eating</w:t>
            </w:r>
          </w:p>
        </w:tc>
        <w:tc>
          <w:tcPr>
            <w:tcW w:w="1057"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Pr="001D73C7" w:rsidRDefault="00C4734A" w:rsidP="00E64B22">
            <w:pPr>
              <w:jc w:val="center"/>
              <w:rPr>
                <w:vertAlign w:val="superscript"/>
              </w:rPr>
            </w:pPr>
            <w:r>
              <w:t>ObN</w:t>
            </w:r>
            <w:r>
              <w:rPr>
                <w:vertAlign w:val="superscript"/>
              </w:rPr>
              <w:t>*</w:t>
            </w:r>
          </w:p>
        </w:tc>
        <w:tc>
          <w:tcPr>
            <w:tcW w:w="1057"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3.2 </w:t>
            </w:r>
            <w:r w:rsidRPr="000863B6">
              <w:t>±</w:t>
            </w:r>
            <w:r>
              <w:t xml:space="preserve"> 1.8</w:t>
            </w:r>
            <w:r>
              <w:rPr>
                <w:vertAlign w:val="superscript"/>
              </w:rPr>
              <w:t>a,#</w:t>
            </w:r>
          </w:p>
        </w:tc>
        <w:tc>
          <w:tcPr>
            <w:tcW w:w="1150"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4.0 </w:t>
            </w:r>
            <w:r w:rsidRPr="000863B6">
              <w:t>±</w:t>
            </w:r>
            <w:r>
              <w:t xml:space="preserve"> 1.6</w:t>
            </w:r>
            <w:r>
              <w:rPr>
                <w:vertAlign w:val="superscript"/>
              </w:rPr>
              <w:t>a,#</w:t>
            </w:r>
          </w:p>
        </w:tc>
        <w:tc>
          <w:tcPr>
            <w:tcW w:w="1151"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4.0 </w:t>
            </w:r>
            <w:r w:rsidRPr="000863B6">
              <w:t>±</w:t>
            </w:r>
            <w:r>
              <w:t xml:space="preserve"> 2.3</w:t>
            </w:r>
            <w:r w:rsidR="008C7AAF">
              <w:rPr>
                <w:vertAlign w:val="superscript"/>
              </w:rPr>
              <w:t>a</w:t>
            </w:r>
            <w:r>
              <w:rPr>
                <w:vertAlign w:val="superscript"/>
              </w:rPr>
              <w:t>,#</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Pr="001D73C7" w:rsidRDefault="00C4734A" w:rsidP="00E64B22">
            <w:pPr>
              <w:jc w:val="center"/>
              <w:rPr>
                <w:vertAlign w:val="superscript"/>
              </w:rPr>
            </w:pPr>
            <w:r>
              <w:t>ObP</w:t>
            </w:r>
            <w:r>
              <w:rPr>
                <w:vertAlign w:val="superscript"/>
              </w:rPr>
              <w:t>*</w:t>
            </w:r>
          </w:p>
        </w:tc>
        <w:tc>
          <w:tcPr>
            <w:tcW w:w="1057"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1.4 </w:t>
            </w:r>
            <w:r w:rsidRPr="000863B6">
              <w:t>±</w:t>
            </w:r>
            <w:r>
              <w:t xml:space="preserve"> 1.5</w:t>
            </w:r>
            <w:r>
              <w:rPr>
                <w:vertAlign w:val="superscript"/>
              </w:rPr>
              <w:t>a,#</w:t>
            </w:r>
          </w:p>
        </w:tc>
        <w:tc>
          <w:tcPr>
            <w:tcW w:w="1150"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2.2 </w:t>
            </w:r>
            <w:r w:rsidRPr="000863B6">
              <w:t>±</w:t>
            </w:r>
            <w:r>
              <w:t xml:space="preserve"> 1.5</w:t>
            </w:r>
            <w:r>
              <w:rPr>
                <w:vertAlign w:val="superscript"/>
              </w:rPr>
              <w:t>a,#,$</w:t>
            </w:r>
          </w:p>
        </w:tc>
        <w:tc>
          <w:tcPr>
            <w:tcW w:w="1151"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7.0 </w:t>
            </w:r>
            <w:r w:rsidRPr="000863B6">
              <w:t>±</w:t>
            </w:r>
            <w:r>
              <w:t xml:space="preserve"> 2.3</w:t>
            </w:r>
            <w:r>
              <w:rPr>
                <w:vertAlign w:val="superscript"/>
              </w:rPr>
              <w:t>a,$</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Pr="001D73C7" w:rsidRDefault="00C4734A" w:rsidP="00E64B22">
            <w:pPr>
              <w:jc w:val="center"/>
              <w:rPr>
                <w:vertAlign w:val="superscript"/>
              </w:rPr>
            </w:pPr>
            <w:r>
              <w:t>WLD</w:t>
            </w:r>
            <w:r>
              <w:rPr>
                <w:vertAlign w:val="superscript"/>
              </w:rPr>
              <w:t>*</w:t>
            </w:r>
          </w:p>
        </w:tc>
        <w:tc>
          <w:tcPr>
            <w:tcW w:w="1057"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2.4 </w:t>
            </w:r>
            <w:r w:rsidRPr="000863B6">
              <w:t>±</w:t>
            </w:r>
            <w:r>
              <w:t xml:space="preserve"> 1.8</w:t>
            </w:r>
            <w:r>
              <w:rPr>
                <w:vertAlign w:val="superscript"/>
              </w:rPr>
              <w:t>a,#</w:t>
            </w:r>
          </w:p>
        </w:tc>
        <w:tc>
          <w:tcPr>
            <w:tcW w:w="1150"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2.4 </w:t>
            </w:r>
            <w:r w:rsidRPr="000863B6">
              <w:t>±</w:t>
            </w:r>
            <w:r>
              <w:t xml:space="preserve"> 2.1</w:t>
            </w:r>
            <w:r>
              <w:rPr>
                <w:vertAlign w:val="superscript"/>
              </w:rPr>
              <w:t>a,#</w:t>
            </w:r>
          </w:p>
        </w:tc>
        <w:tc>
          <w:tcPr>
            <w:tcW w:w="1151"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4.2 </w:t>
            </w:r>
            <w:r w:rsidRPr="000863B6">
              <w:t>±</w:t>
            </w:r>
            <w:r>
              <w:t xml:space="preserve"> 1.3</w:t>
            </w:r>
            <w:r w:rsidR="008C7AAF">
              <w:rPr>
                <w:vertAlign w:val="superscript"/>
              </w:rPr>
              <w:t>a</w:t>
            </w:r>
            <w:r>
              <w:rPr>
                <w:vertAlign w:val="superscript"/>
              </w:rPr>
              <w:t>,#</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Pr="004B21AC" w:rsidRDefault="00C4734A" w:rsidP="00E64B22">
            <w:pPr>
              <w:jc w:val="center"/>
              <w:rPr>
                <w:vertAlign w:val="superscript"/>
              </w:rPr>
            </w:pPr>
            <w:r>
              <w:t>IBW</w:t>
            </w:r>
            <w:r>
              <w:rPr>
                <w:vertAlign w:val="superscript"/>
              </w:rPr>
              <w:t>*</w:t>
            </w:r>
          </w:p>
        </w:tc>
        <w:tc>
          <w:tcPr>
            <w:tcW w:w="1057"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2.8 </w:t>
            </w:r>
            <w:r w:rsidRPr="000863B6">
              <w:t>±</w:t>
            </w:r>
            <w:r>
              <w:t xml:space="preserve"> 1.6</w:t>
            </w:r>
            <w:r>
              <w:rPr>
                <w:vertAlign w:val="superscript"/>
              </w:rPr>
              <w:t>a,#</w:t>
            </w:r>
          </w:p>
        </w:tc>
        <w:tc>
          <w:tcPr>
            <w:tcW w:w="1150"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3.7 </w:t>
            </w:r>
            <w:r w:rsidRPr="000863B6">
              <w:t>±</w:t>
            </w:r>
            <w:r>
              <w:t xml:space="preserve"> 1.0</w:t>
            </w:r>
            <w:r>
              <w:rPr>
                <w:vertAlign w:val="superscript"/>
              </w:rPr>
              <w:t>a,#</w:t>
            </w:r>
          </w:p>
        </w:tc>
        <w:tc>
          <w:tcPr>
            <w:tcW w:w="1151" w:type="pct"/>
          </w:tcPr>
          <w:p w:rsidR="00C4734A" w:rsidRPr="004B0F00"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4.0 </w:t>
            </w:r>
            <w:r w:rsidRPr="000863B6">
              <w:t>±</w:t>
            </w:r>
            <w:r>
              <w:t xml:space="preserve"> 1.5</w:t>
            </w:r>
            <w:r w:rsidR="008C7AAF">
              <w:rPr>
                <w:vertAlign w:val="superscript"/>
              </w:rPr>
              <w:t>a</w:t>
            </w:r>
            <w:r>
              <w:rPr>
                <w:vertAlign w:val="superscript"/>
              </w:rPr>
              <w:t>,#</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Pr="001D73C7" w:rsidRDefault="00C4734A" w:rsidP="00E64B22">
            <w:r>
              <w:t>Vocalizing</w:t>
            </w:r>
          </w:p>
        </w:tc>
        <w:tc>
          <w:tcPr>
            <w:tcW w:w="1057"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ObN</w:t>
            </w:r>
          </w:p>
        </w:tc>
        <w:tc>
          <w:tcPr>
            <w:tcW w:w="1057"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0.4 </w:t>
            </w:r>
            <w:r w:rsidRPr="000863B6">
              <w:t>±</w:t>
            </w:r>
            <w:r>
              <w:t xml:space="preserve"> 0.9</w:t>
            </w:r>
            <w:r>
              <w:rPr>
                <w:vertAlign w:val="superscript"/>
              </w:rPr>
              <w:t>a,#</w:t>
            </w: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0 </w:t>
            </w:r>
            <w:r w:rsidRPr="000863B6">
              <w:t>±</w:t>
            </w:r>
            <w:r>
              <w:t xml:space="preserve"> 0</w:t>
            </w:r>
            <w:r>
              <w:rPr>
                <w:vertAlign w:val="superscript"/>
              </w:rPr>
              <w:t>a,#</w:t>
            </w: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0.6 </w:t>
            </w:r>
            <w:r w:rsidRPr="000863B6">
              <w:t>±</w:t>
            </w:r>
            <w:r>
              <w:t xml:space="preserve"> 0.9</w:t>
            </w:r>
            <w:r>
              <w:rPr>
                <w:vertAlign w:val="superscript"/>
              </w:rPr>
              <w:t>a,#</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ObP</w:t>
            </w:r>
          </w:p>
        </w:tc>
        <w:tc>
          <w:tcPr>
            <w:tcW w:w="1057"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0.2 </w:t>
            </w:r>
            <w:r w:rsidRPr="000863B6">
              <w:t>±</w:t>
            </w:r>
            <w:r>
              <w:t xml:space="preserve"> 0.4</w:t>
            </w:r>
            <w:r>
              <w:rPr>
                <w:vertAlign w:val="superscript"/>
              </w:rPr>
              <w:t>a,#</w:t>
            </w: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0 </w:t>
            </w:r>
            <w:r w:rsidRPr="000863B6">
              <w:t>±</w:t>
            </w:r>
            <w:r>
              <w:t xml:space="preserve"> 0</w:t>
            </w:r>
            <w:r>
              <w:rPr>
                <w:vertAlign w:val="superscript"/>
              </w:rPr>
              <w:t>a,#</w:t>
            </w: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0.4 </w:t>
            </w:r>
            <w:r w:rsidRPr="000863B6">
              <w:t>±</w:t>
            </w:r>
            <w:r>
              <w:t xml:space="preserve"> 0.5</w:t>
            </w:r>
            <w:r>
              <w:rPr>
                <w:vertAlign w:val="superscript"/>
              </w:rPr>
              <w:t>a,#</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WLD</w:t>
            </w:r>
          </w:p>
        </w:tc>
        <w:tc>
          <w:tcPr>
            <w:tcW w:w="1057"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0 </w:t>
            </w:r>
            <w:r w:rsidRPr="000863B6">
              <w:t>±</w:t>
            </w:r>
            <w:r>
              <w:t xml:space="preserve"> 0</w:t>
            </w:r>
            <w:r>
              <w:rPr>
                <w:vertAlign w:val="superscript"/>
              </w:rPr>
              <w:t>a,#</w:t>
            </w: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0.6 </w:t>
            </w:r>
            <w:r w:rsidRPr="000863B6">
              <w:t>±</w:t>
            </w:r>
            <w:r>
              <w:t xml:space="preserve"> 0.9</w:t>
            </w:r>
            <w:r>
              <w:rPr>
                <w:vertAlign w:val="superscript"/>
              </w:rPr>
              <w:t>a,b,#</w:t>
            </w: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1.8 </w:t>
            </w:r>
            <w:r w:rsidRPr="000863B6">
              <w:t>±</w:t>
            </w:r>
            <w:r>
              <w:t xml:space="preserve"> 3.5</w:t>
            </w:r>
            <w:r>
              <w:rPr>
                <w:vertAlign w:val="superscript"/>
              </w:rPr>
              <w:t>a,#</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IBW</w:t>
            </w:r>
          </w:p>
        </w:tc>
        <w:tc>
          <w:tcPr>
            <w:tcW w:w="1057"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2.0 </w:t>
            </w:r>
            <w:r w:rsidRPr="000863B6">
              <w:t>±</w:t>
            </w:r>
            <w:r>
              <w:t xml:space="preserve"> 2.1</w:t>
            </w:r>
            <w:r>
              <w:rPr>
                <w:vertAlign w:val="superscript"/>
              </w:rPr>
              <w:t>a,#</w:t>
            </w: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2.0 </w:t>
            </w:r>
            <w:r w:rsidRPr="000863B6">
              <w:t>±</w:t>
            </w:r>
            <w:r>
              <w:t xml:space="preserve"> 2.5</w:t>
            </w:r>
            <w:r>
              <w:rPr>
                <w:vertAlign w:val="superscript"/>
              </w:rPr>
              <w:t>b,#</w:t>
            </w: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1.7 </w:t>
            </w:r>
            <w:r w:rsidRPr="000863B6">
              <w:t>±</w:t>
            </w:r>
            <w:r>
              <w:t xml:space="preserve"> 3.6</w:t>
            </w:r>
            <w:r>
              <w:rPr>
                <w:vertAlign w:val="superscript"/>
              </w:rPr>
              <w:t>a,#</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r>
              <w:t>Resting, head down</w:t>
            </w:r>
          </w:p>
        </w:tc>
        <w:tc>
          <w:tcPr>
            <w:tcW w:w="1057"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ObN</w:t>
            </w:r>
          </w:p>
        </w:tc>
        <w:tc>
          <w:tcPr>
            <w:tcW w:w="1057" w:type="pct"/>
          </w:tcPr>
          <w:p w:rsidR="00C4734A" w:rsidRPr="002373C9"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7.6 </w:t>
            </w:r>
            <w:r w:rsidRPr="000863B6">
              <w:t>±</w:t>
            </w:r>
            <w:r>
              <w:t xml:space="preserve"> 3.0</w:t>
            </w:r>
            <w:r>
              <w:rPr>
                <w:vertAlign w:val="superscript"/>
              </w:rPr>
              <w:t>a,b,#</w:t>
            </w:r>
          </w:p>
        </w:tc>
        <w:tc>
          <w:tcPr>
            <w:tcW w:w="1150" w:type="pct"/>
          </w:tcPr>
          <w:p w:rsidR="00C4734A" w:rsidRPr="002373C9"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6.8 </w:t>
            </w:r>
            <w:r w:rsidRPr="000863B6">
              <w:t>±</w:t>
            </w:r>
            <w:r>
              <w:t xml:space="preserve"> 3.8</w:t>
            </w:r>
            <w:r w:rsidR="008C7AAF">
              <w:rPr>
                <w:vertAlign w:val="superscript"/>
              </w:rPr>
              <w:t>a</w:t>
            </w:r>
            <w:r>
              <w:rPr>
                <w:vertAlign w:val="superscript"/>
              </w:rPr>
              <w:t>,#</w:t>
            </w:r>
          </w:p>
        </w:tc>
        <w:tc>
          <w:tcPr>
            <w:tcW w:w="1151" w:type="pct"/>
          </w:tcPr>
          <w:p w:rsidR="00C4734A" w:rsidRPr="00621CBB"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7.2 </w:t>
            </w:r>
            <w:r w:rsidRPr="000863B6">
              <w:t>±</w:t>
            </w:r>
            <w:r>
              <w:t xml:space="preserve"> 6.4</w:t>
            </w:r>
            <w:r w:rsidR="008C7AAF">
              <w:rPr>
                <w:vertAlign w:val="superscript"/>
              </w:rPr>
              <w:t>a</w:t>
            </w:r>
            <w:r>
              <w:rPr>
                <w:vertAlign w:val="superscript"/>
              </w:rPr>
              <w:t>,#</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ObP</w:t>
            </w:r>
          </w:p>
        </w:tc>
        <w:tc>
          <w:tcPr>
            <w:tcW w:w="1057" w:type="pct"/>
          </w:tcPr>
          <w:p w:rsidR="00C4734A" w:rsidRPr="002373C9"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10.6 </w:t>
            </w:r>
            <w:r w:rsidRPr="000863B6">
              <w:t>±</w:t>
            </w:r>
            <w:r>
              <w:t xml:space="preserve"> 7.8</w:t>
            </w:r>
            <w:r>
              <w:rPr>
                <w:vertAlign w:val="superscript"/>
              </w:rPr>
              <w:t>a,#</w:t>
            </w:r>
          </w:p>
        </w:tc>
        <w:tc>
          <w:tcPr>
            <w:tcW w:w="1150" w:type="pct"/>
          </w:tcPr>
          <w:p w:rsidR="00C4734A" w:rsidRPr="002373C9"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10.0 </w:t>
            </w:r>
            <w:r w:rsidRPr="000863B6">
              <w:t>±</w:t>
            </w:r>
            <w:r>
              <w:t xml:space="preserve"> 5.6</w:t>
            </w:r>
            <w:r w:rsidR="008C7AAF">
              <w:rPr>
                <w:vertAlign w:val="superscript"/>
              </w:rPr>
              <w:t>a</w:t>
            </w:r>
            <w:r>
              <w:rPr>
                <w:vertAlign w:val="superscript"/>
              </w:rPr>
              <w:t>,#</w:t>
            </w:r>
          </w:p>
        </w:tc>
        <w:tc>
          <w:tcPr>
            <w:tcW w:w="1151" w:type="pct"/>
          </w:tcPr>
          <w:p w:rsidR="00C4734A" w:rsidRPr="00621CBB"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8.0 </w:t>
            </w:r>
            <w:r w:rsidRPr="000863B6">
              <w:t>±</w:t>
            </w:r>
            <w:r>
              <w:t xml:space="preserve"> 4.7</w:t>
            </w:r>
            <w:r w:rsidR="008C7AAF">
              <w:rPr>
                <w:vertAlign w:val="superscript"/>
              </w:rPr>
              <w:t>a</w:t>
            </w:r>
            <w:r>
              <w:rPr>
                <w:vertAlign w:val="superscript"/>
              </w:rPr>
              <w:t>,#</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WLD</w:t>
            </w:r>
          </w:p>
        </w:tc>
        <w:tc>
          <w:tcPr>
            <w:tcW w:w="1057" w:type="pct"/>
          </w:tcPr>
          <w:p w:rsidR="00C4734A" w:rsidRPr="002373C9"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8.0 </w:t>
            </w:r>
            <w:r w:rsidRPr="000863B6">
              <w:t>±</w:t>
            </w:r>
            <w:r>
              <w:t xml:space="preserve"> 8.5</w:t>
            </w:r>
            <w:r>
              <w:rPr>
                <w:vertAlign w:val="superscript"/>
              </w:rPr>
              <w:t>a,b,#</w:t>
            </w:r>
          </w:p>
        </w:tc>
        <w:tc>
          <w:tcPr>
            <w:tcW w:w="1150" w:type="pct"/>
          </w:tcPr>
          <w:p w:rsidR="00C4734A" w:rsidRPr="00621CBB"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9.0 </w:t>
            </w:r>
            <w:r w:rsidRPr="000863B6">
              <w:t>±</w:t>
            </w:r>
            <w:r>
              <w:t xml:space="preserve"> 6.7</w:t>
            </w:r>
            <w:r w:rsidR="008C7AAF">
              <w:rPr>
                <w:vertAlign w:val="superscript"/>
              </w:rPr>
              <w:t>a</w:t>
            </w:r>
            <w:r>
              <w:rPr>
                <w:vertAlign w:val="superscript"/>
              </w:rPr>
              <w:t>,#</w:t>
            </w:r>
          </w:p>
        </w:tc>
        <w:tc>
          <w:tcPr>
            <w:tcW w:w="1151" w:type="pct"/>
          </w:tcPr>
          <w:p w:rsidR="00C4734A" w:rsidRPr="00621CBB"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6.0 </w:t>
            </w:r>
            <w:r w:rsidRPr="000863B6">
              <w:t>±</w:t>
            </w:r>
            <w:r>
              <w:t xml:space="preserve"> 4.8</w:t>
            </w:r>
            <w:r>
              <w:rPr>
                <w:vertAlign w:val="superscript"/>
              </w:rPr>
              <w:t>a,#</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IBW</w:t>
            </w:r>
          </w:p>
        </w:tc>
        <w:tc>
          <w:tcPr>
            <w:tcW w:w="1057" w:type="pct"/>
          </w:tcPr>
          <w:p w:rsidR="00C4734A" w:rsidRPr="002373C9"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4.2 </w:t>
            </w:r>
            <w:r w:rsidRPr="000863B6">
              <w:t>±</w:t>
            </w:r>
            <w:r>
              <w:t xml:space="preserve"> 3.7</w:t>
            </w:r>
            <w:r>
              <w:rPr>
                <w:vertAlign w:val="superscript"/>
              </w:rPr>
              <w:t>a,b,#</w:t>
            </w:r>
          </w:p>
        </w:tc>
        <w:tc>
          <w:tcPr>
            <w:tcW w:w="1150" w:type="pct"/>
          </w:tcPr>
          <w:p w:rsidR="00C4734A" w:rsidRPr="00621CBB"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5.3 </w:t>
            </w:r>
            <w:r w:rsidRPr="000863B6">
              <w:t>±</w:t>
            </w:r>
            <w:r>
              <w:t xml:space="preserve"> 5.9</w:t>
            </w:r>
            <w:r w:rsidR="008C7AAF">
              <w:rPr>
                <w:vertAlign w:val="superscript"/>
              </w:rPr>
              <w:t>a</w:t>
            </w:r>
            <w:r>
              <w:rPr>
                <w:vertAlign w:val="superscript"/>
              </w:rPr>
              <w:t>,#</w:t>
            </w:r>
          </w:p>
        </w:tc>
        <w:tc>
          <w:tcPr>
            <w:tcW w:w="1151" w:type="pct"/>
          </w:tcPr>
          <w:p w:rsidR="00C4734A" w:rsidRPr="00621CBB"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7.8 </w:t>
            </w:r>
            <w:r w:rsidRPr="000863B6">
              <w:t>±</w:t>
            </w:r>
            <w:r>
              <w:t xml:space="preserve"> 5.7</w:t>
            </w:r>
            <w:r w:rsidR="008C7AAF">
              <w:rPr>
                <w:vertAlign w:val="superscript"/>
              </w:rPr>
              <w:t>a</w:t>
            </w:r>
            <w:r>
              <w:rPr>
                <w:vertAlign w:val="superscript"/>
              </w:rPr>
              <w:t>,#</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Pr="001D73C7" w:rsidRDefault="00C4734A" w:rsidP="00E64B22">
            <w:r>
              <w:t>Lying, head up</w:t>
            </w:r>
          </w:p>
        </w:tc>
        <w:tc>
          <w:tcPr>
            <w:tcW w:w="1057"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ObN</w:t>
            </w:r>
          </w:p>
        </w:tc>
        <w:tc>
          <w:tcPr>
            <w:tcW w:w="1057" w:type="pct"/>
          </w:tcPr>
          <w:p w:rsidR="00C4734A" w:rsidRPr="00621CBB"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5.0 </w:t>
            </w:r>
            <w:r w:rsidRPr="000863B6">
              <w:t>±</w:t>
            </w:r>
            <w:r>
              <w:t xml:space="preserve"> 2.2</w:t>
            </w:r>
            <w:r>
              <w:rPr>
                <w:vertAlign w:val="superscript"/>
              </w:rPr>
              <w:t>a,#</w:t>
            </w: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4.0 </w:t>
            </w:r>
            <w:r w:rsidRPr="000863B6">
              <w:t>±</w:t>
            </w:r>
            <w:r>
              <w:t xml:space="preserve"> 3.9</w:t>
            </w:r>
            <w:r>
              <w:rPr>
                <w:vertAlign w:val="superscript"/>
              </w:rPr>
              <w:t>a,#</w:t>
            </w: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4.8 </w:t>
            </w:r>
            <w:r w:rsidRPr="000863B6">
              <w:t>±</w:t>
            </w:r>
            <w:r>
              <w:t xml:space="preserve"> 0.8</w:t>
            </w:r>
            <w:r>
              <w:rPr>
                <w:vertAlign w:val="superscript"/>
              </w:rPr>
              <w:t>a,#</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ObP</w:t>
            </w:r>
          </w:p>
        </w:tc>
        <w:tc>
          <w:tcPr>
            <w:tcW w:w="1057" w:type="pct"/>
          </w:tcPr>
          <w:p w:rsidR="00C4734A" w:rsidRPr="00621CBB"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5.0 </w:t>
            </w:r>
            <w:r w:rsidRPr="000863B6">
              <w:t>±</w:t>
            </w:r>
            <w:r>
              <w:t xml:space="preserve"> 5.4</w:t>
            </w:r>
            <w:r>
              <w:rPr>
                <w:vertAlign w:val="superscript"/>
              </w:rPr>
              <w:t>a,#</w:t>
            </w: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5.0 </w:t>
            </w:r>
            <w:r w:rsidRPr="000863B6">
              <w:t>±</w:t>
            </w:r>
            <w:r>
              <w:t xml:space="preserve"> 3.2</w:t>
            </w:r>
            <w:r>
              <w:rPr>
                <w:vertAlign w:val="superscript"/>
              </w:rPr>
              <w:t>a,#</w:t>
            </w: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2.0 </w:t>
            </w:r>
            <w:r w:rsidRPr="000863B6">
              <w:t>±</w:t>
            </w:r>
            <w:r>
              <w:t xml:space="preserve"> 1.0</w:t>
            </w:r>
            <w:r>
              <w:rPr>
                <w:vertAlign w:val="superscript"/>
              </w:rPr>
              <w:t>a,#</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WLD</w:t>
            </w:r>
          </w:p>
        </w:tc>
        <w:tc>
          <w:tcPr>
            <w:tcW w:w="1057" w:type="pct"/>
          </w:tcPr>
          <w:p w:rsidR="00C4734A" w:rsidRPr="00621CBB"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5.2 </w:t>
            </w:r>
            <w:r w:rsidRPr="000863B6">
              <w:t>±</w:t>
            </w:r>
            <w:r>
              <w:t xml:space="preserve"> 5.4</w:t>
            </w:r>
            <w:r>
              <w:rPr>
                <w:vertAlign w:val="superscript"/>
              </w:rPr>
              <w:t>a,#</w:t>
            </w: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4.6 </w:t>
            </w:r>
            <w:r w:rsidRPr="000863B6">
              <w:t>±</w:t>
            </w:r>
            <w:r>
              <w:t xml:space="preserve"> 3.4</w:t>
            </w:r>
            <w:r>
              <w:rPr>
                <w:vertAlign w:val="superscript"/>
              </w:rPr>
              <w:t>a,#</w:t>
            </w: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3.2 </w:t>
            </w:r>
            <w:r w:rsidRPr="000863B6">
              <w:t>±</w:t>
            </w:r>
            <w:r>
              <w:t xml:space="preserve"> 1.5</w:t>
            </w:r>
            <w:r>
              <w:rPr>
                <w:vertAlign w:val="superscript"/>
              </w:rPr>
              <w:t>a,#</w:t>
            </w:r>
          </w:p>
        </w:tc>
      </w:tr>
      <w:tr w:rsidR="00C4734A" w:rsidTr="00D9326F">
        <w:tc>
          <w:tcPr>
            <w:cnfStyle w:val="001000000000" w:firstRow="0" w:lastRow="0" w:firstColumn="1" w:lastColumn="0" w:oddVBand="0" w:evenVBand="0" w:oddHBand="0" w:evenHBand="0" w:firstRowFirstColumn="0" w:firstRowLastColumn="0" w:lastRowFirstColumn="0" w:lastRowLastColumn="0"/>
            <w:tcW w:w="1642" w:type="pct"/>
          </w:tcPr>
          <w:p w:rsidR="00C4734A" w:rsidRDefault="00C4734A" w:rsidP="00E64B22">
            <w:pPr>
              <w:jc w:val="center"/>
            </w:pPr>
            <w:r>
              <w:t>IBW</w:t>
            </w:r>
          </w:p>
        </w:tc>
        <w:tc>
          <w:tcPr>
            <w:tcW w:w="1057" w:type="pct"/>
          </w:tcPr>
          <w:p w:rsidR="00C4734A" w:rsidRPr="00621CBB" w:rsidRDefault="00C4734A" w:rsidP="00E64B22">
            <w:pPr>
              <w:cnfStyle w:val="000000000000" w:firstRow="0" w:lastRow="0" w:firstColumn="0" w:lastColumn="0" w:oddVBand="0" w:evenVBand="0" w:oddHBand="0" w:evenHBand="0" w:firstRowFirstColumn="0" w:firstRowLastColumn="0" w:lastRowFirstColumn="0" w:lastRowLastColumn="0"/>
              <w:rPr>
                <w:vertAlign w:val="superscript"/>
              </w:rPr>
            </w:pPr>
            <w:r>
              <w:t xml:space="preserve">5.2 </w:t>
            </w:r>
            <w:r w:rsidRPr="000863B6">
              <w:t>±</w:t>
            </w:r>
            <w:r>
              <w:t xml:space="preserve"> 2.6</w:t>
            </w:r>
            <w:r>
              <w:rPr>
                <w:vertAlign w:val="superscript"/>
              </w:rPr>
              <w:t>a,#</w:t>
            </w:r>
          </w:p>
        </w:tc>
        <w:tc>
          <w:tcPr>
            <w:tcW w:w="1150"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5.5 </w:t>
            </w:r>
            <w:r w:rsidRPr="000863B6">
              <w:t>±</w:t>
            </w:r>
            <w:r>
              <w:t xml:space="preserve"> 4.8</w:t>
            </w:r>
            <w:r>
              <w:rPr>
                <w:vertAlign w:val="superscript"/>
              </w:rPr>
              <w:t>a,#</w:t>
            </w:r>
          </w:p>
        </w:tc>
        <w:tc>
          <w:tcPr>
            <w:tcW w:w="1151"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4.2 </w:t>
            </w:r>
            <w:r w:rsidRPr="000863B6">
              <w:t>±</w:t>
            </w:r>
            <w:r>
              <w:t xml:space="preserve"> 2.9</w:t>
            </w:r>
            <w:r>
              <w:rPr>
                <w:vertAlign w:val="superscript"/>
              </w:rPr>
              <w:t>a,#</w:t>
            </w:r>
          </w:p>
        </w:tc>
      </w:tr>
    </w:tbl>
    <w:p w:rsidR="00C4734A" w:rsidRDefault="00C4734A" w:rsidP="00C4734A"/>
    <w:p w:rsidR="00C4734A" w:rsidRDefault="00C4734A" w:rsidP="00C4734A"/>
    <w:p w:rsidR="00C4734A" w:rsidRDefault="00C4734A" w:rsidP="00C4734A"/>
    <w:p w:rsidR="00C4734A" w:rsidRDefault="00C4734A" w:rsidP="00C4734A"/>
    <w:p w:rsidR="00C4734A" w:rsidRDefault="00C4734A" w:rsidP="00C4734A">
      <w:pPr>
        <w:pStyle w:val="Caption"/>
      </w:pPr>
      <w:r>
        <w:t xml:space="preserve">Table </w:t>
      </w:r>
      <w:r>
        <w:rPr>
          <w:color w:val="FF0000"/>
        </w:rPr>
        <w:t>9</w:t>
      </w:r>
      <w:r>
        <w:t xml:space="preserve"> (Continued) </w:t>
      </w:r>
      <w:r w:rsidRPr="00691B04">
        <w:t>Selected</w:t>
      </w:r>
      <w:r>
        <w:t xml:space="preserve"> instantaneous sampling of behavior related to medium term satiety intrusion meal.</w:t>
      </w:r>
    </w:p>
    <w:tbl>
      <w:tblPr>
        <w:tblStyle w:val="TableClassic1"/>
        <w:tblW w:w="5000" w:type="pct"/>
        <w:tblLook w:val="04A0" w:firstRow="1" w:lastRow="0" w:firstColumn="1" w:lastColumn="0" w:noHBand="0" w:noVBand="1"/>
      </w:tblPr>
      <w:tblGrid>
        <w:gridCol w:w="3900"/>
        <w:gridCol w:w="1777"/>
        <w:gridCol w:w="1615"/>
        <w:gridCol w:w="1564"/>
      </w:tblGrid>
      <w:tr w:rsidR="00C4734A" w:rsidTr="00E64B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2" w:type="pct"/>
          </w:tcPr>
          <w:p w:rsidR="00C4734A" w:rsidRDefault="00C4734A" w:rsidP="00E64B22">
            <w:r>
              <w:t>Group</w:t>
            </w:r>
          </w:p>
        </w:tc>
        <w:tc>
          <w:tcPr>
            <w:tcW w:w="1003" w:type="pct"/>
          </w:tcPr>
          <w:p w:rsidR="00C4734A" w:rsidRDefault="00C4734A" w:rsidP="00E64B22">
            <w:pPr>
              <w:cnfStyle w:val="100000000000" w:firstRow="1" w:lastRow="0" w:firstColumn="0" w:lastColumn="0" w:oddVBand="0" w:evenVBand="0" w:oddHBand="0" w:evenHBand="0" w:firstRowFirstColumn="0" w:firstRowLastColumn="0" w:lastRowFirstColumn="0" w:lastRowLastColumn="0"/>
            </w:pPr>
            <w:r>
              <w:t>Baseline</w:t>
            </w:r>
          </w:p>
        </w:tc>
        <w:tc>
          <w:tcPr>
            <w:tcW w:w="912" w:type="pct"/>
          </w:tcPr>
          <w:p w:rsidR="00C4734A" w:rsidRDefault="00C4734A" w:rsidP="00E64B22">
            <w:pPr>
              <w:cnfStyle w:val="100000000000" w:firstRow="1" w:lastRow="0" w:firstColumn="0" w:lastColumn="0" w:oddVBand="0" w:evenVBand="0" w:oddHBand="0" w:evenHBand="0" w:firstRowFirstColumn="0" w:firstRowLastColumn="0" w:lastRowFirstColumn="0" w:lastRowLastColumn="0"/>
            </w:pPr>
            <w:r>
              <w:t>One week</w:t>
            </w:r>
          </w:p>
        </w:tc>
        <w:tc>
          <w:tcPr>
            <w:tcW w:w="883" w:type="pct"/>
          </w:tcPr>
          <w:p w:rsidR="00C4734A" w:rsidRDefault="00C4734A" w:rsidP="00E64B22">
            <w:pPr>
              <w:cnfStyle w:val="100000000000" w:firstRow="1" w:lastRow="0" w:firstColumn="0" w:lastColumn="0" w:oddVBand="0" w:evenVBand="0" w:oddHBand="0" w:evenHBand="0" w:firstRowFirstColumn="0" w:firstRowLastColumn="0" w:lastRowFirstColumn="0" w:lastRowLastColumn="0"/>
            </w:pPr>
            <w:r>
              <w:t>End of study</w:t>
            </w:r>
          </w:p>
        </w:tc>
      </w:tr>
      <w:tr w:rsidR="00D9326F" w:rsidTr="00E64B22">
        <w:tc>
          <w:tcPr>
            <w:cnfStyle w:val="001000000000" w:firstRow="0" w:lastRow="0" w:firstColumn="1" w:lastColumn="0" w:oddVBand="0" w:evenVBand="0" w:oddHBand="0" w:evenHBand="0" w:firstRowFirstColumn="0" w:firstRowLastColumn="0" w:lastRowFirstColumn="0" w:lastRowLastColumn="0"/>
            <w:tcW w:w="2202" w:type="pct"/>
          </w:tcPr>
          <w:p w:rsidR="00D9326F" w:rsidRPr="001D73C7" w:rsidRDefault="00D9326F" w:rsidP="00E64B22">
            <w:r>
              <w:t>Sitting</w:t>
            </w:r>
          </w:p>
        </w:tc>
        <w:tc>
          <w:tcPr>
            <w:tcW w:w="100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p>
        </w:tc>
        <w:tc>
          <w:tcPr>
            <w:tcW w:w="912"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p>
        </w:tc>
        <w:tc>
          <w:tcPr>
            <w:tcW w:w="88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p>
        </w:tc>
      </w:tr>
      <w:tr w:rsidR="00D9326F" w:rsidTr="00E64B22">
        <w:tc>
          <w:tcPr>
            <w:cnfStyle w:val="001000000000" w:firstRow="0" w:lastRow="0" w:firstColumn="1" w:lastColumn="0" w:oddVBand="0" w:evenVBand="0" w:oddHBand="0" w:evenHBand="0" w:firstRowFirstColumn="0" w:firstRowLastColumn="0" w:lastRowFirstColumn="0" w:lastRowLastColumn="0"/>
            <w:tcW w:w="2202" w:type="pct"/>
          </w:tcPr>
          <w:p w:rsidR="00D9326F" w:rsidRDefault="00D9326F" w:rsidP="00E64B22">
            <w:pPr>
              <w:jc w:val="center"/>
            </w:pPr>
            <w:r>
              <w:t>ObN</w:t>
            </w:r>
          </w:p>
        </w:tc>
        <w:tc>
          <w:tcPr>
            <w:tcW w:w="100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2.4 </w:t>
            </w:r>
            <w:r w:rsidRPr="000863B6">
              <w:t>±</w:t>
            </w:r>
            <w:r>
              <w:t xml:space="preserve"> 1.7</w:t>
            </w:r>
            <w:r>
              <w:rPr>
                <w:vertAlign w:val="superscript"/>
              </w:rPr>
              <w:t>a,b,#</w:t>
            </w:r>
          </w:p>
        </w:tc>
        <w:tc>
          <w:tcPr>
            <w:tcW w:w="912"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4.0 </w:t>
            </w:r>
            <w:r w:rsidRPr="000863B6">
              <w:t>±</w:t>
            </w:r>
            <w:r>
              <w:t xml:space="preserve"> 4.3</w:t>
            </w:r>
            <w:r>
              <w:rPr>
                <w:vertAlign w:val="superscript"/>
              </w:rPr>
              <w:t>a,#</w:t>
            </w:r>
          </w:p>
        </w:tc>
        <w:tc>
          <w:tcPr>
            <w:tcW w:w="88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2.6 </w:t>
            </w:r>
            <w:r w:rsidRPr="000863B6">
              <w:t>±</w:t>
            </w:r>
            <w:r>
              <w:t xml:space="preserve"> 2.2</w:t>
            </w:r>
            <w:r>
              <w:rPr>
                <w:vertAlign w:val="superscript"/>
              </w:rPr>
              <w:t>a,#</w:t>
            </w:r>
          </w:p>
        </w:tc>
      </w:tr>
      <w:tr w:rsidR="00D9326F" w:rsidTr="00E64B22">
        <w:tc>
          <w:tcPr>
            <w:cnfStyle w:val="001000000000" w:firstRow="0" w:lastRow="0" w:firstColumn="1" w:lastColumn="0" w:oddVBand="0" w:evenVBand="0" w:oddHBand="0" w:evenHBand="0" w:firstRowFirstColumn="0" w:firstRowLastColumn="0" w:lastRowFirstColumn="0" w:lastRowLastColumn="0"/>
            <w:tcW w:w="2202" w:type="pct"/>
          </w:tcPr>
          <w:p w:rsidR="00D9326F" w:rsidRDefault="00D9326F" w:rsidP="00E64B22">
            <w:pPr>
              <w:jc w:val="center"/>
            </w:pPr>
            <w:r>
              <w:t>ObP</w:t>
            </w:r>
          </w:p>
        </w:tc>
        <w:tc>
          <w:tcPr>
            <w:tcW w:w="100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0.8 </w:t>
            </w:r>
            <w:r w:rsidRPr="000863B6">
              <w:t>±</w:t>
            </w:r>
            <w:r>
              <w:t xml:space="preserve"> 1.3</w:t>
            </w:r>
            <w:r>
              <w:rPr>
                <w:vertAlign w:val="superscript"/>
              </w:rPr>
              <w:t>a,#</w:t>
            </w:r>
          </w:p>
        </w:tc>
        <w:tc>
          <w:tcPr>
            <w:tcW w:w="912"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3.6 </w:t>
            </w:r>
            <w:r w:rsidRPr="000863B6">
              <w:t>±</w:t>
            </w:r>
            <w:r>
              <w:t xml:space="preserve"> 3.8</w:t>
            </w:r>
            <w:r>
              <w:rPr>
                <w:vertAlign w:val="superscript"/>
              </w:rPr>
              <w:t>a,#</w:t>
            </w:r>
          </w:p>
        </w:tc>
        <w:tc>
          <w:tcPr>
            <w:tcW w:w="88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2.0 </w:t>
            </w:r>
            <w:r w:rsidRPr="000863B6">
              <w:t>±</w:t>
            </w:r>
            <w:r>
              <w:t xml:space="preserve"> 1.0</w:t>
            </w:r>
            <w:r>
              <w:rPr>
                <w:vertAlign w:val="superscript"/>
              </w:rPr>
              <w:t>a,#</w:t>
            </w:r>
          </w:p>
        </w:tc>
      </w:tr>
      <w:tr w:rsidR="00D9326F" w:rsidTr="00E64B22">
        <w:tc>
          <w:tcPr>
            <w:cnfStyle w:val="001000000000" w:firstRow="0" w:lastRow="0" w:firstColumn="1" w:lastColumn="0" w:oddVBand="0" w:evenVBand="0" w:oddHBand="0" w:evenHBand="0" w:firstRowFirstColumn="0" w:firstRowLastColumn="0" w:lastRowFirstColumn="0" w:lastRowLastColumn="0"/>
            <w:tcW w:w="2202" w:type="pct"/>
          </w:tcPr>
          <w:p w:rsidR="00D9326F" w:rsidRDefault="00D9326F" w:rsidP="00E64B22">
            <w:pPr>
              <w:jc w:val="center"/>
            </w:pPr>
            <w:r>
              <w:t>WLD</w:t>
            </w:r>
          </w:p>
        </w:tc>
        <w:tc>
          <w:tcPr>
            <w:tcW w:w="100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1.4 </w:t>
            </w:r>
            <w:r w:rsidRPr="000863B6">
              <w:t>±</w:t>
            </w:r>
            <w:r>
              <w:t xml:space="preserve"> 1.7</w:t>
            </w:r>
            <w:r>
              <w:rPr>
                <w:vertAlign w:val="superscript"/>
              </w:rPr>
              <w:t>a,b,#</w:t>
            </w:r>
          </w:p>
        </w:tc>
        <w:tc>
          <w:tcPr>
            <w:tcW w:w="912"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1.8 </w:t>
            </w:r>
            <w:r w:rsidRPr="000863B6">
              <w:t>±</w:t>
            </w:r>
            <w:r>
              <w:t xml:space="preserve"> 2.0</w:t>
            </w:r>
            <w:r>
              <w:rPr>
                <w:vertAlign w:val="superscript"/>
              </w:rPr>
              <w:t>a,#</w:t>
            </w:r>
          </w:p>
        </w:tc>
        <w:tc>
          <w:tcPr>
            <w:tcW w:w="88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2.2 </w:t>
            </w:r>
            <w:r w:rsidRPr="000863B6">
              <w:t>±</w:t>
            </w:r>
            <w:r>
              <w:t xml:space="preserve"> 3.2</w:t>
            </w:r>
            <w:r>
              <w:rPr>
                <w:vertAlign w:val="superscript"/>
              </w:rPr>
              <w:t>a,#</w:t>
            </w:r>
          </w:p>
        </w:tc>
      </w:tr>
      <w:tr w:rsidR="00D9326F" w:rsidTr="00E64B22">
        <w:tc>
          <w:tcPr>
            <w:cnfStyle w:val="001000000000" w:firstRow="0" w:lastRow="0" w:firstColumn="1" w:lastColumn="0" w:oddVBand="0" w:evenVBand="0" w:oddHBand="0" w:evenHBand="0" w:firstRowFirstColumn="0" w:firstRowLastColumn="0" w:lastRowFirstColumn="0" w:lastRowLastColumn="0"/>
            <w:tcW w:w="2202" w:type="pct"/>
          </w:tcPr>
          <w:p w:rsidR="00D9326F" w:rsidRDefault="00D9326F" w:rsidP="00E64B22">
            <w:pPr>
              <w:jc w:val="center"/>
            </w:pPr>
            <w:r>
              <w:t>IBW</w:t>
            </w:r>
          </w:p>
        </w:tc>
        <w:tc>
          <w:tcPr>
            <w:tcW w:w="100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5.3 </w:t>
            </w:r>
            <w:r w:rsidRPr="000863B6">
              <w:t>±</w:t>
            </w:r>
            <w:r>
              <w:t xml:space="preserve"> 4.3</w:t>
            </w:r>
            <w:r>
              <w:rPr>
                <w:vertAlign w:val="superscript"/>
              </w:rPr>
              <w:t>b,#</w:t>
            </w:r>
          </w:p>
        </w:tc>
        <w:tc>
          <w:tcPr>
            <w:tcW w:w="912"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2.2 </w:t>
            </w:r>
            <w:r w:rsidRPr="000863B6">
              <w:t>±</w:t>
            </w:r>
            <w:r>
              <w:t xml:space="preserve"> 1.9</w:t>
            </w:r>
            <w:r>
              <w:rPr>
                <w:vertAlign w:val="superscript"/>
              </w:rPr>
              <w:t>a,#,$</w:t>
            </w:r>
          </w:p>
        </w:tc>
        <w:tc>
          <w:tcPr>
            <w:tcW w:w="88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r>
              <w:t xml:space="preserve">1.0 </w:t>
            </w:r>
            <w:r w:rsidRPr="000863B6">
              <w:t>±</w:t>
            </w:r>
            <w:r>
              <w:t xml:space="preserve"> 1.5</w:t>
            </w:r>
            <w:r>
              <w:rPr>
                <w:vertAlign w:val="superscript"/>
              </w:rPr>
              <w:t>a,$</w:t>
            </w:r>
          </w:p>
        </w:tc>
      </w:tr>
      <w:tr w:rsidR="00D9326F" w:rsidTr="00E64B22">
        <w:tc>
          <w:tcPr>
            <w:cnfStyle w:val="001000000000" w:firstRow="0" w:lastRow="0" w:firstColumn="1" w:lastColumn="0" w:oddVBand="0" w:evenVBand="0" w:oddHBand="0" w:evenHBand="0" w:firstRowFirstColumn="0" w:firstRowLastColumn="0" w:lastRowFirstColumn="0" w:lastRowLastColumn="0"/>
            <w:tcW w:w="2202" w:type="pct"/>
          </w:tcPr>
          <w:p w:rsidR="00D9326F" w:rsidRPr="001D73C7" w:rsidRDefault="00D9326F" w:rsidP="00E64B22">
            <w:r>
              <w:t>Standing</w:t>
            </w:r>
          </w:p>
        </w:tc>
        <w:tc>
          <w:tcPr>
            <w:tcW w:w="100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p>
        </w:tc>
        <w:tc>
          <w:tcPr>
            <w:tcW w:w="912"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p>
        </w:tc>
        <w:tc>
          <w:tcPr>
            <w:tcW w:w="883" w:type="pct"/>
          </w:tcPr>
          <w:p w:rsidR="00D9326F" w:rsidRPr="004E6222" w:rsidRDefault="00D9326F" w:rsidP="00E64B22">
            <w:pPr>
              <w:cnfStyle w:val="000000000000" w:firstRow="0" w:lastRow="0" w:firstColumn="0" w:lastColumn="0" w:oddVBand="0" w:evenVBand="0" w:oddHBand="0" w:evenHBand="0" w:firstRowFirstColumn="0" w:firstRowLastColumn="0" w:lastRowFirstColumn="0" w:lastRowLastColumn="0"/>
            </w:pPr>
          </w:p>
        </w:tc>
      </w:tr>
      <w:tr w:rsidR="00C4734A" w:rsidTr="00E64B22">
        <w:tc>
          <w:tcPr>
            <w:cnfStyle w:val="001000000000" w:firstRow="0" w:lastRow="0" w:firstColumn="1" w:lastColumn="0" w:oddVBand="0" w:evenVBand="0" w:oddHBand="0" w:evenHBand="0" w:firstRowFirstColumn="0" w:firstRowLastColumn="0" w:lastRowFirstColumn="0" w:lastRowLastColumn="0"/>
            <w:tcW w:w="2202" w:type="pct"/>
          </w:tcPr>
          <w:p w:rsidR="00C4734A" w:rsidRDefault="00C4734A" w:rsidP="00E64B22">
            <w:pPr>
              <w:jc w:val="center"/>
            </w:pPr>
            <w:r>
              <w:t>ObN</w:t>
            </w:r>
          </w:p>
        </w:tc>
        <w:tc>
          <w:tcPr>
            <w:tcW w:w="100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7.0 </w:t>
            </w:r>
            <w:r w:rsidRPr="000863B6">
              <w:t>±</w:t>
            </w:r>
            <w:r>
              <w:t xml:space="preserve"> 3.2</w:t>
            </w:r>
            <w:r>
              <w:rPr>
                <w:vertAlign w:val="superscript"/>
              </w:rPr>
              <w:t>a,#</w:t>
            </w:r>
          </w:p>
        </w:tc>
        <w:tc>
          <w:tcPr>
            <w:tcW w:w="912"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7.4 </w:t>
            </w:r>
            <w:r w:rsidRPr="000863B6">
              <w:t>±</w:t>
            </w:r>
            <w:r>
              <w:t xml:space="preserve"> 3.2</w:t>
            </w:r>
            <w:r>
              <w:rPr>
                <w:vertAlign w:val="superscript"/>
              </w:rPr>
              <w:t>a,#</w:t>
            </w:r>
          </w:p>
        </w:tc>
        <w:tc>
          <w:tcPr>
            <w:tcW w:w="88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7.4 </w:t>
            </w:r>
            <w:r w:rsidRPr="000863B6">
              <w:t>±</w:t>
            </w:r>
            <w:r>
              <w:t xml:space="preserve"> 5.8</w:t>
            </w:r>
            <w:r>
              <w:rPr>
                <w:vertAlign w:val="superscript"/>
              </w:rPr>
              <w:t>a,#</w:t>
            </w:r>
          </w:p>
        </w:tc>
      </w:tr>
      <w:tr w:rsidR="00C4734A" w:rsidTr="00E64B22">
        <w:tc>
          <w:tcPr>
            <w:cnfStyle w:val="001000000000" w:firstRow="0" w:lastRow="0" w:firstColumn="1" w:lastColumn="0" w:oddVBand="0" w:evenVBand="0" w:oddHBand="0" w:evenHBand="0" w:firstRowFirstColumn="0" w:firstRowLastColumn="0" w:lastRowFirstColumn="0" w:lastRowLastColumn="0"/>
            <w:tcW w:w="2202" w:type="pct"/>
          </w:tcPr>
          <w:p w:rsidR="00C4734A" w:rsidRDefault="00C4734A" w:rsidP="00E64B22">
            <w:pPr>
              <w:jc w:val="center"/>
            </w:pPr>
            <w:r>
              <w:t>ObP</w:t>
            </w:r>
          </w:p>
        </w:tc>
        <w:tc>
          <w:tcPr>
            <w:tcW w:w="100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5.2 </w:t>
            </w:r>
            <w:r w:rsidRPr="000863B6">
              <w:t>±</w:t>
            </w:r>
            <w:r>
              <w:t xml:space="preserve"> 4.0</w:t>
            </w:r>
            <w:r>
              <w:rPr>
                <w:vertAlign w:val="superscript"/>
              </w:rPr>
              <w:t>a,#,$</w:t>
            </w:r>
          </w:p>
        </w:tc>
        <w:tc>
          <w:tcPr>
            <w:tcW w:w="912"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3.4 </w:t>
            </w:r>
            <w:r w:rsidRPr="000863B6">
              <w:t>±</w:t>
            </w:r>
            <w:r>
              <w:t xml:space="preserve"> 2.7</w:t>
            </w:r>
            <w:r>
              <w:rPr>
                <w:vertAlign w:val="superscript"/>
              </w:rPr>
              <w:t>a,#</w:t>
            </w:r>
          </w:p>
        </w:tc>
        <w:tc>
          <w:tcPr>
            <w:tcW w:w="88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11.4 </w:t>
            </w:r>
            <w:r w:rsidRPr="000863B6">
              <w:t>±</w:t>
            </w:r>
            <w:r>
              <w:t xml:space="preserve"> 3.9</w:t>
            </w:r>
            <w:r>
              <w:rPr>
                <w:vertAlign w:val="superscript"/>
              </w:rPr>
              <w:t>a,$</w:t>
            </w:r>
          </w:p>
        </w:tc>
      </w:tr>
      <w:tr w:rsidR="00C4734A" w:rsidTr="00E64B22">
        <w:tc>
          <w:tcPr>
            <w:cnfStyle w:val="001000000000" w:firstRow="0" w:lastRow="0" w:firstColumn="1" w:lastColumn="0" w:oddVBand="0" w:evenVBand="0" w:oddHBand="0" w:evenHBand="0" w:firstRowFirstColumn="0" w:firstRowLastColumn="0" w:lastRowFirstColumn="0" w:lastRowLastColumn="0"/>
            <w:tcW w:w="2202" w:type="pct"/>
          </w:tcPr>
          <w:p w:rsidR="00C4734A" w:rsidRDefault="00C4734A" w:rsidP="00E64B22">
            <w:pPr>
              <w:jc w:val="center"/>
            </w:pPr>
            <w:r>
              <w:t>WLD</w:t>
            </w:r>
          </w:p>
        </w:tc>
        <w:tc>
          <w:tcPr>
            <w:tcW w:w="100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7.2 </w:t>
            </w:r>
            <w:r w:rsidRPr="000863B6">
              <w:t>±</w:t>
            </w:r>
            <w:r>
              <w:t xml:space="preserve"> 2.7</w:t>
            </w:r>
            <w:r>
              <w:rPr>
                <w:vertAlign w:val="superscript"/>
              </w:rPr>
              <w:t>a,#</w:t>
            </w:r>
          </w:p>
        </w:tc>
        <w:tc>
          <w:tcPr>
            <w:tcW w:w="912"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5.0 </w:t>
            </w:r>
            <w:r w:rsidRPr="000863B6">
              <w:t>±</w:t>
            </w:r>
            <w:r>
              <w:t xml:space="preserve"> 3.7</w:t>
            </w:r>
            <w:r>
              <w:rPr>
                <w:vertAlign w:val="superscript"/>
              </w:rPr>
              <w:t>a,#</w:t>
            </w:r>
          </w:p>
        </w:tc>
        <w:tc>
          <w:tcPr>
            <w:tcW w:w="88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9.0 </w:t>
            </w:r>
            <w:r w:rsidRPr="000863B6">
              <w:t>±</w:t>
            </w:r>
            <w:r>
              <w:t xml:space="preserve"> 2.7</w:t>
            </w:r>
            <w:r>
              <w:rPr>
                <w:vertAlign w:val="superscript"/>
              </w:rPr>
              <w:t>a,#</w:t>
            </w:r>
          </w:p>
        </w:tc>
      </w:tr>
      <w:tr w:rsidR="00C4734A" w:rsidTr="00E64B22">
        <w:tc>
          <w:tcPr>
            <w:cnfStyle w:val="001000000000" w:firstRow="0" w:lastRow="0" w:firstColumn="1" w:lastColumn="0" w:oddVBand="0" w:evenVBand="0" w:oddHBand="0" w:evenHBand="0" w:firstRowFirstColumn="0" w:firstRowLastColumn="0" w:lastRowFirstColumn="0" w:lastRowLastColumn="0"/>
            <w:tcW w:w="2202" w:type="pct"/>
          </w:tcPr>
          <w:p w:rsidR="00C4734A" w:rsidRDefault="00C4734A" w:rsidP="00E64B22">
            <w:pPr>
              <w:jc w:val="center"/>
            </w:pPr>
            <w:r>
              <w:t>IBW</w:t>
            </w:r>
          </w:p>
        </w:tc>
        <w:tc>
          <w:tcPr>
            <w:tcW w:w="100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8.0 </w:t>
            </w:r>
            <w:r w:rsidRPr="000863B6">
              <w:t>±</w:t>
            </w:r>
            <w:r>
              <w:t xml:space="preserve"> 3.3</w:t>
            </w:r>
            <w:r>
              <w:rPr>
                <w:vertAlign w:val="superscript"/>
              </w:rPr>
              <w:t>a,#</w:t>
            </w:r>
          </w:p>
        </w:tc>
        <w:tc>
          <w:tcPr>
            <w:tcW w:w="912"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10.0 </w:t>
            </w:r>
            <w:r w:rsidRPr="000863B6">
              <w:t>±</w:t>
            </w:r>
            <w:r>
              <w:t xml:space="preserve"> 6.5</w:t>
            </w:r>
            <w:r>
              <w:rPr>
                <w:vertAlign w:val="superscript"/>
              </w:rPr>
              <w:t>a,#</w:t>
            </w:r>
          </w:p>
        </w:tc>
        <w:tc>
          <w:tcPr>
            <w:tcW w:w="88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8.7 </w:t>
            </w:r>
            <w:r w:rsidRPr="000863B6">
              <w:t>±</w:t>
            </w:r>
            <w:r>
              <w:t xml:space="preserve"> 3.6</w:t>
            </w:r>
            <w:r>
              <w:rPr>
                <w:vertAlign w:val="superscript"/>
              </w:rPr>
              <w:t>a,#</w:t>
            </w:r>
          </w:p>
        </w:tc>
      </w:tr>
      <w:tr w:rsidR="00C4734A" w:rsidTr="00E64B22">
        <w:tc>
          <w:tcPr>
            <w:cnfStyle w:val="001000000000" w:firstRow="0" w:lastRow="0" w:firstColumn="1" w:lastColumn="0" w:oddVBand="0" w:evenVBand="0" w:oddHBand="0" w:evenHBand="0" w:firstRowFirstColumn="0" w:firstRowLastColumn="0" w:lastRowFirstColumn="0" w:lastRowLastColumn="0"/>
            <w:tcW w:w="2202" w:type="pct"/>
          </w:tcPr>
          <w:p w:rsidR="00C4734A" w:rsidRPr="001D73C7" w:rsidRDefault="00C4734A" w:rsidP="00E64B22">
            <w:r>
              <w:t>Running/walking/jumping</w:t>
            </w:r>
          </w:p>
        </w:tc>
        <w:tc>
          <w:tcPr>
            <w:tcW w:w="100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c>
          <w:tcPr>
            <w:tcW w:w="912"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c>
          <w:tcPr>
            <w:tcW w:w="88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p>
        </w:tc>
      </w:tr>
      <w:tr w:rsidR="00C4734A" w:rsidTr="00E64B22">
        <w:tc>
          <w:tcPr>
            <w:cnfStyle w:val="001000000000" w:firstRow="0" w:lastRow="0" w:firstColumn="1" w:lastColumn="0" w:oddVBand="0" w:evenVBand="0" w:oddHBand="0" w:evenHBand="0" w:firstRowFirstColumn="0" w:firstRowLastColumn="0" w:lastRowFirstColumn="0" w:lastRowLastColumn="0"/>
            <w:tcW w:w="2202" w:type="pct"/>
          </w:tcPr>
          <w:p w:rsidR="00C4734A" w:rsidRDefault="00C4734A" w:rsidP="00E64B22">
            <w:pPr>
              <w:jc w:val="center"/>
            </w:pPr>
            <w:r>
              <w:t>ObN</w:t>
            </w:r>
          </w:p>
        </w:tc>
        <w:tc>
          <w:tcPr>
            <w:tcW w:w="100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2.0 </w:t>
            </w:r>
            <w:r w:rsidRPr="000863B6">
              <w:t>±</w:t>
            </w:r>
            <w:r>
              <w:t xml:space="preserve"> 1.6</w:t>
            </w:r>
            <w:r>
              <w:rPr>
                <w:vertAlign w:val="superscript"/>
              </w:rPr>
              <w:t>a,#</w:t>
            </w:r>
          </w:p>
        </w:tc>
        <w:tc>
          <w:tcPr>
            <w:tcW w:w="912"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1.8 </w:t>
            </w:r>
            <w:r w:rsidRPr="000863B6">
              <w:t>±</w:t>
            </w:r>
            <w:r>
              <w:t xml:space="preserve"> 2.5</w:t>
            </w:r>
            <w:r>
              <w:rPr>
                <w:vertAlign w:val="superscript"/>
              </w:rPr>
              <w:t>a,#</w:t>
            </w:r>
          </w:p>
        </w:tc>
        <w:tc>
          <w:tcPr>
            <w:tcW w:w="88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2.0 </w:t>
            </w:r>
            <w:r w:rsidRPr="000863B6">
              <w:t>±</w:t>
            </w:r>
            <w:r>
              <w:t xml:space="preserve"> 2.3</w:t>
            </w:r>
            <w:r>
              <w:rPr>
                <w:vertAlign w:val="superscript"/>
              </w:rPr>
              <w:t>a,#</w:t>
            </w:r>
          </w:p>
        </w:tc>
      </w:tr>
      <w:tr w:rsidR="00C4734A" w:rsidTr="00E64B22">
        <w:tc>
          <w:tcPr>
            <w:cnfStyle w:val="001000000000" w:firstRow="0" w:lastRow="0" w:firstColumn="1" w:lastColumn="0" w:oddVBand="0" w:evenVBand="0" w:oddHBand="0" w:evenHBand="0" w:firstRowFirstColumn="0" w:firstRowLastColumn="0" w:lastRowFirstColumn="0" w:lastRowLastColumn="0"/>
            <w:tcW w:w="2202" w:type="pct"/>
          </w:tcPr>
          <w:p w:rsidR="00C4734A" w:rsidRDefault="00C4734A" w:rsidP="00E64B22">
            <w:pPr>
              <w:jc w:val="center"/>
            </w:pPr>
            <w:r>
              <w:t>ObP</w:t>
            </w:r>
          </w:p>
        </w:tc>
        <w:tc>
          <w:tcPr>
            <w:tcW w:w="100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2.4 </w:t>
            </w:r>
            <w:r w:rsidRPr="000863B6">
              <w:t>±</w:t>
            </w:r>
            <w:r>
              <w:t xml:space="preserve"> 3.2</w:t>
            </w:r>
            <w:r>
              <w:rPr>
                <w:vertAlign w:val="superscript"/>
              </w:rPr>
              <w:t>a,#</w:t>
            </w:r>
          </w:p>
        </w:tc>
        <w:tc>
          <w:tcPr>
            <w:tcW w:w="912"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2.0 </w:t>
            </w:r>
            <w:r w:rsidRPr="000863B6">
              <w:t>±</w:t>
            </w:r>
            <w:r>
              <w:t xml:space="preserve"> 1.2</w:t>
            </w:r>
            <w:r>
              <w:rPr>
                <w:vertAlign w:val="superscript"/>
              </w:rPr>
              <w:t>a,#</w:t>
            </w:r>
          </w:p>
        </w:tc>
        <w:tc>
          <w:tcPr>
            <w:tcW w:w="88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2.4 </w:t>
            </w:r>
            <w:r w:rsidRPr="000863B6">
              <w:t>±</w:t>
            </w:r>
            <w:r>
              <w:t xml:space="preserve"> 3.2</w:t>
            </w:r>
            <w:r>
              <w:rPr>
                <w:vertAlign w:val="superscript"/>
              </w:rPr>
              <w:t>a,#</w:t>
            </w:r>
          </w:p>
        </w:tc>
      </w:tr>
      <w:tr w:rsidR="00C4734A" w:rsidTr="00E64B22">
        <w:tc>
          <w:tcPr>
            <w:cnfStyle w:val="001000000000" w:firstRow="0" w:lastRow="0" w:firstColumn="1" w:lastColumn="0" w:oddVBand="0" w:evenVBand="0" w:oddHBand="0" w:evenHBand="0" w:firstRowFirstColumn="0" w:firstRowLastColumn="0" w:lastRowFirstColumn="0" w:lastRowLastColumn="0"/>
            <w:tcW w:w="2202" w:type="pct"/>
          </w:tcPr>
          <w:p w:rsidR="00C4734A" w:rsidRDefault="00C4734A" w:rsidP="00E64B22">
            <w:pPr>
              <w:jc w:val="center"/>
            </w:pPr>
            <w:r>
              <w:t>WLD</w:t>
            </w:r>
          </w:p>
        </w:tc>
        <w:tc>
          <w:tcPr>
            <w:tcW w:w="100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2.2 </w:t>
            </w:r>
            <w:r w:rsidRPr="000863B6">
              <w:t>±</w:t>
            </w:r>
            <w:r>
              <w:t xml:space="preserve"> 2.2</w:t>
            </w:r>
            <w:r>
              <w:rPr>
                <w:vertAlign w:val="superscript"/>
              </w:rPr>
              <w:t>a,#</w:t>
            </w:r>
          </w:p>
        </w:tc>
        <w:tc>
          <w:tcPr>
            <w:tcW w:w="912"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3.6 </w:t>
            </w:r>
            <w:r w:rsidRPr="000863B6">
              <w:t>±</w:t>
            </w:r>
            <w:r>
              <w:t xml:space="preserve"> 4.4</w:t>
            </w:r>
            <w:r>
              <w:rPr>
                <w:vertAlign w:val="superscript"/>
              </w:rPr>
              <w:t>a,#</w:t>
            </w:r>
          </w:p>
        </w:tc>
        <w:tc>
          <w:tcPr>
            <w:tcW w:w="883" w:type="pct"/>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3.6 </w:t>
            </w:r>
            <w:r w:rsidRPr="000863B6">
              <w:t>±</w:t>
            </w:r>
            <w:r>
              <w:t xml:space="preserve"> 2.3</w:t>
            </w:r>
            <w:r>
              <w:rPr>
                <w:vertAlign w:val="superscript"/>
              </w:rPr>
              <w:t>a,#</w:t>
            </w:r>
          </w:p>
        </w:tc>
      </w:tr>
      <w:tr w:rsidR="00C4734A" w:rsidTr="00E64B22">
        <w:tc>
          <w:tcPr>
            <w:cnfStyle w:val="001000000000" w:firstRow="0" w:lastRow="0" w:firstColumn="1" w:lastColumn="0" w:oddVBand="0" w:evenVBand="0" w:oddHBand="0" w:evenHBand="0" w:firstRowFirstColumn="0" w:firstRowLastColumn="0" w:lastRowFirstColumn="0" w:lastRowLastColumn="0"/>
            <w:tcW w:w="2202" w:type="pct"/>
            <w:tcBorders>
              <w:bottom w:val="single" w:sz="12" w:space="0" w:color="000000"/>
            </w:tcBorders>
          </w:tcPr>
          <w:p w:rsidR="00C4734A" w:rsidRDefault="00C4734A" w:rsidP="00E64B22">
            <w:pPr>
              <w:jc w:val="center"/>
            </w:pPr>
            <w:r>
              <w:t>IBW</w:t>
            </w:r>
          </w:p>
        </w:tc>
        <w:tc>
          <w:tcPr>
            <w:tcW w:w="1003" w:type="pct"/>
            <w:tcBorders>
              <w:bottom w:val="single" w:sz="12" w:space="0" w:color="000000"/>
            </w:tcBorders>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1.3 </w:t>
            </w:r>
            <w:r w:rsidRPr="000863B6">
              <w:t>±</w:t>
            </w:r>
            <w:r>
              <w:t xml:space="preserve"> 1.2</w:t>
            </w:r>
            <w:r>
              <w:rPr>
                <w:vertAlign w:val="superscript"/>
              </w:rPr>
              <w:t>a,#</w:t>
            </w:r>
          </w:p>
        </w:tc>
        <w:tc>
          <w:tcPr>
            <w:tcW w:w="912" w:type="pct"/>
            <w:tcBorders>
              <w:bottom w:val="single" w:sz="12" w:space="0" w:color="000000"/>
            </w:tcBorders>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1.0 </w:t>
            </w:r>
            <w:r w:rsidRPr="000863B6">
              <w:t>±</w:t>
            </w:r>
            <w:r>
              <w:t xml:space="preserve"> 0.9</w:t>
            </w:r>
            <w:r>
              <w:rPr>
                <w:vertAlign w:val="superscript"/>
              </w:rPr>
              <w:t>a,#</w:t>
            </w:r>
          </w:p>
        </w:tc>
        <w:tc>
          <w:tcPr>
            <w:tcW w:w="883" w:type="pct"/>
            <w:tcBorders>
              <w:bottom w:val="single" w:sz="12" w:space="0" w:color="000000"/>
            </w:tcBorders>
          </w:tcPr>
          <w:p w:rsidR="00C4734A" w:rsidRPr="004E6222" w:rsidRDefault="00C4734A" w:rsidP="00E64B22">
            <w:pPr>
              <w:cnfStyle w:val="000000000000" w:firstRow="0" w:lastRow="0" w:firstColumn="0" w:lastColumn="0" w:oddVBand="0" w:evenVBand="0" w:oddHBand="0" w:evenHBand="0" w:firstRowFirstColumn="0" w:firstRowLastColumn="0" w:lastRowFirstColumn="0" w:lastRowLastColumn="0"/>
            </w:pPr>
            <w:r>
              <w:t xml:space="preserve">2.3 </w:t>
            </w:r>
            <w:r w:rsidRPr="000863B6">
              <w:t>±</w:t>
            </w:r>
            <w:r>
              <w:t xml:space="preserve"> 4.4</w:t>
            </w:r>
            <w:r>
              <w:rPr>
                <w:vertAlign w:val="superscript"/>
              </w:rPr>
              <w:t>a,#</w:t>
            </w:r>
          </w:p>
        </w:tc>
      </w:tr>
      <w:tr w:rsidR="00C4734A" w:rsidTr="00E64B22">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12" w:space="0" w:color="000000"/>
              <w:bottom w:val="nil"/>
              <w:right w:val="nil"/>
            </w:tcBorders>
          </w:tcPr>
          <w:p w:rsidR="00C4734A" w:rsidRPr="00691B04" w:rsidRDefault="00C4734A" w:rsidP="00E64B22">
            <w:pPr>
              <w:rPr>
                <w:sz w:val="18"/>
                <w:szCs w:val="18"/>
              </w:rPr>
            </w:pPr>
            <w:r w:rsidRPr="00691B04">
              <w:rPr>
                <w:sz w:val="18"/>
                <w:szCs w:val="18"/>
              </w:rPr>
              <w:t>Numerical data presented as mean ± standard deviation.</w:t>
            </w:r>
          </w:p>
          <w:p w:rsidR="00C4734A" w:rsidRPr="00850616" w:rsidRDefault="00C4734A" w:rsidP="00E64B22">
            <w:pPr>
              <w:rPr>
                <w:sz w:val="18"/>
                <w:szCs w:val="18"/>
              </w:rPr>
            </w:pPr>
            <w:r w:rsidRPr="00850616">
              <w:rPr>
                <w:sz w:val="18"/>
                <w:szCs w:val="18"/>
                <w:vertAlign w:val="superscript"/>
              </w:rPr>
              <w:t>*</w:t>
            </w:r>
            <w:r w:rsidRPr="00850616">
              <w:rPr>
                <w:sz w:val="18"/>
                <w:szCs w:val="18"/>
              </w:rPr>
              <w:t>ObN, obese nutraceutical group; ObP, obese placebo group; WLD, weight loss diet group; IBW, ideal body weight group.</w:t>
            </w:r>
          </w:p>
          <w:p w:rsidR="00C4734A" w:rsidRPr="00691B04" w:rsidRDefault="00C4734A" w:rsidP="00E64B22">
            <w:pPr>
              <w:rPr>
                <w:sz w:val="18"/>
                <w:szCs w:val="18"/>
              </w:rPr>
            </w:pPr>
            <w:proofErr w:type="gramStart"/>
            <w:r w:rsidRPr="00691B04">
              <w:rPr>
                <w:sz w:val="18"/>
                <w:szCs w:val="18"/>
                <w:vertAlign w:val="superscript"/>
              </w:rPr>
              <w:t>a</w:t>
            </w:r>
            <w:r w:rsidR="00736DB0">
              <w:rPr>
                <w:sz w:val="18"/>
                <w:szCs w:val="18"/>
                <w:vertAlign w:val="superscript"/>
              </w:rPr>
              <w:t>,</w:t>
            </w:r>
            <w:proofErr w:type="gramEnd"/>
            <w:r w:rsidR="00736DB0">
              <w:rPr>
                <w:sz w:val="18"/>
                <w:szCs w:val="18"/>
                <w:vertAlign w:val="superscript"/>
              </w:rPr>
              <w:t>b</w:t>
            </w:r>
            <w:r w:rsidRPr="00691B04">
              <w:rPr>
                <w:sz w:val="18"/>
                <w:szCs w:val="18"/>
              </w:rPr>
              <w:t>Within a column, values with different superscript letters differ significantly (</w:t>
            </w:r>
            <w:r w:rsidRPr="00691B04">
              <w:rPr>
                <w:i/>
                <w:sz w:val="18"/>
                <w:szCs w:val="18"/>
              </w:rPr>
              <w:t>p</w:t>
            </w:r>
            <w:r w:rsidRPr="00691B04">
              <w:rPr>
                <w:sz w:val="18"/>
                <w:szCs w:val="18"/>
              </w:rPr>
              <w:t>&lt; 0.05).</w:t>
            </w:r>
          </w:p>
          <w:p w:rsidR="00C4734A" w:rsidRPr="006E1409" w:rsidRDefault="00C4734A" w:rsidP="00E64B22">
            <w:r w:rsidRPr="00691B04">
              <w:rPr>
                <w:sz w:val="18"/>
                <w:szCs w:val="18"/>
                <w:vertAlign w:val="superscript"/>
              </w:rPr>
              <w:t>#</w:t>
            </w:r>
            <w:proofErr w:type="gramStart"/>
            <w:r w:rsidRPr="00691B04">
              <w:rPr>
                <w:sz w:val="18"/>
                <w:szCs w:val="18"/>
                <w:vertAlign w:val="superscript"/>
              </w:rPr>
              <w:t>,$</w:t>
            </w:r>
            <w:proofErr w:type="gramEnd"/>
            <w:r w:rsidRPr="00691B04">
              <w:rPr>
                <w:sz w:val="18"/>
                <w:szCs w:val="18"/>
              </w:rPr>
              <w:t>Across columns, values with different superscript symbols differ significantly (</w:t>
            </w:r>
            <w:r w:rsidRPr="00691B04">
              <w:rPr>
                <w:i/>
                <w:sz w:val="18"/>
                <w:szCs w:val="18"/>
              </w:rPr>
              <w:t>p</w:t>
            </w:r>
            <w:r w:rsidRPr="00691B04">
              <w:rPr>
                <w:sz w:val="18"/>
                <w:szCs w:val="18"/>
              </w:rPr>
              <w:t>&lt; 0.05).</w:t>
            </w:r>
          </w:p>
        </w:tc>
      </w:tr>
    </w:tbl>
    <w:p w:rsidR="00C4734A" w:rsidRDefault="00C4734A" w:rsidP="00732C1B"/>
    <w:p w:rsidR="00D9326F" w:rsidRDefault="00D9326F" w:rsidP="00732C1B"/>
    <w:p w:rsidR="00D9326F" w:rsidRDefault="00D9326F" w:rsidP="00732C1B"/>
    <w:p w:rsidR="00D9326F" w:rsidRDefault="00D9326F" w:rsidP="00D9326F">
      <w:pPr>
        <w:pStyle w:val="Heading3"/>
      </w:pPr>
      <w:bookmarkStart w:id="85" w:name="_Toc373267021"/>
      <w:bookmarkStart w:id="86" w:name="_Toc376465787"/>
      <w:r>
        <w:t>Gut hormones and endocrine factors</w:t>
      </w:r>
      <w:bookmarkEnd w:id="85"/>
      <w:bookmarkEnd w:id="86"/>
    </w:p>
    <w:p w:rsidR="00D9326F" w:rsidRPr="00333F3B" w:rsidRDefault="00D9326F" w:rsidP="00D9326F">
      <w:pPr>
        <w:rPr>
          <w:color w:val="FF0000"/>
        </w:rPr>
      </w:pPr>
      <w:r>
        <w:t xml:space="preserve">Data trends are shown by time point (baseline, one week, end of study) and time of sample (0, 120, 420 min after intrusion meal) in </w:t>
      </w:r>
      <w:r w:rsidR="00E64B22">
        <w:rPr>
          <w:color w:val="FF0000"/>
        </w:rPr>
        <w:t>Figures 16</w:t>
      </w:r>
      <w:r>
        <w:rPr>
          <w:color w:val="FF0000"/>
        </w:rPr>
        <w:t xml:space="preserve"> –</w:t>
      </w:r>
      <w:r w:rsidR="00E64B22">
        <w:rPr>
          <w:color w:val="FF0000"/>
        </w:rPr>
        <w:t xml:space="preserve"> 22</w:t>
      </w:r>
      <w:r>
        <w:rPr>
          <w:color w:val="FF0000"/>
        </w:rPr>
        <w:t xml:space="preserve">.  </w:t>
      </w:r>
      <w:r>
        <w:t xml:space="preserve">Comparisons of baseline and end of study 420 minute plasma levels are shown in </w:t>
      </w:r>
      <w:r>
        <w:rPr>
          <w:color w:val="FF0000"/>
        </w:rPr>
        <w:t>Figures 2</w:t>
      </w:r>
      <w:r w:rsidR="00E64B22">
        <w:rPr>
          <w:color w:val="FF0000"/>
        </w:rPr>
        <w:t>3</w:t>
      </w:r>
      <w:r>
        <w:rPr>
          <w:color w:val="FF0000"/>
        </w:rPr>
        <w:t xml:space="preserve"> –</w:t>
      </w:r>
      <w:r w:rsidR="00E64B22">
        <w:rPr>
          <w:color w:val="FF0000"/>
        </w:rPr>
        <w:t xml:space="preserve"> 25</w:t>
      </w:r>
      <w:r w:rsidR="00962491">
        <w:rPr>
          <w:color w:val="FF0000"/>
        </w:rPr>
        <w:t xml:space="preserve"> and Tables 10 – 12</w:t>
      </w:r>
      <w:r>
        <w:rPr>
          <w:color w:val="FF0000"/>
        </w:rPr>
        <w:t>.</w:t>
      </w:r>
    </w:p>
    <w:p w:rsidR="00D9326F" w:rsidRDefault="00D9326F" w:rsidP="00D9326F"/>
    <w:p w:rsidR="00D9326F" w:rsidRDefault="00D9326F" w:rsidP="00D9326F">
      <w:r>
        <w:t xml:space="preserve">A large </w:t>
      </w:r>
      <w:r w:rsidR="00D14D5A">
        <w:t>proportion of GLP-1 results (1</w:t>
      </w:r>
      <w:r w:rsidR="00763018">
        <w:t>23</w:t>
      </w:r>
      <w:r w:rsidR="00D14D5A">
        <w:t>/</w:t>
      </w:r>
      <w:r w:rsidR="00763018">
        <w:t>270</w:t>
      </w:r>
      <w:r w:rsidR="00D14D5A">
        <w:t xml:space="preserve">; </w:t>
      </w:r>
      <w:r w:rsidR="00763018">
        <w:t>45.6</w:t>
      </w:r>
      <w:r>
        <w:t xml:space="preserve">%) were reported as &lt; 2.4 pg/ml.  For analysis, these values </w:t>
      </w:r>
      <w:r w:rsidR="00D14D5A">
        <w:t xml:space="preserve">were recorded </w:t>
      </w:r>
      <w:proofErr w:type="gramStart"/>
      <w:r w:rsidR="00D14D5A">
        <w:t>as 2.3 pg/ml</w:t>
      </w:r>
      <w:proofErr w:type="gramEnd"/>
      <w:r w:rsidR="00D14D5A">
        <w:t>.  Four</w:t>
      </w:r>
      <w:r>
        <w:t xml:space="preserve"> additional samples with results </w:t>
      </w:r>
      <w:proofErr w:type="gramStart"/>
      <w:r>
        <w:t>below 2.3 pg/ml</w:t>
      </w:r>
      <w:proofErr w:type="gramEnd"/>
      <w:r>
        <w:t xml:space="preserve"> we</w:t>
      </w:r>
      <w:r w:rsidR="00D14D5A">
        <w:t xml:space="preserve">re not adjusted.  Ghrelin had </w:t>
      </w:r>
      <w:r w:rsidR="00F66424">
        <w:t>16</w:t>
      </w:r>
      <w:r w:rsidR="00D14D5A">
        <w:t xml:space="preserve"> (</w:t>
      </w:r>
      <w:r w:rsidR="00F66424">
        <w:t>5.9</w:t>
      </w:r>
      <w:r>
        <w:t>%) samples reported as &lt;0.7 pg/ml and 0.6 pg/ml was used for analysis.</w:t>
      </w:r>
    </w:p>
    <w:p w:rsidR="00D9326F" w:rsidRDefault="00D9326F" w:rsidP="00D9326F"/>
    <w:p w:rsidR="00D9326F" w:rsidRPr="00B66199" w:rsidRDefault="00D9326F" w:rsidP="00D9326F">
      <w:r>
        <w:t xml:space="preserve">Across all groups, there was a point difference for GLP-1 (B vs. E, </w:t>
      </w:r>
      <w:r>
        <w:rPr>
          <w:i/>
        </w:rPr>
        <w:t>p</w:t>
      </w:r>
      <w:r>
        <w:t xml:space="preserve"> = 0.008), PYY (B vs. E, </w:t>
      </w:r>
      <w:r>
        <w:rPr>
          <w:i/>
        </w:rPr>
        <w:t>p</w:t>
      </w:r>
      <w:r>
        <w:t xml:space="preserve"> &lt; 0.0001; O vs. E, </w:t>
      </w:r>
      <w:r>
        <w:rPr>
          <w:i/>
        </w:rPr>
        <w:t>p</w:t>
      </w:r>
      <w:r>
        <w:t xml:space="preserve"> = 0.0045), insulin (B vs. E, </w:t>
      </w:r>
      <w:r>
        <w:rPr>
          <w:i/>
        </w:rPr>
        <w:t>p</w:t>
      </w:r>
      <w:r>
        <w:t xml:space="preserve"> = 0.0002; O vs. E, </w:t>
      </w:r>
      <w:r>
        <w:rPr>
          <w:i/>
        </w:rPr>
        <w:t>p</w:t>
      </w:r>
      <w:r>
        <w:t xml:space="preserve"> = 0.0009), glucose (B vs. E, </w:t>
      </w:r>
      <w:r>
        <w:rPr>
          <w:i/>
        </w:rPr>
        <w:t>p</w:t>
      </w:r>
      <w:r>
        <w:t xml:space="preserve"> = 0.0001; O vs. E, </w:t>
      </w:r>
      <w:r>
        <w:rPr>
          <w:i/>
        </w:rPr>
        <w:t>p</w:t>
      </w:r>
      <w:r>
        <w:t xml:space="preserve"> = 0.0015), and adiponectin (B vs. O</w:t>
      </w:r>
      <w:r w:rsidR="00EC4A04">
        <w:t xml:space="preserve">, B vs. E </w:t>
      </w:r>
      <w:r w:rsidR="00EC4A04">
        <w:rPr>
          <w:i/>
        </w:rPr>
        <w:t>p</w:t>
      </w:r>
      <w:r w:rsidR="00EC4A04">
        <w:t xml:space="preserve"> &lt;0.0001; O</w:t>
      </w:r>
      <w:r>
        <w:t xml:space="preserve"> vs. E, </w:t>
      </w:r>
      <w:r>
        <w:rPr>
          <w:i/>
        </w:rPr>
        <w:t>p</w:t>
      </w:r>
      <w:r w:rsidR="00EC4A04">
        <w:t xml:space="preserve"> = 0.0076</w:t>
      </w:r>
      <w:r>
        <w:t xml:space="preserve">).  </w:t>
      </w:r>
      <w:r w:rsidR="00EC4A04">
        <w:t xml:space="preserve">There was no point difference for leptin.  </w:t>
      </w:r>
      <w:r>
        <w:t>There was a time difference for</w:t>
      </w:r>
      <w:r w:rsidR="00F66424">
        <w:t xml:space="preserve"> GLP-1 (0 vs. 120, </w:t>
      </w:r>
      <w:r w:rsidR="00F66424">
        <w:rPr>
          <w:i/>
        </w:rPr>
        <w:t>p</w:t>
      </w:r>
      <w:r w:rsidR="00F66424">
        <w:t xml:space="preserve"> &lt; 0.0001; 120 vs. 420, </w:t>
      </w:r>
      <w:r w:rsidR="00F66424">
        <w:rPr>
          <w:i/>
        </w:rPr>
        <w:t>p</w:t>
      </w:r>
      <w:r w:rsidR="00F66424">
        <w:t xml:space="preserve"> &lt; 0.0001; 0 vs. 420, </w:t>
      </w:r>
      <w:r w:rsidR="00F66424">
        <w:rPr>
          <w:i/>
        </w:rPr>
        <w:t>p</w:t>
      </w:r>
      <w:r w:rsidR="00F66424">
        <w:t xml:space="preserve"> = 0.016), PYY (0 vs. 120 vs. 420, </w:t>
      </w:r>
      <w:r w:rsidR="00F66424">
        <w:rPr>
          <w:i/>
        </w:rPr>
        <w:t>p</w:t>
      </w:r>
      <w:r w:rsidR="00F66424">
        <w:t xml:space="preserve"> &lt; 0.0001),</w:t>
      </w:r>
      <w:r>
        <w:t xml:space="preserve"> insulin (0 vs. 120; 120 vs. 420; </w:t>
      </w:r>
      <w:r>
        <w:rPr>
          <w:i/>
        </w:rPr>
        <w:t>p</w:t>
      </w:r>
      <w:r>
        <w:t xml:space="preserve"> &lt; 0.0001), glucose (0 vs. 120, </w:t>
      </w:r>
      <w:r>
        <w:rPr>
          <w:i/>
        </w:rPr>
        <w:t>p</w:t>
      </w:r>
      <w:r>
        <w:t xml:space="preserve"> = 0.0009; 0 vs. 420, </w:t>
      </w:r>
      <w:r>
        <w:rPr>
          <w:i/>
        </w:rPr>
        <w:t>p</w:t>
      </w:r>
      <w:r>
        <w:t xml:space="preserve"> = 0.0112), leptin (0 vs. 120 vs. 420, </w:t>
      </w:r>
      <w:r>
        <w:rPr>
          <w:i/>
        </w:rPr>
        <w:t>p</w:t>
      </w:r>
      <w:r>
        <w:t xml:space="preserve"> &lt; 0.0001), and adiponectin (0 vs. 120; 120 vs. 420, </w:t>
      </w:r>
      <w:r>
        <w:rPr>
          <w:i/>
        </w:rPr>
        <w:t>p</w:t>
      </w:r>
      <w:r>
        <w:t xml:space="preserve"> &lt; 0.</w:t>
      </w:r>
      <w:r w:rsidR="00EC4A04">
        <w:t>0001).</w:t>
      </w:r>
    </w:p>
    <w:p w:rsidR="00D9326F" w:rsidRDefault="00D9326F" w:rsidP="00D9326F">
      <w:pPr>
        <w:pStyle w:val="Heading5"/>
      </w:pPr>
      <w:r>
        <w:t>Obesification</w:t>
      </w:r>
      <w:r w:rsidR="003029EB">
        <w:t xml:space="preserve"> groups; ObN, ObP, WLD</w:t>
      </w:r>
    </w:p>
    <w:p w:rsidR="00D9326F" w:rsidRPr="003B4B1F" w:rsidRDefault="00D9326F" w:rsidP="00D9326F">
      <w:r>
        <w:t>Ghrelin (</w:t>
      </w:r>
      <w:r>
        <w:rPr>
          <w:i/>
        </w:rPr>
        <w:t>p</w:t>
      </w:r>
      <w:r>
        <w:t xml:space="preserve"> &lt; 0.0367), leptin (</w:t>
      </w:r>
      <w:r>
        <w:rPr>
          <w:i/>
        </w:rPr>
        <w:t>p</w:t>
      </w:r>
      <w:r>
        <w:t xml:space="preserve"> &lt; 0.0001), and insulin (</w:t>
      </w:r>
      <w:r>
        <w:rPr>
          <w:i/>
        </w:rPr>
        <w:t>p</w:t>
      </w:r>
      <w:r>
        <w:t xml:space="preserve"> &lt; 0.0001) levels differed by group for WLD vs. ObN and ObP.  GLP-1 did not differ by group.  ObP PYY levels differed from ObN and WLD (</w:t>
      </w:r>
      <w:r>
        <w:rPr>
          <w:i/>
        </w:rPr>
        <w:t>p</w:t>
      </w:r>
      <w:r>
        <w:t xml:space="preserve"> &lt; 0.0032).  ObN glucose values differed from ObP (</w:t>
      </w:r>
      <w:r>
        <w:rPr>
          <w:i/>
        </w:rPr>
        <w:t>p</w:t>
      </w:r>
      <w:r>
        <w:t xml:space="preserve"> = 0.0106) and WLD (</w:t>
      </w:r>
      <w:r>
        <w:rPr>
          <w:i/>
        </w:rPr>
        <w:t>p</w:t>
      </w:r>
      <w:r>
        <w:t xml:space="preserve"> = 0.0041).  When samples were isolated for 420 minutes post intrusion meal, there were no differences across groups for ghrelin, PYY, GLP-1, glucose, insulin</w:t>
      </w:r>
      <w:proofErr w:type="gramStart"/>
      <w:r>
        <w:t>:glucose</w:t>
      </w:r>
      <w:proofErr w:type="gramEnd"/>
      <w:r>
        <w:t xml:space="preserve"> ratio, and adiponectin at both baseline and end of study.  There were across group differences for end of study insulin (WLD vs. ObN and ObP, </w:t>
      </w:r>
      <w:r>
        <w:rPr>
          <w:i/>
        </w:rPr>
        <w:t>p</w:t>
      </w:r>
      <w:r>
        <w:t xml:space="preserve"> &lt; 0.024) and leptin (WLD vs. ObP, </w:t>
      </w:r>
      <w:r>
        <w:rPr>
          <w:i/>
        </w:rPr>
        <w:t>p</w:t>
      </w:r>
      <w:r>
        <w:t xml:space="preserve"> = 0.0003).   Within groups, ghrelin 420 minute samples decreased in ObN (</w:t>
      </w:r>
      <w:r>
        <w:rPr>
          <w:i/>
        </w:rPr>
        <w:t>p</w:t>
      </w:r>
      <w:r>
        <w:t xml:space="preserve"> = 0.0002) and ObP (</w:t>
      </w:r>
      <w:r>
        <w:rPr>
          <w:i/>
        </w:rPr>
        <w:t>p</w:t>
      </w:r>
      <w:r>
        <w:t xml:space="preserve"> = 0.0112).  PYY 420 minute samples were higher by study termination within all three groups (</w:t>
      </w:r>
      <w:r>
        <w:rPr>
          <w:i/>
        </w:rPr>
        <w:t>p</w:t>
      </w:r>
      <w:r>
        <w:t xml:space="preserve"> &lt; 0.0091).  GLP-1 420 minute values increased over time within WLD (</w:t>
      </w:r>
      <w:r>
        <w:rPr>
          <w:i/>
        </w:rPr>
        <w:t xml:space="preserve">p </w:t>
      </w:r>
      <w:r>
        <w:t>= 0.0011) and insulin increased within ObP (</w:t>
      </w:r>
      <w:r>
        <w:rPr>
          <w:i/>
        </w:rPr>
        <w:t>p</w:t>
      </w:r>
      <w:r>
        <w:t xml:space="preserve"> = 0.0157).  Leptin 420 minute levels decreased over time within ObN (</w:t>
      </w:r>
      <w:r>
        <w:rPr>
          <w:i/>
        </w:rPr>
        <w:t>p</w:t>
      </w:r>
      <w:r>
        <w:t xml:space="preserve"> &lt; 0.0001) and WLD (</w:t>
      </w:r>
      <w:r>
        <w:rPr>
          <w:i/>
        </w:rPr>
        <w:t>p</w:t>
      </w:r>
      <w:r>
        <w:t xml:space="preserve"> = 0.0022).  There were no within group differences for glucose, insulin</w:t>
      </w:r>
      <w:proofErr w:type="gramStart"/>
      <w:r>
        <w:t>:glucose</w:t>
      </w:r>
      <w:proofErr w:type="gramEnd"/>
      <w:r>
        <w:t xml:space="preserve"> ratio, or adiponectin 420 minute samples.</w:t>
      </w:r>
    </w:p>
    <w:p w:rsidR="00D9326F" w:rsidRDefault="003029EB" w:rsidP="00D9326F">
      <w:pPr>
        <w:pStyle w:val="Heading5"/>
      </w:pPr>
      <w:r>
        <w:t>Maintain ideal body weight group; IBW</w:t>
      </w:r>
    </w:p>
    <w:p w:rsidR="00D9326F" w:rsidRPr="007571F0" w:rsidRDefault="00D9326F" w:rsidP="00D9326F">
      <w:r>
        <w:t>Ghrelin and insulin levels differed from WLD (</w:t>
      </w:r>
      <w:r w:rsidRPr="009C353B">
        <w:t>p</w:t>
      </w:r>
      <w:r>
        <w:t xml:space="preserve"> = 0.0201 and </w:t>
      </w:r>
      <w:r>
        <w:rPr>
          <w:i/>
        </w:rPr>
        <w:t>p</w:t>
      </w:r>
      <w:r>
        <w:t xml:space="preserve"> &lt; 0.0001).  GLP-1 (</w:t>
      </w:r>
      <w:r>
        <w:rPr>
          <w:i/>
        </w:rPr>
        <w:t>p</w:t>
      </w:r>
      <w:r>
        <w:t xml:space="preserve"> &lt; 0.001), leptin (</w:t>
      </w:r>
      <w:r>
        <w:rPr>
          <w:i/>
        </w:rPr>
        <w:t>p</w:t>
      </w:r>
      <w:r>
        <w:t xml:space="preserve"> &lt; 0.0001), and adiponectin (</w:t>
      </w:r>
      <w:r w:rsidRPr="000329A9">
        <w:rPr>
          <w:i/>
        </w:rPr>
        <w:t>p</w:t>
      </w:r>
      <w:r>
        <w:t xml:space="preserve"> &lt; 0.014) </w:t>
      </w:r>
      <w:r w:rsidRPr="000329A9">
        <w:t>differed</w:t>
      </w:r>
      <w:r>
        <w:t xml:space="preserve"> from all other groups.   PYY differed from ObP (</w:t>
      </w:r>
      <w:r>
        <w:rPr>
          <w:i/>
        </w:rPr>
        <w:t>p</w:t>
      </w:r>
      <w:r>
        <w:t xml:space="preserve"> &lt; 0.0001).  When isolated for 420 minute samples, glucose decreased (</w:t>
      </w:r>
      <w:r>
        <w:rPr>
          <w:i/>
        </w:rPr>
        <w:t>p</w:t>
      </w:r>
      <w:r>
        <w:t xml:space="preserve"> &lt; 0.0083) and leptin increased (</w:t>
      </w:r>
      <w:r>
        <w:rPr>
          <w:i/>
        </w:rPr>
        <w:t>p</w:t>
      </w:r>
      <w:r>
        <w:t xml:space="preserve"> &lt; 0.0126) within IBW by 12 weeks.  Ghrelin, insulin</w:t>
      </w:r>
      <w:proofErr w:type="gramStart"/>
      <w:r>
        <w:t>:glucose</w:t>
      </w:r>
      <w:proofErr w:type="gramEnd"/>
      <w:r>
        <w:t xml:space="preserve"> ratio, and adiponectin IBW values matched all other groups at both baseline and twelve weeks of treatment.  PYY and GLP-1 differed from ObP and WLD (PYY, </w:t>
      </w:r>
      <w:r>
        <w:rPr>
          <w:i/>
        </w:rPr>
        <w:t>p</w:t>
      </w:r>
      <w:r>
        <w:t xml:space="preserve"> &lt; 0.0001; GLP-1, </w:t>
      </w:r>
      <w:r>
        <w:rPr>
          <w:i/>
        </w:rPr>
        <w:t>p</w:t>
      </w:r>
      <w:r>
        <w:t xml:space="preserve"> &lt; 0.0171) at baseline.  Baseline glucose did not differ between groups.  Leptin differed from all groups at baseline, and was lower than ObP </w:t>
      </w:r>
      <w:r w:rsidR="00EC4A04">
        <w:t>by study termination</w:t>
      </w:r>
      <w:r>
        <w:t xml:space="preserve"> (</w:t>
      </w:r>
      <w:r>
        <w:rPr>
          <w:i/>
        </w:rPr>
        <w:t>p</w:t>
      </w:r>
      <w:r w:rsidR="00EC4A04">
        <w:t xml:space="preserve"> = 0.0184</w:t>
      </w:r>
      <w:r>
        <w:t>).</w:t>
      </w:r>
    </w:p>
    <w:p w:rsidR="00D9326F" w:rsidRDefault="00D9326F" w:rsidP="00732C1B"/>
    <w:p w:rsidR="00E64B22" w:rsidRDefault="00E64B22" w:rsidP="00732C1B"/>
    <w:p w:rsidR="00E64B22" w:rsidRDefault="00E64B22" w:rsidP="00732C1B"/>
    <w:p w:rsidR="00DE5561" w:rsidRDefault="00DE5561" w:rsidP="00732C1B"/>
    <w:p w:rsidR="00DE5561" w:rsidRDefault="00DE5561" w:rsidP="00732C1B"/>
    <w:p w:rsidR="00DE5561" w:rsidRDefault="00DE5561" w:rsidP="00732C1B"/>
    <w:p w:rsidR="00DE5561" w:rsidRDefault="00DE5561" w:rsidP="00732C1B"/>
    <w:p w:rsidR="00DE5561" w:rsidRDefault="00DE5561" w:rsidP="00732C1B"/>
    <w:p w:rsidR="00DE5561" w:rsidRDefault="00DE5561" w:rsidP="00732C1B"/>
    <w:p w:rsidR="00DE5561" w:rsidRDefault="00DE5561" w:rsidP="00732C1B"/>
    <w:p w:rsidR="00DE5561" w:rsidRDefault="00DE5561" w:rsidP="00732C1B"/>
    <w:p w:rsidR="00DE5561" w:rsidRDefault="00DE5561" w:rsidP="00732C1B"/>
    <w:p w:rsidR="00DE5561" w:rsidRDefault="00DE5561" w:rsidP="00732C1B"/>
    <w:p w:rsidR="00DE5561" w:rsidRDefault="00DE5561" w:rsidP="00732C1B"/>
    <w:p w:rsidR="00DE5561" w:rsidRDefault="00DE5561" w:rsidP="00732C1B">
      <w:r>
        <w:rPr>
          <w:noProof/>
        </w:rPr>
        <w:drawing>
          <wp:inline distT="0" distB="0" distL="0" distR="0" wp14:anchorId="7D834D6F" wp14:editId="313EA51E">
            <wp:extent cx="2612390" cy="2921000"/>
            <wp:effectExtent l="0" t="0" r="16510" b="12700"/>
            <wp:docPr id="18477" name="Chart 18477" title="Trend for ghrelin by point"/>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Pr>
          <w:noProof/>
        </w:rPr>
        <w:drawing>
          <wp:inline distT="0" distB="0" distL="0" distR="0" wp14:anchorId="4B514B3C" wp14:editId="08C026C0">
            <wp:extent cx="2731135" cy="2921000"/>
            <wp:effectExtent l="0" t="0" r="12065" b="12700"/>
            <wp:docPr id="18504" name="Chart 1850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19702C" w:rsidRPr="0019702C">
        <w:rPr>
          <w:noProof/>
        </w:rPr>
        <w:t xml:space="preserve"> </w:t>
      </w:r>
      <w:r w:rsidR="0019702C">
        <w:rPr>
          <w:noProof/>
        </w:rPr>
        <w:drawing>
          <wp:inline distT="0" distB="0" distL="0" distR="0" wp14:anchorId="4E9B4115" wp14:editId="351C9859">
            <wp:extent cx="2628900" cy="2540000"/>
            <wp:effectExtent l="0" t="0" r="1905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DE5561" w:rsidRDefault="00DE5561" w:rsidP="00DE5561">
      <w:pPr>
        <w:pStyle w:val="Caption"/>
      </w:pPr>
      <w:bookmarkStart w:id="87" w:name="_Toc376465876"/>
      <w:r>
        <w:t xml:space="preserve">Figure </w:t>
      </w:r>
      <w:fldSimple w:instr=" SEQ Figure \* ARABIC ">
        <w:r w:rsidR="000B1473">
          <w:rPr>
            <w:noProof/>
          </w:rPr>
          <w:t>16</w:t>
        </w:r>
      </w:fldSimple>
      <w:r>
        <w:t xml:space="preserve"> Ghrelin by point and time.</w:t>
      </w:r>
      <w:bookmarkEnd w:id="87"/>
    </w:p>
    <w:p w:rsidR="00DE5561" w:rsidRDefault="00DE5561" w:rsidP="00DE5561">
      <w:r>
        <w:t>ObN</w:t>
      </w:r>
      <w:r w:rsidRPr="00C03A66">
        <w:t xml:space="preserve">, obese nutraceutical group; </w:t>
      </w:r>
      <w:r>
        <w:t>ObP</w:t>
      </w:r>
      <w:r w:rsidRPr="00C03A66">
        <w:t xml:space="preserve">, obese placebo group; </w:t>
      </w:r>
      <w:r>
        <w:t>WLD</w:t>
      </w:r>
      <w:r w:rsidRPr="00C03A66">
        <w:t>, weight loss diet group;</w:t>
      </w:r>
      <w:r>
        <w:t xml:space="preserve"> IBW, ideal body weight group; B, baseline; O, one week; E, end of treatment.</w:t>
      </w:r>
    </w:p>
    <w:p w:rsidR="00DE5561" w:rsidRDefault="00DE5561" w:rsidP="00DE5561"/>
    <w:p w:rsidR="00DE5561" w:rsidRDefault="00DE5561" w:rsidP="00DE5561"/>
    <w:p w:rsidR="00DE5561" w:rsidRDefault="00DE5561" w:rsidP="00DE5561"/>
    <w:p w:rsidR="000B1473" w:rsidRDefault="000B1473" w:rsidP="00DE5561"/>
    <w:p w:rsidR="000B1473" w:rsidRDefault="000B1473" w:rsidP="00DE5561"/>
    <w:p w:rsidR="000B1473" w:rsidRDefault="000B1473" w:rsidP="00DE5561"/>
    <w:p w:rsidR="000B1473" w:rsidRDefault="000B1473" w:rsidP="00DE5561"/>
    <w:p w:rsidR="000B1473" w:rsidRDefault="000B1473" w:rsidP="00DE5561"/>
    <w:p w:rsidR="000B1473" w:rsidRDefault="000B1473" w:rsidP="000B1473">
      <w:pPr>
        <w:keepNext/>
      </w:pPr>
      <w:r>
        <w:rPr>
          <w:noProof/>
        </w:rPr>
        <w:drawing>
          <wp:inline distT="0" distB="0" distL="0" distR="0" wp14:anchorId="250D6061" wp14:editId="0D373F1C">
            <wp:extent cx="2731135" cy="2743200"/>
            <wp:effectExtent l="0" t="0" r="12065" b="19050"/>
            <wp:docPr id="18531" name="Chart 185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Pr>
          <w:noProof/>
        </w:rPr>
        <w:drawing>
          <wp:inline distT="0" distB="0" distL="0" distR="0" wp14:anchorId="1B7CCECB" wp14:editId="1E160F60">
            <wp:extent cx="2719070" cy="2743200"/>
            <wp:effectExtent l="0" t="0" r="24130" b="19050"/>
            <wp:docPr id="18532" name="Chart 185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B1473" w:rsidRDefault="000B1473" w:rsidP="000B1473">
      <w:pPr>
        <w:pStyle w:val="Caption"/>
      </w:pPr>
      <w:r>
        <w:rPr>
          <w:noProof/>
        </w:rPr>
        <w:drawing>
          <wp:inline distT="0" distB="0" distL="0" distR="0" wp14:anchorId="4F58903E" wp14:editId="13A28779">
            <wp:extent cx="2743200" cy="2743200"/>
            <wp:effectExtent l="0" t="0" r="19050" b="19050"/>
            <wp:docPr id="18533" name="Chart 185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B1473" w:rsidRDefault="000B1473" w:rsidP="000B1473">
      <w:pPr>
        <w:pStyle w:val="Caption"/>
      </w:pPr>
      <w:bookmarkStart w:id="88" w:name="_Toc376465877"/>
      <w:r>
        <w:t xml:space="preserve">Figure </w:t>
      </w:r>
      <w:fldSimple w:instr=" SEQ Figure \* ARABIC ">
        <w:r>
          <w:rPr>
            <w:noProof/>
          </w:rPr>
          <w:t>17</w:t>
        </w:r>
      </w:fldSimple>
      <w:r>
        <w:t xml:space="preserve"> PYY by point and time</w:t>
      </w:r>
      <w:bookmarkEnd w:id="88"/>
    </w:p>
    <w:p w:rsidR="000B1473" w:rsidRDefault="000B1473" w:rsidP="000B1473">
      <w:r>
        <w:t>ObN</w:t>
      </w:r>
      <w:r w:rsidRPr="00C03A66">
        <w:t xml:space="preserve">, obese nutraceutical group; </w:t>
      </w:r>
      <w:r>
        <w:t>ObP</w:t>
      </w:r>
      <w:r w:rsidRPr="00C03A66">
        <w:t xml:space="preserve">, obese placebo group; </w:t>
      </w:r>
      <w:r>
        <w:t>WLD</w:t>
      </w:r>
      <w:r w:rsidRPr="00C03A66">
        <w:t>, weight loss diet group;</w:t>
      </w:r>
      <w:r>
        <w:t xml:space="preserve"> IBW, ideal body weight group; B, baseline; O, one week; E, end of treatment.</w:t>
      </w:r>
    </w:p>
    <w:p w:rsidR="000B1473" w:rsidRDefault="000B1473" w:rsidP="00DE5561"/>
    <w:p w:rsidR="00DE5561" w:rsidRDefault="00DE5561" w:rsidP="00DE5561"/>
    <w:p w:rsidR="00DE5561" w:rsidRDefault="00DE5561" w:rsidP="00DE5561"/>
    <w:p w:rsidR="00DE5561" w:rsidRDefault="00DE5561" w:rsidP="00DE5561"/>
    <w:p w:rsidR="00DE5561" w:rsidRDefault="00DE5561" w:rsidP="00DE5561"/>
    <w:p w:rsidR="0019702C" w:rsidRDefault="00DE5561" w:rsidP="00DE5561">
      <w:pPr>
        <w:pStyle w:val="Caption"/>
        <w:rPr>
          <w:noProof/>
        </w:rPr>
      </w:pPr>
      <w:r>
        <w:rPr>
          <w:noProof/>
        </w:rPr>
        <w:drawing>
          <wp:inline distT="0" distB="0" distL="0" distR="0" wp14:anchorId="5D33E47A" wp14:editId="2AD10D04">
            <wp:extent cx="2612390" cy="2743200"/>
            <wp:effectExtent l="0" t="0" r="16510" b="19050"/>
            <wp:docPr id="18510" name="Chart 185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Pr>
          <w:noProof/>
        </w:rPr>
        <w:drawing>
          <wp:inline distT="0" distB="0" distL="0" distR="0" wp14:anchorId="30ED0D20" wp14:editId="111D40B8">
            <wp:extent cx="2731135" cy="2743200"/>
            <wp:effectExtent l="0" t="0" r="12065" b="19050"/>
            <wp:docPr id="18511" name="Chart 185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0019702C" w:rsidRPr="0019702C">
        <w:rPr>
          <w:noProof/>
        </w:rPr>
        <w:t xml:space="preserve"> </w:t>
      </w:r>
      <w:r w:rsidR="0019702C">
        <w:rPr>
          <w:noProof/>
        </w:rPr>
        <w:drawing>
          <wp:inline distT="0" distB="0" distL="0" distR="0" wp14:anchorId="2A48A03F" wp14:editId="3F385CB7">
            <wp:extent cx="2628900" cy="2552700"/>
            <wp:effectExtent l="0" t="0" r="19050" b="19050"/>
            <wp:docPr id="18525" name="Chart 185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DE5561" w:rsidRDefault="00DE5561" w:rsidP="00DE5561">
      <w:pPr>
        <w:pStyle w:val="Caption"/>
        <w:rPr>
          <w:noProof/>
        </w:rPr>
      </w:pPr>
      <w:bookmarkStart w:id="89" w:name="_Toc376465878"/>
      <w:r>
        <w:t xml:space="preserve">Figure </w:t>
      </w:r>
      <w:fldSimple w:instr=" SEQ Figure \* ARABIC ">
        <w:r w:rsidR="000B1473">
          <w:rPr>
            <w:noProof/>
          </w:rPr>
          <w:t>18</w:t>
        </w:r>
      </w:fldSimple>
      <w:r>
        <w:t xml:space="preserve"> GLP-1 by point and time.</w:t>
      </w:r>
      <w:bookmarkEnd w:id="89"/>
    </w:p>
    <w:p w:rsidR="00DE5561" w:rsidRDefault="00DE5561" w:rsidP="00DE5561">
      <w:r>
        <w:t>ObN</w:t>
      </w:r>
      <w:r w:rsidRPr="00C03A66">
        <w:t xml:space="preserve">, obese nutraceutical group; </w:t>
      </w:r>
      <w:r>
        <w:t>ObP</w:t>
      </w:r>
      <w:r w:rsidRPr="00C03A66">
        <w:t xml:space="preserve">, obese placebo group; </w:t>
      </w:r>
      <w:r>
        <w:t>WLD</w:t>
      </w:r>
      <w:r w:rsidRPr="00C03A66">
        <w:t>, weight loss diet group;</w:t>
      </w:r>
      <w:r>
        <w:t xml:space="preserve"> IBW, ideal body weight group; B, baseline; O, one week; E, end of treatment.</w:t>
      </w:r>
    </w:p>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0B1473" w:rsidRDefault="000B1473" w:rsidP="000B1473">
      <w:pPr>
        <w:pStyle w:val="Caption"/>
        <w:rPr>
          <w:noProof/>
        </w:rPr>
      </w:pPr>
      <w:r>
        <w:rPr>
          <w:noProof/>
        </w:rPr>
        <w:drawing>
          <wp:inline distT="0" distB="0" distL="0" distR="0" wp14:anchorId="7049AB6C" wp14:editId="5542515C">
            <wp:extent cx="2731135" cy="2743200"/>
            <wp:effectExtent l="0" t="0" r="12065" b="19050"/>
            <wp:docPr id="18517" name="Chart 185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Pr>
          <w:noProof/>
        </w:rPr>
        <w:drawing>
          <wp:inline distT="0" distB="0" distL="0" distR="0" wp14:anchorId="6C380B50" wp14:editId="3D16F48C">
            <wp:extent cx="2719070" cy="2743200"/>
            <wp:effectExtent l="0" t="0" r="24130" b="19050"/>
            <wp:docPr id="18518" name="Chart 185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19702C">
        <w:rPr>
          <w:noProof/>
        </w:rPr>
        <w:t xml:space="preserve"> </w:t>
      </w:r>
      <w:r>
        <w:rPr>
          <w:noProof/>
        </w:rPr>
        <w:drawing>
          <wp:inline distT="0" distB="0" distL="0" distR="0" wp14:anchorId="34B07BB2" wp14:editId="71863786">
            <wp:extent cx="2730500" cy="2743200"/>
            <wp:effectExtent l="0" t="0" r="12700" b="19050"/>
            <wp:docPr id="18527" name="Chart 185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0B1473" w:rsidRDefault="000B1473" w:rsidP="000B1473">
      <w:pPr>
        <w:pStyle w:val="Caption"/>
      </w:pPr>
      <w:bookmarkStart w:id="90" w:name="_Toc376465879"/>
      <w:r>
        <w:t xml:space="preserve">Figure </w:t>
      </w:r>
      <w:fldSimple w:instr=" SEQ Figure \* ARABIC ">
        <w:r w:rsidR="002F1789">
          <w:rPr>
            <w:noProof/>
          </w:rPr>
          <w:t>19</w:t>
        </w:r>
      </w:fldSimple>
      <w:r>
        <w:t xml:space="preserve"> Glucose by point and time.</w:t>
      </w:r>
      <w:bookmarkEnd w:id="90"/>
    </w:p>
    <w:p w:rsidR="000B1473" w:rsidRDefault="000B1473" w:rsidP="000B1473">
      <w:r>
        <w:t>ObN</w:t>
      </w:r>
      <w:r w:rsidRPr="00C03A66">
        <w:t xml:space="preserve">, obese nutraceutical group; </w:t>
      </w:r>
      <w:r>
        <w:t>ObP</w:t>
      </w:r>
      <w:r w:rsidRPr="00C03A66">
        <w:t xml:space="preserve">, obese placebo group; </w:t>
      </w:r>
      <w:r>
        <w:t>WLD</w:t>
      </w:r>
      <w:r w:rsidRPr="00C03A66">
        <w:t>, weight loss diet group;</w:t>
      </w:r>
      <w:r>
        <w:t xml:space="preserve"> IBW, ideal body weight group; B, baseline; O, one week; E, end of treatment.</w:t>
      </w:r>
    </w:p>
    <w:p w:rsidR="000B1473" w:rsidRDefault="000B1473" w:rsidP="00DE5561"/>
    <w:p w:rsidR="0019702C" w:rsidRDefault="0019702C" w:rsidP="00DE5561">
      <w:pPr>
        <w:pStyle w:val="Caption"/>
        <w:rPr>
          <w:noProof/>
        </w:rPr>
      </w:pPr>
      <w:r>
        <w:rPr>
          <w:noProof/>
        </w:rPr>
        <w:drawing>
          <wp:inline distT="0" distB="0" distL="0" distR="0" wp14:anchorId="450D040B" wp14:editId="1F60F749">
            <wp:extent cx="2612390" cy="2743200"/>
            <wp:effectExtent l="0" t="0" r="16510" b="19050"/>
            <wp:docPr id="18515" name="Chart 185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00DE5561">
        <w:rPr>
          <w:noProof/>
        </w:rPr>
        <w:drawing>
          <wp:inline distT="0" distB="0" distL="0" distR="0" wp14:anchorId="65FB6477" wp14:editId="784A04DD">
            <wp:extent cx="2837815" cy="2743200"/>
            <wp:effectExtent l="0" t="0" r="19685" b="19050"/>
            <wp:docPr id="18516" name="Chart 185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19702C">
        <w:rPr>
          <w:noProof/>
        </w:rPr>
        <w:t xml:space="preserve"> </w:t>
      </w:r>
      <w:r>
        <w:rPr>
          <w:noProof/>
        </w:rPr>
        <w:drawing>
          <wp:inline distT="0" distB="0" distL="0" distR="0" wp14:anchorId="4AA9981B" wp14:editId="673D2D61">
            <wp:extent cx="2628900" cy="2743200"/>
            <wp:effectExtent l="0" t="0" r="19050" b="19050"/>
            <wp:docPr id="18526" name="Chart 185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00FE45DA">
        <w:rPr>
          <w:noProof/>
        </w:rPr>
        <w:drawing>
          <wp:inline distT="0" distB="0" distL="0" distR="0" wp14:anchorId="3102DFD2" wp14:editId="56513F3F">
            <wp:extent cx="2806700" cy="2743200"/>
            <wp:effectExtent l="0" t="0" r="12700" b="19050"/>
            <wp:docPr id="18534" name="Chart 185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E5561" w:rsidRDefault="00DE5561" w:rsidP="00DE5561">
      <w:pPr>
        <w:pStyle w:val="Caption"/>
      </w:pPr>
      <w:bookmarkStart w:id="91" w:name="_Toc376465880"/>
      <w:r>
        <w:t xml:space="preserve">Figure </w:t>
      </w:r>
      <w:fldSimple w:instr=" SEQ Figure \* ARABIC ">
        <w:r w:rsidR="002F1789">
          <w:rPr>
            <w:noProof/>
          </w:rPr>
          <w:t>20</w:t>
        </w:r>
      </w:fldSimple>
      <w:r>
        <w:t xml:space="preserve"> Insulin by point and time</w:t>
      </w:r>
      <w:r w:rsidR="00CF771C">
        <w:t>; insulin</w:t>
      </w:r>
      <w:proofErr w:type="gramStart"/>
      <w:r w:rsidR="00CF771C">
        <w:t>:glucose</w:t>
      </w:r>
      <w:proofErr w:type="gramEnd"/>
      <w:r w:rsidR="00CF771C">
        <w:t xml:space="preserve"> ratio by time</w:t>
      </w:r>
      <w:r>
        <w:t>.</w:t>
      </w:r>
      <w:bookmarkEnd w:id="91"/>
    </w:p>
    <w:p w:rsidR="00DE5561" w:rsidRDefault="00DE5561" w:rsidP="00DE5561">
      <w:r>
        <w:t>ObN</w:t>
      </w:r>
      <w:r w:rsidRPr="00C03A66">
        <w:t xml:space="preserve">, obese nutraceutical group; </w:t>
      </w:r>
      <w:r>
        <w:t>ObP</w:t>
      </w:r>
      <w:r w:rsidRPr="00C03A66">
        <w:t xml:space="preserve">, obese placebo group; </w:t>
      </w:r>
      <w:r>
        <w:t>WLD</w:t>
      </w:r>
      <w:r w:rsidRPr="00C03A66">
        <w:t>, weight loss diet group;</w:t>
      </w:r>
      <w:r>
        <w:t xml:space="preserve"> IBW, ideal body weight group; B, baseline; O, one week; E, end of treatment.</w:t>
      </w:r>
    </w:p>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0B1473" w:rsidRDefault="0019702C" w:rsidP="00DE5561">
      <w:pPr>
        <w:pStyle w:val="Caption"/>
      </w:pPr>
      <w:r>
        <w:rPr>
          <w:noProof/>
        </w:rPr>
        <w:drawing>
          <wp:inline distT="0" distB="0" distL="0" distR="0" wp14:anchorId="05F44A6D" wp14:editId="07D7F8B7">
            <wp:extent cx="2612390" cy="2743200"/>
            <wp:effectExtent l="0" t="0" r="16510" b="19050"/>
            <wp:docPr id="18519" name="Chart 185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00DE5561">
        <w:rPr>
          <w:noProof/>
        </w:rPr>
        <w:drawing>
          <wp:inline distT="0" distB="0" distL="0" distR="0" wp14:anchorId="036D320A" wp14:editId="0F256DE5">
            <wp:extent cx="2837815" cy="2743200"/>
            <wp:effectExtent l="0" t="0" r="19685" b="19050"/>
            <wp:docPr id="18520" name="Chart 185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00DE5561" w:rsidRPr="00DE5561">
        <w:t xml:space="preserve"> </w:t>
      </w:r>
      <w:r w:rsidR="000B1473">
        <w:rPr>
          <w:noProof/>
        </w:rPr>
        <w:drawing>
          <wp:inline distT="0" distB="0" distL="0" distR="0" wp14:anchorId="29F5AFE0" wp14:editId="5168FB5E">
            <wp:extent cx="2628900" cy="2743200"/>
            <wp:effectExtent l="0" t="0" r="19050" b="19050"/>
            <wp:docPr id="18528" name="Chart 185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DE5561" w:rsidRDefault="00DE5561" w:rsidP="00DE5561">
      <w:pPr>
        <w:pStyle w:val="Caption"/>
      </w:pPr>
      <w:bookmarkStart w:id="92" w:name="_Toc376465881"/>
      <w:r>
        <w:t xml:space="preserve">Figure </w:t>
      </w:r>
      <w:fldSimple w:instr=" SEQ Figure \* ARABIC ">
        <w:r w:rsidR="002F1789">
          <w:rPr>
            <w:noProof/>
          </w:rPr>
          <w:t>21</w:t>
        </w:r>
      </w:fldSimple>
      <w:r>
        <w:t xml:space="preserve"> Leptin by point and time.</w:t>
      </w:r>
      <w:bookmarkEnd w:id="92"/>
    </w:p>
    <w:p w:rsidR="00DE5561" w:rsidRDefault="00DE5561" w:rsidP="00DE5561">
      <w:r>
        <w:t>ObN</w:t>
      </w:r>
      <w:r w:rsidRPr="00C03A66">
        <w:t xml:space="preserve">, obese nutraceutical group; </w:t>
      </w:r>
      <w:r>
        <w:t>ObP</w:t>
      </w:r>
      <w:r w:rsidRPr="00C03A66">
        <w:t xml:space="preserve">, obese placebo group; </w:t>
      </w:r>
      <w:r>
        <w:t>WLD</w:t>
      </w:r>
      <w:r w:rsidRPr="00C03A66">
        <w:t>, weight loss diet group;</w:t>
      </w:r>
      <w:r>
        <w:t xml:space="preserve"> IBW, ideal body weight group; B, baseline; O, one week; E, end of treatment.</w:t>
      </w:r>
    </w:p>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DE5561" w:rsidP="00DE5561"/>
    <w:p w:rsidR="00DE5561" w:rsidRDefault="000B1473" w:rsidP="00DE5561">
      <w:pPr>
        <w:keepNext/>
      </w:pPr>
      <w:r>
        <w:rPr>
          <w:noProof/>
        </w:rPr>
        <w:drawing>
          <wp:inline distT="0" distB="0" distL="0" distR="0" wp14:anchorId="43801A91" wp14:editId="24880937">
            <wp:extent cx="2731135" cy="2743200"/>
            <wp:effectExtent l="0" t="0" r="12065" b="19050"/>
            <wp:docPr id="18523" name="Chart 185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sidR="00DE5561">
        <w:rPr>
          <w:noProof/>
        </w:rPr>
        <w:drawing>
          <wp:inline distT="0" distB="0" distL="0" distR="0" wp14:anchorId="11D642F9" wp14:editId="63D40294">
            <wp:extent cx="2719070" cy="2743200"/>
            <wp:effectExtent l="0" t="0" r="24130" b="19050"/>
            <wp:docPr id="18524" name="Chart 185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0B1473" w:rsidRDefault="000B1473" w:rsidP="00DE5561">
      <w:pPr>
        <w:pStyle w:val="Caption"/>
      </w:pPr>
      <w:r>
        <w:rPr>
          <w:noProof/>
        </w:rPr>
        <w:drawing>
          <wp:inline distT="0" distB="0" distL="0" distR="0" wp14:anchorId="5773C37A" wp14:editId="0F1F05C0">
            <wp:extent cx="2743200" cy="2743200"/>
            <wp:effectExtent l="0" t="0" r="19050" b="19050"/>
            <wp:docPr id="18530" name="Chart 185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DE5561" w:rsidRDefault="00DE5561" w:rsidP="00DE5561">
      <w:pPr>
        <w:pStyle w:val="Caption"/>
      </w:pPr>
      <w:bookmarkStart w:id="93" w:name="_Toc376465882"/>
      <w:r>
        <w:t xml:space="preserve">Figure </w:t>
      </w:r>
      <w:fldSimple w:instr=" SEQ Figure \* ARABIC ">
        <w:r>
          <w:rPr>
            <w:noProof/>
          </w:rPr>
          <w:t>22</w:t>
        </w:r>
      </w:fldSimple>
      <w:r>
        <w:t xml:space="preserve"> Adiponectin by point and time.</w:t>
      </w:r>
      <w:bookmarkEnd w:id="93"/>
    </w:p>
    <w:p w:rsidR="00DE5561" w:rsidRDefault="00DE5561" w:rsidP="00DE5561">
      <w:r>
        <w:t>ObN</w:t>
      </w:r>
      <w:r w:rsidRPr="00C03A66">
        <w:t xml:space="preserve">, obese nutraceutical group; </w:t>
      </w:r>
      <w:r>
        <w:t>ObP</w:t>
      </w:r>
      <w:r w:rsidRPr="00C03A66">
        <w:t xml:space="preserve">, obese placebo group; </w:t>
      </w:r>
      <w:r>
        <w:t>WLD</w:t>
      </w:r>
      <w:r w:rsidRPr="00C03A66">
        <w:t>, weight loss diet group;</w:t>
      </w:r>
      <w:r>
        <w:t xml:space="preserve"> IBW, ideal body weight group; B, baseline; O, one week; E, end of treatment.</w:t>
      </w:r>
    </w:p>
    <w:p w:rsidR="00DE5561" w:rsidRPr="00DE5561" w:rsidRDefault="00DE5561" w:rsidP="00DE5561">
      <w:pPr>
        <w:sectPr w:rsidR="00DE5561" w:rsidRPr="00DE5561" w:rsidSect="00C40A84">
          <w:pgSz w:w="12240" w:h="15840" w:code="1"/>
          <w:pgMar w:top="1440" w:right="1800" w:bottom="1872" w:left="1800" w:header="720" w:footer="1440" w:gutter="0"/>
          <w:cols w:space="720"/>
          <w:noEndnote/>
          <w:docGrid w:linePitch="360"/>
        </w:sectPr>
      </w:pPr>
    </w:p>
    <w:p w:rsidR="00962491" w:rsidRDefault="00962491" w:rsidP="00962491">
      <w:pPr>
        <w:pStyle w:val="Caption"/>
      </w:pPr>
      <w:bookmarkStart w:id="94" w:name="_Toc373267057"/>
      <w:bookmarkStart w:id="95" w:name="_Toc376465832"/>
      <w:r>
        <w:t xml:space="preserve">Table </w:t>
      </w:r>
      <w:fldSimple w:instr=" SEQ Table \* ARABIC ">
        <w:r w:rsidR="00736DB0">
          <w:rPr>
            <w:noProof/>
          </w:rPr>
          <w:t>10</w:t>
        </w:r>
      </w:fldSimple>
      <w:r>
        <w:t xml:space="preserve"> Gut hormone plasma levels 420 minutes following a 3 hour</w:t>
      </w:r>
      <w:r>
        <w:rPr>
          <w:noProof/>
        </w:rPr>
        <w:t xml:space="preserve"> intrusion meal</w:t>
      </w:r>
      <w:bookmarkEnd w:id="94"/>
      <w:r>
        <w:rPr>
          <w:noProof/>
        </w:rPr>
        <w:t>.</w:t>
      </w:r>
      <w:bookmarkEnd w:id="95"/>
    </w:p>
    <w:tbl>
      <w:tblPr>
        <w:tblStyle w:val="TableClassic1"/>
        <w:tblW w:w="0" w:type="auto"/>
        <w:tblLook w:val="04A0" w:firstRow="1" w:lastRow="0" w:firstColumn="1" w:lastColumn="0" w:noHBand="0" w:noVBand="1"/>
      </w:tblPr>
      <w:tblGrid>
        <w:gridCol w:w="2363"/>
        <w:gridCol w:w="3254"/>
        <w:gridCol w:w="3239"/>
      </w:tblGrid>
      <w:tr w:rsidR="00962491" w:rsidRPr="000863B6" w:rsidTr="009624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r w:rsidRPr="000863B6">
              <w:t>Group</w:t>
            </w:r>
          </w:p>
        </w:tc>
        <w:tc>
          <w:tcPr>
            <w:tcW w:w="0" w:type="auto"/>
          </w:tcPr>
          <w:p w:rsidR="00962491" w:rsidRPr="000863B6" w:rsidRDefault="00962491" w:rsidP="00962491">
            <w:pPr>
              <w:cnfStyle w:val="100000000000" w:firstRow="1" w:lastRow="0" w:firstColumn="0" w:lastColumn="0" w:oddVBand="0" w:evenVBand="0" w:oddHBand="0" w:evenHBand="0" w:firstRowFirstColumn="0" w:firstRowLastColumn="0" w:lastRowFirstColumn="0" w:lastRowLastColumn="0"/>
              <w:rPr>
                <w:i w:val="0"/>
                <w:iCs w:val="0"/>
              </w:rPr>
            </w:pPr>
            <w:r w:rsidRPr="000863B6">
              <w:t>Baseline</w:t>
            </w:r>
          </w:p>
        </w:tc>
        <w:tc>
          <w:tcPr>
            <w:tcW w:w="0" w:type="auto"/>
          </w:tcPr>
          <w:p w:rsidR="00962491" w:rsidRPr="000863B6" w:rsidRDefault="00962491" w:rsidP="00962491">
            <w:pPr>
              <w:cnfStyle w:val="100000000000" w:firstRow="1" w:lastRow="0" w:firstColumn="0" w:lastColumn="0" w:oddVBand="0" w:evenVBand="0" w:oddHBand="0" w:evenHBand="0" w:firstRowFirstColumn="0" w:firstRowLastColumn="0" w:lastRowFirstColumn="0" w:lastRowLastColumn="0"/>
            </w:pPr>
            <w:r>
              <w:t>End of study</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000000"/>
              <w:bottom w:val="single" w:sz="2" w:space="0" w:color="000000"/>
            </w:tcBorders>
          </w:tcPr>
          <w:p w:rsidR="00962491" w:rsidRPr="000863B6" w:rsidRDefault="00962491" w:rsidP="00962491">
            <w:r w:rsidRPr="000863B6">
              <w:t>Time (min)</w:t>
            </w:r>
          </w:p>
        </w:tc>
        <w:tc>
          <w:tcPr>
            <w:tcW w:w="0" w:type="auto"/>
            <w:tcBorders>
              <w:top w:val="single" w:sz="6" w:space="0" w:color="000000"/>
              <w:bottom w:val="single" w:sz="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420</w:t>
            </w:r>
          </w:p>
        </w:tc>
        <w:tc>
          <w:tcPr>
            <w:tcW w:w="0" w:type="auto"/>
            <w:tcBorders>
              <w:top w:val="single" w:sz="6" w:space="0" w:color="000000"/>
              <w:bottom w:val="single" w:sz="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420</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000000"/>
            </w:tcBorders>
          </w:tcPr>
          <w:p w:rsidR="00962491" w:rsidRDefault="00962491" w:rsidP="00962491">
            <w:r w:rsidRPr="000863B6">
              <w:t>Ghrelin</w:t>
            </w:r>
          </w:p>
          <w:p w:rsidR="00962491" w:rsidRPr="000863B6" w:rsidRDefault="00962491" w:rsidP="00962491">
            <w:r w:rsidRPr="000863B6">
              <w:t>(pg/mL)</w:t>
            </w:r>
          </w:p>
        </w:tc>
        <w:tc>
          <w:tcPr>
            <w:tcW w:w="0" w:type="auto"/>
            <w:tcBorders>
              <w:top w:val="single" w:sz="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Borders>
              <w:top w:val="single" w:sz="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rPr>
                <w:vertAlign w:val="superscript"/>
              </w:rPr>
            </w:pPr>
            <w:r w:rsidRPr="000863B6">
              <w:t>ObN</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122.2 ± 65.8</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16.9 ± 26.5</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rPr>
                <w:vertAlign w:val="superscript"/>
              </w:rPr>
            </w:pPr>
            <w:r w:rsidRPr="000863B6">
              <w:t>ObP</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103.9 </w:t>
            </w:r>
            <w:r w:rsidRPr="000863B6">
              <w:t>±</w:t>
            </w:r>
            <w:r>
              <w:t xml:space="preserve"> 61.9</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27.4 </w:t>
            </w:r>
            <w:r w:rsidRPr="000863B6">
              <w:t>±</w:t>
            </w:r>
            <w:r>
              <w:t xml:space="preserve"> 35.8</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rPr>
                <w:vertAlign w:val="superscript"/>
              </w:rPr>
            </w:pPr>
            <w:r w:rsidRPr="000863B6">
              <w:t>WLD</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114.6 </w:t>
            </w:r>
            <w:r w:rsidRPr="000863B6">
              <w:t>±</w:t>
            </w:r>
            <w:r>
              <w:t xml:space="preserve"> 82.6</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35.2 </w:t>
            </w:r>
            <w:r w:rsidRPr="000863B6">
              <w:t>±</w:t>
            </w:r>
            <w:r>
              <w:t xml:space="preserve"> 42.5</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IBW</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87.4 ± 80.8</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61.9 ± 61.5</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rsidRPr="000863B6">
              <w:t>PYY</w:t>
            </w:r>
          </w:p>
          <w:p w:rsidR="00962491" w:rsidRPr="000863B6" w:rsidRDefault="00962491" w:rsidP="00962491">
            <w:r w:rsidRPr="000863B6">
              <w:t>(pg/mL)</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ObN</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239.5 ± 50.8</w:t>
            </w:r>
            <w:r w:rsidR="00736DB0">
              <w:rPr>
                <w:vertAlign w:val="superscript"/>
              </w:rPr>
              <w:t>a,b</w:t>
            </w:r>
            <w:r>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360.3 ± 114.5</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ObP</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150.2 </w:t>
            </w:r>
            <w:r w:rsidRPr="000863B6">
              <w:t>±</w:t>
            </w:r>
            <w:r>
              <w:t xml:space="preserve"> 42.0</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314.1 </w:t>
            </w:r>
            <w:r w:rsidRPr="000863B6">
              <w:t>±</w:t>
            </w:r>
            <w:r>
              <w:t xml:space="preserve"> 63.3</w:t>
            </w:r>
            <w:r w:rsidR="00736DB0">
              <w:rPr>
                <w:vertAlign w:val="superscript"/>
              </w:rPr>
              <w:t>a</w:t>
            </w:r>
            <w:r>
              <w:rPr>
                <w:vertAlign w:val="superscript"/>
              </w:rPr>
              <w:t>,$</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WLD</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186.1 </w:t>
            </w:r>
            <w:r w:rsidRPr="000863B6">
              <w:t>±</w:t>
            </w:r>
            <w:r>
              <w:t xml:space="preserve"> 38.0</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323.1 </w:t>
            </w:r>
            <w:r w:rsidRPr="000863B6">
              <w:t>±</w:t>
            </w:r>
            <w:r>
              <w:t xml:space="preserve"> 94.9</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IBW</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327.7 ± 66.1</w:t>
            </w:r>
            <w:r w:rsidR="00736DB0">
              <w:rPr>
                <w:vertAlign w:val="superscript"/>
              </w:rPr>
              <w:t>b</w:t>
            </w:r>
            <w:r>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358.0 ± 95.8</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rsidRPr="000863B6">
              <w:t>GLP-1</w:t>
            </w:r>
          </w:p>
          <w:p w:rsidR="00962491" w:rsidRPr="000863B6" w:rsidRDefault="00962491" w:rsidP="00962491">
            <w:r w:rsidRPr="000863B6">
              <w:t>(pg/mL)</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ObN</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4.8 ±</w:t>
            </w:r>
            <w:r>
              <w:t xml:space="preserve"> </w:t>
            </w:r>
            <w:r w:rsidRPr="000863B6">
              <w:t>5.4</w:t>
            </w:r>
            <w:r>
              <w:rPr>
                <w:vertAlign w:val="superscript"/>
              </w:rPr>
              <w:t>a,b,#</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21.9 ± 18.2</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ObP</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3.0 </w:t>
            </w:r>
            <w:r w:rsidRPr="000863B6">
              <w:t>±</w:t>
            </w:r>
            <w:r>
              <w:t xml:space="preserve"> 2.3</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21.5 </w:t>
            </w:r>
            <w:r w:rsidRPr="000863B6">
              <w:t>±</w:t>
            </w:r>
            <w:r>
              <w:t xml:space="preserve"> 19.1</w:t>
            </w:r>
            <w:r>
              <w:rPr>
                <w:vertAlign w:val="superscript"/>
              </w:rPr>
              <w:t>a,b,#</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WLD</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2.3 </w:t>
            </w:r>
            <w:r w:rsidRPr="000863B6">
              <w:t>±</w:t>
            </w:r>
            <w:r>
              <w:t xml:space="preserve"> 0.0</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23.1 </w:t>
            </w:r>
            <w:r w:rsidRPr="000863B6">
              <w:t>±</w:t>
            </w:r>
            <w:r>
              <w:t xml:space="preserve"> 18.2</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962491" w:rsidRPr="000863B6" w:rsidRDefault="00962491" w:rsidP="00962491">
            <w:pPr>
              <w:jc w:val="center"/>
            </w:pPr>
            <w:r w:rsidRPr="000863B6">
              <w:t>IBW</w:t>
            </w:r>
          </w:p>
        </w:tc>
        <w:tc>
          <w:tcPr>
            <w:tcW w:w="0" w:type="auto"/>
            <w:tcBorders>
              <w:bottom w:val="single" w:sz="1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16.3 ± 0.4</w:t>
            </w:r>
            <w:r>
              <w:rPr>
                <w:vertAlign w:val="superscript"/>
              </w:rPr>
              <w:t>b,#</w:t>
            </w:r>
          </w:p>
        </w:tc>
        <w:tc>
          <w:tcPr>
            <w:tcW w:w="0" w:type="auto"/>
            <w:tcBorders>
              <w:bottom w:val="single" w:sz="1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24.8 ± 19.9</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000000"/>
              <w:bottom w:val="nil"/>
              <w:right w:val="nil"/>
            </w:tcBorders>
          </w:tcPr>
          <w:p w:rsidR="00962491" w:rsidRPr="00C03A66" w:rsidRDefault="00962491" w:rsidP="00962491">
            <w:pPr>
              <w:rPr>
                <w:sz w:val="18"/>
                <w:szCs w:val="18"/>
              </w:rPr>
            </w:pPr>
            <w:r w:rsidRPr="00C03A66">
              <w:rPr>
                <w:sz w:val="18"/>
                <w:szCs w:val="18"/>
              </w:rPr>
              <w:t>Numerical data presented as mean ± standard deviation.</w:t>
            </w:r>
          </w:p>
          <w:p w:rsidR="00962491" w:rsidRPr="00C03A66" w:rsidRDefault="00962491" w:rsidP="00962491">
            <w:pPr>
              <w:rPr>
                <w:sz w:val="18"/>
                <w:szCs w:val="18"/>
              </w:rPr>
            </w:pPr>
            <w:r w:rsidRPr="00C03A66">
              <w:rPr>
                <w:sz w:val="18"/>
                <w:szCs w:val="18"/>
                <w:vertAlign w:val="superscript"/>
              </w:rPr>
              <w:t>*</w:t>
            </w:r>
            <w:r w:rsidRPr="00C03A66">
              <w:rPr>
                <w:sz w:val="18"/>
                <w:szCs w:val="18"/>
              </w:rPr>
              <w:t>ObN, obese nutraceutical group; ObP, obese placebo group; WLD, weight loss diet group; IBW, ideal body weight group.</w:t>
            </w:r>
          </w:p>
          <w:p w:rsidR="00962491" w:rsidRPr="00C03A66" w:rsidRDefault="00962491" w:rsidP="00962491">
            <w:pPr>
              <w:rPr>
                <w:sz w:val="18"/>
                <w:szCs w:val="18"/>
              </w:rPr>
            </w:pPr>
            <w:proofErr w:type="gramStart"/>
            <w:r w:rsidRPr="00C03A66">
              <w:rPr>
                <w:sz w:val="18"/>
                <w:szCs w:val="18"/>
                <w:vertAlign w:val="superscript"/>
              </w:rPr>
              <w:t>a,</w:t>
            </w:r>
            <w:proofErr w:type="gramEnd"/>
            <w:r w:rsidRPr="00C03A66">
              <w:rPr>
                <w:sz w:val="18"/>
                <w:szCs w:val="18"/>
                <w:vertAlign w:val="superscript"/>
              </w:rPr>
              <w:t>b</w:t>
            </w:r>
            <w:r w:rsidRPr="00C03A66">
              <w:rPr>
                <w:sz w:val="18"/>
                <w:szCs w:val="18"/>
              </w:rPr>
              <w:t>Within a column, values with different superscript letters differ significantly (</w:t>
            </w:r>
            <w:r w:rsidRPr="00C03A66">
              <w:rPr>
                <w:i/>
                <w:sz w:val="18"/>
                <w:szCs w:val="18"/>
              </w:rPr>
              <w:t>p</w:t>
            </w:r>
            <w:r w:rsidRPr="00C03A66">
              <w:rPr>
                <w:sz w:val="18"/>
                <w:szCs w:val="18"/>
              </w:rPr>
              <w:t>&lt; 0.05).</w:t>
            </w:r>
          </w:p>
          <w:p w:rsidR="00962491" w:rsidRPr="000863B6" w:rsidRDefault="00962491" w:rsidP="00962491">
            <w:r w:rsidRPr="00C03A66">
              <w:rPr>
                <w:sz w:val="18"/>
                <w:szCs w:val="18"/>
                <w:vertAlign w:val="superscript"/>
              </w:rPr>
              <w:t>#</w:t>
            </w:r>
            <w:proofErr w:type="gramStart"/>
            <w:r w:rsidRPr="00C03A66">
              <w:rPr>
                <w:sz w:val="18"/>
                <w:szCs w:val="18"/>
                <w:vertAlign w:val="superscript"/>
              </w:rPr>
              <w:t>,$</w:t>
            </w:r>
            <w:proofErr w:type="gramEnd"/>
            <w:r w:rsidRPr="00C03A66">
              <w:rPr>
                <w:sz w:val="18"/>
                <w:szCs w:val="18"/>
              </w:rPr>
              <w:t>Across columns, values with different superscript symbols differ significantly (</w:t>
            </w:r>
            <w:r w:rsidRPr="00C03A66">
              <w:rPr>
                <w:i/>
                <w:sz w:val="18"/>
                <w:szCs w:val="18"/>
              </w:rPr>
              <w:t>p</w:t>
            </w:r>
            <w:r w:rsidRPr="00C03A66">
              <w:rPr>
                <w:sz w:val="18"/>
                <w:szCs w:val="18"/>
              </w:rPr>
              <w:t>&lt; 0.05).</w:t>
            </w:r>
          </w:p>
        </w:tc>
      </w:tr>
    </w:tbl>
    <w:p w:rsidR="00962491" w:rsidRDefault="00962491" w:rsidP="00962491">
      <w:pPr>
        <w:sectPr w:rsidR="00962491" w:rsidSect="00C03A66">
          <w:pgSz w:w="12240" w:h="15840" w:code="1"/>
          <w:pgMar w:top="1440" w:right="1800" w:bottom="1872" w:left="1800" w:header="720" w:footer="1440" w:gutter="0"/>
          <w:cols w:space="720"/>
          <w:noEndnote/>
          <w:docGrid w:linePitch="360"/>
        </w:sectPr>
      </w:pPr>
    </w:p>
    <w:p w:rsidR="00962491" w:rsidRDefault="00962491" w:rsidP="00962491">
      <w:pPr>
        <w:pStyle w:val="Caption"/>
      </w:pPr>
      <w:bookmarkStart w:id="96" w:name="_Toc373267058"/>
      <w:bookmarkStart w:id="97" w:name="_Toc376465833"/>
      <w:r>
        <w:t xml:space="preserve">Table </w:t>
      </w:r>
      <w:fldSimple w:instr=" SEQ Table \* ARABIC ">
        <w:r w:rsidR="00736DB0">
          <w:rPr>
            <w:noProof/>
          </w:rPr>
          <w:t>11</w:t>
        </w:r>
      </w:fldSimple>
      <w:r>
        <w:t xml:space="preserve"> Insulin and glucose plasma levels 420 minutes following a 3 hour</w:t>
      </w:r>
      <w:r>
        <w:rPr>
          <w:noProof/>
        </w:rPr>
        <w:t xml:space="preserve"> intrusion meal</w:t>
      </w:r>
      <w:bookmarkEnd w:id="96"/>
      <w:r>
        <w:rPr>
          <w:noProof/>
        </w:rPr>
        <w:t>.</w:t>
      </w:r>
      <w:bookmarkEnd w:id="97"/>
    </w:p>
    <w:tbl>
      <w:tblPr>
        <w:tblStyle w:val="TableClassic1"/>
        <w:tblW w:w="0" w:type="auto"/>
        <w:tblLook w:val="04A0" w:firstRow="1" w:lastRow="0" w:firstColumn="1" w:lastColumn="0" w:noHBand="0" w:noVBand="1"/>
      </w:tblPr>
      <w:tblGrid>
        <w:gridCol w:w="3280"/>
        <w:gridCol w:w="2788"/>
        <w:gridCol w:w="2788"/>
      </w:tblGrid>
      <w:tr w:rsidR="00962491" w:rsidRPr="000863B6" w:rsidTr="009624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r w:rsidRPr="000863B6">
              <w:t>Group</w:t>
            </w:r>
          </w:p>
        </w:tc>
        <w:tc>
          <w:tcPr>
            <w:tcW w:w="0" w:type="auto"/>
          </w:tcPr>
          <w:p w:rsidR="00962491" w:rsidRPr="000863B6" w:rsidRDefault="00962491" w:rsidP="00962491">
            <w:pPr>
              <w:cnfStyle w:val="100000000000" w:firstRow="1" w:lastRow="0" w:firstColumn="0" w:lastColumn="0" w:oddVBand="0" w:evenVBand="0" w:oddHBand="0" w:evenHBand="0" w:firstRowFirstColumn="0" w:firstRowLastColumn="0" w:lastRowFirstColumn="0" w:lastRowLastColumn="0"/>
              <w:rPr>
                <w:i w:val="0"/>
                <w:iCs w:val="0"/>
              </w:rPr>
            </w:pPr>
            <w:r w:rsidRPr="000863B6">
              <w:t>Baseline</w:t>
            </w:r>
          </w:p>
        </w:tc>
        <w:tc>
          <w:tcPr>
            <w:tcW w:w="0" w:type="auto"/>
          </w:tcPr>
          <w:p w:rsidR="00962491" w:rsidRPr="000863B6" w:rsidRDefault="00962491" w:rsidP="00962491">
            <w:pPr>
              <w:cnfStyle w:val="100000000000" w:firstRow="1" w:lastRow="0" w:firstColumn="0" w:lastColumn="0" w:oddVBand="0" w:evenVBand="0" w:oddHBand="0" w:evenHBand="0" w:firstRowFirstColumn="0" w:firstRowLastColumn="0" w:lastRowFirstColumn="0" w:lastRowLastColumn="0"/>
            </w:pPr>
            <w:r>
              <w:t>End of study</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000000"/>
              <w:bottom w:val="single" w:sz="2" w:space="0" w:color="000000"/>
            </w:tcBorders>
          </w:tcPr>
          <w:p w:rsidR="00962491" w:rsidRPr="000863B6" w:rsidRDefault="00962491" w:rsidP="00962491">
            <w:r w:rsidRPr="000863B6">
              <w:t>Time (min)</w:t>
            </w:r>
          </w:p>
        </w:tc>
        <w:tc>
          <w:tcPr>
            <w:tcW w:w="0" w:type="auto"/>
            <w:tcBorders>
              <w:top w:val="single" w:sz="6" w:space="0" w:color="000000"/>
              <w:bottom w:val="single" w:sz="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420</w:t>
            </w:r>
          </w:p>
        </w:tc>
        <w:tc>
          <w:tcPr>
            <w:tcW w:w="0" w:type="auto"/>
            <w:tcBorders>
              <w:top w:val="single" w:sz="6" w:space="0" w:color="000000"/>
              <w:bottom w:val="single" w:sz="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420</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000000"/>
            </w:tcBorders>
          </w:tcPr>
          <w:p w:rsidR="00962491" w:rsidRDefault="00962491" w:rsidP="00962491">
            <w:r w:rsidRPr="000863B6">
              <w:t>Glucose</w:t>
            </w:r>
          </w:p>
          <w:p w:rsidR="00962491" w:rsidRPr="000863B6" w:rsidRDefault="00962491" w:rsidP="00962491">
            <w:r w:rsidRPr="000863B6">
              <w:t>(mg/dL)</w:t>
            </w:r>
          </w:p>
        </w:tc>
        <w:tc>
          <w:tcPr>
            <w:tcW w:w="0" w:type="auto"/>
            <w:tcBorders>
              <w:top w:val="single" w:sz="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Borders>
              <w:top w:val="single" w:sz="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rPr>
                <w:vertAlign w:val="superscript"/>
              </w:rPr>
            </w:pPr>
            <w:r w:rsidRPr="000863B6">
              <w:t>ObN</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87.0 ±</w:t>
            </w:r>
            <w:r>
              <w:t xml:space="preserve">  </w:t>
            </w:r>
            <w:r w:rsidRPr="000863B6">
              <w:t xml:space="preserve"> 7.1</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84.6 ± 10.5</w:t>
            </w:r>
            <w:r w:rsidR="00736DB0">
              <w:rPr>
                <w:vertAlign w:val="superscript"/>
              </w:rPr>
              <w:t>a</w:t>
            </w:r>
            <w:r>
              <w:rPr>
                <w:vertAlign w:val="superscript"/>
              </w:rPr>
              <w:t>,#</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rPr>
                <w:vertAlign w:val="superscript"/>
              </w:rPr>
            </w:pPr>
            <w:r w:rsidRPr="000863B6">
              <w:t>ObP</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94.6 </w:t>
            </w:r>
            <w:r w:rsidRPr="000863B6">
              <w:t>±</w:t>
            </w:r>
            <w:r>
              <w:t xml:space="preserve">   2.2</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82.4 </w:t>
            </w:r>
            <w:r w:rsidRPr="000863B6">
              <w:t>±</w:t>
            </w:r>
            <w:r>
              <w:t xml:space="preserve"> 10.0</w:t>
            </w:r>
            <w:r w:rsidR="00736DB0">
              <w:rPr>
                <w:vertAlign w:val="superscript"/>
              </w:rPr>
              <w:t>a</w:t>
            </w:r>
            <w:r>
              <w:rPr>
                <w:vertAlign w:val="superscript"/>
              </w:rPr>
              <w:t>,#</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rPr>
                <w:vertAlign w:val="superscript"/>
              </w:rPr>
            </w:pPr>
            <w:r w:rsidRPr="000863B6">
              <w:t>WLD</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110.0 </w:t>
            </w:r>
            <w:r w:rsidRPr="000863B6">
              <w:t>±</w:t>
            </w:r>
            <w:r>
              <w:t xml:space="preserve"> 16.5</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89.8 </w:t>
            </w:r>
            <w:r w:rsidRPr="000863B6">
              <w:t>±</w:t>
            </w:r>
            <w:r>
              <w:t xml:space="preserve">  7.3</w:t>
            </w:r>
            <w:r w:rsidR="00736DB0">
              <w:rPr>
                <w:vertAlign w:val="superscript"/>
              </w:rPr>
              <w:t>a</w:t>
            </w:r>
            <w:r>
              <w:rPr>
                <w:vertAlign w:val="superscript"/>
              </w:rPr>
              <w:t>,#</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IBW</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100.8 ± 11.5</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 xml:space="preserve">76.4 ± </w:t>
            </w:r>
            <w:r>
              <w:t xml:space="preserve"> </w:t>
            </w:r>
            <w:r w:rsidRPr="000863B6">
              <w:t>7.8</w:t>
            </w:r>
            <w:r w:rsidR="00736DB0">
              <w:rPr>
                <w:vertAlign w:val="superscript"/>
              </w:rPr>
              <w:t>a</w:t>
            </w:r>
            <w:r>
              <w:rPr>
                <w:vertAlign w:val="superscript"/>
              </w:rPr>
              <w:t>,$</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rsidRPr="000863B6">
              <w:t>Insulin</w:t>
            </w:r>
          </w:p>
          <w:p w:rsidR="00962491" w:rsidRPr="000863B6" w:rsidRDefault="00962491" w:rsidP="00962491">
            <w:r w:rsidRPr="000863B6">
              <w:t>(pg/mL)</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ObN</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318.5 ± 151.6</w:t>
            </w:r>
            <w:r>
              <w:rPr>
                <w:vertAlign w:val="superscript"/>
              </w:rPr>
              <w:t>a,b,#</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631.0 ± 239.9</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ObP</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221.0 </w:t>
            </w:r>
            <w:r w:rsidRPr="000863B6">
              <w:t>±</w:t>
            </w:r>
            <w:r>
              <w:t xml:space="preserve"> 146.0</w:t>
            </w:r>
            <w:r>
              <w:rPr>
                <w:vertAlign w:val="superscript"/>
              </w:rPr>
              <w:t>a,b,#</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810.4 </w:t>
            </w:r>
            <w:r w:rsidRPr="000863B6">
              <w:t>±</w:t>
            </w:r>
            <w:r>
              <w:t xml:space="preserve"> 672.2</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WLD</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116.3 </w:t>
            </w:r>
            <w:r w:rsidRPr="000863B6">
              <w:t>±</w:t>
            </w:r>
            <w:r>
              <w:t xml:space="preserve"> 82.0</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221.7 </w:t>
            </w:r>
            <w:r w:rsidRPr="000863B6">
              <w:t>±</w:t>
            </w:r>
            <w:r>
              <w:t xml:space="preserve"> 104.3</w:t>
            </w:r>
            <w:r w:rsidR="00736DB0">
              <w:rPr>
                <w:vertAlign w:val="superscript"/>
              </w:rPr>
              <w:t>b</w:t>
            </w:r>
            <w:r>
              <w:rPr>
                <w:vertAlign w:val="superscript"/>
              </w:rPr>
              <w:t>,#</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IBW</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442.8 ± 151.7</w:t>
            </w:r>
            <w:r>
              <w:rPr>
                <w:vertAlign w:val="superscript"/>
              </w:rPr>
              <w:t>b,#</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410.6 ± 415.1</w:t>
            </w:r>
            <w:r w:rsidR="00736DB0">
              <w:rPr>
                <w:vertAlign w:val="superscript"/>
              </w:rPr>
              <w:t>a,b</w:t>
            </w:r>
            <w:r>
              <w:rPr>
                <w:vertAlign w:val="superscript"/>
              </w:rPr>
              <w:t>,#</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r>
              <w:t>Insulin:glucose ratio</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ObN</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10.6 </w:t>
            </w:r>
            <w:r w:rsidRPr="000863B6">
              <w:t>±</w:t>
            </w:r>
            <w:r>
              <w:t xml:space="preserve"> 5.3</w:t>
            </w:r>
            <w:r w:rsidR="00736DB0">
              <w:rPr>
                <w:vertAlign w:val="superscript"/>
              </w:rPr>
              <w:t>a</w:t>
            </w:r>
            <w:r>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21.5 </w:t>
            </w:r>
            <w:r w:rsidRPr="000863B6">
              <w:t>±</w:t>
            </w:r>
            <w:r>
              <w:t xml:space="preserve"> 8.4</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ObP</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6.6 </w:t>
            </w:r>
            <w:r w:rsidRPr="000863B6">
              <w:t>±</w:t>
            </w:r>
            <w:r>
              <w:t xml:space="preserve"> 4.4</w:t>
            </w:r>
            <w:r w:rsidR="00736DB0">
              <w:rPr>
                <w:vertAlign w:val="superscript"/>
              </w:rPr>
              <w:t>a</w:t>
            </w:r>
            <w:r>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27.4 </w:t>
            </w:r>
            <w:r w:rsidRPr="000863B6">
              <w:t>±</w:t>
            </w:r>
            <w:r>
              <w:t xml:space="preserve"> 21.7</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WLD</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2.9 </w:t>
            </w:r>
            <w:r w:rsidRPr="000863B6">
              <w:t>±</w:t>
            </w:r>
            <w:r>
              <w:t xml:space="preserve"> 1.8</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7.1 </w:t>
            </w:r>
            <w:r w:rsidRPr="000863B6">
              <w:t>±</w:t>
            </w:r>
            <w:r>
              <w:t xml:space="preserve"> 3.5</w:t>
            </w:r>
            <w:r w:rsidR="00736DB0">
              <w:rPr>
                <w:vertAlign w:val="superscript"/>
              </w:rPr>
              <w:t>a</w:t>
            </w:r>
            <w:r>
              <w:rPr>
                <w:vertAlign w:val="superscript"/>
              </w:rPr>
              <w:t>,#</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IBW</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12.6 </w:t>
            </w:r>
            <w:r w:rsidRPr="000863B6">
              <w:t>±</w:t>
            </w:r>
            <w:r>
              <w:t xml:space="preserve"> 4.5</w:t>
            </w:r>
            <w:r w:rsidR="00736DB0">
              <w:rPr>
                <w:vertAlign w:val="superscript"/>
              </w:rPr>
              <w:t>a</w:t>
            </w:r>
            <w:r>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16.3 </w:t>
            </w:r>
            <w:r w:rsidRPr="000863B6">
              <w:t>±</w:t>
            </w:r>
            <w:r>
              <w:t xml:space="preserve"> 17.5</w:t>
            </w:r>
            <w:r w:rsidR="00736DB0">
              <w:rPr>
                <w:vertAlign w:val="superscript"/>
              </w:rPr>
              <w:t>a</w:t>
            </w:r>
            <w:r>
              <w:rPr>
                <w:vertAlign w:val="superscript"/>
              </w:rPr>
              <w:t>,#</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000000"/>
              <w:bottom w:val="nil"/>
              <w:right w:val="nil"/>
            </w:tcBorders>
          </w:tcPr>
          <w:p w:rsidR="00962491" w:rsidRPr="00C03A66" w:rsidRDefault="00962491" w:rsidP="00962491">
            <w:pPr>
              <w:rPr>
                <w:sz w:val="18"/>
                <w:szCs w:val="18"/>
              </w:rPr>
            </w:pPr>
            <w:r w:rsidRPr="00C03A66">
              <w:rPr>
                <w:sz w:val="18"/>
                <w:szCs w:val="18"/>
              </w:rPr>
              <w:t>Numerical data presented as mean ± standard deviation.</w:t>
            </w:r>
          </w:p>
          <w:p w:rsidR="00962491" w:rsidRPr="00C03A66" w:rsidRDefault="00962491" w:rsidP="00962491">
            <w:pPr>
              <w:rPr>
                <w:sz w:val="18"/>
                <w:szCs w:val="18"/>
              </w:rPr>
            </w:pPr>
            <w:r w:rsidRPr="00C03A66">
              <w:rPr>
                <w:sz w:val="18"/>
                <w:szCs w:val="18"/>
                <w:vertAlign w:val="superscript"/>
              </w:rPr>
              <w:t>*</w:t>
            </w:r>
            <w:r w:rsidRPr="00C03A66">
              <w:rPr>
                <w:sz w:val="18"/>
                <w:szCs w:val="18"/>
              </w:rPr>
              <w:t>ObN, obese nutraceutical group; ObP, obese placebo group; WLD, weight loss diet group; IBW, ideal body weight group.</w:t>
            </w:r>
          </w:p>
          <w:p w:rsidR="00962491" w:rsidRPr="00C03A66" w:rsidRDefault="00962491" w:rsidP="00962491">
            <w:pPr>
              <w:rPr>
                <w:sz w:val="18"/>
                <w:szCs w:val="18"/>
              </w:rPr>
            </w:pPr>
            <w:proofErr w:type="gramStart"/>
            <w:r w:rsidRPr="00C03A66">
              <w:rPr>
                <w:sz w:val="18"/>
                <w:szCs w:val="18"/>
                <w:vertAlign w:val="superscript"/>
              </w:rPr>
              <w:t>a,</w:t>
            </w:r>
            <w:proofErr w:type="gramEnd"/>
            <w:r w:rsidRPr="00C03A66">
              <w:rPr>
                <w:sz w:val="18"/>
                <w:szCs w:val="18"/>
                <w:vertAlign w:val="superscript"/>
              </w:rPr>
              <w:t>b</w:t>
            </w:r>
            <w:r w:rsidRPr="00C03A66">
              <w:rPr>
                <w:sz w:val="18"/>
                <w:szCs w:val="18"/>
              </w:rPr>
              <w:t>Within a column, values with different superscript letters differ significantly (</w:t>
            </w:r>
            <w:r w:rsidRPr="00C03A66">
              <w:rPr>
                <w:i/>
                <w:sz w:val="18"/>
                <w:szCs w:val="18"/>
              </w:rPr>
              <w:t>p</w:t>
            </w:r>
            <w:r w:rsidRPr="00C03A66">
              <w:rPr>
                <w:sz w:val="18"/>
                <w:szCs w:val="18"/>
              </w:rPr>
              <w:t>&lt; 0.05).</w:t>
            </w:r>
          </w:p>
          <w:p w:rsidR="00962491" w:rsidRPr="000863B6" w:rsidRDefault="00962491" w:rsidP="00962491">
            <w:r w:rsidRPr="00C03A66">
              <w:rPr>
                <w:sz w:val="18"/>
                <w:szCs w:val="18"/>
                <w:vertAlign w:val="superscript"/>
              </w:rPr>
              <w:t>#</w:t>
            </w:r>
            <w:proofErr w:type="gramStart"/>
            <w:r w:rsidRPr="00C03A66">
              <w:rPr>
                <w:sz w:val="18"/>
                <w:szCs w:val="18"/>
                <w:vertAlign w:val="superscript"/>
              </w:rPr>
              <w:t>,$</w:t>
            </w:r>
            <w:proofErr w:type="gramEnd"/>
            <w:r w:rsidRPr="00C03A66">
              <w:rPr>
                <w:sz w:val="18"/>
                <w:szCs w:val="18"/>
              </w:rPr>
              <w:t>Across columns, values with different superscript symbols differ significantly (</w:t>
            </w:r>
            <w:r w:rsidRPr="00C03A66">
              <w:rPr>
                <w:i/>
                <w:sz w:val="18"/>
                <w:szCs w:val="18"/>
              </w:rPr>
              <w:t>p</w:t>
            </w:r>
            <w:r w:rsidRPr="00C03A66">
              <w:rPr>
                <w:sz w:val="18"/>
                <w:szCs w:val="18"/>
              </w:rPr>
              <w:t>&lt; 0.05).</w:t>
            </w:r>
          </w:p>
        </w:tc>
      </w:tr>
    </w:tbl>
    <w:p w:rsidR="00962491" w:rsidRDefault="00962491" w:rsidP="00962491"/>
    <w:p w:rsidR="00962491" w:rsidRDefault="00962491" w:rsidP="00962491"/>
    <w:p w:rsidR="00962491" w:rsidRDefault="00962491" w:rsidP="00962491"/>
    <w:p w:rsidR="007B64B6" w:rsidRDefault="007B64B6" w:rsidP="00962491">
      <w:pPr>
        <w:pStyle w:val="Caption"/>
      </w:pPr>
      <w:bookmarkStart w:id="98" w:name="_Toc373267059"/>
    </w:p>
    <w:p w:rsidR="007B64B6" w:rsidRDefault="007B64B6" w:rsidP="00962491">
      <w:pPr>
        <w:pStyle w:val="Caption"/>
      </w:pPr>
    </w:p>
    <w:p w:rsidR="007B64B6" w:rsidRDefault="007B64B6" w:rsidP="00962491">
      <w:pPr>
        <w:pStyle w:val="Caption"/>
      </w:pPr>
    </w:p>
    <w:p w:rsidR="007B64B6" w:rsidRDefault="007B64B6" w:rsidP="00962491">
      <w:pPr>
        <w:pStyle w:val="Caption"/>
      </w:pPr>
    </w:p>
    <w:p w:rsidR="007B64B6" w:rsidRDefault="007B64B6" w:rsidP="00962491">
      <w:pPr>
        <w:pStyle w:val="Caption"/>
      </w:pPr>
    </w:p>
    <w:p w:rsidR="007B64B6" w:rsidRDefault="007B64B6" w:rsidP="00962491">
      <w:pPr>
        <w:pStyle w:val="Caption"/>
      </w:pPr>
    </w:p>
    <w:p w:rsidR="007B64B6" w:rsidRDefault="007B64B6" w:rsidP="00962491">
      <w:pPr>
        <w:pStyle w:val="Caption"/>
      </w:pPr>
    </w:p>
    <w:p w:rsidR="007B64B6" w:rsidRDefault="007B64B6" w:rsidP="00962491">
      <w:pPr>
        <w:pStyle w:val="Caption"/>
      </w:pPr>
    </w:p>
    <w:p w:rsidR="007B64B6" w:rsidRPr="007B64B6" w:rsidRDefault="007B64B6" w:rsidP="007B64B6"/>
    <w:p w:rsidR="00962491" w:rsidRDefault="00962491" w:rsidP="00962491">
      <w:pPr>
        <w:pStyle w:val="Caption"/>
      </w:pPr>
      <w:bookmarkStart w:id="99" w:name="_Toc376465834"/>
      <w:r>
        <w:t xml:space="preserve">Table </w:t>
      </w:r>
      <w:fldSimple w:instr=" SEQ Table \* ARABIC ">
        <w:r w:rsidR="00736DB0">
          <w:rPr>
            <w:noProof/>
          </w:rPr>
          <w:t>12</w:t>
        </w:r>
      </w:fldSimple>
      <w:r>
        <w:t xml:space="preserve"> Leptin and adiponectin plasma levels 420 minutes following a 3 hour</w:t>
      </w:r>
      <w:r>
        <w:rPr>
          <w:noProof/>
        </w:rPr>
        <w:t xml:space="preserve"> intrusion meal</w:t>
      </w:r>
      <w:bookmarkEnd w:id="98"/>
      <w:r>
        <w:rPr>
          <w:noProof/>
        </w:rPr>
        <w:t>.</w:t>
      </w:r>
      <w:bookmarkEnd w:id="99"/>
    </w:p>
    <w:tbl>
      <w:tblPr>
        <w:tblStyle w:val="TableClassic1"/>
        <w:tblW w:w="0" w:type="auto"/>
        <w:tblLook w:val="04A0" w:firstRow="1" w:lastRow="0" w:firstColumn="1" w:lastColumn="0" w:noHBand="0" w:noVBand="1"/>
      </w:tblPr>
      <w:tblGrid>
        <w:gridCol w:w="2804"/>
        <w:gridCol w:w="3026"/>
        <w:gridCol w:w="3026"/>
      </w:tblGrid>
      <w:tr w:rsidR="00962491" w:rsidRPr="000863B6" w:rsidTr="009624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r w:rsidRPr="000863B6">
              <w:t>Group</w:t>
            </w:r>
          </w:p>
        </w:tc>
        <w:tc>
          <w:tcPr>
            <w:tcW w:w="0" w:type="auto"/>
          </w:tcPr>
          <w:p w:rsidR="00962491" w:rsidRPr="000863B6" w:rsidRDefault="00962491" w:rsidP="00962491">
            <w:pPr>
              <w:cnfStyle w:val="100000000000" w:firstRow="1" w:lastRow="0" w:firstColumn="0" w:lastColumn="0" w:oddVBand="0" w:evenVBand="0" w:oddHBand="0" w:evenHBand="0" w:firstRowFirstColumn="0" w:firstRowLastColumn="0" w:lastRowFirstColumn="0" w:lastRowLastColumn="0"/>
              <w:rPr>
                <w:i w:val="0"/>
                <w:iCs w:val="0"/>
              </w:rPr>
            </w:pPr>
            <w:r w:rsidRPr="000863B6">
              <w:t>Baseline</w:t>
            </w:r>
          </w:p>
        </w:tc>
        <w:tc>
          <w:tcPr>
            <w:tcW w:w="0" w:type="auto"/>
          </w:tcPr>
          <w:p w:rsidR="00962491" w:rsidRPr="000863B6" w:rsidRDefault="00962491" w:rsidP="00962491">
            <w:pPr>
              <w:cnfStyle w:val="100000000000" w:firstRow="1" w:lastRow="0" w:firstColumn="0" w:lastColumn="0" w:oddVBand="0" w:evenVBand="0" w:oddHBand="0" w:evenHBand="0" w:firstRowFirstColumn="0" w:firstRowLastColumn="0" w:lastRowFirstColumn="0" w:lastRowLastColumn="0"/>
            </w:pPr>
            <w:r>
              <w:t>End of study</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000000"/>
              <w:bottom w:val="single" w:sz="2" w:space="0" w:color="000000"/>
            </w:tcBorders>
          </w:tcPr>
          <w:p w:rsidR="00962491" w:rsidRPr="000863B6" w:rsidRDefault="00962491" w:rsidP="00962491">
            <w:r w:rsidRPr="000863B6">
              <w:t>Time (min)</w:t>
            </w:r>
          </w:p>
        </w:tc>
        <w:tc>
          <w:tcPr>
            <w:tcW w:w="0" w:type="auto"/>
            <w:tcBorders>
              <w:top w:val="single" w:sz="6" w:space="0" w:color="000000"/>
              <w:bottom w:val="single" w:sz="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420</w:t>
            </w:r>
          </w:p>
        </w:tc>
        <w:tc>
          <w:tcPr>
            <w:tcW w:w="0" w:type="auto"/>
            <w:tcBorders>
              <w:top w:val="single" w:sz="6" w:space="0" w:color="000000"/>
              <w:bottom w:val="single" w:sz="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420</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rsidRPr="000863B6">
              <w:t>Leptin</w:t>
            </w:r>
          </w:p>
          <w:p w:rsidR="00962491" w:rsidRPr="000863B6" w:rsidRDefault="00962491" w:rsidP="00962491">
            <w:r w:rsidRPr="000863B6">
              <w:t>(pg/mL)</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rPr>
                <w:vertAlign w:val="superscript"/>
              </w:rPr>
            </w:pPr>
            <w:r w:rsidRPr="000863B6">
              <w:t>ObN</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5924.6 ± 2818.2</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1488.5 ± 477.0</w:t>
            </w:r>
            <w:r>
              <w:rPr>
                <w:vertAlign w:val="superscript"/>
              </w:rPr>
              <w:t>a,b,$</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rPr>
                <w:vertAlign w:val="superscript"/>
              </w:rPr>
            </w:pPr>
            <w:r w:rsidRPr="000863B6">
              <w:t>ObP</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2481.2 </w:t>
            </w:r>
            <w:r w:rsidRPr="000863B6">
              <w:t>±</w:t>
            </w:r>
            <w:r>
              <w:t xml:space="preserve"> 1051.3</w:t>
            </w:r>
            <w:r w:rsidR="007B64B6">
              <w:rPr>
                <w:vertAlign w:val="superscript"/>
              </w:rPr>
              <w:t>a</w:t>
            </w:r>
            <w:r>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3002.4 </w:t>
            </w:r>
            <w:r w:rsidRPr="000863B6">
              <w:t>±</w:t>
            </w:r>
            <w:r>
              <w:t xml:space="preserve"> 807.4</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rPr>
                <w:vertAlign w:val="superscript"/>
              </w:rPr>
            </w:pPr>
            <w:r w:rsidRPr="000863B6">
              <w:t>WLD</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3075.7 </w:t>
            </w:r>
            <w:r w:rsidRPr="000863B6">
              <w:t>±</w:t>
            </w:r>
            <w:r>
              <w:t xml:space="preserve"> 1459.6</w:t>
            </w:r>
            <w:r w:rsidR="007B64B6">
              <w:rPr>
                <w:vertAlign w:val="superscript"/>
              </w:rPr>
              <w:t>a</w:t>
            </w:r>
            <w:r>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1382.3 </w:t>
            </w:r>
            <w:r w:rsidRPr="000863B6">
              <w:t>±</w:t>
            </w:r>
            <w:r>
              <w:t xml:space="preserve"> 1166.4</w:t>
            </w:r>
            <w:r>
              <w:rPr>
                <w:vertAlign w:val="superscript"/>
              </w:rPr>
              <w:t>b,$</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IBW</w:t>
            </w:r>
            <w:r w:rsidRPr="000863B6">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611.1 ± 274.3</w:t>
            </w:r>
            <w:r w:rsidR="007B64B6">
              <w:rPr>
                <w:vertAlign w:val="superscript"/>
              </w:rPr>
              <w:t>b</w:t>
            </w:r>
            <w:r>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1513.2 ± 703.4</w:t>
            </w:r>
            <w:r>
              <w:rPr>
                <w:vertAlign w:val="superscript"/>
              </w:rPr>
              <w:t>b,$</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commentRangeStart w:id="100"/>
            <w:r w:rsidRPr="000863B6">
              <w:t>Adiponectin</w:t>
            </w:r>
            <w:commentRangeEnd w:id="100"/>
            <w:r w:rsidRPr="000863B6">
              <w:rPr>
                <w:rStyle w:val="CommentReference"/>
                <w:sz w:val="24"/>
                <w:szCs w:val="24"/>
              </w:rPr>
              <w:commentReference w:id="100"/>
            </w:r>
          </w:p>
          <w:p w:rsidR="00962491" w:rsidRPr="000863B6" w:rsidRDefault="00962491" w:rsidP="00962491">
            <w:r w:rsidRPr="000863B6">
              <w:t>(ng/mL)</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ObN</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6.4 ± 4.1</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7.0 ± 2.6</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ObP</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7.2 </w:t>
            </w:r>
            <w:r w:rsidRPr="000863B6">
              <w:t>±</w:t>
            </w:r>
            <w:r>
              <w:t xml:space="preserve"> 2.4</w:t>
            </w:r>
            <w:r w:rsidR="007B64B6">
              <w:rPr>
                <w:vertAlign w:val="superscript"/>
              </w:rPr>
              <w:t>a</w:t>
            </w:r>
            <w:r>
              <w:rPr>
                <w:vertAlign w:val="superscript"/>
              </w:rPr>
              <w:t>,#</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5.8 </w:t>
            </w:r>
            <w:r w:rsidRPr="000863B6">
              <w:t>±</w:t>
            </w:r>
            <w:r>
              <w:t xml:space="preserve"> 1.9</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0863B6" w:rsidRDefault="00962491" w:rsidP="00962491">
            <w:pPr>
              <w:jc w:val="center"/>
            </w:pPr>
            <w:r w:rsidRPr="000863B6">
              <w:t>WLD</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6.4 </w:t>
            </w:r>
            <w:r w:rsidRPr="000863B6">
              <w:t>±</w:t>
            </w:r>
            <w:r>
              <w:t xml:space="preserve"> 2.3</w:t>
            </w:r>
            <w:r>
              <w:rPr>
                <w:vertAlign w:val="superscript"/>
              </w:rPr>
              <w:t>a,#</w:t>
            </w:r>
          </w:p>
        </w:tc>
        <w:tc>
          <w:tcPr>
            <w:tcW w:w="0" w:type="auto"/>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t xml:space="preserve">5.6 </w:t>
            </w:r>
            <w:r w:rsidRPr="000863B6">
              <w:t>±</w:t>
            </w:r>
            <w:r>
              <w:t xml:space="preserve"> 1.9</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962491" w:rsidRPr="000863B6" w:rsidRDefault="00962491" w:rsidP="00962491">
            <w:pPr>
              <w:jc w:val="center"/>
            </w:pPr>
            <w:r w:rsidRPr="000863B6">
              <w:t>IBW</w:t>
            </w:r>
          </w:p>
        </w:tc>
        <w:tc>
          <w:tcPr>
            <w:tcW w:w="0" w:type="auto"/>
            <w:tcBorders>
              <w:bottom w:val="single" w:sz="1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10.2 ± 8.0</w:t>
            </w:r>
            <w:r w:rsidR="007B64B6">
              <w:rPr>
                <w:vertAlign w:val="superscript"/>
              </w:rPr>
              <w:t>a</w:t>
            </w:r>
            <w:r>
              <w:rPr>
                <w:vertAlign w:val="superscript"/>
              </w:rPr>
              <w:t>,#</w:t>
            </w:r>
          </w:p>
        </w:tc>
        <w:tc>
          <w:tcPr>
            <w:tcW w:w="0" w:type="auto"/>
            <w:tcBorders>
              <w:bottom w:val="single" w:sz="12" w:space="0" w:color="000000"/>
            </w:tcBorders>
          </w:tcPr>
          <w:p w:rsidR="00962491" w:rsidRPr="000863B6" w:rsidRDefault="00962491" w:rsidP="00962491">
            <w:pPr>
              <w:cnfStyle w:val="000000000000" w:firstRow="0" w:lastRow="0" w:firstColumn="0" w:lastColumn="0" w:oddVBand="0" w:evenVBand="0" w:oddHBand="0" w:evenHBand="0" w:firstRowFirstColumn="0" w:firstRowLastColumn="0" w:lastRowFirstColumn="0" w:lastRowLastColumn="0"/>
            </w:pPr>
            <w:r w:rsidRPr="000863B6">
              <w:t>5.0 ± 0.9</w:t>
            </w:r>
            <w:r>
              <w:rPr>
                <w:vertAlign w:val="superscript"/>
              </w:rPr>
              <w:t>a,#</w:t>
            </w:r>
          </w:p>
        </w:tc>
      </w:tr>
      <w:tr w:rsidR="00962491" w:rsidRPr="000863B6" w:rsidTr="00962491">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000000"/>
              <w:bottom w:val="nil"/>
              <w:right w:val="nil"/>
            </w:tcBorders>
          </w:tcPr>
          <w:p w:rsidR="00962491" w:rsidRPr="00C03A66" w:rsidRDefault="00962491" w:rsidP="00962491">
            <w:pPr>
              <w:rPr>
                <w:sz w:val="18"/>
                <w:szCs w:val="18"/>
              </w:rPr>
            </w:pPr>
            <w:r w:rsidRPr="00C03A66">
              <w:rPr>
                <w:sz w:val="18"/>
                <w:szCs w:val="18"/>
              </w:rPr>
              <w:t>Numerical data presented as mean ± standard deviation.</w:t>
            </w:r>
          </w:p>
          <w:p w:rsidR="00962491" w:rsidRPr="00C03A66" w:rsidRDefault="00962491" w:rsidP="00962491">
            <w:pPr>
              <w:rPr>
                <w:sz w:val="18"/>
                <w:szCs w:val="18"/>
              </w:rPr>
            </w:pPr>
            <w:r w:rsidRPr="00C03A66">
              <w:rPr>
                <w:sz w:val="18"/>
                <w:szCs w:val="18"/>
                <w:vertAlign w:val="superscript"/>
              </w:rPr>
              <w:t>*</w:t>
            </w:r>
            <w:r w:rsidRPr="00C03A66">
              <w:rPr>
                <w:sz w:val="18"/>
                <w:szCs w:val="18"/>
              </w:rPr>
              <w:t>ObN, obese nutraceutical group; ObP, obese placebo group; WLD, weight loss diet group; IBW, ideal body weight group.</w:t>
            </w:r>
          </w:p>
          <w:p w:rsidR="00962491" w:rsidRPr="00C03A66" w:rsidRDefault="00962491" w:rsidP="00962491">
            <w:pPr>
              <w:rPr>
                <w:sz w:val="18"/>
                <w:szCs w:val="18"/>
              </w:rPr>
            </w:pPr>
            <w:proofErr w:type="gramStart"/>
            <w:r w:rsidRPr="00C03A66">
              <w:rPr>
                <w:sz w:val="18"/>
                <w:szCs w:val="18"/>
                <w:vertAlign w:val="superscript"/>
              </w:rPr>
              <w:t>a,</w:t>
            </w:r>
            <w:proofErr w:type="gramEnd"/>
            <w:r w:rsidRPr="00C03A66">
              <w:rPr>
                <w:sz w:val="18"/>
                <w:szCs w:val="18"/>
                <w:vertAlign w:val="superscript"/>
              </w:rPr>
              <w:t>b</w:t>
            </w:r>
            <w:r w:rsidRPr="00C03A66">
              <w:rPr>
                <w:sz w:val="18"/>
                <w:szCs w:val="18"/>
              </w:rPr>
              <w:t>Within a column, values with different superscript letters differ significantly (</w:t>
            </w:r>
            <w:r w:rsidRPr="00C03A66">
              <w:rPr>
                <w:i/>
                <w:sz w:val="18"/>
                <w:szCs w:val="18"/>
              </w:rPr>
              <w:t>p</w:t>
            </w:r>
            <w:r w:rsidRPr="00C03A66">
              <w:rPr>
                <w:sz w:val="18"/>
                <w:szCs w:val="18"/>
              </w:rPr>
              <w:t>&lt; 0.05).</w:t>
            </w:r>
          </w:p>
          <w:p w:rsidR="00962491" w:rsidRPr="000863B6" w:rsidRDefault="00962491" w:rsidP="00962491">
            <w:r w:rsidRPr="00C03A66">
              <w:rPr>
                <w:sz w:val="18"/>
                <w:szCs w:val="18"/>
                <w:vertAlign w:val="superscript"/>
              </w:rPr>
              <w:t>#</w:t>
            </w:r>
            <w:proofErr w:type="gramStart"/>
            <w:r w:rsidRPr="00C03A66">
              <w:rPr>
                <w:sz w:val="18"/>
                <w:szCs w:val="18"/>
                <w:vertAlign w:val="superscript"/>
              </w:rPr>
              <w:t>,$</w:t>
            </w:r>
            <w:proofErr w:type="gramEnd"/>
            <w:r w:rsidRPr="00C03A66">
              <w:rPr>
                <w:sz w:val="18"/>
                <w:szCs w:val="18"/>
              </w:rPr>
              <w:t>Across columns, values with different superscript symbols differ significantly (</w:t>
            </w:r>
            <w:r w:rsidRPr="00C03A66">
              <w:rPr>
                <w:i/>
                <w:sz w:val="18"/>
                <w:szCs w:val="18"/>
              </w:rPr>
              <w:t>p</w:t>
            </w:r>
            <w:r w:rsidRPr="00C03A66">
              <w:rPr>
                <w:sz w:val="18"/>
                <w:szCs w:val="18"/>
              </w:rPr>
              <w:t>&lt; 0.05).</w:t>
            </w:r>
          </w:p>
        </w:tc>
      </w:tr>
    </w:tbl>
    <w:p w:rsidR="00E64B22" w:rsidRDefault="00E64B22" w:rsidP="00732C1B"/>
    <w:p w:rsidR="00962491" w:rsidRDefault="00962491" w:rsidP="00732C1B"/>
    <w:p w:rsidR="00962491" w:rsidRDefault="00962491" w:rsidP="00732C1B"/>
    <w:p w:rsidR="00962491" w:rsidRDefault="00962491" w:rsidP="00962491">
      <w:pPr>
        <w:pStyle w:val="Heading3"/>
      </w:pPr>
      <w:bookmarkStart w:id="101" w:name="_Toc373267037"/>
      <w:bookmarkStart w:id="102" w:name="_Toc376465788"/>
      <w:r>
        <w:t>PCR</w:t>
      </w:r>
      <w:bookmarkEnd w:id="101"/>
      <w:bookmarkEnd w:id="102"/>
    </w:p>
    <w:p w:rsidR="00962491" w:rsidRDefault="00962491" w:rsidP="00962491">
      <w:pPr>
        <w:pStyle w:val="Heading4"/>
      </w:pPr>
      <w:r>
        <w:t>Muscle</w:t>
      </w:r>
    </w:p>
    <w:p w:rsidR="00962491" w:rsidRDefault="00962491" w:rsidP="00962491">
      <w:pPr>
        <w:pStyle w:val="Heading5"/>
      </w:pPr>
      <w:r>
        <w:t>Obesification</w:t>
      </w:r>
      <w:r w:rsidR="007C6BF6">
        <w:t xml:space="preserve"> groups; ObN, ObP, WLD</w:t>
      </w:r>
    </w:p>
    <w:p w:rsidR="00962491" w:rsidRPr="00E477DA" w:rsidRDefault="00962491" w:rsidP="00962491">
      <w:r>
        <w:t>Two dogs from group ObP did not have muscle samples from one week into treatment.  One dog from group WLD did not have a baseline muscle sample.  Since baseline samples are necessary for the 2</w:t>
      </w:r>
      <w:r>
        <w:rPr>
          <w:vertAlign w:val="superscript"/>
        </w:rPr>
        <w:t>-ΔΔCT</w:t>
      </w:r>
      <w:r>
        <w:t xml:space="preserve"> calculation, the average baseli</w:t>
      </w:r>
      <w:r w:rsidRPr="00A847FD">
        <w:t xml:space="preserve">ne </w:t>
      </w:r>
      <w:r w:rsidRPr="00A847FD">
        <w:rPr>
          <w:color w:val="000000"/>
        </w:rPr>
        <w:t xml:space="preserve">ΔCт </w:t>
      </w:r>
      <w:r>
        <w:rPr>
          <w:color w:val="000000"/>
        </w:rPr>
        <w:t>for each gene representing groups ObN, ObP, WLD (excluding the 3 dogs dropped from all analyses)</w:t>
      </w:r>
      <w:r>
        <w:t xml:space="preserve"> were used for that dog’s subsequent calculations.  There were no within group expression differences for all genes.  There were no differences between groups for UCP3,</w:t>
      </w:r>
      <w:r w:rsidRPr="00E477DA">
        <w:t xml:space="preserve"> </w:t>
      </w:r>
      <w:r>
        <w:t>PGC1α, NRF1, or SIRT3.  ObN had higher SIRT1 expression than WLD (</w:t>
      </w:r>
      <w:r>
        <w:rPr>
          <w:i/>
        </w:rPr>
        <w:t>p</w:t>
      </w:r>
      <w:r>
        <w:t xml:space="preserve"> = 0.0261), but ObP expression did not differ from either group one week into treatment.  By study end, there were no SIRT1 differences between groups </w:t>
      </w:r>
      <w:r w:rsidR="005817F5">
        <w:rPr>
          <w:color w:val="FF0000"/>
        </w:rPr>
        <w:t>(Table 13</w:t>
      </w:r>
      <w:r>
        <w:rPr>
          <w:color w:val="FF0000"/>
        </w:rPr>
        <w:t>)</w:t>
      </w:r>
      <w:r>
        <w:t>.</w:t>
      </w:r>
    </w:p>
    <w:p w:rsidR="00962491" w:rsidRDefault="00962491" w:rsidP="00962491">
      <w:pPr>
        <w:pStyle w:val="Heading5"/>
      </w:pPr>
      <w:r>
        <w:t>Maintain ideal</w:t>
      </w:r>
      <w:r w:rsidR="007C6BF6">
        <w:t xml:space="preserve"> body weight group; IBW</w:t>
      </w:r>
    </w:p>
    <w:p w:rsidR="00962491" w:rsidRDefault="00962491" w:rsidP="00962491">
      <w:r>
        <w:t>There were no within group IBW differences for all genes based on study arms.  There were also no differences between IBW and all other groups for UCP3, PGC1α, or NRF1.  SIRT1 expression was greater for ObN than IBW (</w:t>
      </w:r>
      <w:r>
        <w:rPr>
          <w:i/>
        </w:rPr>
        <w:t>p</w:t>
      </w:r>
      <w:r>
        <w:t xml:space="preserve"> = 0.011), but IBW did not differ from all other groups one week into treatment.  There was no group </w:t>
      </w:r>
      <w:r w:rsidR="007C6BF6">
        <w:t xml:space="preserve">SIRT1 </w:t>
      </w:r>
      <w:r>
        <w:t>expression difference by study termination.  SIRT3 expression was greater for ObN than IBW (</w:t>
      </w:r>
      <w:r>
        <w:rPr>
          <w:i/>
        </w:rPr>
        <w:t>p</w:t>
      </w:r>
      <w:r w:rsidR="007C6BF6">
        <w:t xml:space="preserve"> = </w:t>
      </w:r>
      <w:r>
        <w:t xml:space="preserve">0.0357), but IBW did not differ from all other groups one week into treatment.  There was no group difference </w:t>
      </w:r>
      <w:r w:rsidR="007C6BF6">
        <w:t xml:space="preserve">in SIRT3 expression </w:t>
      </w:r>
      <w:r>
        <w:t xml:space="preserve">by study termination </w:t>
      </w:r>
      <w:r w:rsidR="005817F5">
        <w:rPr>
          <w:color w:val="FF0000"/>
        </w:rPr>
        <w:t>(Table 13</w:t>
      </w:r>
      <w:r>
        <w:rPr>
          <w:color w:val="FF0000"/>
        </w:rPr>
        <w:t>)</w:t>
      </w:r>
      <w:r>
        <w:t>.</w:t>
      </w:r>
    </w:p>
    <w:p w:rsidR="00962491" w:rsidRDefault="00962491" w:rsidP="00962491">
      <w:pPr>
        <w:pStyle w:val="Heading4"/>
      </w:pPr>
      <w:r>
        <w:t>Fat</w:t>
      </w:r>
    </w:p>
    <w:p w:rsidR="00962491" w:rsidRPr="007C7AA0" w:rsidRDefault="00962491" w:rsidP="00962491">
      <w:r>
        <w:t>SIRT3 tissue expression was below the sensitivity of the assay.  Due to insufficient fat samples from baseline and one week in</w:t>
      </w:r>
      <w:r w:rsidR="007C6BF6">
        <w:t>to treatment for group</w:t>
      </w:r>
      <w:r>
        <w:t xml:space="preserve"> IBW, 2</w:t>
      </w:r>
      <w:r>
        <w:rPr>
          <w:vertAlign w:val="superscript"/>
        </w:rPr>
        <w:t>-ΔΔCT</w:t>
      </w:r>
      <w:r>
        <w:t xml:space="preserve"> calculations could not be performed.  </w:t>
      </w:r>
      <w:r w:rsidR="007F77CB">
        <w:t>NRF1 expression for group WLD was lower than ObN (</w:t>
      </w:r>
      <w:r w:rsidR="007F77CB">
        <w:rPr>
          <w:i/>
        </w:rPr>
        <w:t>p</w:t>
      </w:r>
      <w:r w:rsidR="007F77CB">
        <w:t xml:space="preserve"> = 0.0102) and ObP (</w:t>
      </w:r>
      <w:r w:rsidR="007F77CB">
        <w:rPr>
          <w:i/>
        </w:rPr>
        <w:t>p</w:t>
      </w:r>
      <w:r w:rsidR="007F77CB">
        <w:t xml:space="preserve"> = 0.0072) one week into treatment.  NRF1 expression remained lower by study termination for WLD vs. ObN (</w:t>
      </w:r>
      <w:r w:rsidR="007F77CB">
        <w:rPr>
          <w:i/>
        </w:rPr>
        <w:t>p</w:t>
      </w:r>
      <w:r w:rsidR="007F77CB">
        <w:t xml:space="preserve"> = 0.0059).  </w:t>
      </w:r>
      <w:r>
        <w:t>There were no</w:t>
      </w:r>
      <w:r w:rsidR="007F77CB">
        <w:t xml:space="preserve"> other</w:t>
      </w:r>
      <w:r>
        <w:t xml:space="preserve"> within or between group differences for all genes and time points tested for groups ObN, ObP, WLD </w:t>
      </w:r>
      <w:r w:rsidR="005817F5">
        <w:rPr>
          <w:color w:val="FF0000"/>
        </w:rPr>
        <w:t>(Table 14</w:t>
      </w:r>
      <w:r>
        <w:rPr>
          <w:color w:val="FF0000"/>
        </w:rPr>
        <w:t>)</w:t>
      </w:r>
      <w:r>
        <w:t>.</w:t>
      </w:r>
    </w:p>
    <w:p w:rsidR="00962491" w:rsidRDefault="00962491" w:rsidP="00962491">
      <w:pPr>
        <w:pStyle w:val="Heading3"/>
      </w:pPr>
      <w:bookmarkStart w:id="103" w:name="_Toc373267038"/>
      <w:bookmarkStart w:id="104" w:name="_Toc376465789"/>
      <w:r>
        <w:t>Cytokines</w:t>
      </w:r>
      <w:bookmarkEnd w:id="103"/>
      <w:bookmarkEnd w:id="104"/>
    </w:p>
    <w:p w:rsidR="00962491" w:rsidRDefault="003029EB" w:rsidP="00962491">
      <w:r>
        <w:t>Many IL6 (61/180</w:t>
      </w:r>
      <w:r w:rsidR="00962491">
        <w:t xml:space="preserve"> </w:t>
      </w:r>
      <w:r>
        <w:t>samples; 33.9%) and IL15 (56/180 samples; 31.1</w:t>
      </w:r>
      <w:r w:rsidR="00962491">
        <w:t>%) results were</w:t>
      </w:r>
      <w:r>
        <w:t xml:space="preserve"> reported as &lt; 36.4</w:t>
      </w:r>
      <w:r w:rsidR="00962491">
        <w:t xml:space="preserve"> pg/ml.  For analysis, th</w:t>
      </w:r>
      <w:r>
        <w:t xml:space="preserve">ese values were recorded </w:t>
      </w:r>
      <w:proofErr w:type="gramStart"/>
      <w:r>
        <w:t>as 36.3</w:t>
      </w:r>
      <w:r w:rsidR="00962491">
        <w:t xml:space="preserve"> pg/ml</w:t>
      </w:r>
      <w:proofErr w:type="gramEnd"/>
      <w:r w:rsidR="00962491">
        <w:t>.  Additional</w:t>
      </w:r>
      <w:r>
        <w:t xml:space="preserve"> samples with results </w:t>
      </w:r>
      <w:proofErr w:type="gramStart"/>
      <w:r>
        <w:t>below 36.3</w:t>
      </w:r>
      <w:r w:rsidR="00962491">
        <w:t xml:space="preserve"> </w:t>
      </w:r>
      <w:r>
        <w:t>pg/ml (IL6, 73 samples; IL15, 28</w:t>
      </w:r>
      <w:r w:rsidR="00962491">
        <w:t xml:space="preserve"> samples)</w:t>
      </w:r>
      <w:proofErr w:type="gramEnd"/>
      <w:r w:rsidR="00962491">
        <w:t xml:space="preserve"> were not adjusted.</w:t>
      </w:r>
    </w:p>
    <w:p w:rsidR="00962491" w:rsidRDefault="00962491" w:rsidP="00962491"/>
    <w:p w:rsidR="00962491" w:rsidRDefault="00962491" w:rsidP="00962491">
      <w:r>
        <w:t xml:space="preserve">There were no differences between time 0 and time 420 for cytokine results, so only time 0 is shown, but significant group differences represent both sample times.  There were no within group differences for either cytokine over time </w:t>
      </w:r>
      <w:r w:rsidR="005817F5">
        <w:rPr>
          <w:color w:val="FF0000"/>
        </w:rPr>
        <w:t>(Table 15</w:t>
      </w:r>
      <w:r>
        <w:rPr>
          <w:color w:val="FF0000"/>
        </w:rPr>
        <w:t>)</w:t>
      </w:r>
      <w:r>
        <w:t>.</w:t>
      </w:r>
    </w:p>
    <w:p w:rsidR="00962491" w:rsidRDefault="00962491" w:rsidP="00962491">
      <w:pPr>
        <w:pStyle w:val="Heading5"/>
      </w:pPr>
      <w:r>
        <w:t>Obesification</w:t>
      </w:r>
      <w:r w:rsidR="00974512">
        <w:t xml:space="preserve"> groups; ObN, ObP, WLD</w:t>
      </w:r>
    </w:p>
    <w:p w:rsidR="00962491" w:rsidRPr="00AF14B8" w:rsidRDefault="00962491" w:rsidP="00962491">
      <w:r>
        <w:t>There were no differences between groups for IL6 at any time point.  At baseline, IL15 plasma concentration was greater for ObN versus ObP (</w:t>
      </w:r>
      <w:r>
        <w:rPr>
          <w:i/>
        </w:rPr>
        <w:t>p</w:t>
      </w:r>
      <w:r>
        <w:t xml:space="preserve"> = 0.0071), but did not differ from WLD.  ObP and WLD also did not differ at baseline.  There </w:t>
      </w:r>
      <w:proofErr w:type="gramStart"/>
      <w:r>
        <w:t>were</w:t>
      </w:r>
      <w:proofErr w:type="gramEnd"/>
      <w:r>
        <w:t xml:space="preserve"> no other between group differences for IL15.</w:t>
      </w:r>
    </w:p>
    <w:p w:rsidR="00962491" w:rsidRDefault="00962491" w:rsidP="00962491">
      <w:pPr>
        <w:pStyle w:val="Heading5"/>
      </w:pPr>
      <w:r>
        <w:t>Mai</w:t>
      </w:r>
      <w:r w:rsidR="00974512">
        <w:t>ntain ideal body weight group; IBW</w:t>
      </w:r>
    </w:p>
    <w:p w:rsidR="00962491" w:rsidRDefault="00974512" w:rsidP="00962491">
      <w:r>
        <w:t>There were no</w:t>
      </w:r>
      <w:r w:rsidR="00962491">
        <w:t xml:space="preserve"> between group differences for IBW and all other groups for IL6.  At baseline, IL15 plasma levels did not differ between IBW, ObP, and WLD, but IBW levels were lower than ObN (</w:t>
      </w:r>
      <w:r w:rsidR="00962491">
        <w:rPr>
          <w:i/>
        </w:rPr>
        <w:t>p</w:t>
      </w:r>
      <w:r w:rsidR="00962491">
        <w:t xml:space="preserve"> &lt; 0.0001). </w:t>
      </w:r>
      <w:r>
        <w:t xml:space="preserve"> </w:t>
      </w:r>
      <w:r w:rsidR="00962491">
        <w:t>One week into treatment, IL15 was lower in IBW compared to WLD (</w:t>
      </w:r>
      <w:r w:rsidR="00962491">
        <w:rPr>
          <w:i/>
        </w:rPr>
        <w:t xml:space="preserve">p </w:t>
      </w:r>
      <w:r w:rsidR="00962491">
        <w:t xml:space="preserve">0.0255), but did not differ from all other groups.  At study termination, </w:t>
      </w:r>
      <w:r>
        <w:t xml:space="preserve">IBW </w:t>
      </w:r>
      <w:r w:rsidR="00962491">
        <w:t>IL15 did not differ from all other groups.</w:t>
      </w:r>
    </w:p>
    <w:p w:rsidR="00962491" w:rsidRDefault="00962491" w:rsidP="00962491"/>
    <w:p w:rsidR="00962491" w:rsidRDefault="00962491" w:rsidP="00962491"/>
    <w:p w:rsidR="00962491" w:rsidRDefault="00962491" w:rsidP="00962491"/>
    <w:p w:rsidR="00962491" w:rsidRDefault="00962491" w:rsidP="00962491"/>
    <w:p w:rsidR="00962491" w:rsidRDefault="00962491" w:rsidP="00962491"/>
    <w:p w:rsidR="00974512" w:rsidRDefault="00974512" w:rsidP="00962491"/>
    <w:p w:rsidR="00974512" w:rsidRDefault="00974512" w:rsidP="00962491"/>
    <w:p w:rsidR="00974512" w:rsidRDefault="00974512" w:rsidP="00962491"/>
    <w:p w:rsidR="00962491" w:rsidRDefault="00962491" w:rsidP="00962491">
      <w:pPr>
        <w:pStyle w:val="Caption"/>
      </w:pPr>
      <w:bookmarkStart w:id="105" w:name="_Toc373267062"/>
      <w:bookmarkStart w:id="106" w:name="_Toc376465835"/>
      <w:r>
        <w:t xml:space="preserve">Table </w:t>
      </w:r>
      <w:fldSimple w:instr=" SEQ Table \* ARABIC ">
        <w:r w:rsidR="00736DB0">
          <w:rPr>
            <w:noProof/>
          </w:rPr>
          <w:t>13</w:t>
        </w:r>
      </w:fldSimple>
      <w:r>
        <w:t xml:space="preserve"> Muscle PCR (∆∆CT) by group and point</w:t>
      </w:r>
      <w:bookmarkEnd w:id="105"/>
      <w:bookmarkEnd w:id="106"/>
    </w:p>
    <w:tbl>
      <w:tblPr>
        <w:tblStyle w:val="TableClassic1"/>
        <w:tblW w:w="0" w:type="auto"/>
        <w:tblLook w:val="04A0" w:firstRow="1" w:lastRow="0" w:firstColumn="1" w:lastColumn="0" w:noHBand="0" w:noVBand="1"/>
      </w:tblPr>
      <w:tblGrid>
        <w:gridCol w:w="2307"/>
        <w:gridCol w:w="3141"/>
        <w:gridCol w:w="3408"/>
      </w:tblGrid>
      <w:tr w:rsidR="00962491" w:rsidTr="009624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Group</w:t>
            </w:r>
          </w:p>
        </w:tc>
        <w:tc>
          <w:tcPr>
            <w:tcW w:w="0" w:type="auto"/>
          </w:tcPr>
          <w:p w:rsidR="00962491" w:rsidRDefault="00962491" w:rsidP="00962491">
            <w:pPr>
              <w:cnfStyle w:val="100000000000" w:firstRow="1" w:lastRow="0" w:firstColumn="0" w:lastColumn="0" w:oddVBand="0" w:evenVBand="0" w:oddHBand="0" w:evenHBand="0" w:firstRowFirstColumn="0" w:firstRowLastColumn="0" w:lastRowFirstColumn="0" w:lastRowLastColumn="0"/>
            </w:pPr>
            <w:r>
              <w:t>One week</w:t>
            </w:r>
          </w:p>
        </w:tc>
        <w:tc>
          <w:tcPr>
            <w:tcW w:w="0" w:type="auto"/>
          </w:tcPr>
          <w:p w:rsidR="00962491" w:rsidRDefault="00962491" w:rsidP="00962491">
            <w:pPr>
              <w:cnfStyle w:val="100000000000" w:firstRow="1" w:lastRow="0" w:firstColumn="0" w:lastColumn="0" w:oddVBand="0" w:evenVBand="0" w:oddHBand="0" w:evenHBand="0" w:firstRowFirstColumn="0" w:firstRowLastColumn="0" w:lastRowFirstColumn="0" w:lastRowLastColumn="0"/>
            </w:pPr>
            <w:r>
              <w:t>End of study</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SIRT1</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1D73C7" w:rsidRDefault="00962491" w:rsidP="00962491">
            <w:pPr>
              <w:jc w:val="center"/>
              <w:rPr>
                <w:vertAlign w:val="superscript"/>
              </w:rPr>
            </w:pPr>
            <w:r>
              <w:t>ObN</w:t>
            </w:r>
            <w:r>
              <w:rPr>
                <w:vertAlign w:val="superscript"/>
              </w:rPr>
              <w:t>*</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3.5 ± 2.6</w:t>
            </w:r>
            <w:r>
              <w:rPr>
                <w:vertAlign w:val="superscript"/>
              </w:rPr>
              <w:t>a,#</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2.1 ± 1.6</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1D73C7" w:rsidRDefault="00962491" w:rsidP="00962491">
            <w:pPr>
              <w:jc w:val="center"/>
              <w:rPr>
                <w:vertAlign w:val="superscript"/>
              </w:rPr>
            </w:pPr>
            <w:r>
              <w:t>ObP</w:t>
            </w:r>
            <w:r>
              <w:rPr>
                <w:vertAlign w:val="superscript"/>
              </w:rPr>
              <w:t>*</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1.2 ± 1.0</w:t>
            </w:r>
            <w:r>
              <w:rPr>
                <w:vertAlign w:val="superscript"/>
              </w:rPr>
              <w:t>a,b,#</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3.3 ± 3.6</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311E08" w:rsidRDefault="00962491" w:rsidP="00962491">
            <w:pPr>
              <w:jc w:val="center"/>
              <w:rPr>
                <w:vertAlign w:val="superscript"/>
              </w:rPr>
            </w:pPr>
            <w:r>
              <w:t>WLD</w:t>
            </w:r>
            <w:r>
              <w:rPr>
                <w:vertAlign w:val="superscript"/>
              </w:rPr>
              <w:t>*</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0.8 ± 0.5</w:t>
            </w:r>
            <w:r>
              <w:rPr>
                <w:vertAlign w:val="superscript"/>
              </w:rPr>
              <w:t>b,#</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1.4 ± 0.7</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rsidRPr="00665965">
              <w:t>IBW</w:t>
            </w:r>
            <w:r w:rsidRPr="00665965">
              <w:rPr>
                <w:vertAlign w:val="superscript"/>
              </w:rPr>
              <w:t>*</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0.7 ± 1.0</w:t>
            </w:r>
            <w:r>
              <w:rPr>
                <w:vertAlign w:val="superscript"/>
              </w:rPr>
              <w:t>b,#</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0.9 ± 0.6</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UCP3</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ObN</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3.1 ± 4.1</w:t>
            </w:r>
            <w:r>
              <w:rPr>
                <w:vertAlign w:val="superscript"/>
              </w:rPr>
              <w:t>a,#</w:t>
            </w:r>
          </w:p>
        </w:tc>
        <w:tc>
          <w:tcPr>
            <w:tcW w:w="0" w:type="auto"/>
          </w:tcPr>
          <w:p w:rsidR="00962491" w:rsidRPr="000F1E3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2.2 ± 3.4</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ObP</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4.2 ± 3.6</w:t>
            </w:r>
            <w:r>
              <w:rPr>
                <w:vertAlign w:val="superscript"/>
              </w:rPr>
              <w:t>a,#</w:t>
            </w:r>
          </w:p>
        </w:tc>
        <w:tc>
          <w:tcPr>
            <w:tcW w:w="0" w:type="auto"/>
          </w:tcPr>
          <w:p w:rsidR="00962491" w:rsidRPr="000F1E3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6.1 ± 6.5</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WLD</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0.9 ± 0.9</w:t>
            </w:r>
            <w:r>
              <w:rPr>
                <w:vertAlign w:val="superscript"/>
              </w:rPr>
              <w:t>a,#</w:t>
            </w:r>
          </w:p>
        </w:tc>
        <w:tc>
          <w:tcPr>
            <w:tcW w:w="0" w:type="auto"/>
          </w:tcPr>
          <w:p w:rsidR="00962491" w:rsidRPr="000F1E3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1.2 ± 0.8</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IBW</w:t>
            </w:r>
          </w:p>
        </w:tc>
        <w:tc>
          <w:tcPr>
            <w:tcW w:w="0" w:type="auto"/>
          </w:tcPr>
          <w:p w:rsidR="00962491" w:rsidRPr="00C0615A"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1.1 ± 0.9</w:t>
            </w:r>
            <w:r>
              <w:rPr>
                <w:vertAlign w:val="superscript"/>
              </w:rPr>
              <w:t>a,#</w:t>
            </w:r>
          </w:p>
        </w:tc>
        <w:tc>
          <w:tcPr>
            <w:tcW w:w="0" w:type="auto"/>
          </w:tcPr>
          <w:p w:rsidR="00962491" w:rsidRPr="000F1E3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1.9 ± 2.0</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PGC-1α</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ObN</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3.0 ± 2.9</w:t>
            </w:r>
            <w:r>
              <w:rPr>
                <w:vertAlign w:val="superscript"/>
              </w:rPr>
              <w:t>a,#</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4.5 ± 6.7</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ObP</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3.3 ± 2.9</w:t>
            </w:r>
            <w:r w:rsidR="00974512">
              <w:rPr>
                <w:vertAlign w:val="superscript"/>
              </w:rPr>
              <w:t>a</w:t>
            </w:r>
            <w:r>
              <w:rPr>
                <w:vertAlign w:val="superscript"/>
              </w:rPr>
              <w:t>,#</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10.2 ± 17.2</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WLD</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1.3 ± 1.2</w:t>
            </w:r>
            <w:r w:rsidR="00974512">
              <w:rPr>
                <w:vertAlign w:val="superscript"/>
              </w:rPr>
              <w:t>a</w:t>
            </w:r>
            <w:r>
              <w:rPr>
                <w:vertAlign w:val="superscript"/>
              </w:rPr>
              <w:t>,#</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2.6 ± 2.1</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IBW</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0.6 ± 0.6</w:t>
            </w:r>
            <w:r>
              <w:rPr>
                <w:vertAlign w:val="superscript"/>
              </w:rPr>
              <w:t>a,#</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1.3 ± 1.6</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NRF1</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ObN</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2.6 ± 2.3</w:t>
            </w:r>
            <w:r>
              <w:rPr>
                <w:vertAlign w:val="superscript"/>
              </w:rPr>
              <w:t>a,#</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2.7 ± 2.3</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ObP</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0.4 ± 0.5</w:t>
            </w:r>
            <w:r>
              <w:rPr>
                <w:vertAlign w:val="superscript"/>
              </w:rPr>
              <w:t>a,#</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5.8 ± 9.8</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WLD</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1.3 ± 1.2</w:t>
            </w:r>
            <w:r>
              <w:rPr>
                <w:vertAlign w:val="superscript"/>
              </w:rPr>
              <w:t>a,#</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1.5 ± 2.1</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IBW</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0.5 ± 0.7</w:t>
            </w:r>
            <w:r>
              <w:rPr>
                <w:vertAlign w:val="superscript"/>
              </w:rPr>
              <w:t>a,#</w:t>
            </w:r>
          </w:p>
        </w:tc>
        <w:tc>
          <w:tcPr>
            <w:tcW w:w="0" w:type="auto"/>
          </w:tcPr>
          <w:p w:rsidR="00962491" w:rsidRPr="001E3F8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2.7 ± 5.3</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SIRT3</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ObN</w:t>
            </w:r>
          </w:p>
        </w:tc>
        <w:tc>
          <w:tcPr>
            <w:tcW w:w="0" w:type="auto"/>
          </w:tcPr>
          <w:p w:rsidR="00962491" w:rsidRPr="004521A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3.0 ± 3.3</w:t>
            </w:r>
            <w:r>
              <w:rPr>
                <w:vertAlign w:val="superscript"/>
              </w:rPr>
              <w:t>a,#</w:t>
            </w:r>
          </w:p>
        </w:tc>
        <w:tc>
          <w:tcPr>
            <w:tcW w:w="0" w:type="auto"/>
          </w:tcPr>
          <w:p w:rsidR="00962491" w:rsidRPr="004521A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2.9 ± 2.7</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ObP</w:t>
            </w:r>
          </w:p>
        </w:tc>
        <w:tc>
          <w:tcPr>
            <w:tcW w:w="0" w:type="auto"/>
          </w:tcPr>
          <w:p w:rsidR="00962491" w:rsidRPr="004521A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2.3 ± 2.4</w:t>
            </w:r>
            <w:r>
              <w:rPr>
                <w:vertAlign w:val="superscript"/>
              </w:rPr>
              <w:t>a,b,#</w:t>
            </w:r>
          </w:p>
        </w:tc>
        <w:tc>
          <w:tcPr>
            <w:tcW w:w="0" w:type="auto"/>
          </w:tcPr>
          <w:p w:rsidR="00962491" w:rsidRPr="004521A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39.8 ± 84.6</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WLD</w:t>
            </w:r>
          </w:p>
        </w:tc>
        <w:tc>
          <w:tcPr>
            <w:tcW w:w="0" w:type="auto"/>
          </w:tcPr>
          <w:p w:rsidR="00962491" w:rsidRPr="004521A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1.0 ± 1.4</w:t>
            </w:r>
            <w:r>
              <w:rPr>
                <w:vertAlign w:val="superscript"/>
              </w:rPr>
              <w:t>a,b,#</w:t>
            </w:r>
          </w:p>
        </w:tc>
        <w:tc>
          <w:tcPr>
            <w:tcW w:w="0" w:type="auto"/>
          </w:tcPr>
          <w:p w:rsidR="00962491" w:rsidRPr="004521A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4.0 ± 4.0</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962491" w:rsidRDefault="00962491" w:rsidP="00962491">
            <w:pPr>
              <w:jc w:val="center"/>
            </w:pPr>
            <w:r>
              <w:t>IBW</w:t>
            </w:r>
          </w:p>
        </w:tc>
        <w:tc>
          <w:tcPr>
            <w:tcW w:w="0" w:type="auto"/>
            <w:tcBorders>
              <w:bottom w:val="single" w:sz="12" w:space="0" w:color="000000"/>
            </w:tcBorders>
          </w:tcPr>
          <w:p w:rsidR="00962491" w:rsidRPr="004521A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0.2 ± 0.2</w:t>
            </w:r>
            <w:r>
              <w:rPr>
                <w:vertAlign w:val="superscript"/>
              </w:rPr>
              <w:t>b,#</w:t>
            </w:r>
          </w:p>
        </w:tc>
        <w:tc>
          <w:tcPr>
            <w:tcW w:w="0" w:type="auto"/>
            <w:tcBorders>
              <w:bottom w:val="single" w:sz="12" w:space="0" w:color="000000"/>
            </w:tcBorders>
          </w:tcPr>
          <w:p w:rsidR="00962491" w:rsidRPr="004521A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1.0 ± 1.0</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000000"/>
              <w:bottom w:val="nil"/>
              <w:right w:val="nil"/>
            </w:tcBorders>
          </w:tcPr>
          <w:p w:rsidR="00962491" w:rsidRPr="00B375D2" w:rsidRDefault="00962491" w:rsidP="00962491">
            <w:pPr>
              <w:rPr>
                <w:sz w:val="18"/>
                <w:szCs w:val="18"/>
              </w:rPr>
            </w:pPr>
            <w:r w:rsidRPr="00B375D2">
              <w:rPr>
                <w:sz w:val="18"/>
                <w:szCs w:val="18"/>
              </w:rPr>
              <w:t>Numerical data presented as mean ± standard deviation.</w:t>
            </w:r>
          </w:p>
          <w:p w:rsidR="00962491" w:rsidRPr="00B375D2" w:rsidRDefault="00962491" w:rsidP="00962491">
            <w:pPr>
              <w:rPr>
                <w:sz w:val="18"/>
                <w:szCs w:val="18"/>
              </w:rPr>
            </w:pPr>
            <w:r w:rsidRPr="00B375D2">
              <w:rPr>
                <w:sz w:val="18"/>
                <w:szCs w:val="18"/>
                <w:vertAlign w:val="superscript"/>
              </w:rPr>
              <w:t>*</w:t>
            </w:r>
            <w:r w:rsidRPr="00B375D2">
              <w:rPr>
                <w:sz w:val="18"/>
                <w:szCs w:val="18"/>
              </w:rPr>
              <w:t>ObN, obese nutraceutical group; ObP, obese placebo group; WLD, weight loss diet group; IBW, ideal body weight group.</w:t>
            </w:r>
          </w:p>
          <w:p w:rsidR="00962491" w:rsidRPr="00B375D2" w:rsidRDefault="00962491" w:rsidP="00962491">
            <w:pPr>
              <w:rPr>
                <w:sz w:val="18"/>
                <w:szCs w:val="18"/>
              </w:rPr>
            </w:pPr>
            <w:proofErr w:type="gramStart"/>
            <w:r w:rsidRPr="00B375D2">
              <w:rPr>
                <w:sz w:val="18"/>
                <w:szCs w:val="18"/>
                <w:vertAlign w:val="superscript"/>
              </w:rPr>
              <w:t>a,</w:t>
            </w:r>
            <w:proofErr w:type="gramEnd"/>
            <w:r w:rsidRPr="00B375D2">
              <w:rPr>
                <w:sz w:val="18"/>
                <w:szCs w:val="18"/>
                <w:vertAlign w:val="superscript"/>
              </w:rPr>
              <w:t>b</w:t>
            </w:r>
            <w:r w:rsidRPr="00B375D2">
              <w:rPr>
                <w:sz w:val="18"/>
                <w:szCs w:val="18"/>
              </w:rPr>
              <w:t>Within a column, values with different superscript letters differ significantly (</w:t>
            </w:r>
            <w:r w:rsidRPr="00B375D2">
              <w:rPr>
                <w:i/>
                <w:sz w:val="18"/>
                <w:szCs w:val="18"/>
              </w:rPr>
              <w:t>p</w:t>
            </w:r>
            <w:r w:rsidRPr="00B375D2">
              <w:rPr>
                <w:sz w:val="18"/>
                <w:szCs w:val="18"/>
              </w:rPr>
              <w:t>&lt; 0.05).</w:t>
            </w:r>
          </w:p>
          <w:p w:rsidR="00962491" w:rsidRPr="006E1409" w:rsidRDefault="00962491" w:rsidP="00962491">
            <w:r w:rsidRPr="00B375D2">
              <w:rPr>
                <w:sz w:val="18"/>
                <w:szCs w:val="18"/>
                <w:vertAlign w:val="superscript"/>
              </w:rPr>
              <w:t>#</w:t>
            </w:r>
            <w:r w:rsidRPr="00B375D2">
              <w:rPr>
                <w:sz w:val="18"/>
                <w:szCs w:val="18"/>
              </w:rPr>
              <w:t>Across columns, values with different superscript symbols differ significantly (</w:t>
            </w:r>
            <w:r w:rsidRPr="00B375D2">
              <w:rPr>
                <w:i/>
                <w:sz w:val="18"/>
                <w:szCs w:val="18"/>
              </w:rPr>
              <w:t>p</w:t>
            </w:r>
            <w:r w:rsidRPr="00B375D2">
              <w:rPr>
                <w:sz w:val="18"/>
                <w:szCs w:val="18"/>
              </w:rPr>
              <w:t>&lt; 0.05).</w:t>
            </w:r>
          </w:p>
        </w:tc>
      </w:tr>
    </w:tbl>
    <w:p w:rsidR="00962491" w:rsidRDefault="00962491" w:rsidP="00962491"/>
    <w:p w:rsidR="00962491" w:rsidRDefault="00962491" w:rsidP="00962491"/>
    <w:p w:rsidR="00962491" w:rsidRDefault="00962491" w:rsidP="00962491"/>
    <w:p w:rsidR="00962491" w:rsidRDefault="00962491" w:rsidP="00962491"/>
    <w:p w:rsidR="00962491" w:rsidRDefault="00962491" w:rsidP="00962491"/>
    <w:p w:rsidR="00962491" w:rsidRDefault="00962491" w:rsidP="00962491"/>
    <w:p w:rsidR="00962491" w:rsidRDefault="00962491" w:rsidP="00962491"/>
    <w:p w:rsidR="00962491" w:rsidRDefault="00962491" w:rsidP="00962491"/>
    <w:p w:rsidR="00962491" w:rsidRDefault="00962491" w:rsidP="00962491"/>
    <w:p w:rsidR="00962491" w:rsidRDefault="00962491" w:rsidP="00962491"/>
    <w:p w:rsidR="00962491" w:rsidRDefault="00962491" w:rsidP="00962491"/>
    <w:p w:rsidR="00962491" w:rsidRDefault="00962491" w:rsidP="00962491">
      <w:pPr>
        <w:pStyle w:val="Caption"/>
      </w:pPr>
      <w:bookmarkStart w:id="107" w:name="_Toc373267063"/>
      <w:bookmarkStart w:id="108" w:name="_Toc376465836"/>
      <w:r>
        <w:t xml:space="preserve">Table </w:t>
      </w:r>
      <w:fldSimple w:instr=" SEQ Table \* ARABIC ">
        <w:r w:rsidR="00736DB0">
          <w:rPr>
            <w:noProof/>
          </w:rPr>
          <w:t>14</w:t>
        </w:r>
      </w:fldSimple>
      <w:r>
        <w:t xml:space="preserve"> Fat PCR (∆∆CT) by group and point</w:t>
      </w:r>
      <w:bookmarkEnd w:id="107"/>
      <w:bookmarkEnd w:id="108"/>
    </w:p>
    <w:tbl>
      <w:tblPr>
        <w:tblStyle w:val="TableClassic1"/>
        <w:tblW w:w="0" w:type="auto"/>
        <w:tblLook w:val="04A0" w:firstRow="1" w:lastRow="0" w:firstColumn="1" w:lastColumn="0" w:noHBand="0" w:noVBand="1"/>
      </w:tblPr>
      <w:tblGrid>
        <w:gridCol w:w="2242"/>
        <w:gridCol w:w="3307"/>
        <w:gridCol w:w="3307"/>
      </w:tblGrid>
      <w:tr w:rsidR="00962491" w:rsidTr="009624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Group</w:t>
            </w:r>
          </w:p>
        </w:tc>
        <w:tc>
          <w:tcPr>
            <w:tcW w:w="0" w:type="auto"/>
          </w:tcPr>
          <w:p w:rsidR="00962491" w:rsidRDefault="00962491" w:rsidP="00962491">
            <w:pPr>
              <w:cnfStyle w:val="100000000000" w:firstRow="1" w:lastRow="0" w:firstColumn="0" w:lastColumn="0" w:oddVBand="0" w:evenVBand="0" w:oddHBand="0" w:evenHBand="0" w:firstRowFirstColumn="0" w:firstRowLastColumn="0" w:lastRowFirstColumn="0" w:lastRowLastColumn="0"/>
            </w:pPr>
            <w:r>
              <w:t>One week</w:t>
            </w:r>
          </w:p>
        </w:tc>
        <w:tc>
          <w:tcPr>
            <w:tcW w:w="0" w:type="auto"/>
          </w:tcPr>
          <w:p w:rsidR="00962491" w:rsidRDefault="00962491" w:rsidP="00962491">
            <w:pPr>
              <w:cnfStyle w:val="100000000000" w:firstRow="1" w:lastRow="0" w:firstColumn="0" w:lastColumn="0" w:oddVBand="0" w:evenVBand="0" w:oddHBand="0" w:evenHBand="0" w:firstRowFirstColumn="0" w:firstRowLastColumn="0" w:lastRowFirstColumn="0" w:lastRowLastColumn="0"/>
            </w:pPr>
            <w:r>
              <w:t>End of study</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SIRT1</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1D73C7" w:rsidRDefault="00962491" w:rsidP="00962491">
            <w:pPr>
              <w:jc w:val="center"/>
              <w:rPr>
                <w:vertAlign w:val="superscript"/>
              </w:rPr>
            </w:pPr>
            <w:r>
              <w:t>ObN</w:t>
            </w:r>
            <w:r>
              <w:rPr>
                <w:vertAlign w:val="superscript"/>
              </w:rPr>
              <w:t>*</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1.2 ± 0.2</w:t>
            </w:r>
            <w:r>
              <w:rPr>
                <w:vertAlign w:val="superscript"/>
              </w:rPr>
              <w:t>a,#</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7.1 ± 13.3</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1D73C7" w:rsidRDefault="00962491" w:rsidP="00962491">
            <w:pPr>
              <w:jc w:val="center"/>
              <w:rPr>
                <w:vertAlign w:val="superscript"/>
              </w:rPr>
            </w:pPr>
            <w:r>
              <w:t>ObP</w:t>
            </w:r>
            <w:r>
              <w:rPr>
                <w:vertAlign w:val="superscript"/>
              </w:rPr>
              <w:t>*</w:t>
            </w:r>
          </w:p>
        </w:tc>
        <w:tc>
          <w:tcPr>
            <w:tcW w:w="0" w:type="auto"/>
          </w:tcPr>
          <w:p w:rsidR="00962491" w:rsidRPr="00E92532"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1.7 ± 1.4</w:t>
            </w:r>
            <w:r>
              <w:rPr>
                <w:vertAlign w:val="superscript"/>
              </w:rPr>
              <w:t>a,#</w:t>
            </w:r>
          </w:p>
        </w:tc>
        <w:tc>
          <w:tcPr>
            <w:tcW w:w="0" w:type="auto"/>
          </w:tcPr>
          <w:p w:rsidR="00962491" w:rsidRPr="00E92532"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0.6 ± 0.4</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311E08" w:rsidRDefault="00962491" w:rsidP="00962491">
            <w:pPr>
              <w:jc w:val="center"/>
              <w:rPr>
                <w:vertAlign w:val="superscript"/>
              </w:rPr>
            </w:pPr>
            <w:r>
              <w:t>WLD</w:t>
            </w:r>
            <w:r>
              <w:rPr>
                <w:vertAlign w:val="superscript"/>
              </w:rPr>
              <w:t>*</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1.0 ± 0.8</w:t>
            </w:r>
            <w:r>
              <w:rPr>
                <w:vertAlign w:val="superscript"/>
              </w:rPr>
              <w:t>a,#</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1.2 ± 0.9</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UCP2</w:t>
            </w:r>
          </w:p>
        </w:tc>
        <w:tc>
          <w:tcPr>
            <w:tcW w:w="0" w:type="auto"/>
          </w:tcPr>
          <w:p w:rsidR="00962491" w:rsidRPr="00890975"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Pr="00890975"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ObN</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2.6 ± 1.2</w:t>
            </w:r>
            <w:r>
              <w:rPr>
                <w:vertAlign w:val="superscript"/>
              </w:rPr>
              <w:t>a,#</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48.9 ± 98.3</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ObP</w:t>
            </w:r>
          </w:p>
        </w:tc>
        <w:tc>
          <w:tcPr>
            <w:tcW w:w="0" w:type="auto"/>
          </w:tcPr>
          <w:p w:rsidR="00962491" w:rsidRPr="00E92532"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50.4 ± 60.0</w:t>
            </w:r>
            <w:r>
              <w:rPr>
                <w:vertAlign w:val="superscript"/>
              </w:rPr>
              <w:t>a,#</w:t>
            </w:r>
          </w:p>
        </w:tc>
        <w:tc>
          <w:tcPr>
            <w:tcW w:w="0" w:type="auto"/>
          </w:tcPr>
          <w:p w:rsidR="00962491" w:rsidRPr="00E92532"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4.9 ± 7.8</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WLD</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5.7 ± 6.7</w:t>
            </w:r>
            <w:r>
              <w:rPr>
                <w:vertAlign w:val="superscript"/>
              </w:rPr>
              <w:t>a,#</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2.1 ± 2.0</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PGC-1α</w:t>
            </w:r>
          </w:p>
        </w:tc>
        <w:tc>
          <w:tcPr>
            <w:tcW w:w="0" w:type="auto"/>
          </w:tcPr>
          <w:p w:rsidR="00962491" w:rsidRPr="00890975"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Pr="00890975"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ObN</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1.0 ± 0.5</w:t>
            </w:r>
            <w:r>
              <w:rPr>
                <w:vertAlign w:val="superscript"/>
              </w:rPr>
              <w:t>a,#</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3.9 ± 4.8</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ObP</w:t>
            </w:r>
          </w:p>
        </w:tc>
        <w:tc>
          <w:tcPr>
            <w:tcW w:w="0" w:type="auto"/>
          </w:tcPr>
          <w:p w:rsidR="00962491" w:rsidRPr="00E92532"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1.6 ± 1.8</w:t>
            </w:r>
            <w:r>
              <w:rPr>
                <w:vertAlign w:val="superscript"/>
              </w:rPr>
              <w:t>a,#</w:t>
            </w:r>
          </w:p>
        </w:tc>
        <w:tc>
          <w:tcPr>
            <w:tcW w:w="0" w:type="auto"/>
          </w:tcPr>
          <w:p w:rsidR="00962491" w:rsidRPr="00E92532"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1.2 ± 1.1</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WLD</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0.8 ± 0.6</w:t>
            </w:r>
            <w:r>
              <w:rPr>
                <w:vertAlign w:val="superscript"/>
              </w:rPr>
              <w:t>a,#</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1.4 ± 0.5</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NRF1</w:t>
            </w:r>
          </w:p>
        </w:tc>
        <w:tc>
          <w:tcPr>
            <w:tcW w:w="0" w:type="auto"/>
          </w:tcPr>
          <w:p w:rsidR="00962491" w:rsidRPr="00890975"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Pr="00890975"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ObN</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2.8 ± 1.5</w:t>
            </w:r>
            <w:r>
              <w:rPr>
                <w:vertAlign w:val="superscript"/>
              </w:rPr>
              <w:t>a,#</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20.1 ± 31.6</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ObP</w:t>
            </w:r>
          </w:p>
        </w:tc>
        <w:tc>
          <w:tcPr>
            <w:tcW w:w="0" w:type="auto"/>
          </w:tcPr>
          <w:p w:rsidR="00962491" w:rsidRPr="00E92532"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6.3 ± 7.2</w:t>
            </w:r>
            <w:r>
              <w:rPr>
                <w:vertAlign w:val="superscript"/>
              </w:rPr>
              <w:t>a,#</w:t>
            </w:r>
          </w:p>
        </w:tc>
        <w:tc>
          <w:tcPr>
            <w:tcW w:w="0" w:type="auto"/>
          </w:tcPr>
          <w:p w:rsidR="00962491" w:rsidRPr="00E92532"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3.0 ± 3.2</w:t>
            </w:r>
            <w:r>
              <w:rPr>
                <w:vertAlign w:val="superscript"/>
              </w:rPr>
              <w:t>a</w:t>
            </w:r>
            <w:r w:rsidR="007F77CB">
              <w:rPr>
                <w:vertAlign w:val="superscript"/>
              </w:rPr>
              <w:t>,b</w:t>
            </w:r>
            <w:r>
              <w:rPr>
                <w:vertAlign w:val="superscript"/>
              </w:rPr>
              <w:t>,#</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WLD</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1.2 ± 0.8</w:t>
            </w:r>
            <w:r>
              <w:rPr>
                <w:vertAlign w:val="superscript"/>
              </w:rPr>
              <w:t>b,#</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0.5 ± 0.4</w:t>
            </w:r>
            <w:r>
              <w:rPr>
                <w:vertAlign w:val="superscript"/>
              </w:rPr>
              <w:t>b,#</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FASN</w:t>
            </w:r>
          </w:p>
        </w:tc>
        <w:tc>
          <w:tcPr>
            <w:tcW w:w="0" w:type="auto"/>
          </w:tcPr>
          <w:p w:rsidR="00962491" w:rsidRPr="00890975"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Pr="00890975"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ObN</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0.5 ± 0.4</w:t>
            </w:r>
            <w:r>
              <w:rPr>
                <w:vertAlign w:val="superscript"/>
              </w:rPr>
              <w:t>a,#</w:t>
            </w:r>
          </w:p>
        </w:tc>
        <w:tc>
          <w:tcPr>
            <w:tcW w:w="0" w:type="auto"/>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2.7 ± 4.6</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ObP</w:t>
            </w:r>
          </w:p>
        </w:tc>
        <w:tc>
          <w:tcPr>
            <w:tcW w:w="0" w:type="auto"/>
          </w:tcPr>
          <w:p w:rsidR="00962491" w:rsidRPr="008C79F0"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3.6 ± 6.5</w:t>
            </w:r>
            <w:r>
              <w:rPr>
                <w:vertAlign w:val="superscript"/>
              </w:rPr>
              <w:t>a,#</w:t>
            </w:r>
          </w:p>
        </w:tc>
        <w:tc>
          <w:tcPr>
            <w:tcW w:w="0" w:type="auto"/>
          </w:tcPr>
          <w:p w:rsidR="00962491" w:rsidRPr="008C79F0"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1.5 ± 2.1</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962491" w:rsidRDefault="00962491" w:rsidP="00962491">
            <w:pPr>
              <w:jc w:val="center"/>
            </w:pPr>
            <w:r>
              <w:t>WLD</w:t>
            </w:r>
          </w:p>
        </w:tc>
        <w:tc>
          <w:tcPr>
            <w:tcW w:w="0" w:type="auto"/>
            <w:tcBorders>
              <w:bottom w:val="single" w:sz="12" w:space="0" w:color="000000"/>
            </w:tcBorders>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0.4 ± 0.4</w:t>
            </w:r>
            <w:r>
              <w:rPr>
                <w:vertAlign w:val="superscript"/>
              </w:rPr>
              <w:t>a,#</w:t>
            </w:r>
          </w:p>
        </w:tc>
        <w:tc>
          <w:tcPr>
            <w:tcW w:w="0" w:type="auto"/>
            <w:tcBorders>
              <w:bottom w:val="single" w:sz="12" w:space="0" w:color="000000"/>
            </w:tcBorders>
          </w:tcPr>
          <w:p w:rsidR="00962491" w:rsidRPr="008C3C26"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1.1 ± 1.3</w:t>
            </w:r>
            <w:r>
              <w:rPr>
                <w:vertAlign w:val="superscript"/>
              </w:rPr>
              <w:t>a,#</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000000"/>
              <w:bottom w:val="nil"/>
              <w:right w:val="nil"/>
            </w:tcBorders>
          </w:tcPr>
          <w:p w:rsidR="00962491" w:rsidRPr="00B375D2" w:rsidRDefault="00962491" w:rsidP="00962491">
            <w:pPr>
              <w:rPr>
                <w:sz w:val="18"/>
                <w:szCs w:val="18"/>
              </w:rPr>
            </w:pPr>
            <w:r w:rsidRPr="00B375D2">
              <w:rPr>
                <w:sz w:val="18"/>
                <w:szCs w:val="18"/>
              </w:rPr>
              <w:t>Numerical data presented as mean ± standard deviation.</w:t>
            </w:r>
          </w:p>
          <w:p w:rsidR="00962491" w:rsidRPr="00B375D2" w:rsidRDefault="00962491" w:rsidP="00962491">
            <w:pPr>
              <w:rPr>
                <w:sz w:val="18"/>
                <w:szCs w:val="18"/>
              </w:rPr>
            </w:pPr>
            <w:r w:rsidRPr="00B375D2">
              <w:rPr>
                <w:sz w:val="18"/>
                <w:szCs w:val="18"/>
                <w:vertAlign w:val="superscript"/>
              </w:rPr>
              <w:t>*</w:t>
            </w:r>
            <w:r w:rsidRPr="00B375D2">
              <w:rPr>
                <w:sz w:val="18"/>
                <w:szCs w:val="18"/>
              </w:rPr>
              <w:t>ObN, obese nutraceutical group; ObP, obese placebo group; WLD, weight loss diet group; IBW, ideal body weight group.</w:t>
            </w:r>
          </w:p>
          <w:p w:rsidR="00962491" w:rsidRPr="00B375D2" w:rsidRDefault="00962491" w:rsidP="00962491">
            <w:pPr>
              <w:rPr>
                <w:sz w:val="18"/>
                <w:szCs w:val="18"/>
              </w:rPr>
            </w:pPr>
            <w:proofErr w:type="gramStart"/>
            <w:r w:rsidRPr="00B375D2">
              <w:rPr>
                <w:sz w:val="18"/>
                <w:szCs w:val="18"/>
                <w:vertAlign w:val="superscript"/>
              </w:rPr>
              <w:t>a,</w:t>
            </w:r>
            <w:proofErr w:type="gramEnd"/>
            <w:r w:rsidRPr="00B375D2">
              <w:rPr>
                <w:sz w:val="18"/>
                <w:szCs w:val="18"/>
                <w:vertAlign w:val="superscript"/>
              </w:rPr>
              <w:t>b</w:t>
            </w:r>
            <w:r w:rsidRPr="00B375D2">
              <w:rPr>
                <w:sz w:val="18"/>
                <w:szCs w:val="18"/>
              </w:rPr>
              <w:t>Within a column, values with different superscript letters differ significantly (</w:t>
            </w:r>
            <w:r w:rsidRPr="00B375D2">
              <w:rPr>
                <w:i/>
                <w:sz w:val="18"/>
                <w:szCs w:val="18"/>
              </w:rPr>
              <w:t>p</w:t>
            </w:r>
            <w:r w:rsidRPr="00B375D2">
              <w:rPr>
                <w:sz w:val="18"/>
                <w:szCs w:val="18"/>
              </w:rPr>
              <w:t>&lt; 0.05).</w:t>
            </w:r>
          </w:p>
          <w:p w:rsidR="00962491" w:rsidRPr="006E1409" w:rsidRDefault="00962491" w:rsidP="00962491">
            <w:r w:rsidRPr="00B375D2">
              <w:rPr>
                <w:sz w:val="18"/>
                <w:szCs w:val="18"/>
                <w:vertAlign w:val="superscript"/>
              </w:rPr>
              <w:t>#</w:t>
            </w:r>
            <w:r w:rsidRPr="00B375D2">
              <w:rPr>
                <w:sz w:val="18"/>
                <w:szCs w:val="18"/>
              </w:rPr>
              <w:t>Across columns, values with different superscript symbols differ significantly (</w:t>
            </w:r>
            <w:r w:rsidRPr="00B375D2">
              <w:rPr>
                <w:i/>
                <w:sz w:val="18"/>
                <w:szCs w:val="18"/>
              </w:rPr>
              <w:t>p</w:t>
            </w:r>
            <w:r w:rsidRPr="00B375D2">
              <w:rPr>
                <w:sz w:val="18"/>
                <w:szCs w:val="18"/>
              </w:rPr>
              <w:t>&lt; 0.05).</w:t>
            </w:r>
          </w:p>
        </w:tc>
      </w:tr>
    </w:tbl>
    <w:p w:rsidR="00962491" w:rsidRDefault="00962491" w:rsidP="00962491"/>
    <w:p w:rsidR="005817F5" w:rsidRDefault="005817F5" w:rsidP="00962491"/>
    <w:p w:rsidR="005817F5" w:rsidRDefault="005817F5" w:rsidP="00962491"/>
    <w:p w:rsidR="005817F5" w:rsidRDefault="005817F5" w:rsidP="00962491"/>
    <w:p w:rsidR="005817F5" w:rsidRDefault="005817F5" w:rsidP="00962491"/>
    <w:p w:rsidR="005817F5" w:rsidRDefault="005817F5" w:rsidP="00962491"/>
    <w:p w:rsidR="005817F5" w:rsidRDefault="005817F5" w:rsidP="00962491"/>
    <w:p w:rsidR="005817F5" w:rsidRDefault="005817F5" w:rsidP="00962491"/>
    <w:p w:rsidR="005817F5" w:rsidRDefault="005817F5" w:rsidP="00962491"/>
    <w:p w:rsidR="005817F5" w:rsidRDefault="005817F5" w:rsidP="00962491"/>
    <w:p w:rsidR="005817F5" w:rsidRDefault="005817F5" w:rsidP="00962491"/>
    <w:p w:rsidR="005817F5" w:rsidRDefault="005817F5" w:rsidP="00962491"/>
    <w:p w:rsidR="005817F5" w:rsidRDefault="005817F5" w:rsidP="00962491"/>
    <w:p w:rsidR="005817F5" w:rsidRDefault="005817F5" w:rsidP="00962491"/>
    <w:p w:rsidR="00962491" w:rsidRDefault="00962491" w:rsidP="00962491"/>
    <w:p w:rsidR="00962491" w:rsidRDefault="00962491" w:rsidP="00962491"/>
    <w:p w:rsidR="00962491" w:rsidRDefault="00962491" w:rsidP="00962491">
      <w:pPr>
        <w:pStyle w:val="Caption"/>
      </w:pPr>
      <w:bookmarkStart w:id="109" w:name="_Toc373267064"/>
      <w:bookmarkStart w:id="110" w:name="_Toc376465837"/>
      <w:r>
        <w:t xml:space="preserve">Table </w:t>
      </w:r>
      <w:fldSimple w:instr=" SEQ Table \* ARABIC ">
        <w:r w:rsidR="00736DB0">
          <w:rPr>
            <w:noProof/>
          </w:rPr>
          <w:t>15</w:t>
        </w:r>
      </w:fldSimple>
      <w:r>
        <w:rPr>
          <w:noProof/>
        </w:rPr>
        <w:t xml:space="preserve"> C</w:t>
      </w:r>
      <w:commentRangeStart w:id="111"/>
      <w:r>
        <w:t>ytokines</w:t>
      </w:r>
      <w:commentRangeEnd w:id="111"/>
      <w:r>
        <w:rPr>
          <w:rStyle w:val="CommentReference"/>
          <w:b w:val="0"/>
          <w:bCs w:val="0"/>
        </w:rPr>
        <w:commentReference w:id="111"/>
      </w:r>
      <w:r>
        <w:t xml:space="preserve"> by group and point</w:t>
      </w:r>
      <w:bookmarkEnd w:id="109"/>
      <w:bookmarkEnd w:id="110"/>
    </w:p>
    <w:tbl>
      <w:tblPr>
        <w:tblStyle w:val="TableClassic1"/>
        <w:tblW w:w="0" w:type="auto"/>
        <w:tblLook w:val="04A0" w:firstRow="1" w:lastRow="0" w:firstColumn="1" w:lastColumn="0" w:noHBand="0" w:noVBand="1"/>
      </w:tblPr>
      <w:tblGrid>
        <w:gridCol w:w="2632"/>
        <w:gridCol w:w="2125"/>
        <w:gridCol w:w="2125"/>
        <w:gridCol w:w="1974"/>
      </w:tblGrid>
      <w:tr w:rsidR="00962491" w:rsidTr="009624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Group</w:t>
            </w:r>
          </w:p>
        </w:tc>
        <w:tc>
          <w:tcPr>
            <w:tcW w:w="0" w:type="auto"/>
          </w:tcPr>
          <w:p w:rsidR="00962491" w:rsidRDefault="00962491" w:rsidP="00962491">
            <w:pPr>
              <w:cnfStyle w:val="100000000000" w:firstRow="1" w:lastRow="0" w:firstColumn="0" w:lastColumn="0" w:oddVBand="0" w:evenVBand="0" w:oddHBand="0" w:evenHBand="0" w:firstRowFirstColumn="0" w:firstRowLastColumn="0" w:lastRowFirstColumn="0" w:lastRowLastColumn="0"/>
            </w:pPr>
            <w:r>
              <w:t>Baseline</w:t>
            </w:r>
          </w:p>
        </w:tc>
        <w:tc>
          <w:tcPr>
            <w:tcW w:w="0" w:type="auto"/>
          </w:tcPr>
          <w:p w:rsidR="00962491" w:rsidRDefault="00962491" w:rsidP="00962491">
            <w:pPr>
              <w:cnfStyle w:val="100000000000" w:firstRow="1" w:lastRow="0" w:firstColumn="0" w:lastColumn="0" w:oddVBand="0" w:evenVBand="0" w:oddHBand="0" w:evenHBand="0" w:firstRowFirstColumn="0" w:firstRowLastColumn="0" w:lastRowFirstColumn="0" w:lastRowLastColumn="0"/>
            </w:pPr>
            <w:r>
              <w:t>One week</w:t>
            </w:r>
          </w:p>
        </w:tc>
        <w:tc>
          <w:tcPr>
            <w:tcW w:w="0" w:type="auto"/>
          </w:tcPr>
          <w:p w:rsidR="00962491" w:rsidRDefault="00962491" w:rsidP="00962491">
            <w:pPr>
              <w:cnfStyle w:val="100000000000" w:firstRow="1" w:lastRow="0" w:firstColumn="0" w:lastColumn="0" w:oddVBand="0" w:evenVBand="0" w:oddHBand="0" w:evenHBand="0" w:firstRowFirstColumn="0" w:firstRowLastColumn="0" w:lastRowFirstColumn="0" w:lastRowLastColumn="0"/>
            </w:pPr>
            <w:r>
              <w:t>End of study</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Interleukin 6 (pg/mL)</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1D73C7" w:rsidRDefault="00962491" w:rsidP="00962491">
            <w:pPr>
              <w:jc w:val="center"/>
              <w:rPr>
                <w:vertAlign w:val="superscript"/>
              </w:rPr>
            </w:pPr>
            <w:r>
              <w:t>ObN</w:t>
            </w:r>
            <w:r>
              <w:rPr>
                <w:vertAlign w:val="superscript"/>
              </w:rPr>
              <w:t>*</w:t>
            </w:r>
          </w:p>
        </w:tc>
        <w:tc>
          <w:tcPr>
            <w:tcW w:w="0" w:type="auto"/>
          </w:tcPr>
          <w:p w:rsidR="00962491" w:rsidRPr="00A25709"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49.8 ± 75.8</w:t>
            </w:r>
            <w:r>
              <w:rPr>
                <w:vertAlign w:val="superscript"/>
              </w:rPr>
              <w:t>a,#</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r>
              <w:t>114.3 ± 220.8</w:t>
            </w:r>
            <w:r w:rsidR="007B64B6">
              <w:rPr>
                <w:vertAlign w:val="superscript"/>
              </w:rPr>
              <w:t>a</w:t>
            </w:r>
            <w:r>
              <w:rPr>
                <w:vertAlign w:val="superscript"/>
              </w:rPr>
              <w:t>,#</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r>
              <w:t>16.2 ± 22.8</w:t>
            </w:r>
            <w:r w:rsidR="007B64B6">
              <w:rPr>
                <w:vertAlign w:val="superscript"/>
              </w:rPr>
              <w:t>a</w:t>
            </w:r>
            <w:r>
              <w:rPr>
                <w:vertAlign w:val="superscript"/>
              </w:rPr>
              <w:t>,#</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1D73C7" w:rsidRDefault="00962491" w:rsidP="00962491">
            <w:pPr>
              <w:jc w:val="center"/>
              <w:rPr>
                <w:vertAlign w:val="superscript"/>
              </w:rPr>
            </w:pPr>
            <w:r>
              <w:t>ObP</w:t>
            </w:r>
            <w:r>
              <w:rPr>
                <w:vertAlign w:val="superscript"/>
              </w:rPr>
              <w:t>*</w:t>
            </w:r>
          </w:p>
        </w:tc>
        <w:tc>
          <w:tcPr>
            <w:tcW w:w="0" w:type="auto"/>
          </w:tcPr>
          <w:p w:rsidR="00962491" w:rsidRPr="00A25709"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44.4 ± 76.3</w:t>
            </w:r>
            <w:r>
              <w:rPr>
                <w:vertAlign w:val="superscript"/>
              </w:rPr>
              <w:t>a,#</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r>
              <w:t>46.1 ± 84.7</w:t>
            </w:r>
            <w:r w:rsidR="007B64B6">
              <w:rPr>
                <w:vertAlign w:val="superscript"/>
              </w:rPr>
              <w:t>a</w:t>
            </w:r>
            <w:r>
              <w:rPr>
                <w:vertAlign w:val="superscript"/>
              </w:rPr>
              <w:t>,#</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r>
              <w:t>48.0 ± 88.4</w:t>
            </w:r>
            <w:r w:rsidR="007B64B6">
              <w:rPr>
                <w:vertAlign w:val="superscript"/>
              </w:rPr>
              <w:t>a</w:t>
            </w:r>
            <w:r>
              <w:rPr>
                <w:vertAlign w:val="superscript"/>
              </w:rPr>
              <w:t>,#</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Pr="00311E08" w:rsidRDefault="00962491" w:rsidP="00962491">
            <w:pPr>
              <w:jc w:val="center"/>
              <w:rPr>
                <w:vertAlign w:val="superscript"/>
              </w:rPr>
            </w:pPr>
            <w:r>
              <w:t>WLD</w:t>
            </w:r>
            <w:r>
              <w:rPr>
                <w:vertAlign w:val="superscript"/>
              </w:rPr>
              <w:t>*</w:t>
            </w:r>
          </w:p>
        </w:tc>
        <w:tc>
          <w:tcPr>
            <w:tcW w:w="0" w:type="auto"/>
          </w:tcPr>
          <w:p w:rsidR="00962491" w:rsidRPr="00A25709"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15.0 ± 9.0</w:t>
            </w:r>
            <w:r>
              <w:rPr>
                <w:vertAlign w:val="superscript"/>
              </w:rPr>
              <w:t>a,#</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r>
              <w:t>16.4 ± 19.6</w:t>
            </w:r>
            <w:r>
              <w:rPr>
                <w:vertAlign w:val="superscript"/>
              </w:rPr>
              <w:t>a,#</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r>
              <w:t>8.7 ± 4.3</w:t>
            </w:r>
            <w:r w:rsidR="007B64B6">
              <w:rPr>
                <w:vertAlign w:val="superscript"/>
              </w:rPr>
              <w:t>a</w:t>
            </w:r>
            <w:r>
              <w:rPr>
                <w:vertAlign w:val="superscript"/>
              </w:rPr>
              <w:t>,#</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rsidRPr="00665965">
              <w:t>IBW</w:t>
            </w:r>
            <w:r w:rsidRPr="00665965">
              <w:rPr>
                <w:vertAlign w:val="superscript"/>
              </w:rPr>
              <w:t>*</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r>
              <w:t>12.1 ± 0</w:t>
            </w:r>
            <w:r>
              <w:rPr>
                <w:vertAlign w:val="superscript"/>
              </w:rPr>
              <w:t>a,#</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r>
              <w:t>9.18 ± 4.4</w:t>
            </w:r>
            <w:r>
              <w:rPr>
                <w:vertAlign w:val="superscript"/>
              </w:rPr>
              <w:t>a,#</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r>
              <w:t>9.3 ± 4.5</w:t>
            </w:r>
            <w:r w:rsidR="007B64B6">
              <w:rPr>
                <w:vertAlign w:val="superscript"/>
              </w:rPr>
              <w:t>a</w:t>
            </w:r>
            <w:r>
              <w:rPr>
                <w:vertAlign w:val="superscript"/>
              </w:rPr>
              <w:t>,#</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r>
              <w:t>Interleukin 15 (pg/mL)</w:t>
            </w: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c>
          <w:tcPr>
            <w:tcW w:w="0" w:type="auto"/>
          </w:tcPr>
          <w:p w:rsidR="00962491" w:rsidRDefault="00962491" w:rsidP="00962491">
            <w:pPr>
              <w:cnfStyle w:val="000000000000" w:firstRow="0" w:lastRow="0" w:firstColumn="0" w:lastColumn="0" w:oddVBand="0" w:evenVBand="0" w:oddHBand="0" w:evenHBand="0" w:firstRowFirstColumn="0" w:firstRowLastColumn="0" w:lastRowFirstColumn="0" w:lastRowLastColumn="0"/>
            </w:pP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ObN</w:t>
            </w:r>
          </w:p>
        </w:tc>
        <w:tc>
          <w:tcPr>
            <w:tcW w:w="0" w:type="auto"/>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216.0 ± 233.9</w:t>
            </w:r>
            <w:r>
              <w:rPr>
                <w:vertAlign w:val="superscript"/>
              </w:rPr>
              <w:t>a,#</w:t>
            </w:r>
          </w:p>
        </w:tc>
        <w:tc>
          <w:tcPr>
            <w:tcW w:w="0" w:type="auto"/>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322.4 ± 471.6</w:t>
            </w:r>
            <w:r>
              <w:rPr>
                <w:vertAlign w:val="superscript"/>
              </w:rPr>
              <w:t>a,b,#</w:t>
            </w:r>
          </w:p>
        </w:tc>
        <w:tc>
          <w:tcPr>
            <w:tcW w:w="0" w:type="auto"/>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72.1 ± 98.9</w:t>
            </w:r>
            <w:r w:rsidR="007B64B6">
              <w:rPr>
                <w:vertAlign w:val="superscript"/>
              </w:rPr>
              <w:t>a</w:t>
            </w:r>
            <w:r>
              <w:rPr>
                <w:vertAlign w:val="superscript"/>
              </w:rPr>
              <w:t>,#</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ObP</w:t>
            </w:r>
          </w:p>
        </w:tc>
        <w:tc>
          <w:tcPr>
            <w:tcW w:w="0" w:type="auto"/>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78.9 ± 148.6</w:t>
            </w:r>
            <w:r w:rsidR="007B64B6">
              <w:rPr>
                <w:vertAlign w:val="superscript"/>
              </w:rPr>
              <w:t>b</w:t>
            </w:r>
            <w:r>
              <w:rPr>
                <w:vertAlign w:val="superscript"/>
              </w:rPr>
              <w:t>,#</w:t>
            </w:r>
          </w:p>
        </w:tc>
        <w:tc>
          <w:tcPr>
            <w:tcW w:w="0" w:type="auto"/>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68.3 ± 137.1</w:t>
            </w:r>
            <w:r>
              <w:rPr>
                <w:vertAlign w:val="superscript"/>
              </w:rPr>
              <w:t>a,b,#</w:t>
            </w:r>
          </w:p>
        </w:tc>
        <w:tc>
          <w:tcPr>
            <w:tcW w:w="0" w:type="auto"/>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69.2 ± 149.4</w:t>
            </w:r>
            <w:r w:rsidR="007B64B6">
              <w:rPr>
                <w:vertAlign w:val="superscript"/>
              </w:rPr>
              <w:t>a</w:t>
            </w:r>
            <w:r>
              <w:rPr>
                <w:vertAlign w:val="superscript"/>
              </w:rPr>
              <w:t>,#</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Pr>
          <w:p w:rsidR="00962491" w:rsidRDefault="00962491" w:rsidP="00962491">
            <w:pPr>
              <w:jc w:val="center"/>
            </w:pPr>
            <w:r>
              <w:t>WLD</w:t>
            </w:r>
          </w:p>
        </w:tc>
        <w:tc>
          <w:tcPr>
            <w:tcW w:w="0" w:type="auto"/>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249.3 ± 479.7</w:t>
            </w:r>
            <w:r w:rsidR="007B64B6">
              <w:rPr>
                <w:vertAlign w:val="superscript"/>
              </w:rPr>
              <w:t>a,b</w:t>
            </w:r>
            <w:r>
              <w:rPr>
                <w:vertAlign w:val="superscript"/>
              </w:rPr>
              <w:t>,#</w:t>
            </w:r>
          </w:p>
        </w:tc>
        <w:tc>
          <w:tcPr>
            <w:tcW w:w="0" w:type="auto"/>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207.5 ± 343.4</w:t>
            </w:r>
            <w:r>
              <w:rPr>
                <w:vertAlign w:val="superscript"/>
              </w:rPr>
              <w:t>a,#</w:t>
            </w:r>
          </w:p>
        </w:tc>
        <w:tc>
          <w:tcPr>
            <w:tcW w:w="0" w:type="auto"/>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191.1 ± 347.4</w:t>
            </w:r>
            <w:r w:rsidR="007B64B6">
              <w:rPr>
                <w:vertAlign w:val="superscript"/>
              </w:rPr>
              <w:t>a</w:t>
            </w:r>
            <w:r>
              <w:rPr>
                <w:vertAlign w:val="superscript"/>
              </w:rPr>
              <w:t>,#</w:t>
            </w:r>
          </w:p>
        </w:tc>
      </w:tr>
      <w:tr w:rsidR="00962491" w:rsidTr="00962491">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962491" w:rsidRDefault="00962491" w:rsidP="00962491">
            <w:pPr>
              <w:jc w:val="center"/>
            </w:pPr>
            <w:r>
              <w:t>IBW</w:t>
            </w:r>
          </w:p>
        </w:tc>
        <w:tc>
          <w:tcPr>
            <w:tcW w:w="0" w:type="auto"/>
            <w:tcBorders>
              <w:bottom w:val="single" w:sz="12" w:space="0" w:color="000000"/>
            </w:tcBorders>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8.5 ± 4.4</w:t>
            </w:r>
            <w:r w:rsidR="007B64B6">
              <w:rPr>
                <w:vertAlign w:val="superscript"/>
              </w:rPr>
              <w:t>b</w:t>
            </w:r>
            <w:r>
              <w:rPr>
                <w:vertAlign w:val="superscript"/>
              </w:rPr>
              <w:t>,#</w:t>
            </w:r>
          </w:p>
        </w:tc>
        <w:tc>
          <w:tcPr>
            <w:tcW w:w="0" w:type="auto"/>
            <w:tcBorders>
              <w:bottom w:val="single" w:sz="12" w:space="0" w:color="000000"/>
            </w:tcBorders>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11.7 ± 2.2</w:t>
            </w:r>
            <w:r>
              <w:rPr>
                <w:vertAlign w:val="superscript"/>
              </w:rPr>
              <w:t>b,#</w:t>
            </w:r>
          </w:p>
        </w:tc>
        <w:tc>
          <w:tcPr>
            <w:tcW w:w="0" w:type="auto"/>
            <w:tcBorders>
              <w:bottom w:val="single" w:sz="12" w:space="0" w:color="000000"/>
            </w:tcBorders>
          </w:tcPr>
          <w:p w:rsidR="00962491" w:rsidRPr="00927663" w:rsidRDefault="00962491" w:rsidP="00962491">
            <w:pPr>
              <w:cnfStyle w:val="000000000000" w:firstRow="0" w:lastRow="0" w:firstColumn="0" w:lastColumn="0" w:oddVBand="0" w:evenVBand="0" w:oddHBand="0" w:evenHBand="0" w:firstRowFirstColumn="0" w:firstRowLastColumn="0" w:lastRowFirstColumn="0" w:lastRowLastColumn="0"/>
              <w:rPr>
                <w:vertAlign w:val="superscript"/>
              </w:rPr>
            </w:pPr>
            <w:r>
              <w:t>13.6 ± 8.2</w:t>
            </w:r>
            <w:r w:rsidR="007B64B6">
              <w:rPr>
                <w:vertAlign w:val="superscript"/>
              </w:rPr>
              <w:t>a</w:t>
            </w:r>
            <w:r>
              <w:rPr>
                <w:vertAlign w:val="superscript"/>
              </w:rPr>
              <w:t>,#</w:t>
            </w:r>
          </w:p>
        </w:tc>
      </w:tr>
      <w:tr w:rsidR="00962491" w:rsidRPr="00B375D2" w:rsidTr="00962491">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12" w:space="0" w:color="000000"/>
              <w:bottom w:val="nil"/>
              <w:right w:val="nil"/>
            </w:tcBorders>
          </w:tcPr>
          <w:p w:rsidR="00962491" w:rsidRPr="00B375D2" w:rsidRDefault="00962491" w:rsidP="00962491">
            <w:pPr>
              <w:rPr>
                <w:sz w:val="18"/>
                <w:szCs w:val="18"/>
              </w:rPr>
            </w:pPr>
            <w:r w:rsidRPr="00B375D2">
              <w:rPr>
                <w:sz w:val="18"/>
                <w:szCs w:val="18"/>
              </w:rPr>
              <w:t>Numerical data presented as mean ± standard deviation.</w:t>
            </w:r>
          </w:p>
          <w:p w:rsidR="00962491" w:rsidRPr="00B375D2" w:rsidRDefault="00962491" w:rsidP="00962491">
            <w:pPr>
              <w:rPr>
                <w:sz w:val="18"/>
                <w:szCs w:val="18"/>
              </w:rPr>
            </w:pPr>
            <w:r w:rsidRPr="00B375D2">
              <w:rPr>
                <w:sz w:val="18"/>
                <w:szCs w:val="18"/>
                <w:vertAlign w:val="superscript"/>
              </w:rPr>
              <w:t>*</w:t>
            </w:r>
            <w:r w:rsidRPr="00B375D2">
              <w:rPr>
                <w:sz w:val="18"/>
                <w:szCs w:val="18"/>
              </w:rPr>
              <w:t>ObN, obese nutraceutical group; ObP, obese placebo group; WLD, weight loss diet group; IBW, ideal body weight group.</w:t>
            </w:r>
          </w:p>
          <w:p w:rsidR="00962491" w:rsidRPr="00B375D2" w:rsidRDefault="00962491" w:rsidP="00962491">
            <w:pPr>
              <w:rPr>
                <w:sz w:val="18"/>
                <w:szCs w:val="18"/>
              </w:rPr>
            </w:pPr>
            <w:proofErr w:type="gramStart"/>
            <w:r w:rsidRPr="00B375D2">
              <w:rPr>
                <w:sz w:val="18"/>
                <w:szCs w:val="18"/>
                <w:vertAlign w:val="superscript"/>
              </w:rPr>
              <w:t>a-</w:t>
            </w:r>
            <w:r w:rsidR="007B64B6">
              <w:rPr>
                <w:sz w:val="18"/>
                <w:szCs w:val="18"/>
                <w:vertAlign w:val="superscript"/>
              </w:rPr>
              <w:t>b</w:t>
            </w:r>
            <w:r w:rsidRPr="00B375D2">
              <w:rPr>
                <w:sz w:val="18"/>
                <w:szCs w:val="18"/>
              </w:rPr>
              <w:t>Within</w:t>
            </w:r>
            <w:proofErr w:type="gramEnd"/>
            <w:r w:rsidRPr="00B375D2">
              <w:rPr>
                <w:sz w:val="18"/>
                <w:szCs w:val="18"/>
              </w:rPr>
              <w:t xml:space="preserve"> a column, values with different superscript letters differ significantly (</w:t>
            </w:r>
            <w:r w:rsidRPr="00B375D2">
              <w:rPr>
                <w:i/>
                <w:sz w:val="18"/>
                <w:szCs w:val="18"/>
              </w:rPr>
              <w:t>p</w:t>
            </w:r>
            <w:r w:rsidRPr="00B375D2">
              <w:rPr>
                <w:sz w:val="18"/>
                <w:szCs w:val="18"/>
              </w:rPr>
              <w:t>&lt; 0.05).</w:t>
            </w:r>
          </w:p>
          <w:p w:rsidR="00962491" w:rsidRPr="00B375D2" w:rsidRDefault="00962491" w:rsidP="00962491">
            <w:pPr>
              <w:rPr>
                <w:sz w:val="18"/>
                <w:szCs w:val="18"/>
              </w:rPr>
            </w:pPr>
            <w:r w:rsidRPr="00B375D2">
              <w:rPr>
                <w:sz w:val="18"/>
                <w:szCs w:val="18"/>
                <w:vertAlign w:val="superscript"/>
              </w:rPr>
              <w:t>#</w:t>
            </w:r>
            <w:r w:rsidRPr="00B375D2">
              <w:rPr>
                <w:sz w:val="18"/>
                <w:szCs w:val="18"/>
              </w:rPr>
              <w:t>Across columns, values with different superscript symbols differ significantly (</w:t>
            </w:r>
            <w:r w:rsidRPr="00B375D2">
              <w:rPr>
                <w:i/>
                <w:sz w:val="18"/>
                <w:szCs w:val="18"/>
              </w:rPr>
              <w:t>p</w:t>
            </w:r>
            <w:r w:rsidRPr="00B375D2">
              <w:rPr>
                <w:sz w:val="18"/>
                <w:szCs w:val="18"/>
              </w:rPr>
              <w:t>&lt; 0.05).</w:t>
            </w:r>
          </w:p>
        </w:tc>
      </w:tr>
    </w:tbl>
    <w:p w:rsidR="00962491" w:rsidRDefault="00962491" w:rsidP="00732C1B">
      <w:pPr>
        <w:sectPr w:rsidR="00962491" w:rsidSect="00E64B22">
          <w:pgSz w:w="12240" w:h="15840" w:code="1"/>
          <w:pgMar w:top="1440" w:right="1800" w:bottom="1872" w:left="1800" w:header="720" w:footer="1440" w:gutter="0"/>
          <w:cols w:space="720"/>
          <w:noEndnote/>
          <w:docGrid w:linePitch="360"/>
        </w:sectPr>
      </w:pPr>
    </w:p>
    <w:p w:rsidR="00927570" w:rsidRPr="00927570" w:rsidRDefault="00927570" w:rsidP="00927570">
      <w:pPr>
        <w:pStyle w:val="Heading2"/>
      </w:pPr>
      <w:bookmarkStart w:id="112" w:name="_Toc376465790"/>
      <w:r>
        <w:t>Di</w:t>
      </w:r>
      <w:r w:rsidR="00D62925">
        <w:t>s</w:t>
      </w:r>
      <w:r>
        <w:t>cussion</w:t>
      </w:r>
      <w:bookmarkEnd w:id="112"/>
    </w:p>
    <w:p w:rsidR="00327784" w:rsidRDefault="00C20212" w:rsidP="00327784">
      <w:pPr>
        <w:ind w:firstLine="720"/>
        <w:rPr>
          <w:rFonts w:cs="Times New Roman"/>
        </w:rPr>
      </w:pPr>
      <w:r>
        <w:rPr>
          <w:rFonts w:cs="Times New Roman"/>
        </w:rPr>
        <w:t>These data show dogs eating lean maintenance levels of a canned adult diet with a leucine/pyridoxine nutraceutical can achieve weight loss similar to dogs consuming lean maintenance levels of a therapeutic weight loss diet.  This is evident in the significantly reduced body weight</w:t>
      </w:r>
      <w:r w:rsidR="00A21D77">
        <w:rPr>
          <w:rFonts w:cs="Times New Roman"/>
        </w:rPr>
        <w:t xml:space="preserve"> and</w:t>
      </w:r>
      <w:r>
        <w:rPr>
          <w:rFonts w:cs="Times New Roman"/>
        </w:rPr>
        <w:t xml:space="preserve"> BCS achieved a</w:t>
      </w:r>
      <w:r w:rsidR="00DA3033">
        <w:rPr>
          <w:rFonts w:cs="Times New Roman"/>
        </w:rPr>
        <w:t xml:space="preserve">fter 12 weeks of treatment, which </w:t>
      </w:r>
      <w:r>
        <w:rPr>
          <w:rFonts w:cs="Times New Roman"/>
        </w:rPr>
        <w:t xml:space="preserve">did not differ between the two groups.  </w:t>
      </w:r>
      <w:r w:rsidR="00DD4EFA">
        <w:rPr>
          <w:rFonts w:cs="Times New Roman"/>
        </w:rPr>
        <w:t xml:space="preserve">Nutraceutical dogs lost 3.4 </w:t>
      </w:r>
      <w:r w:rsidR="00DD4EFA">
        <w:t>±</w:t>
      </w:r>
      <w:r w:rsidR="00DD4EFA">
        <w:rPr>
          <w:rFonts w:cs="Times New Roman"/>
        </w:rPr>
        <w:t xml:space="preserve"> 0.6 kg body weight and 3.1 </w:t>
      </w:r>
      <w:r w:rsidR="00DD4EFA">
        <w:t xml:space="preserve">± 0.6 kg fat mass compared to 4.4 ± 1.1 kg body </w:t>
      </w:r>
      <w:proofErr w:type="gramStart"/>
      <w:r w:rsidR="00DD4EFA">
        <w:t>weight</w:t>
      </w:r>
      <w:proofErr w:type="gramEnd"/>
      <w:r w:rsidR="00DD4EFA">
        <w:t xml:space="preserve"> and 3.9 ± 0.8 kg fat mass in dogs consuming a therapeutic weight loss diet.</w:t>
      </w:r>
      <w:r w:rsidR="00DD4EFA">
        <w:rPr>
          <w:rFonts w:cs="Times New Roman"/>
        </w:rPr>
        <w:t xml:space="preserve">  </w:t>
      </w:r>
      <w:r w:rsidR="00A148CD">
        <w:rPr>
          <w:rFonts w:cs="Times New Roman"/>
        </w:rPr>
        <w:t xml:space="preserve">The proportion of weight lost as fat in </w:t>
      </w:r>
      <w:r w:rsidR="000D3F2A">
        <w:rPr>
          <w:rFonts w:cs="Times New Roman"/>
        </w:rPr>
        <w:t xml:space="preserve">both groups was similar, with </w:t>
      </w:r>
      <w:r w:rsidR="00A148CD">
        <w:rPr>
          <w:rFonts w:cs="Times New Roman"/>
        </w:rPr>
        <w:t>nutrac</w:t>
      </w:r>
      <w:r w:rsidR="000D3F2A">
        <w:rPr>
          <w:rFonts w:cs="Times New Roman"/>
        </w:rPr>
        <w:t>eutical dogs losing</w:t>
      </w:r>
      <w:r w:rsidR="00A148CD">
        <w:rPr>
          <w:rFonts w:cs="Times New Roman"/>
        </w:rPr>
        <w:t xml:space="preserve"> 91.2%</w:t>
      </w:r>
      <w:r w:rsidR="000D3F2A">
        <w:rPr>
          <w:rFonts w:cs="Times New Roman"/>
        </w:rPr>
        <w:t xml:space="preserve"> as fat</w:t>
      </w:r>
      <w:r w:rsidR="00A148CD">
        <w:rPr>
          <w:rFonts w:cs="Times New Roman"/>
        </w:rPr>
        <w:t xml:space="preserve"> versus 88.6% in weight loss diet dogs.  </w:t>
      </w:r>
      <w:r w:rsidR="00226BA7">
        <w:rPr>
          <w:rFonts w:cs="Times New Roman"/>
        </w:rPr>
        <w:t xml:space="preserve">These results echo recent human data in which </w:t>
      </w:r>
      <w:r w:rsidR="00A148CD">
        <w:rPr>
          <w:rFonts w:cs="Times New Roman"/>
        </w:rPr>
        <w:t xml:space="preserve">the </w:t>
      </w:r>
      <w:r w:rsidR="00DD4EFA">
        <w:rPr>
          <w:rFonts w:cs="Times New Roman"/>
        </w:rPr>
        <w:t>nutraceutical blend, in a dose</w:t>
      </w:r>
      <w:r w:rsidR="00327784">
        <w:rPr>
          <w:rFonts w:cs="Times New Roman"/>
        </w:rPr>
        <w:t xml:space="preserve"> modified for people</w:t>
      </w:r>
      <w:r w:rsidR="00DD4EFA">
        <w:rPr>
          <w:rFonts w:cs="Times New Roman"/>
        </w:rPr>
        <w:t xml:space="preserve"> (</w:t>
      </w:r>
      <w:r w:rsidR="00DD4EFA">
        <w:t xml:space="preserve">2.25 </w:t>
      </w:r>
      <w:r w:rsidR="00DD4EFA" w:rsidRPr="003A0EF9">
        <w:t>m</w:t>
      </w:r>
      <w:r w:rsidR="00DD4EFA">
        <w:t>g leucine and 3</w:t>
      </w:r>
      <w:r w:rsidR="00DD4EFA" w:rsidRPr="003A0EF9">
        <w:t>0mg pyridoxine</w:t>
      </w:r>
      <w:r w:rsidR="00DD4EFA">
        <w:t>),</w:t>
      </w:r>
      <w:r w:rsidR="00327784">
        <w:t xml:space="preserve"> was associated with</w:t>
      </w:r>
      <w:r w:rsidR="00327784" w:rsidRPr="003A0EF9">
        <w:t xml:space="preserve"> a total</w:t>
      </w:r>
      <w:r w:rsidR="00327784">
        <w:t xml:space="preserve"> fat mass loss</w:t>
      </w:r>
      <w:r w:rsidR="00327784" w:rsidRPr="003A0EF9">
        <w:t xml:space="preserve"> of 1.82 ± 0.70 kg versus no change of fat mass in the placebo group when consuming a maintenance amount of calories.  When calorically restricted (500 kcal/day reduction), </w:t>
      </w:r>
      <w:r w:rsidR="00971701">
        <w:t xml:space="preserve">nutraceutical </w:t>
      </w:r>
      <w:r w:rsidR="00327784" w:rsidRPr="003A0EF9">
        <w:t xml:space="preserve">subjects lost significantly more total weight (8.15 ± 1.33 vs. 5.25 ± 1.13 kg, </w:t>
      </w:r>
      <w:r w:rsidR="00327784" w:rsidRPr="003A0EF9">
        <w:rPr>
          <w:i/>
        </w:rPr>
        <w:t>p</w:t>
      </w:r>
      <w:r w:rsidR="00327784" w:rsidRPr="003A0EF9">
        <w:t xml:space="preserve">&lt;0.01) and fat mass (7.00 ± 0.95 vs. 4.22 ± 0.74 kg, </w:t>
      </w:r>
      <w:r w:rsidR="00327784" w:rsidRPr="003A0EF9">
        <w:rPr>
          <w:i/>
        </w:rPr>
        <w:t>p</w:t>
      </w:r>
      <w:r w:rsidR="00327784" w:rsidRPr="003A0EF9">
        <w:t>&lt;0.01) than the placebo group over the 6 month time frame.</w:t>
      </w:r>
      <w:r w:rsidR="00327784" w:rsidRPr="003A0EF9">
        <w:fldChar w:fldCharType="begin"/>
      </w:r>
      <w:r w:rsidR="000A492A">
        <w:instrText xml:space="preserve"> ADDIN ZOTERO_ITEM CSL_CITATION {"citationID":"zCnKtWKF","properties":{"formattedCitation":"{\\rtf \\super 347\\nosupersub{}}","plainCitation":"347"},"citationItems":[{"id":371,"uris":["http://zotero.org/users/local/Ry4zHLbn/items/GJKIQNPJ"],"uri":["http://zotero.org/users/local/Ry4zHLbn/items/GJKIQNPJ"],"itemData":{"id":371,"type":"article-journal","title":"Effects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B"},{"family":"Bruckbauer","given":"Antje"}],"issued":{"date-parts":[["2013"]]},"PMID":"24003309"}}],"schema":"https://github.com/citation-style-language/schema/raw/master/csl-citation.json"} </w:instrText>
      </w:r>
      <w:r w:rsidR="00327784" w:rsidRPr="003A0EF9">
        <w:fldChar w:fldCharType="separate"/>
      </w:r>
      <w:r w:rsidR="000A492A" w:rsidRPr="000A492A">
        <w:rPr>
          <w:vertAlign w:val="superscript"/>
        </w:rPr>
        <w:t>347</w:t>
      </w:r>
      <w:r w:rsidR="00327784" w:rsidRPr="003A0EF9">
        <w:fldChar w:fldCharType="end"/>
      </w:r>
      <w:r w:rsidR="00327784">
        <w:rPr>
          <w:rFonts w:cs="Times New Roman"/>
        </w:rPr>
        <w:t xml:space="preserve"> </w:t>
      </w:r>
    </w:p>
    <w:p w:rsidR="008466D3" w:rsidRPr="0057784F" w:rsidRDefault="008466D3" w:rsidP="00327784">
      <w:pPr>
        <w:ind w:firstLine="720"/>
        <w:rPr>
          <w:rFonts w:cs="Times New Roman"/>
        </w:rPr>
      </w:pPr>
      <w:r>
        <w:rPr>
          <w:rFonts w:cs="Times New Roman"/>
        </w:rPr>
        <w:t xml:space="preserve">The ability to induce weight loss without extreme energy restriction is an exciting prospect in dogs.  </w:t>
      </w:r>
      <w:r w:rsidR="000840B4">
        <w:rPr>
          <w:rFonts w:cs="Times New Roman"/>
        </w:rPr>
        <w:t>Multiple recommendations regarding restriction levels in dogs undergoing weight loss plans have been published</w:t>
      </w:r>
      <w:r w:rsidR="00865CC8">
        <w:rPr>
          <w:rFonts w:cs="Times New Roman"/>
        </w:rPr>
        <w:t>;</w:t>
      </w:r>
      <w:r w:rsidR="00ED05CB">
        <w:rPr>
          <w:rFonts w:cs="Times New Roman"/>
        </w:rPr>
        <w:t xml:space="preserve"> </w:t>
      </w:r>
      <w:r w:rsidR="00865CC8">
        <w:rPr>
          <w:rFonts w:cs="Times New Roman"/>
        </w:rPr>
        <w:t xml:space="preserve"> including </w:t>
      </w:r>
      <w:r w:rsidR="00ED05CB">
        <w:rPr>
          <w:rFonts w:cs="Times New Roman"/>
        </w:rPr>
        <w:t>0.5 – 0.75 x MER</w:t>
      </w:r>
      <w:r w:rsidR="00ED05CB">
        <w:rPr>
          <w:rFonts w:cs="Times New Roman"/>
          <w:vertAlign w:val="subscript"/>
        </w:rPr>
        <w:t>ideal</w:t>
      </w:r>
      <w:r w:rsidR="001975C9">
        <w:rPr>
          <w:rFonts w:cs="Times New Roman"/>
        </w:rPr>
        <w:fldChar w:fldCharType="begin"/>
      </w:r>
      <w:r w:rsidR="000A492A">
        <w:rPr>
          <w:rFonts w:cs="Times New Roman"/>
        </w:rPr>
        <w:instrText xml:space="preserve"> ADDIN ZOTERO_ITEM CSL_CITATION {"citationID":"Rg4ECBXZ","properties":{"formattedCitation":"{\\rtf \\super 396,400,406\\nosupersub{}}","plainCitation":"396,400,406"},"citationItems":[{"id":444,"uris":["http://zotero.org/users/171999/items/VVSBDAAA"],"uri":["http://zotero.org/users/171999/items/VVSBDAAA"],"itemData":{"id":444,"type":"article-journal","title":"Dietary energy restriction and successful weight loss in obese client-owned dogs","container-title":"Journal of veterinary internal medicine / American College of Veterinary Internal Medicine","page":"1174-1180","volume":"21","issue":"6","source":"NCBI PubMed","abstract":"BACKGROUND: Obesity is the most common nutritional disease in dogs. Although weight loss by dietary caloric energy restriction is successful in experimental studies, there is limited information on success of such programs in client-owned dogs who are obese. Further, no information currently exists on the changes in body composition during weight loss in clinical cases.\nHYPOTHESIS: Key determinants of outcome of weight loss, including energy allocation and body composition, are influenced by both individual and weight program factors.\nANIMALS: Nineteen client-owned dogs with naturally occurring obesity.\nMETHODS: In this prospective clinical study, body composition was quantified by dual-energy X-ray absorptiometry before and after weight loss on an individually tailored program that incorporated a high-protein and moderate-fiber diet.\nRESULTS: Mean percentage weight loss was 18% (range, 6-29%), and mean rate of weight loss was 0.85% per week (range, 0.35-1.56%). Mean energy allocation required to achieve weight loss was 60% of maintenance energy requirement at target weight (MERTW) (range, 50-82%). Significant dietary noncompliance was reported (mean, 1.0% MERTW; range, 0.0-9.5%). The mean composition of tissue lost was 84: 15:1 (fat : lean : bone mineral content [BMC]). Lean tissue loss was positively associated with overall percentage of weight loss (Pearson correlation coefficient [Rp] = 0.591, P = .008), whereas BMC loss was greater in retrievers compared with other breeds (1.9% +/- 1.16% versus 0.8% +/- 0.44%; P = .008).\nCONCLUSIONS AND CLINICAL IMPORTANCE: This clinical study demonstrated body composition changes during weight loss in dogs. Conventional programs produced safe weight loss, but marked energy restriction was required and the rate of loss was slower than in experimental studies.","ISSN":"0891-6640","note":"PMID: 18196722","journalAbbreviation":"J. Vet. Intern. Med.","language":"eng","author":[{"family":"German","given":"Alexander J"},{"family":"Holden","given":"Shelley L"},{"family":"Bissot","given":"Thomas"},{"family":"Hackett","given":"Rachel M"},{"family":"Biourge","given":"Vincent"}],"issued":{"date-parts":[["2007",12]]},"PMID":"18196722"}},{"id":463,"uris":["http://zotero.org/users/171999/items/I2EZGMUA"],"uri":["http://zotero.org/users/171999/items/I2EZGMUA"],"itemData":{"id":463,"type":"article-journal","title":"Evaluation of weight loss protocols for dogs","container-title":"Journal of the American Animal Hospital Association","page":"253-259","volume":"33","issue":"3","source":"ISI Web of Knowledge","abstract":"Several canine weight loss protocols were evaluated to determine their relative safety and efficacy, Dogs were fed 100%, 75%, 60%, or 50% of maintenance energy requirements (MERs) using the dogs' target body weights, No indications of adverse health effects were observed with any weight loss protocol, Triiodothyronine (T-3) levels and apparent MERs decreased in dogs restricted to 50% to 60% of their MERs. The rate of weight loss was correlated linearly with degree of calorie restriction, although there was considerable individual variation. Percent overweight by the end of the test was not different between protocol groups for dogs fed 50%, 60%, or 75% of MERs. Therefore, any of the protocols tested in this study may be used in the management of overweight dogs; however, individual responses will be expected to vary, and severe calorie restriction may predispose dogs to weight rebound.","ISSN":"0587-2871","note":"WOS:A1997WW32200008","journalAbbreviation":"J. Am. Anim. Hosp. Assoc.","language":"English","author":[{"family":"Laflamme","given":"D. P."},{"family":"Kuhlman","given":"G."},{"family":"Lawler","given":"D. F."}],"issued":{"date-parts":[["1997",6]]}}},{"id":652,"uris":["http://zotero.org/users/171999/items/3ZG7HWKG"],"uri":["http://zotero.org/users/171999/items/3ZG7HWKG"],"itemData":{"id":652,"type":"article-journal","title":"Differential metabolic effects of energy restriction in dogs using diets varying in fat and fiber content","container-title":"Obesity research","page":"337-345","volume":"4","issue":"4","source":"NCBI PubMed","abstract":"The role of dietary fat and fiber in energy restriction for the management of obesity was examined. Twelve male castrated dogs were energy restricted for 7 weeks by feeding 60% of their calculated maintenance energy requirements (MER = 1500 kcal/m2/d) for ideal body weight. Six dogs were restricted on a high-fat (35.4 kcal% from fat), low-fiber (2.9% dry matter basis [DMB]) diet while the other six dogs were restricted on a low-fat (24.5 kcal% from fat), high-fiber (27% DMB) diet. Compared with the high-fat, low-fiber diet, energy restriction on the low-fat, high-fiber diet resulted in significantly greater decreases in body fat (1472 +/- 166 vs. 853 +/- 176 g; p &lt; 0.05) and total serum cholesterol concentrations (108.7 +/- 11.3 vs. 51.5 +/- 13.9 mg/dL; p &lt; 0.005). Reductions in body weight (2.86 +/- 0.3 vs. 2.14 +/- 0.3 kg; p &lt; 0.09), and mean arterial blood pressure (17.4 +/- 6.1 vs. 6.7 +/- 2.9 mmHg; p &lt; 0.12) were also greater on the low-fat diet; however, these diet effects did not reach statistical significance. These data suggest that the fat and fiber content of the diet during energy restriction are important factors in the management of obesity.","ISSN":"1071-7323","note":"PMID: 8822758","journalAbbreviation":"Obes. Res.","language":"eng","author":[{"family":"Borne","given":"A T"},{"family":"Wolfsheimer","given":"K J"},{"family":"Truett","given":"A A"},{"family":"Kiene","given":"J"},{"family":"Wojciechowski","given":"T"},{"family":"Davenport","given":"D J"},{"family":"Ford","given":"R B"},{"family":"West","given":"D B"}],"issued":{"date-parts":[["1996",7]]},"PMID":"8822758"}}],"schema":"https://github.com/citation-style-language/schema/raw/master/csl-citation.json"} </w:instrText>
      </w:r>
      <w:r w:rsidR="001975C9">
        <w:rPr>
          <w:rFonts w:cs="Times New Roman"/>
        </w:rPr>
        <w:fldChar w:fldCharType="separate"/>
      </w:r>
      <w:r w:rsidR="000A492A" w:rsidRPr="000A492A">
        <w:rPr>
          <w:vertAlign w:val="superscript"/>
        </w:rPr>
        <w:t>396,400,406</w:t>
      </w:r>
      <w:r w:rsidR="001975C9">
        <w:rPr>
          <w:rFonts w:cs="Times New Roman"/>
        </w:rPr>
        <w:fldChar w:fldCharType="end"/>
      </w:r>
      <w:r w:rsidR="00B33FE8">
        <w:rPr>
          <w:rFonts w:cs="Times New Roman"/>
        </w:rPr>
        <w:t>, 50</w:t>
      </w:r>
      <w:r w:rsidR="001975C9">
        <w:rPr>
          <w:rFonts w:cs="Times New Roman"/>
        </w:rPr>
        <w:t xml:space="preserve"> – 100 kcal/BW</w:t>
      </w:r>
      <w:r w:rsidR="001975C9">
        <w:rPr>
          <w:rFonts w:cs="Times New Roman"/>
          <w:vertAlign w:val="subscript"/>
        </w:rPr>
        <w:t>kg(ideal)</w:t>
      </w:r>
      <w:r w:rsidR="001975C9">
        <w:rPr>
          <w:rFonts w:cs="Times New Roman"/>
          <w:vertAlign w:val="superscript"/>
        </w:rPr>
        <w:t>0.75</w:t>
      </w:r>
      <w:r w:rsidR="00B33FE8">
        <w:rPr>
          <w:rFonts w:cs="Times New Roman"/>
        </w:rPr>
        <w:t>,</w:t>
      </w:r>
      <w:r w:rsidR="00B33FE8">
        <w:rPr>
          <w:rFonts w:cs="Times New Roman"/>
        </w:rPr>
        <w:fldChar w:fldCharType="begin"/>
      </w:r>
      <w:r w:rsidR="000A492A">
        <w:rPr>
          <w:rFonts w:cs="Times New Roman"/>
        </w:rPr>
        <w:instrText xml:space="preserve"> ADDIN ZOTERO_ITEM CSL_CITATION {"citationID":"TtxrppCu","properties":{"formattedCitation":"{\\rtf \\super 283,407\\nosupersub{}}","plainCitation":"283,407"},"citationItems":[{"id":1568,"uris":["http://zotero.org/users/171999/items/VST2SBXN"],"uri":["http://zotero.org/users/171999/items/VST2SBXN"],"itemData":{"id":1568,"type":"article-journal","title":"Weight loss in obese dogs: evaluation of a high-protein, low-carbohydrate diet","container-title":"The Journal of nutrition","page":"1685S-7S","volume":"132","issue":"6 Suppl 2","source":"NCBI PubMed","ISSN":"0022-3166","note":"PMID: 12042493","shortTitle":"Weight loss in obese dogs","journalAbbreviation":"J. Nutr.","language":"eng","author":[{"family":"Diez","given":"Marianne"},{"family":"Nguyen","given":"Patrick"},{"family":"Jeusette","given":"Isabelle"},{"family":"Devois","given":"Claire"},{"family":"Istasse","given":"Louis"},{"family":"Biourge","given":"Vincent"}],"issued":{"date-parts":[["2002",6]]},"PMID":"12042493"}},{"id":657,"uris":["http://zotero.org/users/171999/items/63S9EIIB"],"uri":["http://zotero.org/users/171999/items/63S9EIIB"],"itemData":{"id":657,"type":"article-journal","title":"Clinical studies in the management of obesity in dogs and cats","container-title":"International journal of obesity and related metabolic disorders: journal of the International Association for the Study of Obesity","page":"S39-43","volume":"18 Suppl 1","source":"NCBI PubMed","abstract":"Obesity in companion animals is a common clinical condition, and represents an important challenge to the veterinarian. This paper reports a study in which controlled calorie reduction was used to achieve weight loss in a group of dogs. The food allowance for the study provided approximately 209 kJ metabolisable energy (ME)/kg (target weight)0.75/day, with target weight 15% less than the dog's starting weight. The rate of weight loss achieved averaged approximately 1% per week over a 12 week period. Data reviewed from a second study in cats suggested that an energy intake of approximately 121 kJ ME/kg target weight/day, again with the target 15% less than the current weight, was an appropriate level for obtaining gradual weight loss in this species. These findings are discussed in relation to an alternative method of weight reduction, starvation. The potential value of exercise as an adjunct to controlled calorie reduction for achieving weight loss in companion animals is also considered.","ISSN":"0307-0565","note":"PMID: 8087164","journalAbbreviation":"Int. J. Obes. Relat. Metab. Disord.","language":"eng","author":[{"family":"Markwell","given":"P J"},{"family":"Butterwick","given":"R F"},{"family":"Wills","given":"J M"},{"family":"Raiha","given":"M"}],"issued":{"date-parts":[["1994",6]]},"PMID":"8087164"}}],"schema":"https://github.com/citation-style-language/schema/raw/master/csl-citation.json"} </w:instrText>
      </w:r>
      <w:r w:rsidR="00B33FE8">
        <w:rPr>
          <w:rFonts w:cs="Times New Roman"/>
        </w:rPr>
        <w:fldChar w:fldCharType="separate"/>
      </w:r>
      <w:r w:rsidR="000A492A" w:rsidRPr="000A492A">
        <w:rPr>
          <w:vertAlign w:val="superscript"/>
        </w:rPr>
        <w:t>283,407</w:t>
      </w:r>
      <w:r w:rsidR="00B33FE8">
        <w:rPr>
          <w:rFonts w:cs="Times New Roman"/>
        </w:rPr>
        <w:fldChar w:fldCharType="end"/>
      </w:r>
      <w:r w:rsidR="00B33FE8">
        <w:rPr>
          <w:rFonts w:cs="Times New Roman"/>
        </w:rPr>
        <w:t xml:space="preserve"> or 0.6 x MER of a weight 15% below current weight</w:t>
      </w:r>
      <w:r w:rsidR="00ED05CB">
        <w:rPr>
          <w:rFonts w:cs="Times New Roman"/>
        </w:rPr>
        <w:t>.</w:t>
      </w:r>
      <w:r w:rsidR="001975C9">
        <w:rPr>
          <w:rFonts w:cs="Times New Roman"/>
        </w:rPr>
        <w:fldChar w:fldCharType="begin"/>
      </w:r>
      <w:r w:rsidR="000A492A">
        <w:rPr>
          <w:rFonts w:cs="Times New Roman"/>
        </w:rPr>
        <w:instrText xml:space="preserve"> ADDIN ZOTERO_ITEM CSL_CITATION {"citationID":"IHQj0iKm","properties":{"formattedCitation":"{\\rtf \\super 408\\nosupersub{}}","plainCitation":"408"},"citationItems":[{"id":666,"uris":["http://zotero.org/users/171999/items/I27RMQR4"],"uri":["http://zotero.org/users/171999/items/I27RMQR4"],"itemData":{"id":666,"type":"article-journal","title":"Effects of caloric restriction and a moderate or intense physiotherapy program for treatment of lameness in overweight dogs with osteoarthritis","container-title":"Journal of the American Veterinary Medical Association","page":"1756-1760","volume":"229","issue":"11","source":"NCBI PubMed","abstract":"OBJECTIVE: To evaluate the effects of a weight reduction program combined with a basic or more complex physical therapy program including transcutaneous electric nerve stimulation on lameness in overweight dogs with osteoarthritis.\nDESIGN: Nonblinded prospective randomized clinical trial. Animals-29 adult overweight or obese dogs with a body condition score of 4/5 or 5/5 and clinical and radiographic signs of osteoarthritis.\nPROCEDURES: A weight-loss program was initiated for all dogs. One group received caloric restriction and a home-based physical therapy program. The other group received the identical dietetic protocol and an intensive physical therapy program including transcutaneous electrical nerve stimulation. Lameness was assessed clinically and by kinetic gait analysis on a treadmill with 4 force plates to measure symmetry of ground reaction forces (GRFs) of the affected and contralateral limbs in bimonthly intervals for 6 months.\nRESULTS: Significant weight loss was achieved in both groups; however, greater weight reduction was attained by dogs treated with caloric restriction and intensive physiotherapy. Mobility and symmetry indices of GRFs were improved after 6 months; the best outcome was detected in the group receiving energy restriction combined with intensive physical therapy.\nCONCLUSIONS AND CLINICAL RELEVANCE: Caloric restriction combined with intensive physical therapy improved mobility and facilitated weight loss in overweight dogs. The combination of dietetic and physical therapy may help to improve the health status more efficiently than dietetic treatment alone.","DOI":"10.2460/javma.229.11.1756","ISSN":"0003-1488","note":"PMID: 17144822","journalAbbreviation":"J. Am. Vet. Med. Assoc.","language":"eng","author":[{"family":"Mlacnik","given":"Evamaria"},{"family":"Bockstahler","given":"Barbara A"},{"family":"Müller","given":"Marion"},{"family":"Tetrick","given":"Mark A"},{"family":"Nap","given":"Richard C"},{"family":"Zentek","given":"Jürgen"}],"issued":{"date-parts":[["2006",12,1]]},"PMID":"17144822"}}],"schema":"https://github.com/citation-style-language/schema/raw/master/csl-citation.json"} </w:instrText>
      </w:r>
      <w:r w:rsidR="001975C9">
        <w:rPr>
          <w:rFonts w:cs="Times New Roman"/>
        </w:rPr>
        <w:fldChar w:fldCharType="separate"/>
      </w:r>
      <w:r w:rsidR="000A492A" w:rsidRPr="000A492A">
        <w:rPr>
          <w:vertAlign w:val="superscript"/>
        </w:rPr>
        <w:t>408</w:t>
      </w:r>
      <w:r w:rsidR="001975C9">
        <w:rPr>
          <w:rFonts w:cs="Times New Roman"/>
        </w:rPr>
        <w:fldChar w:fldCharType="end"/>
      </w:r>
      <w:r w:rsidR="001975C9">
        <w:rPr>
          <w:rFonts w:cs="Times New Roman"/>
        </w:rPr>
        <w:t xml:space="preserve"> </w:t>
      </w:r>
      <w:r w:rsidR="00865CC8">
        <w:rPr>
          <w:rFonts w:cs="Times New Roman"/>
        </w:rPr>
        <w:t xml:space="preserve"> It is generally recommended for dogs to maintain a weight loss rate of 1 – 2 %/week on a restricted intake weight loss plan.  Dogs in the current study averaged 1.7</w:t>
      </w:r>
      <w:r w:rsidR="005153D7">
        <w:rPr>
          <w:rFonts w:cs="Times New Roman"/>
        </w:rPr>
        <w:t xml:space="preserve"> %</w:t>
      </w:r>
      <w:r w:rsidR="00865CC8">
        <w:rPr>
          <w:rFonts w:cs="Times New Roman"/>
        </w:rPr>
        <w:t xml:space="preserve"> </w:t>
      </w:r>
      <w:r w:rsidR="005153D7">
        <w:rPr>
          <w:rFonts w:cs="Times New Roman"/>
        </w:rPr>
        <w:t>(nutraceutical), 2.2 % (weight loss diet), and 0.6% (placebo) weekly weight loss while consuming an ideal maintenance level of calories</w:t>
      </w:r>
      <w:r w:rsidR="000D3F2A">
        <w:rPr>
          <w:rFonts w:cs="Times New Roman"/>
        </w:rPr>
        <w:t xml:space="preserve"> over 12 weeks</w:t>
      </w:r>
      <w:r w:rsidR="005153D7">
        <w:rPr>
          <w:rFonts w:cs="Times New Roman"/>
        </w:rPr>
        <w:t xml:space="preserve">.  These results may differ from those seen in naturally obese client-owned dogs, </w:t>
      </w:r>
      <w:r w:rsidR="00C71E14">
        <w:rPr>
          <w:rFonts w:cs="Times New Roman"/>
        </w:rPr>
        <w:t xml:space="preserve">however, </w:t>
      </w:r>
      <w:r w:rsidR="005153D7">
        <w:rPr>
          <w:rFonts w:cs="Times New Roman"/>
        </w:rPr>
        <w:t>since the</w:t>
      </w:r>
      <w:r w:rsidR="0057784F">
        <w:rPr>
          <w:rFonts w:cs="Times New Roman"/>
        </w:rPr>
        <w:t>y have been reported to lose an</w:t>
      </w:r>
      <w:r w:rsidR="005153D7">
        <w:rPr>
          <w:rFonts w:cs="Times New Roman"/>
        </w:rPr>
        <w:t xml:space="preserve"> average of 0.85% per week when fed</w:t>
      </w:r>
      <w:r w:rsidR="0057784F">
        <w:rPr>
          <w:rFonts w:cs="Times New Roman"/>
        </w:rPr>
        <w:t xml:space="preserve"> 0.6 x MER</w:t>
      </w:r>
      <w:r w:rsidR="0057784F">
        <w:rPr>
          <w:rFonts w:cs="Times New Roman"/>
          <w:vertAlign w:val="subscript"/>
        </w:rPr>
        <w:t>ideal</w:t>
      </w:r>
      <w:r w:rsidR="0057784F">
        <w:rPr>
          <w:rFonts w:cs="Times New Roman"/>
        </w:rPr>
        <w:t>.</w:t>
      </w:r>
      <w:r w:rsidR="00C71E14">
        <w:rPr>
          <w:rFonts w:cs="Times New Roman"/>
        </w:rPr>
        <w:fldChar w:fldCharType="begin"/>
      </w:r>
      <w:r w:rsidR="00C71E14">
        <w:rPr>
          <w:rFonts w:cs="Times New Roman"/>
        </w:rPr>
        <w:instrText xml:space="preserve"> ADDIN ZOTERO_ITEM CSL_CITATION {"citationID":"19db5ku990","properties":{"formattedCitation":"{\\rtf \\super 396\\nosupersub{}}","plainCitation":"396"},"citationItems":[{"id":444,"uris":["http://zotero.org/users/171999/items/VVSBDAAA"],"uri":["http://zotero.org/users/171999/items/VVSBDAAA"],"itemData":{"id":444,"type":"article-journal","title":"Dietary energy restriction and successful weight loss in obese client-owned dogs","container-title":"Journal of veterinary internal medicine / American College of Veterinary Internal Medicine","page":"1174-1180","volume":"21","issue":"6","source":"NCBI PubMed","abstract":"BACKGROUND: Obesity is the most common nutritional disease in dogs. Although weight loss by dietary caloric energy restriction is successful in experimental studies, there is limited information on success of such programs in client-owned dogs who are obese. Further, no information currently exists on the changes in body composition during weight loss in clinical cases.\nHYPOTHESIS: Key determinants of outcome of weight loss, including energy allocation and body composition, are influenced by both individual and weight program factors.\nANIMALS: Nineteen client-owned dogs with naturally occurring obesity.\nMETHODS: In this prospective clinical study, body composition was quantified by dual-energy X-ray absorptiometry before and after weight loss on an individually tailored program that incorporated a high-protein and moderate-fiber diet.\nRESULTS: Mean percentage weight loss was 18% (range, 6-29%), and mean rate of weight loss was 0.85% per week (range, 0.35-1.56%). Mean energy allocation required to achieve weight loss was 60% of maintenance energy requirement at target weight (MERTW) (range, 50-82%). Significant dietary noncompliance was reported (mean, 1.0% MERTW; range, 0.0-9.5%). The mean composition of tissue lost was 84: 15:1 (fat : lean : bone mineral content [BMC]). Lean tissue loss was positively associated with overall percentage of weight loss (Pearson correlation coefficient [Rp] = 0.591, P = .008), whereas BMC loss was greater in retrievers compared with other breeds (1.9% +/- 1.16% versus 0.8% +/- 0.44%; P = .008).\nCONCLUSIONS AND CLINICAL IMPORTANCE: This clinical study demonstrated body composition changes during weight loss in dogs. Conventional programs produced safe weight loss, but marked energy restriction was required and the rate of loss was slower than in experimental studies.","ISSN":"0891-6640","note":"PMID: 18196722","journalAbbreviation":"J. Vet. Intern. Med.","language":"eng","author":[{"family":"German","given":"Alexander J"},{"family":"Holden","given":"Shelley L"},{"family":"Bissot","given":"Thomas"},{"family":"Hackett","given":"Rachel M"},{"family":"Biourge","given":"Vincent"}],"issued":{"date-parts":[["2007",12]]},"PMID":"18196722"}}],"schema":"https://github.com/citation-style-language/schema/raw/master/csl-citation.json"} </w:instrText>
      </w:r>
      <w:r w:rsidR="00C71E14">
        <w:rPr>
          <w:rFonts w:cs="Times New Roman"/>
        </w:rPr>
        <w:fldChar w:fldCharType="separate"/>
      </w:r>
      <w:r w:rsidR="00C71E14" w:rsidRPr="00C71E14">
        <w:rPr>
          <w:vertAlign w:val="superscript"/>
        </w:rPr>
        <w:t>396</w:t>
      </w:r>
      <w:r w:rsidR="00C71E14">
        <w:rPr>
          <w:rFonts w:cs="Times New Roman"/>
        </w:rPr>
        <w:fldChar w:fldCharType="end"/>
      </w:r>
      <w:r w:rsidR="0057784F">
        <w:rPr>
          <w:rFonts w:cs="Times New Roman"/>
        </w:rPr>
        <w:t xml:space="preserve">  </w:t>
      </w:r>
    </w:p>
    <w:p w:rsidR="00676476" w:rsidRDefault="009D79D9" w:rsidP="00676476">
      <w:pPr>
        <w:ind w:firstLine="720"/>
        <w:rPr>
          <w:rFonts w:cs="Times New Roman"/>
        </w:rPr>
      </w:pPr>
      <w:r>
        <w:rPr>
          <w:rFonts w:cs="Times New Roman"/>
        </w:rPr>
        <w:t xml:space="preserve">There are various reported maintenance energy requirements for dogs based on breed, age, housing, and activity level.  </w:t>
      </w:r>
      <w:r w:rsidR="00676476">
        <w:rPr>
          <w:rFonts w:cs="Times New Roman"/>
        </w:rPr>
        <w:t>Middle aged (3 – 10 year old) l</w:t>
      </w:r>
      <w:r w:rsidR="00303DF5">
        <w:rPr>
          <w:rFonts w:cs="Times New Roman"/>
        </w:rPr>
        <w:t>aboratory housed beagles</w:t>
      </w:r>
      <w:r>
        <w:rPr>
          <w:rFonts w:cs="Times New Roman"/>
        </w:rPr>
        <w:t xml:space="preserve"> have been reported to require </w:t>
      </w:r>
      <w:r w:rsidR="00676476">
        <w:rPr>
          <w:rFonts w:cs="Times New Roman"/>
        </w:rPr>
        <w:t>114 – 132 kcal/kg</w:t>
      </w:r>
      <w:r w:rsidR="00676476">
        <w:rPr>
          <w:rFonts w:cs="Times New Roman"/>
          <w:vertAlign w:val="superscript"/>
        </w:rPr>
        <w:t>0.75</w:t>
      </w:r>
      <w:r w:rsidR="00676476">
        <w:rPr>
          <w:rFonts w:cs="Times New Roman"/>
        </w:rPr>
        <w:t xml:space="preserve"> for maintenance.</w:t>
      </w:r>
      <w:r w:rsidR="00676476">
        <w:rPr>
          <w:rFonts w:cs="Times New Roman"/>
        </w:rPr>
        <w:fldChar w:fldCharType="begin"/>
      </w:r>
      <w:r w:rsidR="000A492A">
        <w:rPr>
          <w:rFonts w:cs="Times New Roman"/>
        </w:rPr>
        <w:instrText xml:space="preserve"> ADDIN ZOTERO_ITEM CSL_CITATION {"citationID":"pcXu26Ts","properties":{"formattedCitation":"{\\rtf \\super 67,409\\uc0\\u8211{}411\\nosupersub{}}","plainCitation":"67,409–411"},"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Nutrition","given":""}],"issued":{"year":2006},"page-first":"28"}},{"id":1806,"uris":["http://zotero.org/users/171999/items/67FCCM99"],"uri":["http://zotero.org/users/171999/items/67FCCM99"],"itemData":{"id":1806,"type":"paper-conference","title":"Comparison of maintenance energy requirement of client-owned dogs and kennel dogs","publisher-place":"St. Louis, Missouri","event":"Purina Nutrition Forum","event-place":"St. Louis, Missouri","author":[{"family":"Patil","given":"AR"},{"family":"Bisby","given":"TM"}],"issued":{"date-parts":[["2001"]]}}},{"id":43,"uris":["http://zotero.org/users/171999/items/8AIEKV6W"],"uri":["http://zotero.org/users/171999/items/8AIEKV6W"],"itemData":{"id":43,"type":"article-journal","title":"Energy requirements of adult female beagles","container-title":"The Journal of nutrition","page":"2604S-2608S","volume":"124","issue":"12 Suppl","source":"NCBI PubMed","abstract":"The energy requirements of 19 intact adult female beagles were determined over a 60-wk period. The initial age of the dogs averaged 6.5 y (range 0.8-13.4) and the initial weight averaged 11.0 kg (range 8.7-13.7). Dogs were housed in groups of four in heated indoor-outdoor kennel runs. Dogs were fed daily a commercial dry dog food that contained 13.8 kJ/g. The amount offered was adjusted to maintain body weight. Daily energy intake ranged from 2227 to 3667 kJ/dog, with an average of 3061 kJ/dog. When adjusted for differences in body weight, average daily energy intake ranged from 482.6 to 803.1 kJ/kg body weight0.67 with a mean of 617.5 kJ/kg0.67. Energy intake (kJ/kg body weight0.67) declined with age and could be described by the nonlinear equation Y = 753 x age-0.1321; r = -0.802. When these data are combined with an earlier study, the energy intake (kJ/kg body weight0.67) of this group of 36 dogs could be described by the equation Y = 767 x age-0.1408; r = -0.777. These data demonstrate that canine energy requirements decline with age and that the National Research Council recommendations of 552 kJ/kg body weight0.75 overestimates the requirements of adult dogs 3 y of age and older.","ISSN":"0022-3166","note":"PMID: 7996248","journalAbbreviation":"J. Nutr.","language":"eng","author":[{"family":"Finke","given":"M D"}],"issued":{"date-parts":[["1994",12]]},"PMID":"7996248"}},{"id":96,"uris":["http://zotero.org/users/171999/items/7WPH2ZMG"],"uri":["http://zotero.org/users/171999/items/7WPH2ZMG"],"itemData":{"id":96,"type":"article-journal","title":"Evaluation of the energy requirements of adult kennel dogs","container-title":"The Journal of nutrition","page":"S22-28","volume":"121","issue":"11 Suppl","source":"NCBI PubMed","abstract":"The objective of this experiment was to compare the energy requirements of healthy adult kennel dogs to those recommended by the National Research Council (NRC). The energy requirements of six beagles, six Siberian huskies and six Labrador retrievers were determined over a 54-wk period. Dogs were housed in groups of three in heated indoor-outdoor runs and fed a complete and balanced commercial dry dog food. Beagles had an average daily energy intake of 3414 kJ/dog with monthly averages ranging from 3146 to 3740 kJ/dog. Siberian huskies had an average daily energy intake of 5021 kJ/dog. Average monthly energy intakes ranged from 4715 to 5238 kJ/dog. Labrador retrievers had an average daily intake of 5611 kJ/dog with monthly averages ranging from 5063 to 6623 kJ/dog. Seasonal variation appeared to affect the breeds differently, with long-haired Siberian huskies showing less seasonal variation than the shorter-haired breeds. For all dogs energy intake (kJ/kg body weight 0.75) declined with age. The energy intake of each group of dogs was considerably below that recommended by the NRC. The reason for this discrepancy is unknown, although these data suggest that environmental conditions, breed and/or age play an important role.","ISSN":"0022-3166","note":"PMID: 1941229","journalAbbreviation":"J. Nutr.","language":"eng","author":[{"family":"Finke","given":"M D"}],"issued":{"date-parts":[["1991",11]]},"PMID":"1941229"}}],"schema":"https://github.com/citation-style-language/schema/raw/master/csl-citation.json"} </w:instrText>
      </w:r>
      <w:r w:rsidR="00676476">
        <w:rPr>
          <w:rFonts w:cs="Times New Roman"/>
        </w:rPr>
        <w:fldChar w:fldCharType="separate"/>
      </w:r>
      <w:r w:rsidR="000A492A" w:rsidRPr="000A492A">
        <w:rPr>
          <w:vertAlign w:val="superscript"/>
        </w:rPr>
        <w:t>67,409–411</w:t>
      </w:r>
      <w:r w:rsidR="00676476">
        <w:rPr>
          <w:rFonts w:cs="Times New Roman"/>
        </w:rPr>
        <w:fldChar w:fldCharType="end"/>
      </w:r>
      <w:r w:rsidR="00676476">
        <w:rPr>
          <w:rFonts w:cs="Times New Roman"/>
        </w:rPr>
        <w:t xml:space="preserve">  The requirement is even higher (144 kcal /kg</w:t>
      </w:r>
      <w:r w:rsidR="00676476">
        <w:rPr>
          <w:rFonts w:cs="Times New Roman"/>
          <w:vertAlign w:val="superscript"/>
        </w:rPr>
        <w:t>0.75</w:t>
      </w:r>
      <w:r w:rsidR="00676476">
        <w:rPr>
          <w:rFonts w:cs="Times New Roman"/>
        </w:rPr>
        <w:t>) when the beagles are one to two years old.</w:t>
      </w:r>
      <w:r w:rsidR="00676476">
        <w:rPr>
          <w:rFonts w:cs="Times New Roman"/>
        </w:rPr>
        <w:fldChar w:fldCharType="begin"/>
      </w:r>
      <w:r w:rsidR="000A492A">
        <w:rPr>
          <w:rFonts w:cs="Times New Roman"/>
        </w:rPr>
        <w:instrText xml:space="preserve"> ADDIN ZOTERO_ITEM CSL_CITATION {"citationID":"wlIDjvZH","properties":{"formattedCitation":"{\\rtf \\super 67,410\\nosupersub{}}","plainCitation":"67,410"},"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Nutrition","given":""}],"issued":{"year":2006},"page-first":"28"}},{"id":43,"uris":["http://zotero.org/users/171999/items/8AIEKV6W"],"uri":["http://zotero.org/users/171999/items/8AIEKV6W"],"itemData":{"id":43,"type":"article-journal","title":"Energy requirements of adult female beagles","container-title":"The Journal of nutrition","page":"2604S-2608S","volume":"124","issue":"12 Suppl","source":"NCBI PubMed","abstract":"The energy requirements of 19 intact adult female beagles were determined over a 60-wk period. The initial age of the dogs averaged 6.5 y (range 0.8-13.4) and the initial weight averaged 11.0 kg (range 8.7-13.7). Dogs were housed in groups of four in heated indoor-outdoor kennel runs. Dogs were fed daily a commercial dry dog food that contained 13.8 kJ/g. The amount offered was adjusted to maintain body weight. Daily energy intake ranged from 2227 to 3667 kJ/dog, with an average of 3061 kJ/dog. When adjusted for differences in body weight, average daily energy intake ranged from 482.6 to 803.1 kJ/kg body weight0.67 with a mean of 617.5 kJ/kg0.67. Energy intake (kJ/kg body weight0.67) declined with age and could be described by the nonlinear equation Y = 753 x age-0.1321; r = -0.802. When these data are combined with an earlier study, the energy intake (kJ/kg body weight0.67) of this group of 36 dogs could be described by the equation Y = 767 x age-0.1408; r = -0.777. These data demonstrate that canine energy requirements decline with age and that the National Research Council recommendations of 552 kJ/kg body weight0.75 overestimates the requirements of adult dogs 3 y of age and older.","ISSN":"0022-3166","note":"PMID: 7996248","journalAbbreviation":"J. Nutr.","language":"eng","author":[{"family":"Finke","given":"M D"}],"issued":{"date-parts":[["1994",12]]},"PMID":"7996248"}}],"schema":"https://github.com/citation-style-language/schema/raw/master/csl-citation.json"} </w:instrText>
      </w:r>
      <w:r w:rsidR="00676476">
        <w:rPr>
          <w:rFonts w:cs="Times New Roman"/>
        </w:rPr>
        <w:fldChar w:fldCharType="separate"/>
      </w:r>
      <w:r w:rsidR="000A492A" w:rsidRPr="000A492A">
        <w:rPr>
          <w:vertAlign w:val="superscript"/>
        </w:rPr>
        <w:t>67,410</w:t>
      </w:r>
      <w:r w:rsidR="00676476">
        <w:rPr>
          <w:rFonts w:cs="Times New Roman"/>
        </w:rPr>
        <w:fldChar w:fldCharType="end"/>
      </w:r>
      <w:r w:rsidR="00676476">
        <w:rPr>
          <w:rFonts w:cs="Times New Roman"/>
        </w:rPr>
        <w:t xml:space="preserve">  At least two of these reports involved dogs that were group housed with 2 – 3 dogs per run.</w:t>
      </w:r>
      <w:r w:rsidR="00676476">
        <w:rPr>
          <w:rFonts w:cs="Times New Roman"/>
        </w:rPr>
        <w:fldChar w:fldCharType="begin"/>
      </w:r>
      <w:r w:rsidR="000A492A">
        <w:rPr>
          <w:rFonts w:cs="Times New Roman"/>
        </w:rPr>
        <w:instrText xml:space="preserve"> ADDIN ZOTERO_ITEM CSL_CITATION {"citationID":"146gpme5h4","properties":{"formattedCitation":"{\\rtf \\super 410,411\\nosupersub{}}","plainCitation":"410,411"},"citationItems":[{"id":43,"uris":["http://zotero.org/users/171999/items/8AIEKV6W"],"uri":["http://zotero.org/users/171999/items/8AIEKV6W"],"itemData":{"id":43,"type":"article-journal","title":"Energy requirements of adult female beagles","container-title":"The Journal of nutrition","page":"2604S-2608S","volume":"124","issue":"12 Suppl","source":"NCBI PubMed","abstract":"The energy requirements of 19 intact adult female beagles were determined over a 60-wk period. The initial age of the dogs averaged 6.5 y (range 0.8-13.4) and the initial weight averaged 11.0 kg (range 8.7-13.7). Dogs were housed in groups of four in heated indoor-outdoor kennel runs. Dogs were fed daily a commercial dry dog food that contained 13.8 kJ/g. The amount offered was adjusted to maintain body weight. Daily energy intake ranged from 2227 to 3667 kJ/dog, with an average of 3061 kJ/dog. When adjusted for differences in body weight, average daily energy intake ranged from 482.6 to 803.1 kJ/kg body weight0.67 with a mean of 617.5 kJ/kg0.67. Energy intake (kJ/kg body weight0.67) declined with age and could be described by the nonlinear equation Y = 753 x age-0.1321; r = -0.802. When these data are combined with an earlier study, the energy intake (kJ/kg body weight0.67) of this group of 36 dogs could be described by the equation Y = 767 x age-0.1408; r = -0.777. These data demonstrate that canine energy requirements decline with age and that the National Research Council recommendations of 552 kJ/kg body weight0.75 overestimates the requirements of adult dogs 3 y of age and older.","ISSN":"0022-3166","note":"PMID: 7996248","journalAbbreviation":"J. Nutr.","language":"eng","author":[{"family":"Finke","given":"M D"}],"issued":{"date-parts":[["1994",12]]},"PMID":"7996248"}},{"id":96,"uris":["http://zotero.org/users/171999/items/7WPH2ZMG"],"uri":["http://zotero.org/users/171999/items/7WPH2ZMG"],"itemData":{"id":96,"type":"article-journal","title":"Evaluation of the energy requirements of adult kennel dogs","container-title":"The Journal of nutrition","page":"S22-28","volume":"121","issue":"11 Suppl","source":"NCBI PubMed","abstract":"The objective of this experiment was to compare the energy requirements of healthy adult kennel dogs to those recommended by the National Research Council (NRC). The energy requirements of six beagles, six Siberian huskies and six Labrador retrievers were determined over a 54-wk period. Dogs were housed in groups of three in heated indoor-outdoor runs and fed a complete and balanced commercial dry dog food. Beagles had an average daily energy intake of 3414 kJ/dog with monthly averages ranging from 3146 to 3740 kJ/dog. Siberian huskies had an average daily energy intake of 5021 kJ/dog. Average monthly energy intakes ranged from 4715 to 5238 kJ/dog. Labrador retrievers had an average daily intake of 5611 kJ/dog with monthly averages ranging from 5063 to 6623 kJ/dog. Seasonal variation appeared to affect the breeds differently, with long-haired Siberian huskies showing less seasonal variation than the shorter-haired breeds. For all dogs energy intake (kJ/kg body weight 0.75) declined with age. The energy intake of each group of dogs was considerably below that recommended by the NRC. The reason for this discrepancy is unknown, although these data suggest that environmental conditions, breed and/or age play an important role.","ISSN":"0022-3166","note":"PMID: 1941229","journalAbbreviation":"J. Nutr.","language":"eng","author":[{"family":"Finke","given":"M D"}],"issued":{"date-parts":[["1991",11]]},"PMID":"1941229"}}],"schema":"https://github.com/citation-style-language/schema/raw/master/csl-citation.json"} </w:instrText>
      </w:r>
      <w:r w:rsidR="00676476">
        <w:rPr>
          <w:rFonts w:cs="Times New Roman"/>
        </w:rPr>
        <w:fldChar w:fldCharType="separate"/>
      </w:r>
      <w:r w:rsidR="000A492A" w:rsidRPr="000A492A">
        <w:rPr>
          <w:vertAlign w:val="superscript"/>
        </w:rPr>
        <w:t>410,411</w:t>
      </w:r>
      <w:r w:rsidR="00676476">
        <w:rPr>
          <w:rFonts w:cs="Times New Roman"/>
        </w:rPr>
        <w:fldChar w:fldCharType="end"/>
      </w:r>
      <w:r w:rsidR="00676476">
        <w:rPr>
          <w:rFonts w:cs="Times New Roman"/>
        </w:rPr>
        <w:t xml:space="preserve">  It is not clear if the other reports involved group housed beagles, but it is very common to maintain laboratory dogs with at least one other </w:t>
      </w:r>
      <w:r w:rsidR="00FC311C">
        <w:rPr>
          <w:rFonts w:cs="Times New Roman"/>
        </w:rPr>
        <w:t>cage mate</w:t>
      </w:r>
      <w:r w:rsidR="00676476">
        <w:rPr>
          <w:rFonts w:cs="Times New Roman"/>
        </w:rPr>
        <w:t xml:space="preserve">.  The current study maintained the dogs in individual runs to remove any </w:t>
      </w:r>
      <w:r w:rsidR="00FC311C">
        <w:rPr>
          <w:rFonts w:cs="Times New Roman"/>
        </w:rPr>
        <w:t>uncertainty</w:t>
      </w:r>
      <w:r w:rsidR="00676476">
        <w:rPr>
          <w:rFonts w:cs="Times New Roman"/>
        </w:rPr>
        <w:t xml:space="preserve"> regarding individual food consumption. </w:t>
      </w:r>
      <w:r w:rsidR="00303DF5">
        <w:rPr>
          <w:rFonts w:cs="Times New Roman"/>
        </w:rPr>
        <w:t xml:space="preserve"> </w:t>
      </w:r>
      <w:r w:rsidR="00676476">
        <w:rPr>
          <w:rFonts w:cs="Times New Roman"/>
        </w:rPr>
        <w:t xml:space="preserve">It stands to reason that dogs housed together will have increased playing interactions </w:t>
      </w:r>
      <w:r w:rsidR="00112A06">
        <w:rPr>
          <w:rFonts w:cs="Times New Roman"/>
        </w:rPr>
        <w:t>compared to</w:t>
      </w:r>
      <w:r w:rsidR="00676476">
        <w:rPr>
          <w:rFonts w:cs="Times New Roman"/>
        </w:rPr>
        <w:t xml:space="preserve"> dogs housed alone, and therefore will have increased energy requirements, but this has not been supported by the literature.  In fact, pair housed laboratory dogs have been shown to be less active and spend more time sleeping than when housed alone.</w:t>
      </w:r>
      <w:r w:rsidR="00676476">
        <w:rPr>
          <w:rFonts w:cs="Times New Roman"/>
        </w:rPr>
        <w:fldChar w:fldCharType="begin"/>
      </w:r>
      <w:r w:rsidR="000A492A">
        <w:rPr>
          <w:rFonts w:cs="Times New Roman"/>
        </w:rPr>
        <w:instrText xml:space="preserve"> ADDIN ZOTERO_ITEM CSL_CITATION {"citationID":"1rbfpjcghg","properties":{"formattedCitation":"{\\rtf \\super 412\\nosupersub{}}","plainCitation":"412"},"citationItems":[{"id":157,"uris":["http://zotero.org/users/171999/items/E4ANKDQ3"],"uri":["http://zotero.org/users/171999/items/E4ANKDQ3"],"itemData":{"id":157,"type":"article-journal","title":"Influence of housing conditions on beagle behaviour","container-title":"Applied Animal Behaviour Science","page":"137-155","volume":"34","issue":"1–2","source":"ScienceDirect","abstract":"The effects of different spatial areas and different social conditions on behaviours of beagles maintained in a laboratory were evaluated. Eighteen female purpose-bred beagles were divided into six groups of three, and housed individually for 3 months each in six different housing conditions: (A) a 6.1 m × 9.1 m outdoor pen; (B) a 1.8 m × 6.1 m outdoor run; (C) a 1.2 m × 3.66 m indoor run; (D) a 0.9 m × 1.2 m × 0.84 m cage; (E) a 0.9 m × 1.2 m × 0.84 m cage with 30 min of forced treadmill exercise, 5 days week−1; (F) a 0.71 m × 0.86 m × 0.69 m cage. Behaviours of six dogs housed in pairs in Conditions A and C were also compared.\n\nBehaviours studied were movement, vocalisation, lying down, sleep, object manipulation, barrier manipulation, barrier jumping, fence running, agonistic and affiliative activities, and proximity. Behavioural effects were compared among housing conditions, order of rotation through each housing condition, and behavioural changes over time during each 3 month rotation.\n\nDogs spent more time moving in pens and runs than in cages. Dogs housed in the greatest degree of social isolation spent the most time moving, exhibited the greatest number of bizarre movements, and vocalised the most. Dogs housed in the smallest cages spent more time grooming and in manipulation of enclosure barriers than those housed in any other conditions. Forced treadmill exercise did not significantly alter behaviours. When housed in pairs, dogs spent more time sleeping and showed a tendency to spend less time vocalising than when housed singly.\n\nThe results indicate that spatial area and activity are not likely to be the most important factors to be considered when evaluating psychosocial well-being of dogs. In assessing the psychosocial well-being of dogs, social isolation may be as harmful or more harmful than spatial restriction.","DOI":"10.1016/S0168-1591(05)80063-2","ISSN":"0168-1591","journalAbbreviation":"Applied Animal Behaviour Science","author":[{"family":"Hetts","given":"Suzanne"},{"family":"Derrell Clark","given":"J."},{"family":"Calpin","given":"Janet P."},{"family":"Arnold","given":"Cheryl E."},{"family":"Mateo","given":"Jill M."}],"issued":{"date-parts":[["1992",7]]},"accessed":{"date-parts":[["2013",11,15]]}}}],"schema":"https://github.com/citation-style-language/schema/raw/master/csl-citation.json"} </w:instrText>
      </w:r>
      <w:r w:rsidR="00676476">
        <w:rPr>
          <w:rFonts w:cs="Times New Roman"/>
        </w:rPr>
        <w:fldChar w:fldCharType="separate"/>
      </w:r>
      <w:r w:rsidR="000A492A" w:rsidRPr="000A492A">
        <w:rPr>
          <w:vertAlign w:val="superscript"/>
        </w:rPr>
        <w:t>412</w:t>
      </w:r>
      <w:r w:rsidR="00676476">
        <w:rPr>
          <w:rFonts w:cs="Times New Roman"/>
        </w:rPr>
        <w:fldChar w:fldCharType="end"/>
      </w:r>
      <w:r w:rsidR="00676476">
        <w:rPr>
          <w:rFonts w:cs="Times New Roman"/>
        </w:rPr>
        <w:t xml:space="preserve">  The size of the cage plays a factor as well with dogs pair housed in small cages (1 x 1.5 m) being more active than when in a larger cage (1 x 2 m).</w:t>
      </w:r>
      <w:r w:rsidR="00676476">
        <w:rPr>
          <w:rFonts w:cs="Times New Roman"/>
        </w:rPr>
        <w:fldChar w:fldCharType="begin"/>
      </w:r>
      <w:r w:rsidR="000A492A">
        <w:rPr>
          <w:rFonts w:cs="Times New Roman"/>
        </w:rPr>
        <w:instrText xml:space="preserve"> ADDIN ZOTERO_ITEM CSL_CITATION {"citationID":"sYnyyPqf","properties":{"formattedCitation":"{\\rtf \\super 413\\nosupersub{}}","plainCitation":"413"},"citationItems":[{"id":104,"uris":["http://zotero.org/users/171999/items/73QAA4F3"],"uri":["http://zotero.org/users/171999/items/73QAA4F3"],"itemData":{"id":104,"type":"article-journal","title":"The effects of cage size and pair housing on exercise of beagle dogs","container-title":"Laboratory animal science","page":"302-305","volume":"39","issue":"4","source":"NCBI PubMed","abstract":"One of the requirements of the 1985 amendments to the Animal Welfare Act is the establishment of an exercise program for dogs. Assumptions have been made by some that larger cages or the presence of a companion animal will motivate exercise. To examine how cage size, pair housing and human contact affect exercise, a study was conducted using a computerized video-data acquisition system that measured distance traveled and time spent moving in 1 x 1 m, (single only) and 1 x 2 m (single and paired) and 1 x 1.5 m cage (paired only) cages. Male beagle dogs (n = 6) housed singly in the 1 m2 cage traveled an average of 55 m/hr spending only 8% (57 min) of the 12 h photo period in motion. When the cage size was doubled, the average distance traveled decreased to 13 m/hr and the time spent moving increased to 11% (77 min/day). When dogs were pair housed in a regulation size cage, the average distance traveled decreased to 8.6 m/hr and they spent less than 6% of the day in exercising (42 min/12 hrs). The greatest amount of exercise was seen when dogs were housed as a pair in a cage less than recommended size (an average of 109 m/hr and 8.8 min/hr). Therefore, these data indicate that larger cages or pair housing in regulation size cages have little or no effect on the activity of purpose bred male beagle dogs. There was, however, a direct correlation between activity, time and distance, and the presence of humans in the animal room.(ABSTRACT TRUNCATED AT 250 WORDS)","ISSN":"0023-6764","note":"PMID: 2761234","journalAbbreviation":"Lab. Anim. Sci.","language":"eng","author":[{"family":"Hughes","given":"H C"},{"family":"Campbell","given":"S"},{"family":"Kenney","given":"C"}],"issued":{"date-parts":[["1989",7]]},"PMID":"2761234"}}],"schema":"https://github.com/citation-style-language/schema/raw/master/csl-citation.json"} </w:instrText>
      </w:r>
      <w:r w:rsidR="00676476">
        <w:rPr>
          <w:rFonts w:cs="Times New Roman"/>
        </w:rPr>
        <w:fldChar w:fldCharType="separate"/>
      </w:r>
      <w:r w:rsidR="000A492A" w:rsidRPr="000A492A">
        <w:rPr>
          <w:vertAlign w:val="superscript"/>
        </w:rPr>
        <w:t>413</w:t>
      </w:r>
      <w:r w:rsidR="00676476">
        <w:rPr>
          <w:rFonts w:cs="Times New Roman"/>
        </w:rPr>
        <w:fldChar w:fldCharType="end"/>
      </w:r>
      <w:r w:rsidR="00676476">
        <w:rPr>
          <w:rFonts w:cs="Times New Roman"/>
        </w:rPr>
        <w:t xml:space="preserve">  Compared to shelter animals housed in outdoor enclosures, pair housed dogs </w:t>
      </w:r>
      <w:r w:rsidR="00112A06">
        <w:rPr>
          <w:rFonts w:cs="Times New Roman"/>
        </w:rPr>
        <w:t>are</w:t>
      </w:r>
      <w:r w:rsidR="00676476">
        <w:rPr>
          <w:rFonts w:cs="Times New Roman"/>
        </w:rPr>
        <w:t xml:space="preserve"> less active and spend more time in a lying posture than dogs maintained in groups of 5 – 8 animals.</w:t>
      </w:r>
      <w:r w:rsidR="00676476">
        <w:rPr>
          <w:rFonts w:cs="Times New Roman"/>
        </w:rPr>
        <w:fldChar w:fldCharType="begin"/>
      </w:r>
      <w:r w:rsidR="000A492A">
        <w:rPr>
          <w:rFonts w:cs="Times New Roman"/>
        </w:rPr>
        <w:instrText xml:space="preserve"> ADDIN ZOTERO_ITEM CSL_CITATION {"citationID":"1iprt5kebi","properties":{"formattedCitation":"{\\rtf \\super 414\\nosupersub{}}","plainCitation":"414"},"citationItems":[{"id":151,"uris":["http://zotero.org/users/171999/items/GKZ63UFB"],"uri":["http://zotero.org/users/171999/items/GKZ63UFB"],"itemData":{"id":151,"type":"article-journal","title":"Comparison between group and pair housing conditions: effects on shelter dogs' behavior and welfare","container-title":"Journal of Veterinary Behavior: Clinical Applications and Research","page":"e3","volume":"7","issue":"6","source":"ScienceDirect","DOI":"10.1016/j.jveb.2012.09.011","ISSN":"1558-7878","shortTitle":"Comparison between group and pair housing conditions","journalAbbreviation":"Journal of Veterinary Behavior: Clinical Applications and Research","author":[{"family":"Dalla Villa","given":"P."},{"family":"Barnard","given":"S."},{"family":"Di Fede","given":"E."},{"family":"Podaliri","given":"M."},{"family":"Siracusa","given":"C."},{"family":"Serpell","given":"J.A."}],"issued":{"date-parts":[["2012",11]]},"accessed":{"date-parts":[["2013",11,15]]}}}],"schema":"https://github.com/citation-style-language/schema/raw/master/csl-citation.json"} </w:instrText>
      </w:r>
      <w:r w:rsidR="00676476">
        <w:rPr>
          <w:rFonts w:cs="Times New Roman"/>
        </w:rPr>
        <w:fldChar w:fldCharType="separate"/>
      </w:r>
      <w:r w:rsidR="000A492A" w:rsidRPr="000A492A">
        <w:rPr>
          <w:vertAlign w:val="superscript"/>
        </w:rPr>
        <w:t>414</w:t>
      </w:r>
      <w:r w:rsidR="00676476">
        <w:rPr>
          <w:rFonts w:cs="Times New Roman"/>
        </w:rPr>
        <w:fldChar w:fldCharType="end"/>
      </w:r>
      <w:r w:rsidR="00676476">
        <w:rPr>
          <w:rFonts w:cs="Times New Roman"/>
        </w:rPr>
        <w:t xml:space="preserve">  This is the opposite of what has been found in medium sized pet dogs living in multiple dog households.  Their MER is 133 </w:t>
      </w:r>
      <w:r w:rsidR="00676476">
        <w:t>±</w:t>
      </w:r>
      <w:r w:rsidR="00676476">
        <w:rPr>
          <w:rFonts w:cs="Times New Roman"/>
        </w:rPr>
        <w:t xml:space="preserve"> 52 kcal/kg</w:t>
      </w:r>
      <w:r w:rsidR="00676476">
        <w:rPr>
          <w:rFonts w:cs="Times New Roman"/>
          <w:vertAlign w:val="superscript"/>
        </w:rPr>
        <w:t>0.75</w:t>
      </w:r>
      <w:r w:rsidR="00676476">
        <w:rPr>
          <w:rFonts w:cs="Times New Roman"/>
        </w:rPr>
        <w:t xml:space="preserve"> versus the prototypical pet dog with a requirement of 94 – 105 </w:t>
      </w:r>
      <w:r w:rsidR="00676476">
        <w:t>kcal/kg</w:t>
      </w:r>
      <w:r w:rsidR="00676476">
        <w:rPr>
          <w:vertAlign w:val="superscript"/>
        </w:rPr>
        <w:t>0.75</w:t>
      </w:r>
      <w:r w:rsidR="00676476">
        <w:t>.</w:t>
      </w:r>
      <w:r w:rsidR="00676476">
        <w:fldChar w:fldCharType="begin"/>
      </w:r>
      <w:r w:rsidR="004418F2">
        <w:instrText xml:space="preserve"> ADDIN ZOTERO_ITEM CSL_CITATION {"citationID":"DsiKKPNk","properties":{"formattedCitation":"{\\rtf \\super 67\\nosupersub{}}","plainCitation":"67"},"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rsidR="00676476">
        <w:fldChar w:fldCharType="separate"/>
      </w:r>
      <w:r w:rsidR="004418F2" w:rsidRPr="004418F2">
        <w:rPr>
          <w:vertAlign w:val="superscript"/>
        </w:rPr>
        <w:t>67</w:t>
      </w:r>
      <w:r w:rsidR="00676476">
        <w:fldChar w:fldCharType="end"/>
      </w:r>
    </w:p>
    <w:p w:rsidR="006C46A4" w:rsidRDefault="00112A06" w:rsidP="006C46A4">
      <w:pPr>
        <w:ind w:firstLine="720"/>
      </w:pPr>
      <w:r>
        <w:t>Due to this known variability between dogs, a pre-study period was utilized to determine the ideal body weight maintenance requirement for each individual dog.  N</w:t>
      </w:r>
      <w:r w:rsidR="006C46A4">
        <w:t xml:space="preserve">utraceutical </w:t>
      </w:r>
      <w:r w:rsidR="007A2E76">
        <w:t xml:space="preserve">and maintain ideal weight </w:t>
      </w:r>
      <w:r w:rsidR="006C46A4">
        <w:t xml:space="preserve">dogs were fed for 4 weeks, while placebo and WLD dogs were fed for 3 weeks.  The research schedule initially involved a staggered timeline in which groups were started based on personnel and facility availability.  Using on a random number table, nutraceutical dogs were assigned to the first start phase.  Towards the end of their first week, there was an unexpected access interruption to an imaging modality planned for the study.  Since the lost modality made facility scheduling conflicts irrelevant, the decision was made to run all three </w:t>
      </w:r>
      <w:r w:rsidR="007A2E76">
        <w:t xml:space="preserve">obesification </w:t>
      </w:r>
      <w:r w:rsidR="006C46A4">
        <w:t>groups simultaneously, with placebo and therapeutic diet groups starting at the beginning of the second week.  It could be argued the differences between groups for MER</w:t>
      </w:r>
      <w:r w:rsidR="006C46A4">
        <w:rPr>
          <w:vertAlign w:val="subscript"/>
        </w:rPr>
        <w:t>ideal</w:t>
      </w:r>
      <w:r w:rsidR="006C46A4">
        <w:t xml:space="preserve"> are related to the shorter time frame reducing the ability to appropriately modify feeding amounts in the groups on the shorter schedule.  While there were no group differences in body weight and BCS before starting the study, the </w:t>
      </w:r>
      <w:r w:rsidR="007C3FFA">
        <w:t xml:space="preserve">initial </w:t>
      </w:r>
      <w:r w:rsidR="006C46A4">
        <w:t xml:space="preserve">weight changes in response to feeding seemed opposite in nature for nutraceutical versus </w:t>
      </w:r>
      <w:r w:rsidR="007A2E76">
        <w:t xml:space="preserve">all other dogs, suggesting a naturally lower MER in </w:t>
      </w:r>
      <w:r w:rsidR="007C3FFA">
        <w:t>the nutraceutical group</w:t>
      </w:r>
      <w:r w:rsidR="007A2E76">
        <w:t>.</w:t>
      </w:r>
    </w:p>
    <w:p w:rsidR="008D4B3E" w:rsidRDefault="00AA4645" w:rsidP="006C46A4">
      <w:pPr>
        <w:ind w:firstLine="720"/>
      </w:pPr>
      <w:r>
        <w:t>S</w:t>
      </w:r>
      <w:r w:rsidR="00537946">
        <w:t>tarting weights</w:t>
      </w:r>
      <w:r w:rsidR="00C26229">
        <w:t xml:space="preserve"> during the establish MER</w:t>
      </w:r>
      <w:r w:rsidR="00C26229">
        <w:rPr>
          <w:vertAlign w:val="subscript"/>
        </w:rPr>
        <w:t>ideal</w:t>
      </w:r>
      <w:r w:rsidR="00C26229">
        <w:t xml:space="preserve"> phase were </w:t>
      </w:r>
      <w:r w:rsidR="00D90AF4">
        <w:t>0.3</w:t>
      </w:r>
      <w:r w:rsidR="00537946">
        <w:t xml:space="preserve"> ±</w:t>
      </w:r>
      <w:r w:rsidR="00C26229">
        <w:t xml:space="preserve"> 0.74 kg above</w:t>
      </w:r>
      <w:r w:rsidR="00537946">
        <w:t xml:space="preserve"> estimated ideal weight (~20 %BF)</w:t>
      </w:r>
      <w:r>
        <w:t xml:space="preserve"> for nutraceutical dogs and 0.2 ± 0.31 kg below for maintain ideal body weight dogs</w:t>
      </w:r>
      <w:r w:rsidR="00537946">
        <w:t xml:space="preserve">.  </w:t>
      </w:r>
      <w:r w:rsidR="005B0BDE">
        <w:t>All</w:t>
      </w:r>
      <w:r w:rsidR="00747A8A">
        <w:t xml:space="preserve"> six </w:t>
      </w:r>
      <w:r>
        <w:t xml:space="preserve">nutraceutical </w:t>
      </w:r>
      <w:r w:rsidR="00747A8A">
        <w:t>dogs gained weight while consuming calculated MER</w:t>
      </w:r>
      <w:r w:rsidR="00747A8A">
        <w:rPr>
          <w:vertAlign w:val="subscript"/>
        </w:rPr>
        <w:t>ideal</w:t>
      </w:r>
      <w:r w:rsidR="00747A8A">
        <w:t xml:space="preserve"> during the first week, </w:t>
      </w:r>
      <w:r w:rsidR="005B0BDE">
        <w:t>and a</w:t>
      </w:r>
      <w:r>
        <w:t>ll si</w:t>
      </w:r>
      <w:r w:rsidR="005B0BDE">
        <w:t xml:space="preserve">x maintain ideal weight dogs lost weight. </w:t>
      </w:r>
      <w:r>
        <w:t xml:space="preserve"> </w:t>
      </w:r>
      <w:r w:rsidR="00AD6D14">
        <w:t xml:space="preserve">One week later, when the other two groups were started, </w:t>
      </w:r>
      <w:r w:rsidR="00E13848">
        <w:t>groups were both above (ObN,</w:t>
      </w:r>
      <w:r w:rsidR="00C26229">
        <w:t xml:space="preserve"> </w:t>
      </w:r>
      <w:r w:rsidR="00110F53">
        <w:t>0.6 ± 0.75 kg</w:t>
      </w:r>
      <w:r w:rsidR="00E13848">
        <w:t>; WLD</w:t>
      </w:r>
      <w:r w:rsidR="00110F53">
        <w:t>,</w:t>
      </w:r>
      <w:r w:rsidR="00E13848">
        <w:t xml:space="preserve"> 0.1 ± 0.30 kg) and below (ObP,</w:t>
      </w:r>
      <w:r w:rsidR="00C26229">
        <w:t xml:space="preserve"> 0.2 ± 0.52 kg</w:t>
      </w:r>
      <w:r w:rsidR="00E13848">
        <w:t>; IBW, 0.8 ± 0.38 kg)</w:t>
      </w:r>
      <w:r w:rsidR="00110F53">
        <w:t xml:space="preserve"> their estimated ideal weights.  </w:t>
      </w:r>
      <w:r w:rsidR="00AD6D14">
        <w:t>Reassessment 1.5 weeks later</w:t>
      </w:r>
      <w:r w:rsidR="00110F53">
        <w:t xml:space="preserve"> (1.5 or 2.5 weeks into establish MER</w:t>
      </w:r>
      <w:r w:rsidR="00110F53">
        <w:rPr>
          <w:vertAlign w:val="subscript"/>
        </w:rPr>
        <w:t>ideal</w:t>
      </w:r>
      <w:r w:rsidR="00110F53">
        <w:t xml:space="preserve"> phase)</w:t>
      </w:r>
      <w:r w:rsidR="00AD6D14">
        <w:t xml:space="preserve"> revealed </w:t>
      </w:r>
      <w:r w:rsidR="00110F53">
        <w:t>nutraceutical dogs were 0.2 ± 0.57 kg above</w:t>
      </w:r>
      <w:r w:rsidR="00CF16F9">
        <w:t xml:space="preserve"> and all other groups were below</w:t>
      </w:r>
      <w:r w:rsidR="00110F53">
        <w:t xml:space="preserve"> </w:t>
      </w:r>
      <w:r w:rsidR="00CF16F9">
        <w:t>(ObP,</w:t>
      </w:r>
      <w:r w:rsidR="00110F53">
        <w:t xml:space="preserve"> 0.8 ± 0.42 kg</w:t>
      </w:r>
      <w:r w:rsidR="00CF16F9">
        <w:t xml:space="preserve">; WLD, </w:t>
      </w:r>
      <w:r w:rsidR="00D90AF4">
        <w:t>0.5</w:t>
      </w:r>
      <w:r w:rsidR="00110F53">
        <w:t xml:space="preserve"> ± 0.22 kg</w:t>
      </w:r>
      <w:r w:rsidR="00CF16F9">
        <w:t>; IBW, 0.6 ± 0.44 kg)</w:t>
      </w:r>
      <w:r w:rsidR="00110F53">
        <w:t xml:space="preserve"> their estimated ideal weights.  </w:t>
      </w:r>
      <w:r w:rsidR="00747A8A">
        <w:t>Feed</w:t>
      </w:r>
      <w:r w:rsidR="008D4B3E">
        <w:t>ing amounts were increased for dogs that needed to gain weight (</w:t>
      </w:r>
      <w:r w:rsidR="00747A8A">
        <w:t>1/6 nutraceutical, 3/6 placebo, 3/6 WLD</w:t>
      </w:r>
      <w:r w:rsidR="00CF16F9">
        <w:t>, 6/6 IBW</w:t>
      </w:r>
      <w:r w:rsidR="00747A8A">
        <w:t>) and they were decreased for</w:t>
      </w:r>
      <w:r w:rsidR="008D4B3E">
        <w:t xml:space="preserve"> those needing to lose weight</w:t>
      </w:r>
      <w:r w:rsidR="00747A8A">
        <w:t xml:space="preserve"> (3/6 nutraceutical, 1/6 placebo, 2/6 WLD)</w:t>
      </w:r>
      <w:r w:rsidR="008D4B3E">
        <w:t xml:space="preserve"> to compensate for these weight changes.</w:t>
      </w:r>
    </w:p>
    <w:p w:rsidR="006C46A4" w:rsidRPr="003C4C0B" w:rsidRDefault="000466B0" w:rsidP="00FB7072">
      <w:pPr>
        <w:ind w:firstLine="720"/>
        <w:rPr>
          <w:rFonts w:cs="Times New Roman"/>
        </w:rPr>
      </w:pPr>
      <w:r>
        <w:t xml:space="preserve">During obesification, CAD amounts offered were increased in dogs that lost or maintained a consistent weight.  </w:t>
      </w:r>
      <w:r w:rsidR="006C46A4">
        <w:t>B</w:t>
      </w:r>
      <w:r w:rsidR="003C4C0B">
        <w:t>y the end of obesification</w:t>
      </w:r>
      <w:r w:rsidR="0035626D">
        <w:t xml:space="preserve"> (baseline)</w:t>
      </w:r>
      <w:r w:rsidR="003C4C0B">
        <w:t>, three</w:t>
      </w:r>
      <w:r w:rsidR="006C46A4">
        <w:t xml:space="preserve"> nutraceutical group dogs were being fed </w:t>
      </w:r>
      <w:r w:rsidR="00C665DD">
        <w:t xml:space="preserve">at or </w:t>
      </w:r>
      <w:r w:rsidR="006C46A4">
        <w:t>above calculated MER</w:t>
      </w:r>
      <w:r w:rsidR="006C46A4">
        <w:rPr>
          <w:vertAlign w:val="subscript"/>
        </w:rPr>
        <w:t>ideal</w:t>
      </w:r>
      <w:r w:rsidR="007A2E76">
        <w:t xml:space="preserve"> (1.</w:t>
      </w:r>
      <w:r w:rsidR="00C665DD">
        <w:t>0</w:t>
      </w:r>
      <w:r w:rsidR="007A2E76">
        <w:t xml:space="preserve"> – 2.2 x MER</w:t>
      </w:r>
      <w:r w:rsidR="007A2E76">
        <w:rPr>
          <w:vertAlign w:val="subscript"/>
        </w:rPr>
        <w:t>ideal</w:t>
      </w:r>
      <w:r w:rsidR="007A2E76">
        <w:t xml:space="preserve">, </w:t>
      </w:r>
      <w:r w:rsidR="00C665DD">
        <w:t>1.6</w:t>
      </w:r>
      <w:r w:rsidR="007A2E76">
        <w:t xml:space="preserve"> – 3.5 x RER</w:t>
      </w:r>
      <w:r w:rsidR="007A2E76">
        <w:rPr>
          <w:vertAlign w:val="subscript"/>
        </w:rPr>
        <w:t>ideal</w:t>
      </w:r>
      <w:r w:rsidR="007A2E76">
        <w:t>)</w:t>
      </w:r>
      <w:r w:rsidR="00742A0C">
        <w:t>, but three</w:t>
      </w:r>
      <w:r w:rsidR="006C46A4">
        <w:t xml:space="preserve"> dog</w:t>
      </w:r>
      <w:r w:rsidR="003C4C0B">
        <w:t>s were</w:t>
      </w:r>
      <w:r w:rsidR="006C46A4">
        <w:t xml:space="preserve"> eating </w:t>
      </w:r>
      <w:r w:rsidR="00C665DD">
        <w:t>below (0.5</w:t>
      </w:r>
      <w:r w:rsidR="003C4C0B">
        <w:t xml:space="preserve"> –</w:t>
      </w:r>
      <w:r w:rsidR="00742A0C">
        <w:t xml:space="preserve"> 0.9</w:t>
      </w:r>
      <w:r w:rsidR="00C665DD">
        <w:t xml:space="preserve"> x MER</w:t>
      </w:r>
      <w:r w:rsidR="00C665DD">
        <w:rPr>
          <w:vertAlign w:val="subscript"/>
        </w:rPr>
        <w:t>ideal</w:t>
      </w:r>
      <w:r w:rsidR="00C665DD">
        <w:t>, 0.9</w:t>
      </w:r>
      <w:r w:rsidR="003C4C0B">
        <w:t xml:space="preserve"> –</w:t>
      </w:r>
      <w:r w:rsidR="00742A0C">
        <w:t xml:space="preserve"> 1.5</w:t>
      </w:r>
      <w:r w:rsidR="00C665DD">
        <w:t xml:space="preserve"> x RER</w:t>
      </w:r>
      <w:r w:rsidR="00C665DD">
        <w:rPr>
          <w:vertAlign w:val="subscript"/>
        </w:rPr>
        <w:t>ideal</w:t>
      </w:r>
      <w:r w:rsidR="00C665DD">
        <w:t>)</w:t>
      </w:r>
      <w:r w:rsidR="006C46A4">
        <w:t>.</w:t>
      </w:r>
      <w:r w:rsidR="003C4C0B">
        <w:t xml:space="preserve">  </w:t>
      </w:r>
      <w:r w:rsidR="00DA54CC">
        <w:t xml:space="preserve">This is in comparison to </w:t>
      </w:r>
      <w:r w:rsidR="00FE33B1">
        <w:t>the other obesification groups, in which ten dogs were being fed at/above (ObP, 1.2 – 2.0 x MER</w:t>
      </w:r>
      <w:r w:rsidR="00FE33B1">
        <w:rPr>
          <w:vertAlign w:val="subscript"/>
        </w:rPr>
        <w:t>ideal</w:t>
      </w:r>
      <w:r w:rsidR="00FE33B1">
        <w:t>, 1.8 – 3.3 x RER</w:t>
      </w:r>
      <w:r w:rsidR="00FE33B1">
        <w:rPr>
          <w:vertAlign w:val="subscript"/>
        </w:rPr>
        <w:t>ideal</w:t>
      </w:r>
      <w:r w:rsidR="00FE33B1">
        <w:t>; WLD, 1.0 – 2.2 x MER</w:t>
      </w:r>
      <w:r w:rsidR="00FE33B1">
        <w:rPr>
          <w:vertAlign w:val="subscript"/>
        </w:rPr>
        <w:t>ideal</w:t>
      </w:r>
      <w:r w:rsidR="00FE33B1">
        <w:t>, 1.6 – 3.5 x RER</w:t>
      </w:r>
      <w:r w:rsidR="00FE33B1">
        <w:rPr>
          <w:vertAlign w:val="subscript"/>
        </w:rPr>
        <w:t>ideal</w:t>
      </w:r>
      <w:r w:rsidR="00FE33B1">
        <w:t>) and two were fed below (WLD, 0.9 x MER</w:t>
      </w:r>
      <w:r w:rsidR="00FE33B1">
        <w:rPr>
          <w:vertAlign w:val="subscript"/>
        </w:rPr>
        <w:t>ideal</w:t>
      </w:r>
      <w:r w:rsidR="00FE33B1">
        <w:t>, 1.4 x RER</w:t>
      </w:r>
      <w:r w:rsidR="00FE33B1">
        <w:rPr>
          <w:vertAlign w:val="subscript"/>
        </w:rPr>
        <w:t>ideal</w:t>
      </w:r>
      <w:r w:rsidR="00FE33B1">
        <w:t>) calculated MER</w:t>
      </w:r>
      <w:r w:rsidR="00FE33B1">
        <w:rPr>
          <w:vertAlign w:val="subscript"/>
        </w:rPr>
        <w:t>ideal</w:t>
      </w:r>
      <w:r w:rsidR="00FE33B1">
        <w:t xml:space="preserve">.  </w:t>
      </w:r>
      <w:r w:rsidR="00742A0C">
        <w:t>When compared against maintenance requirements of inactive pet dogs (95 x BW</w:t>
      </w:r>
      <w:r w:rsidR="00742A0C">
        <w:rPr>
          <w:vertAlign w:val="subscript"/>
        </w:rPr>
        <w:t>kg</w:t>
      </w:r>
      <w:r w:rsidR="00742A0C">
        <w:rPr>
          <w:vertAlign w:val="superscript"/>
        </w:rPr>
        <w:t>0.75</w:t>
      </w:r>
      <w:r w:rsidR="00742A0C">
        <w:t>),</w:t>
      </w:r>
      <w:r w:rsidR="00742A0C">
        <w:fldChar w:fldCharType="begin"/>
      </w:r>
      <w:r w:rsidR="00742A0C">
        <w:instrText xml:space="preserve"> ADDIN ZOTERO_ITEM CSL_CITATION {"citationID":"1b271ilr6m","properties":{"formattedCitation":"{\\rtf \\super 67\\nosupersub{}}","plainCitation":"67"},"citationItems":[{"id":"Gpwq8jj7/vTXSqUDi","uris":["http://zotero.org/users/local/Ry4zHLbn/items/BB5Q46C6"],"uri":["http://zotero.org/users/local/Ry4zHLbn/items/BB5Q46C6"],"itemData":{"id":"Gpwq8jj7/vTXSqUDi","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rsidR="00742A0C">
        <w:fldChar w:fldCharType="separate"/>
      </w:r>
      <w:r w:rsidR="00742A0C" w:rsidRPr="00742A0C">
        <w:rPr>
          <w:vertAlign w:val="superscript"/>
        </w:rPr>
        <w:t>67</w:t>
      </w:r>
      <w:r w:rsidR="00742A0C">
        <w:fldChar w:fldCharType="end"/>
      </w:r>
      <w:r w:rsidR="00742A0C">
        <w:t xml:space="preserve"> only one of the three dogs was still below this level.  </w:t>
      </w:r>
      <w:r w:rsidR="003C4C0B">
        <w:t>Dropping the lower</w:t>
      </w:r>
      <w:r w:rsidR="00C665DD">
        <w:t xml:space="preserve"> dog from analysis as an outlier was considered, but this would</w:t>
      </w:r>
      <w:r w:rsidR="00742A0C">
        <w:t xml:space="preserve"> have</w:t>
      </w:r>
      <w:r w:rsidR="00C665DD">
        <w:t xml:space="preserve"> reduce</w:t>
      </w:r>
      <w:r w:rsidR="00742A0C">
        <w:t>d</w:t>
      </w:r>
      <w:r w:rsidR="00C665DD">
        <w:t xml:space="preserve"> group size to four, since a dog who did not reach th</w:t>
      </w:r>
      <w:r w:rsidR="0035626D">
        <w:t>e minimum level of obesity had to be removed as well</w:t>
      </w:r>
      <w:r w:rsidR="00C665DD">
        <w:t xml:space="preserve">.  Another reason to not drop this dog is evidence supporting </w:t>
      </w:r>
      <w:r w:rsidR="00395DA9">
        <w:t>the existence of a naturally lower MER, rather than simple underfeeding.  This dog achieved both high absolute (6.5 g) and percent (41.8 %) body fat levels by the end of obesification, despite being offered a relatively low energy level from CAD.  During obesification, all dogs were fed the same lev</w:t>
      </w:r>
      <w:r w:rsidR="003C4C0B">
        <w:t>el of oil supplementation and this dog</w:t>
      </w:r>
      <w:r w:rsidR="00395DA9">
        <w:t xml:space="preserve"> was being offered less kitten food than 15 of the other obesification dogs</w:t>
      </w:r>
      <w:r w:rsidR="00542503">
        <w:t>, suggesting the excess calorie supplementation</w:t>
      </w:r>
      <w:r w:rsidR="00742A0C">
        <w:t xml:space="preserve"> do</w:t>
      </w:r>
      <w:r w:rsidR="00542503">
        <w:t>es</w:t>
      </w:r>
      <w:r w:rsidR="00742A0C">
        <w:t xml:space="preserve"> not fully account for </w:t>
      </w:r>
      <w:r w:rsidR="00542503">
        <w:t>his</w:t>
      </w:r>
      <w:r w:rsidR="00742A0C">
        <w:t xml:space="preserve"> efficient weight gain</w:t>
      </w:r>
      <w:r w:rsidR="00395DA9">
        <w:t>.</w:t>
      </w:r>
    </w:p>
    <w:p w:rsidR="0055137C" w:rsidRDefault="00542503" w:rsidP="0055137C">
      <w:pPr>
        <w:ind w:firstLine="720"/>
      </w:pPr>
      <w:r>
        <w:t>There are other protocol adjustments that could have been considered</w:t>
      </w:r>
      <w:r w:rsidR="00FB7072">
        <w:t xml:space="preserve"> at this point</w:t>
      </w:r>
      <w:r w:rsidR="000466B0">
        <w:t>, since</w:t>
      </w:r>
      <w:r w:rsidR="00004922">
        <w:t xml:space="preserve"> dogs in the nutraceutical group appeared to have lower energy requirements than dogs in the other groups</w:t>
      </w:r>
      <w:r w:rsidR="0055137C">
        <w:t>.  All dogs were randomized into groups that did not differ in starting weight or BCS before the establish MER</w:t>
      </w:r>
      <w:r w:rsidR="0055137C">
        <w:rPr>
          <w:vertAlign w:val="subscript"/>
        </w:rPr>
        <w:t>ideal</w:t>
      </w:r>
      <w:r w:rsidR="0055137C">
        <w:t xml:space="preserve"> phase.  It would have been appropriate to re-randomize based on energy consumption after MER</w:t>
      </w:r>
      <w:r w:rsidR="0055137C">
        <w:rPr>
          <w:vertAlign w:val="subscript"/>
        </w:rPr>
        <w:t>ideal</w:t>
      </w:r>
      <w:r w:rsidR="0055137C">
        <w:t xml:space="preserve"> had been established.  There are a few reasons why this was not possible for this protocol, however.  A behavior observation com</w:t>
      </w:r>
      <w:r w:rsidR="000F55A5">
        <w:t>ponent of the project (Chapter III</w:t>
      </w:r>
      <w:r w:rsidR="0055137C">
        <w:t xml:space="preserve">) could have been affected by animal movement in and out of rooms.  Due to facility limitations, all dogs could not be housed in a single room, so housing assignments were </w:t>
      </w:r>
      <w:r w:rsidR="00334081">
        <w:t>carefully</w:t>
      </w:r>
      <w:r w:rsidR="0055137C">
        <w:t xml:space="preserve"> planned and considered prior to study initiation.  Rodent data has shown cohort removal is associated with acute and chronic stress, </w:t>
      </w:r>
      <w:r w:rsidR="000F55A5">
        <w:t>evaluated via</w:t>
      </w:r>
      <w:r w:rsidR="0055137C">
        <w:t xml:space="preserve"> hyperthermia and </w:t>
      </w:r>
      <w:r w:rsidR="000F55A5">
        <w:t xml:space="preserve">changes in </w:t>
      </w:r>
      <w:r w:rsidR="0055137C">
        <w:t>plasma ACTH concentrations.</w:t>
      </w:r>
      <w:r w:rsidR="0055137C">
        <w:fldChar w:fldCharType="begin"/>
      </w:r>
      <w:r w:rsidR="000A492A">
        <w:instrText xml:space="preserve"> ADDIN ZOTERO_ITEM CSL_CITATION {"citationID":"X7ehZxyT","properties":{"formattedCitation":"{\\rtf \\super 415\\uc0\\u8211{}418\\nosupersub{}}","plainCitation":"415–418"},"citationItems":[{"id":583,"uris":["http://zotero.org/users/171999/items/4XSNEGM7"],"uri":["http://zotero.org/users/171999/items/4XSNEGM7"],"itemData":{"id":583,"type":"article-journal","title":"Factors influencing behavior of group-housed male rats in the social interaction test: focus on cohort removal","container-title":"Physiology &amp; behavior","page":"277-282","volume":"74","issue":"3","source":"NCBI PubMed","abstract":"The rat social interaction (SI) test is used widely to measure anxiety-like behavior, yet the influence of various factors such as testing time, pre-experimental manipulations (transport stress), and testing of animals from the same cage (cohort removal, CR) on SI has not been systematically studied. We measured SI behavior of male triad-housed Wistar rats in a novel dimly lit arena (low light unfamiliar, LU) and found that SI time is higher in the beginning of the activity (dark) phase when compared with SI time in first half of the light phase. Furthermore, SI time is significantly increased by habituation of animals to the testing room during light phase, but this intervention has no effect in early dark phase when SI behavior is already maximal. Sequential removal of rats from the home cage led to the stress-like behavioral and physiological consequences. Rats removed in the last position had shorter SI time and higher body temperature. These data demonstrate that SI is higher during early dark vs. early light phase and confirm that CR has anxiogenic-like effects in rats. We conclude that the usage of sequentially removed group-housed rats in behavioral tests can be a source for considerable variation due to anxiety that develops in animals remaining in the cage. On the other hand, CR may be a useful method to study behavioral/neurochemical mechanisms of psychogenic stress in rats.","ISSN":"0031-9384","note":"PMID: 11714489","shortTitle":"Factors influencing behavior of group-housed male rats in the social interaction test","journalAbbreviation":"Physiol. Behav.","language":"eng","author":[{"family":"Kask","given":"A"},{"family":"Nguyen","given":"H P"},{"family":"Pabst","given":"R"},{"family":"von Hörsten","given":"S"}],"issued":{"date-parts":[["2001",10]]},"PMID":"11714489"}},{"id":598,"uris":["http://zotero.org/users/171999/items/62W85E7W"],"uri":["http://zotero.org/users/171999/items/62W85E7W"],"itemData":{"id":598,"type":"article-journal","title":"The effect of acute or chronic ether stress on plasma ACTH concentration in the rat","container-title":"Endocrinology","page":"1019-1024","volume":"93","issue":"5","source":"NCBI PubMed","ISSN":"0013-7227","note":"PMID: 4360371","journalAbbreviation":"Endocrinology","language":"eng","author":[{"family":"Cook","given":"D M"},{"family":"Kendall","given":"J W"},{"family":"Greer","given":"M A"},{"family":"Kramer","given":"R M"}],"issued":{"date-parts":[["1973",11]]},"PMID":"4360371"}},{"id":600,"uris":["http://zotero.org/users/171999/items/TFUQU6VU"],"uri":["http://zotero.org/users/171999/items/TFUQU6VU"],"itemData":{"id":600,"type":"article-journal","title":"\"Cohort removal\" induces hyperthermia but fails to influence plus-maze behaviour in male mice","container-title":"Physiology &amp; behavior","page":"189-192","volume":"55","issue":"1","source":"NCBI PubMed","abstract":"Mice removed last from their home cage display elevated body temperature compared with those removed first. This stress-induced hyperthermia (SIH) response has been reported for Swiss and NMRI mice and has been forwarded as a model of anticipatory anxiety. In the present study, the effects of order of removal from the home cage (cohort removal) on body temperature and behaviour in the elevated plus maze have been examined in group-housed male DBA/2 mice. Results confirm the basic phenomenon of SIH in this strain, with mice removed from the home cage in positions 4-10 displaying a significantly higher mean rectal temperature compared with those removed in positions 1-3. Despite this observation, however, detailed ethological analysis failed to reveal any significant effect of cohort removal on behaviour displayed in the elevated plus-maze paradigm. Data are discussed in relation to variations in the nature of reactions evoked in different animal models of anxiety.","ISSN":"0031-9384","note":"PMID: 8140167","journalAbbreviation":"Physiol. Behav.","language":"eng","author":[{"family":"Rodgers","given":"R J"},{"family":"Cole","given":"J C"},{"family":"Harrison-Phillips","given":"D J"}],"issued":{"date-parts":[["1994",1]]},"PMID":"8140167"}},{"id":607,"uris":["http://zotero.org/users/171999/items/UZW7PUZR"],"uri":["http://zotero.org/users/171999/items/UZW7PUZR"],"itemData":{"id":607,"type":"article-journal","title":"A model to measure anticipatory anxiety in mice?","container-title":"Psychopharmacology","page":"207-211","volume":"98","issue":"2","source":"NCBI PubMed","abstract":"Among animals from the same cage, mice removed last had a higher temperature compared to those removed first. This phenomenon a) persisted 2 and 24 h later; b) was present regardless of the number of the animals (5, 10, 15 and 20) in each cage, c) was independent of whether the number of animals was reduced or maintained constant in the cage and d) could even be observed by reversing the order of removal of the animals from the cage. In addition, the fewer the animals allocated to a cage the greater the percentage of those which became hyperthermic. This rise in rectal temperature of mice removed last was prevented by diazepam (2.5 and 5 mg/kg PO, 30 min), nitrazepam (2 and 4 mg/kg PO, 30 min) but not by imipramine (15 and 30 mg/kg PO, 60 min) or haloperidol (0.5 and 1 mg/kg PO, 60 min) and was observed in a greater percentage of mice following subcutaneous yohimbine treatment (2 mg/kg, 60 min). This phenomenon does not seem to depend on physical exercise due to an attempt to escape, since no correlation appears to exist between motor activity (open-field) and rise in rectal temperature. These data would seem to indicate that hyperthermia in the last animals may represent a new tool for studying the neurobiology of anticipatory(?) anxiety.","ISSN":"0033-3158","note":"PMID: 2502791","journalAbbreviation":"Psychopharmacology (Berl.)","language":"eng","author":[{"family":"Borsini","given":"F"},{"family":"Lecci","given":"A"},{"family":"Volterra","given":"G"},{"family":"Meli","given":"A"}],"issued":{"date-parts":[["1989"]]},"PMID":"2502791"}}],"schema":"https://github.com/citation-style-language/schema/raw/master/csl-citation.json"} </w:instrText>
      </w:r>
      <w:r w:rsidR="0055137C">
        <w:fldChar w:fldCharType="separate"/>
      </w:r>
      <w:r w:rsidR="000A492A" w:rsidRPr="000A492A">
        <w:rPr>
          <w:vertAlign w:val="superscript"/>
        </w:rPr>
        <w:t>415–418</w:t>
      </w:r>
      <w:r w:rsidR="0055137C">
        <w:fldChar w:fldCharType="end"/>
      </w:r>
      <w:r w:rsidR="0055137C">
        <w:t xml:space="preserve">  Other rodent data suggests routine cage-changing leads to transient hypertension, tachycardia, and increased cage movement and grooming.</w:t>
      </w:r>
      <w:r w:rsidR="0055137C">
        <w:fldChar w:fldCharType="begin"/>
      </w:r>
      <w:r w:rsidR="000A492A">
        <w:instrText xml:space="preserve"> ADDIN ZOTERO_ITEM CSL_CITATION {"citationID":"t3iop12i5","properties":{"formattedCitation":"{\\rtf \\super 419\\nosupersub{}}","plainCitation":"419"},"citationItems":[{"id":630,"uris":["http://zotero.org/users/171999/items/VV3S9TBX"],"uri":["http://zotero.org/users/171999/items/VV3S9TBX"],"itemData":{"id":630,"type":"article-journal","title":"The effects of routine cage-changing on cardiovascular and behavioral parameters in male Sprague-Dawley rats","container-title":"Contemporary topics in laboratory animal science / American Association for Laboratory Animal Science","page":"17-20","volume":"40","issue":"1","source":"NCBI PubMed","abstract":"The objective of this study was to determine whether the blood pressure and heart rate of adult male Sprague-Dawley rats are affected by the routine animal husbandry procedure of moving animals to clean cages. Cardiovascular parameters were obtained by using radiotelemetry; behavior in the home cage also was evaluated. Each rat had a radiotelemetry transmitter implanted in the peritoneal cavity, with the attached catheter placed in the femoral artery. After a 7- to 9-day recovery period, half of the rats were moved to clean cages with fresh wood-chip bedding; the other animals were left undisturbed. Systolic, diastolic, and mean arterial blood pressures; heart rate; and cage behavior (movement, rearing, grooming) increased promptly and significantly when animals were placed in clean cages. These cardiovascular and behavioral responses lasted for 45 to 60 min. Those animals not moved to clean cages but present in the animal room when this procedure was done did not show significant increases in blood pressure, heart rate, or activity. When rats were moved to clean cages that contained new bedding plus a small quantity of the soiled bedding from their previous cage, the cardiovascular and behavioral responses were similar to those of animals exposed to completely fresh bedding. The responses of rats being moved to new cages did not diminish between the first and fourth weekly cage change. Rats whose cages were not changed for 2 weeks showed small, but significant, increases in cardiovascular and behavioral responses above the responses in animals with weekly cage changes. We conclude that ordinary animal husbandry procedures such as moving rats to a clean cage can induce transient, but significant, cardiovascular and behavioral changes. Investigators and animal care staff should recognize that such routine procedures could confound experiments conducted shortly thereafter.","ISSN":"1060-0558","note":"PMID: 11300670","journalAbbreviation":"Contemp Top Lab Anim Sci","language":"eng","author":[{"family":"Duke","given":"J L"},{"family":"Zammit","given":"T G"},{"family":"Lawson","given":"D M"}],"issued":{"date-parts":[["2001",1]]},"PMID":"11300670"}}],"schema":"https://github.com/citation-style-language/schema/raw/master/csl-citation.json"} </w:instrText>
      </w:r>
      <w:r w:rsidR="0055137C">
        <w:fldChar w:fldCharType="separate"/>
      </w:r>
      <w:r w:rsidR="000A492A" w:rsidRPr="000A492A">
        <w:rPr>
          <w:vertAlign w:val="superscript"/>
        </w:rPr>
        <w:t>419</w:t>
      </w:r>
      <w:r w:rsidR="0055137C">
        <w:fldChar w:fldCharType="end"/>
      </w:r>
      <w:r w:rsidR="0055137C">
        <w:t xml:space="preserve">  Use of a device designed to separate pair-housed rats, while still allowing social stimulation, was associated with attenuation of 24 hour intakes that did not normalize until the third introduction of the device.</w:t>
      </w:r>
      <w:r w:rsidR="0055137C">
        <w:fldChar w:fldCharType="begin"/>
      </w:r>
      <w:r w:rsidR="000A492A">
        <w:instrText xml:space="preserve"> ADDIN ZOTERO_ITEM CSL_CITATION {"citationID":"s7q2ds935","properties":{"formattedCitation":"{\\rtf \\super 420\\nosupersub{}}","plainCitation":"420"},"citationItems":[{"id":633,"uris":["http://zotero.org/users/171999/items/G63GHTE5"],"uri":["http://zotero.org/users/171999/items/G63GHTE5"],"itemData":{"id":633,"type":"article-journal","title":"Effect of a cage divider permitting social stimuli on stress and food intake in rats","container-title":"Physiology &amp; behavior","page":"222-228","volume":"95","issue":"1-2","source":"NCBI PubMed","abstract":"The need to obtain data from individual laboratory animals has forced many researchers to singly-house small animals. This is costly to the researcher and isolation can adversely affect animal physiology and behavior which in turn may threaten the validity and generalization of experiment results to humans. We assessed the practical use of a housing device - dubbed \"Buddy Barrier\" (BB) - that allows social stimulation in a paired-housing situation while at the same time permitting the collection of individual measures that traditionally require individual-housing. To assess stress responses to the BB, adult male rats were single or pair-housed for several days with and without a BB in the cage. Fecal corticosterone metabolites (fCORT), food intake and body weight were monitored daily. Plasma CORT and adrenal catecholamine levels were assessed at the end of the housing manipulation. Stress hormone measures did not differ in paired vs. singly-housed rats and paired rats quickly habituated to introduction and removal of the BB. Barring a trend for paired rats to eat more in the first 4 h of the dark, there was no difference in 24 h intakes or body weight gain between singly and paired-housed rats. While the BB attenuated 24 h intakes in both groups, intakes normalized to non-BB conditions by the third BB reintroduction. A device such as the BB can enhance the welfare of animals by providing social enrichment without compromising the integrity of experimental protocols traditionally requiring single-housing. In times of lagging research funding it can also substantially reduce housing costs.","DOI":"10.1016/j.physbeh.2008.04.025","ISSN":"0031-9384","note":"PMID: 18565550","journalAbbreviation":"Physiol. Behav.","language":"eng","author":[{"family":"Boggiano","given":"M M"},{"family":"Cavigelli","given":"S A"},{"family":"Dorsey","given":"J R"},{"family":"Kelley","given":"C E P"},{"family":"Ragan","given":"C M"},{"family":"Chandler-Laney","given":"P C"}],"issued":{"date-parts":[["2008",9,3]]},"PMID":"18565550"}}],"schema":"https://github.com/citation-style-language/schema/raw/master/csl-citation.json"} </w:instrText>
      </w:r>
      <w:r w:rsidR="0055137C">
        <w:fldChar w:fldCharType="separate"/>
      </w:r>
      <w:r w:rsidR="000A492A" w:rsidRPr="000A492A">
        <w:rPr>
          <w:vertAlign w:val="superscript"/>
        </w:rPr>
        <w:t>420</w:t>
      </w:r>
      <w:r w:rsidR="0055137C">
        <w:fldChar w:fldCharType="end"/>
      </w:r>
      <w:r w:rsidR="0055137C">
        <w:t xml:space="preserve">  Similar research in laboratory housed dogs has not been performed, but acute </w:t>
      </w:r>
      <w:r w:rsidR="00334081">
        <w:t>effects</w:t>
      </w:r>
      <w:r w:rsidR="0055137C">
        <w:t xml:space="preserve"> of run/room reassignment should be considered a potential confounding factor </w:t>
      </w:r>
      <w:r w:rsidR="00C4532F">
        <w:t>to</w:t>
      </w:r>
      <w:r w:rsidR="0055137C">
        <w:t xml:space="preserve"> anxiety and food intake.  This is especially true for this study, since most dogs were housed in runs allowing for communication with neighboring dogs through chain-link fencing, with an appearance similar to the </w:t>
      </w:r>
      <w:r w:rsidR="00C4532F">
        <w:t>cag</w:t>
      </w:r>
      <w:r w:rsidR="0055137C">
        <w:t>e dividing device associated with decreased voluntary food intake in pair-housed rats.</w:t>
      </w:r>
    </w:p>
    <w:p w:rsidR="00C467C4" w:rsidRPr="00B949F7" w:rsidRDefault="00C467C4" w:rsidP="00C467C4">
      <w:pPr>
        <w:ind w:firstLine="720"/>
        <w:rPr>
          <w:rFonts w:cs="Times New Roman"/>
        </w:rPr>
      </w:pPr>
      <w:r>
        <w:t>Just</w:t>
      </w:r>
      <w:r w:rsidR="0035626D">
        <w:t xml:space="preserve"> as a maximal calorie cap (</w:t>
      </w:r>
      <w:r w:rsidR="00CD0120">
        <w:t>~</w:t>
      </w:r>
      <w:r w:rsidR="0035626D">
        <w:t>2 x R</w:t>
      </w:r>
      <w:r>
        <w:t>ER</w:t>
      </w:r>
      <w:r>
        <w:rPr>
          <w:vertAlign w:val="subscript"/>
        </w:rPr>
        <w:t>ideal</w:t>
      </w:r>
      <w:r>
        <w:t xml:space="preserve">) was put in place at the end of obesification, </w:t>
      </w:r>
      <w:r w:rsidR="00B949F7">
        <w:t>another protocol adjustment would have been to institute a minimal calorie level</w:t>
      </w:r>
      <w:r>
        <w:t>.  Based on NRC assessment of the literature, 90 kcal/kg</w:t>
      </w:r>
      <w:r>
        <w:rPr>
          <w:vertAlign w:val="superscript"/>
        </w:rPr>
        <w:t>0.75</w:t>
      </w:r>
      <w:r>
        <w:t xml:space="preserve"> (approximately 0.8 x MER</w:t>
      </w:r>
      <w:r>
        <w:rPr>
          <w:vertAlign w:val="subscript"/>
        </w:rPr>
        <w:t>ideal</w:t>
      </w:r>
      <w:r>
        <w:t>) is the lowest maintenance energy requirement described for pet dogs and would have been an appropriate guideline to use for minimum feeding amounts</w:t>
      </w:r>
      <w:r w:rsidR="00C4532F">
        <w:t>, but this would have only affected the aforementioned nutraceutical outlier</w:t>
      </w:r>
      <w:r w:rsidR="000F55A5">
        <w:t xml:space="preserve"> at the end of obesification</w:t>
      </w:r>
      <w:r>
        <w:t>.</w:t>
      </w:r>
      <w:r>
        <w:fldChar w:fldCharType="begin"/>
      </w:r>
      <w:r>
        <w:instrText xml:space="preserve"> ADDIN ZOTERO_ITEM CSL_CITATION {"citationID":"M8e4CmYm","properties":{"formattedCitation":"{\\rtf \\super 67\\nosupersub{}}","plainCitation":"67"},"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fldChar w:fldCharType="separate"/>
      </w:r>
      <w:r w:rsidRPr="004418F2">
        <w:rPr>
          <w:vertAlign w:val="superscript"/>
        </w:rPr>
        <w:t>67</w:t>
      </w:r>
      <w:r>
        <w:fldChar w:fldCharType="end"/>
      </w:r>
      <w:r w:rsidR="00B949F7">
        <w:t xml:space="preserve">  It also may have been useful to extend the length of the establish MER</w:t>
      </w:r>
      <w:r w:rsidR="00B949F7">
        <w:rPr>
          <w:vertAlign w:val="subscript"/>
        </w:rPr>
        <w:t>ideal</w:t>
      </w:r>
      <w:r w:rsidR="00B949F7">
        <w:t xml:space="preserve"> phase to better determine maintenance requirements.  Based on the change in energy required for maintenance in ideal body weight dogs</w:t>
      </w:r>
      <w:r w:rsidR="00D72BA0">
        <w:t xml:space="preserve"> that developed over many weeks</w:t>
      </w:r>
      <w:r w:rsidR="00B949F7">
        <w:t xml:space="preserve">, however, this extra step may have taken </w:t>
      </w:r>
      <w:r w:rsidR="00D72BA0">
        <w:t>much more time</w:t>
      </w:r>
      <w:r w:rsidR="00466822">
        <w:t xml:space="preserve"> to be of use</w:t>
      </w:r>
      <w:r w:rsidR="00B949F7">
        <w:t>.</w:t>
      </w:r>
      <w:r w:rsidR="00DA54CC">
        <w:t xml:space="preserve"> </w:t>
      </w:r>
    </w:p>
    <w:p w:rsidR="009D79D9" w:rsidRDefault="00FC311C" w:rsidP="00D72BA0">
      <w:pPr>
        <w:ind w:firstLine="720"/>
      </w:pPr>
      <w:r>
        <w:rPr>
          <w:rFonts w:cs="Times New Roman"/>
        </w:rPr>
        <w:t xml:space="preserve">At the end of twelve weeks, the dogs receiving nutraceutical treatment in this study consumed </w:t>
      </w:r>
      <w:r>
        <w:t>101.3 ± 12.7 kcal/</w:t>
      </w:r>
      <w:r>
        <w:rPr>
          <w:rFonts w:cs="Times New Roman"/>
        </w:rPr>
        <w:t>kg</w:t>
      </w:r>
      <w:r>
        <w:rPr>
          <w:rFonts w:cs="Times New Roman"/>
          <w:vertAlign w:val="superscript"/>
        </w:rPr>
        <w:t>0.7</w:t>
      </w:r>
      <w:r w:rsidR="00716A40">
        <w:rPr>
          <w:rFonts w:cs="Times New Roman"/>
          <w:vertAlign w:val="superscript"/>
        </w:rPr>
        <w:t>5</w:t>
      </w:r>
      <w:r>
        <w:t>, placebo dogs consumed 134.1 ± 17.3 kcal/</w:t>
      </w:r>
      <w:r>
        <w:rPr>
          <w:rFonts w:cs="Times New Roman"/>
        </w:rPr>
        <w:t>kg</w:t>
      </w:r>
      <w:r>
        <w:rPr>
          <w:rFonts w:cs="Times New Roman"/>
          <w:vertAlign w:val="superscript"/>
        </w:rPr>
        <w:t>0.75</w:t>
      </w:r>
      <w:r>
        <w:t xml:space="preserve">, therapeutic weight loss diet dogs consumed </w:t>
      </w:r>
      <w:r w:rsidR="00A43491" w:rsidRPr="00E825D1">
        <w:t>112.7 ± 22.8</w:t>
      </w:r>
      <w:r w:rsidR="00A43491">
        <w:rPr>
          <w:vertAlign w:val="superscript"/>
        </w:rPr>
        <w:t xml:space="preserve"> </w:t>
      </w:r>
      <w:r>
        <w:t>kcal/</w:t>
      </w:r>
      <w:r>
        <w:rPr>
          <w:rFonts w:cs="Times New Roman"/>
        </w:rPr>
        <w:t>kg</w:t>
      </w:r>
      <w:r>
        <w:rPr>
          <w:rFonts w:cs="Times New Roman"/>
          <w:vertAlign w:val="superscript"/>
        </w:rPr>
        <w:t>0.75</w:t>
      </w:r>
      <w:r>
        <w:rPr>
          <w:rFonts w:cs="Times New Roman"/>
        </w:rPr>
        <w:t xml:space="preserve">, and ideal body weight dogs consumed 139.7 </w:t>
      </w:r>
      <w:r>
        <w:t>± 38.9 kcal/kg</w:t>
      </w:r>
      <w:r>
        <w:rPr>
          <w:vertAlign w:val="superscript"/>
        </w:rPr>
        <w:t>0.75</w:t>
      </w:r>
      <w:r>
        <w:rPr>
          <w:rFonts w:cs="Times New Roman"/>
        </w:rPr>
        <w:t xml:space="preserve">.  </w:t>
      </w:r>
      <w:r w:rsidR="00466822">
        <w:rPr>
          <w:rFonts w:cs="Times New Roman"/>
        </w:rPr>
        <w:t xml:space="preserve">These values differ from baseline values, although only significantly for nutraceutical and maintain ideal body weight dogs.  </w:t>
      </w:r>
      <w:r w:rsidR="00676476">
        <w:rPr>
          <w:rFonts w:cs="Times New Roman"/>
        </w:rPr>
        <w:t xml:space="preserve">Based on the published requirements for laboratory beagles, the nutraceutical dogs were </w:t>
      </w:r>
      <w:r w:rsidR="00716A40">
        <w:rPr>
          <w:rFonts w:cs="Times New Roman"/>
        </w:rPr>
        <w:t xml:space="preserve">still </w:t>
      </w:r>
      <w:r w:rsidR="00112A06">
        <w:rPr>
          <w:rFonts w:cs="Times New Roman"/>
        </w:rPr>
        <w:t>consuming</w:t>
      </w:r>
      <w:r w:rsidR="00676476">
        <w:rPr>
          <w:rFonts w:cs="Times New Roman"/>
        </w:rPr>
        <w:t xml:space="preserve"> below </w:t>
      </w:r>
      <w:r w:rsidR="00A43491">
        <w:rPr>
          <w:rFonts w:cs="Times New Roman"/>
        </w:rPr>
        <w:t xml:space="preserve">average </w:t>
      </w:r>
      <w:r w:rsidR="00676476">
        <w:rPr>
          <w:rFonts w:cs="Times New Roman"/>
        </w:rPr>
        <w:t>maintenance requirements</w:t>
      </w:r>
      <w:r w:rsidR="00112A06">
        <w:rPr>
          <w:rFonts w:cs="Times New Roman"/>
        </w:rPr>
        <w:t xml:space="preserve"> </w:t>
      </w:r>
      <w:r w:rsidR="00C20212">
        <w:rPr>
          <w:rFonts w:cs="Times New Roman"/>
        </w:rPr>
        <w:t xml:space="preserve">when the study was terminated </w:t>
      </w:r>
      <w:r w:rsidR="00112A06">
        <w:rPr>
          <w:rFonts w:cs="Times New Roman"/>
        </w:rPr>
        <w:t>(114 – 132 kcal/kg</w:t>
      </w:r>
      <w:r w:rsidR="00112A06">
        <w:rPr>
          <w:rFonts w:cs="Times New Roman"/>
          <w:vertAlign w:val="superscript"/>
        </w:rPr>
        <w:t>0.75</w:t>
      </w:r>
      <w:r w:rsidR="00112A06">
        <w:t>).</w:t>
      </w:r>
      <w:r w:rsidR="00112A06">
        <w:rPr>
          <w:rFonts w:cs="Times New Roman"/>
        </w:rPr>
        <w:fldChar w:fldCharType="begin"/>
      </w:r>
      <w:r w:rsidR="000A492A">
        <w:rPr>
          <w:rFonts w:cs="Times New Roman"/>
        </w:rPr>
        <w:instrText xml:space="preserve"> ADDIN ZOTERO_ITEM CSL_CITATION {"citationID":"GoL5J6AB","properties":{"formattedCitation":"{\\rtf \\super 67,409\\uc0\\u8211{}411\\nosupersub{}}","plainCitation":"67,409–411"},"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Nutrition","given":""}],"issued":{"year":2006},"page-first":"28"}},{"id":1806,"uris":["http://zotero.org/users/171999/items/67FCCM99"],"uri":["http://zotero.org/users/171999/items/67FCCM99"],"itemData":{"id":1806,"type":"paper-conference","title":"Comparison of maintenance energy requirement of client-owned dogs and kennel dogs","publisher-place":"St. Louis, Missouri","event":"Purina Nutrition Forum","event-place":"St. Louis, Missouri","author":[{"family":"Patil","given":"AR"},{"family":"Bisby","given":"TM"}],"issued":{"date-parts":[["2001"]]}}},{"id":43,"uris":["http://zotero.org/users/171999/items/8AIEKV6W"],"uri":["http://zotero.org/users/171999/items/8AIEKV6W"],"itemData":{"id":43,"type":"article-journal","title":"Energy requirements of adult female beagles","container-title":"The Journal of nutrition","page":"2604S-2608S","volume":"124","issue":"12 Suppl","source":"NCBI PubMed","abstract":"The energy requirements of 19 intact adult female beagles were determined over a 60-wk period. The initial age of the dogs averaged 6.5 y (range 0.8-13.4) and the initial weight averaged 11.0 kg (range 8.7-13.7). Dogs were housed in groups of four in heated indoor-outdoor kennel runs. Dogs were fed daily a commercial dry dog food that contained 13.8 kJ/g. The amount offered was adjusted to maintain body weight. Daily energy intake ranged from 2227 to 3667 kJ/dog, with an average of 3061 kJ/dog. When adjusted for differences in body weight, average daily energy intake ranged from 482.6 to 803.1 kJ/kg body weight0.67 with a mean of 617.5 kJ/kg0.67. Energy intake (kJ/kg body weight0.67) declined with age and could be described by the nonlinear equation Y = 753 x age-0.1321; r = -0.802. When these data are combined with an earlier study, the energy intake (kJ/kg body weight0.67) of this group of 36 dogs could be described by the equation Y = 767 x age-0.1408; r = -0.777. These data demonstrate that canine energy requirements decline with age and that the National Research Council recommendations of 552 kJ/kg body weight0.75 overestimates the requirements of adult dogs 3 y of age and older.","ISSN":"0022-3166","note":"PMID: 7996248","journalAbbreviation":"J. Nutr.","language":"eng","author":[{"family":"Finke","given":"M D"}],"issued":{"date-parts":[["1994",12]]},"PMID":"7996248"}},{"id":96,"uris":["http://zotero.org/users/171999/items/7WPH2ZMG"],"uri":["http://zotero.org/users/171999/items/7WPH2ZMG"],"itemData":{"id":96,"type":"article-journal","title":"Evaluation of the energy requirements of adult kennel dogs","container-title":"The Journal of nutrition","page":"S22-28","volume":"121","issue":"11 Suppl","source":"NCBI PubMed","abstract":"The objective of this experiment was to compare the energy requirements of healthy adult kennel dogs to those recommended by the National Research Council (NRC). The energy requirements of six beagles, six Siberian huskies and six Labrador retrievers were determined over a 54-wk period. Dogs were housed in groups of three in heated indoor-outdoor runs and fed a complete and balanced commercial dry dog food. Beagles had an average daily energy intake of 3414 kJ/dog with monthly averages ranging from 3146 to 3740 kJ/dog. Siberian huskies had an average daily energy intake of 5021 kJ/dog. Average monthly energy intakes ranged from 4715 to 5238 kJ/dog. Labrador retrievers had an average daily intake of 5611 kJ/dog with monthly averages ranging from 5063 to 6623 kJ/dog. Seasonal variation appeared to affect the breeds differently, with long-haired Siberian huskies showing less seasonal variation than the shorter-haired breeds. For all dogs energy intake (kJ/kg body weight 0.75) declined with age. The energy intake of each group of dogs was considerably below that recommended by the NRC. The reason for this discrepancy is unknown, although these data suggest that environmental conditions, breed and/or age play an important role.","ISSN":"0022-3166","note":"PMID: 1941229","journalAbbreviation":"J. Nutr.","language":"eng","author":[{"family":"Finke","given":"M D"}],"issued":{"date-parts":[["1991",11]]},"PMID":"1941229"}}],"schema":"https://github.com/citation-style-language/schema/raw/master/csl-citation.json"} </w:instrText>
      </w:r>
      <w:r w:rsidR="00112A06">
        <w:rPr>
          <w:rFonts w:cs="Times New Roman"/>
        </w:rPr>
        <w:fldChar w:fldCharType="separate"/>
      </w:r>
      <w:r w:rsidR="000A492A" w:rsidRPr="000A492A">
        <w:rPr>
          <w:vertAlign w:val="superscript"/>
        </w:rPr>
        <w:t>67,409–411</w:t>
      </w:r>
      <w:r w:rsidR="00112A06">
        <w:rPr>
          <w:rFonts w:cs="Times New Roman"/>
        </w:rPr>
        <w:fldChar w:fldCharType="end"/>
      </w:r>
      <w:r w:rsidR="00676476">
        <w:rPr>
          <w:rFonts w:cs="Times New Roman"/>
        </w:rPr>
        <w:t xml:space="preserve">  </w:t>
      </w:r>
      <w:r w:rsidR="00D72BA0">
        <w:rPr>
          <w:rFonts w:cs="Times New Roman"/>
        </w:rPr>
        <w:t>This group o</w:t>
      </w:r>
      <w:r w:rsidR="00C20212">
        <w:rPr>
          <w:rFonts w:cs="Times New Roman"/>
        </w:rPr>
        <w:t>f dogs may have been com</w:t>
      </w:r>
      <w:r w:rsidR="00D72BA0">
        <w:rPr>
          <w:rFonts w:cs="Times New Roman"/>
        </w:rPr>
        <w:t xml:space="preserve">prised of dogs with </w:t>
      </w:r>
      <w:r w:rsidR="00334081">
        <w:rPr>
          <w:rFonts w:cs="Times New Roman"/>
        </w:rPr>
        <w:t>naturally</w:t>
      </w:r>
      <w:r w:rsidR="00D72BA0">
        <w:rPr>
          <w:rFonts w:cs="Times New Roman"/>
        </w:rPr>
        <w:t xml:space="preserve"> lower MERs</w:t>
      </w:r>
      <w:r w:rsidR="000F55A5">
        <w:rPr>
          <w:rFonts w:cs="Times New Roman"/>
        </w:rPr>
        <w:t xml:space="preserve"> than other published information for laboratory dogs</w:t>
      </w:r>
      <w:r w:rsidR="00D72BA0">
        <w:rPr>
          <w:rFonts w:cs="Times New Roman"/>
        </w:rPr>
        <w:t xml:space="preserve">, but </w:t>
      </w:r>
      <w:r w:rsidR="000F55A5">
        <w:rPr>
          <w:rFonts w:cs="Times New Roman"/>
        </w:rPr>
        <w:t>their collective MERs were still</w:t>
      </w:r>
      <w:r w:rsidR="00D72BA0">
        <w:rPr>
          <w:rFonts w:cs="Times New Roman"/>
        </w:rPr>
        <w:t xml:space="preserve"> above </w:t>
      </w:r>
      <w:r w:rsidR="00D72BA0">
        <w:t xml:space="preserve">the lowest </w:t>
      </w:r>
      <w:r w:rsidR="000F55A5">
        <w:t>MER</w:t>
      </w:r>
      <w:r w:rsidR="00D72BA0">
        <w:t xml:space="preserve"> described for pet dogs (90 kcal/kg</w:t>
      </w:r>
      <w:r w:rsidR="00D72BA0">
        <w:rPr>
          <w:vertAlign w:val="superscript"/>
        </w:rPr>
        <w:t>0.75</w:t>
      </w:r>
      <w:r w:rsidR="00D72BA0">
        <w:t>; approximately 0.8 x MER</w:t>
      </w:r>
      <w:r w:rsidR="00D72BA0">
        <w:rPr>
          <w:vertAlign w:val="subscript"/>
        </w:rPr>
        <w:t>ideal</w:t>
      </w:r>
      <w:r w:rsidR="00D72BA0">
        <w:t>).</w:t>
      </w:r>
      <w:r w:rsidR="00D72BA0">
        <w:fldChar w:fldCharType="begin"/>
      </w:r>
      <w:r w:rsidR="00D72BA0">
        <w:instrText xml:space="preserve"> ADDIN ZOTERO_ITEM CSL_CITATION {"citationID":"2a7b2epm76","properties":{"formattedCitation":"{\\rtf \\super 67\\nosupersub{}}","plainCitation":"67"},"citationItems":[{"id":"Gpwq8jj7/vTXSqUDi","uris":["http://zotero.org/users/local/Ry4zHLbn/items/BB5Q46C6"],"uri":["http://zotero.org/users/local/Ry4zHLbn/items/BB5Q46C6"],"itemData":{"id":"Gpwq8jj7/vTXSqUDi","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rsidR="00D72BA0">
        <w:fldChar w:fldCharType="separate"/>
      </w:r>
      <w:r w:rsidR="00D72BA0" w:rsidRPr="00D72BA0">
        <w:rPr>
          <w:vertAlign w:val="superscript"/>
        </w:rPr>
        <w:t>67</w:t>
      </w:r>
      <w:r w:rsidR="00D72BA0">
        <w:fldChar w:fldCharType="end"/>
      </w:r>
      <w:r w:rsidR="00D72BA0">
        <w:t xml:space="preserve"> </w:t>
      </w:r>
      <w:r w:rsidR="00D72BA0">
        <w:rPr>
          <w:rFonts w:cs="Times New Roman"/>
        </w:rPr>
        <w:t xml:space="preserve"> </w:t>
      </w:r>
      <w:r w:rsidR="00676476">
        <w:rPr>
          <w:rFonts w:cs="Times New Roman"/>
        </w:rPr>
        <w:t xml:space="preserve">Placebo and ideal body weight dogs were being fed above maintenance needs for 3 – 10 year old beagles, but were below those for 1 – 2 year old beagles.  </w:t>
      </w:r>
      <w:r w:rsidR="00D72BA0">
        <w:rPr>
          <w:rFonts w:cs="Times New Roman"/>
        </w:rPr>
        <w:t xml:space="preserve">An additional objective measure of energy requirements, such as calorimetry, would help confirm or refute these feeding amounts.  </w:t>
      </w:r>
      <w:r w:rsidR="00C20212">
        <w:rPr>
          <w:rFonts w:cs="Times New Roman"/>
        </w:rPr>
        <w:t>Even though predictive equations are considered reliable enough for use, p</w:t>
      </w:r>
      <w:r w:rsidR="00D72BA0">
        <w:rPr>
          <w:rFonts w:cs="Times New Roman"/>
        </w:rPr>
        <w:t xml:space="preserve">redicted resting energy expenditure (REE) only falls within 20% of the </w:t>
      </w:r>
      <w:r w:rsidR="00B54799">
        <w:rPr>
          <w:rFonts w:cs="Times New Roman"/>
        </w:rPr>
        <w:t>REE measure by indirect calorimetry in 51 – 57% of dogs.</w:t>
      </w:r>
      <w:r w:rsidR="00B54799">
        <w:rPr>
          <w:rFonts w:cs="Times New Roman"/>
        </w:rPr>
        <w:fldChar w:fldCharType="begin"/>
      </w:r>
      <w:r w:rsidR="000A492A">
        <w:rPr>
          <w:rFonts w:cs="Times New Roman"/>
        </w:rPr>
        <w:instrText xml:space="preserve"> ADDIN ZOTERO_ITEM CSL_CITATION {"citationID":"8FGNUHdV","properties":{"formattedCitation":"{\\rtf \\super 67,421\\nosupersub{}}","plainCitation":"67,421"},"citationItems":[{"id":642,"uris":["http://zotero.org/users/171999/items/4UFPH3PB"],"uri":["http://zotero.org/users/171999/items/4UFPH3PB"],"itemData":{"id":642,"type":"article-journal","title":"Comparison of the standard predictive equation for calculation of resting energy expenditure with indirect calorimetry in hospitalized and healthy dogs","container-title":"Journal of the American Veterinary Medical Association","page":"58-64","volume":"225","issue":"1","source":"NCBI PubMed","abstract":"OBJECTIVE: To determine the level of clinical agreement between 2 methods for the measurement of resting energy expenditure (REE).\nDESIGN: Prospective case series.\nANIMALS: 77 dogs.\nPROCEDURE: Oxygen consumption (Vo2) and CO2 production (Vco2) were measured with an open-flow indirect calorimeter in healthy (n = 10) and ill (67) dogs. Measurements were collected at 3 time periods on 2 days. The Vo2 and the Vco2 measurements were then used to calculate the REE values.\nRESULTS: Mean values of measured (MREE) and predicted (PREE) REEs in healthy dogs and a dog with medical illnesses or trauma were not significantly different. There was a significant difference on day 2 between the MREE and PREE in the group of dogs recovering from major surgery. More importantly, there was significant variation between the PREE and MREE on an individual-dog basis. The PREE only agreed to within +/- 20% of the MREE in 51% to 57% of the dogs.\nCONCLUSIONS AND CLINICAL RELEVANCE: The level of agreement between these two methods for determining the 24-hour REE was poor in individual dogs. The level of disagreement between the 2 methods indicates that these methods may not be used interchangeably in a clinical setting. Measurement of REE by use of indirect calorimetry may be the only reliable method of determining REE in an individual ill or healthy dog.","ISSN":"0003-1488","note":"PMID: 15239474","journalAbbreviation":"J. Am. Vet. Med. Assoc.","language":"eng","author":[{"family":"O'Toole","given":"Elizabeth"},{"family":"Miller","given":"Craig W"},{"family":"Wilson","given":"Brian A"},{"family":"Mathews","given":"Karol A"},{"family":"Davis","given":"Clive"},{"family":"Sears","given":"William"}],"issued":{"date-parts":[["2004",7,1]]},"PMID":"15239474"}},{"id":"Gpwq8jj7/vTXSqUDi","uris":["http://zotero.org/users/local/Ry4zHLbn/items/BB5Q46C6"],"uri":["http://zotero.org/users/local/Ry4zHLbn/items/BB5Q46C6"],"itemData":{"id":"Gpwq8jj7/vTXSqUDi","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rsidR="00B54799">
        <w:rPr>
          <w:rFonts w:cs="Times New Roman"/>
        </w:rPr>
        <w:fldChar w:fldCharType="separate"/>
      </w:r>
      <w:r w:rsidR="000A492A" w:rsidRPr="000A492A">
        <w:rPr>
          <w:vertAlign w:val="superscript"/>
        </w:rPr>
        <w:t>67,421</w:t>
      </w:r>
      <w:r w:rsidR="00B54799">
        <w:rPr>
          <w:rFonts w:cs="Times New Roman"/>
        </w:rPr>
        <w:fldChar w:fldCharType="end"/>
      </w:r>
    </w:p>
    <w:p w:rsidR="00962491" w:rsidRDefault="00962491" w:rsidP="00962491">
      <w:pPr>
        <w:ind w:firstLine="720"/>
      </w:pPr>
      <w:commentRangeStart w:id="113"/>
      <w:r>
        <w:t>Methods to treat obesity include dietary intervention via energy restriction.  With client-owned animals, compliance to restricted diet plans is inconsistent and can often be related back to owner supplied sources of food and treats.  Therefore, identification of methods to increase satiety and encourage decreased voluntary food intake in dogs is warranted.  Fiber has been investigated as a satiety inducing agent in dogs because gastric distension has been shown to  cause a dose dependent reduction in food intake and some fiber types can increase GI transit time (i.e. psyllium and guar gum).</w:t>
      </w:r>
      <w:r>
        <w:fldChar w:fldCharType="begin"/>
      </w:r>
      <w:r w:rsidR="000A492A">
        <w:instrText xml:space="preserve"> ADDIN ZOTERO_ITEM CSL_CITATION {"citationID":"uzb6CPXs","properties":{"formattedCitation":"{\\rtf \\super 422,423\\nosupersub{}}","plainCitation":"422,423"},"citationItems":[{"id":956,"uris":["http://zotero.org/users/171999/items/XS578F7W"],"uri":["http://zotero.org/users/171999/items/XS578F7W"],"itemData":{"id":956,"type":"article-journal","title":"Gastric Distension Is a Physiologic Satiety Signal in the Dog","container-title":"Digestive Diseases and Sciences","page":"1489-1493","volume":"34","issue":"10","source":"ISI Web of Knowledge","DOI":"10.1007/BF01537098","ISSN":"0163-2116","note":"WOS:A1989AU66300001","journalAbbreviation":"Dig. Dis. Sci.","language":"English","author":[{"family":"Pappas","given":"Tn"},{"family":"Melendez","given":"Rl"},{"family":"Debas","given":"Ht"}],"issued":{"date-parts":[["1989",10]]}}},{"id":501,"uris":["http://zotero.org/users/171999/items/8UIVA2XB"],"uri":["http://zotero.org/users/171999/items/8UIVA2XB"],"itemData":{"id":501,"type":"chapter","title":"Carbohydrates and Fiber","container-title":"Nutrient Requirements of Dogs and Cats","publisher":"National Academies Press","publisher-place":"Washington, DC","page":"49-80","edition":"[Rev. ed.]..","source":"Primo","event-place":"Washington, DC","ISBN":"0309086280","call-number":"SF427.4","language":"eng","author":[{"family":"National Research Council of the National Academies","given":""}],"issued":{"date-parts":[["2006"]]}}}],"schema":"https://github.com/citation-style-language/schema/raw/master/csl-citation.json"} </w:instrText>
      </w:r>
      <w:r>
        <w:fldChar w:fldCharType="separate"/>
      </w:r>
      <w:r w:rsidR="000A492A" w:rsidRPr="000A492A">
        <w:rPr>
          <w:vertAlign w:val="superscript"/>
        </w:rPr>
        <w:t>422,423</w:t>
      </w:r>
      <w:r>
        <w:fldChar w:fldCharType="end"/>
      </w:r>
      <w:r>
        <w:t xml:space="preserve">  Crude fiber (12 or 21% as fed) has previously been shown to decrease voluntary meal intake in dogs during regular meals.  It also decreased intake from an intrusion meal provided 75 minutes after the morning meal.</w:t>
      </w:r>
      <w:r>
        <w:fldChar w:fldCharType="begin"/>
      </w:r>
      <w:r w:rsidR="000A492A">
        <w:instrText xml:space="preserve"> ADDIN ZOTERO_ITEM CSL_CITATION {"citationID":"1l861b535o","properties":{"formattedCitation":"{\\rtf \\super 289\\nosupersub{}}","plainCitation":"289"},"citationItems":[{"id":1585,"uris":["http://zotero.org/users/171999/items/DAZRR65I"],"uri":["http://zotero.org/users/171999/items/DAZRR65I"],"itemData":{"id":1585,"type":"article-journal","title":"Effects of fiber on food intake in dogs.","container-title":"Veterinary Clinical Nutrition","volume":"3","issue":"4","source":"ISI Web of Knowledge","abstract":"Two studies were conducted to investigate whether high-fibre diets increased satiety or reduced hunger in dogs. Two sequential crossover studies, each lasting 28 days, of the same design were conducted to compare 2 pairs of diets; composition of diets used is given. 30 Beagles ranging in age from 1 to 12 years (mean age 5.7 years) were randomly assigned to one of 2 groups. In the first study, groups were offered one 45-min meal daily consisting of a low- (&lt;2%) or medium-fibre (12%) diet. After 2 weeks diets were fed in reverse. A second 45-min meal (intruded meal) was offered 30 min after the first meal was removed on days 7, 14,","ISSN":"1076-3872","language":"English","author":[{"family":"Jewell","given":"D. E."},{"family":"Toll","given":"P. W."}],"issued":{"date-parts":[["1996"]]}}}],"schema":"https://github.com/citation-style-language/schema/raw/master/csl-citation.json"} </w:instrText>
      </w:r>
      <w:r>
        <w:fldChar w:fldCharType="separate"/>
      </w:r>
      <w:r w:rsidR="000A492A" w:rsidRPr="000A492A">
        <w:rPr>
          <w:vertAlign w:val="superscript"/>
        </w:rPr>
        <w:t>289</w:t>
      </w:r>
      <w:r>
        <w:fldChar w:fldCharType="end"/>
      </w:r>
      <w:r>
        <w:t xml:space="preserve">  Fiber did not affect meal intake in dogs consuming 40% of MER during a weight loss plan.</w:t>
      </w:r>
      <w:r>
        <w:fldChar w:fldCharType="begin"/>
      </w:r>
      <w:r w:rsidR="000A492A">
        <w:instrText xml:space="preserve"> ADDIN ZOTERO_ITEM CSL_CITATION {"citationID":"1c198cu13v","properties":{"formattedCitation":"{\\rtf \\super 424\\nosupersub{}}","plainCitation":"424"},"citationItems":[{"id":922,"uris":["http://zotero.org/users/171999/items/VT7S522W"],"uri":["http://zotero.org/users/171999/items/VT7S522W"],"itemData":{"id":922,"type":"article-journal","title":"Effect of level and source of dietary fiber on food intake in the dog","container-title":"The Journal of nutrition","page":"2695S-2700S","volume":"124","issue":"12 Suppl","source":"NCBI PubMed","abstract":"The effects of dietary fiber on challenge meal intake and on the perception of hunger in dogs were evaluated. A program of testing variants of a standard low energy diet, to which one of five fiber containing raw materials was added, was undertaken. Diets were fed to a group of six dogs for 12-d periods in a latin square design and in amounts that corresponded to the food allowance for weight reduction. Behavioral characteristics of dogs were recorded on videotape for 30-min periods after introduction of test diets. On two occasions during each 12-d feeding period dogs were presented with a challenge meal. At the end of each 12-d feeding period all dogs entered a 6-d washout period. There was no significant effect of diet on the intake of the challenge meal or on intake of food during the subsequent washout period. In addition, diet had no apparent effect on the perception of hunger, as represented by behavioral characteristics during the 30-min period after presentation of test diets. It was concluded that inclusion of moderate levels of raw materials, composed primarily of insoluble fiber, in a commercial low energy diet had no apparent beneficial effects on satiety, when fed to dogs on an energy intake corresponding to allowances for weight reduction.","ISSN":"0022-3166","note":"PMID: 7996272","journalAbbreviation":"J. Nutr.","author":[{"family":"Butterwick","given":"R F"},{"family":"Markwell","given":"P J"},{"family":"Thorne","given":"C J"}],"issued":{"date-parts":[["1994",12]]},"PMID":"7996272"}}],"schema":"https://github.com/citation-style-language/schema/raw/master/csl-citation.json"} </w:instrText>
      </w:r>
      <w:r>
        <w:fldChar w:fldCharType="separate"/>
      </w:r>
      <w:r w:rsidR="000A492A" w:rsidRPr="000A492A">
        <w:rPr>
          <w:vertAlign w:val="superscript"/>
        </w:rPr>
        <w:t>424</w:t>
      </w:r>
      <w:r>
        <w:fldChar w:fldCharType="end"/>
      </w:r>
      <w:r>
        <w:t xml:space="preserve">  Crude fiber ranged from 0.2 – 1.3% and total dietary fiber (TDF) ranged from 0.9 – 2.4% as fed (17.6 – 42.3 g/1000 kcal) in the different diets fed to those dogs.  In the current study, the WLD was the same formula used in the Jewell study, in which decreased food intake was found in relation to dietary fiber content.  This diet was chosen because it has a similar palatability profile as the CAD, and would therefore not be expected to trigger hedonic tendencies in relation to novel diet exposure during intrusion meal feedings (Jewell, DE; personal communication).  The WLD itself was not used during intrusion meals to remove the risk of the lower energy density leading a decreased energy intake, even if volume consumption was comparable to other groups.</w:t>
      </w:r>
    </w:p>
    <w:p w:rsidR="00962491" w:rsidRDefault="00962491" w:rsidP="00962491">
      <w:pPr>
        <w:ind w:firstLine="720"/>
      </w:pPr>
      <w:r>
        <w:t>Nutraceutical, placebo, and therapeutic weight loss diet did not have an effect on medium term satiety, based on intrusion meal intake 3 hours after a standard morning meal.  This is true of both obese dogs losing weight on a lean maintenance level of calories (MER</w:t>
      </w:r>
      <w:r>
        <w:rPr>
          <w:vertAlign w:val="subscript"/>
        </w:rPr>
        <w:t>ideal</w:t>
      </w:r>
      <w:r>
        <w:t>) and of lean dogs gaining weight while consuming excess energy.  The higher fiber content of the WLD food did not result in significantly reduced intrusion meal intake compared to dogs who were maintaining an ideal weight or to dogs losing weight and consuming the CAD food.  This is in contrast to the Jewell research in which dogs were also being offered maintenance levels of food, but were not in the process of losing weight.</w:t>
      </w:r>
      <w:r>
        <w:fldChar w:fldCharType="begin"/>
      </w:r>
      <w:r w:rsidR="000A492A">
        <w:instrText xml:space="preserve"> ADDIN ZOTERO_ITEM CSL_CITATION {"citationID":"1t7e9pcun0","properties":{"formattedCitation":"{\\rtf \\super 289\\nosupersub{}}","plainCitation":"289"},"citationItems":[{"id":1585,"uris":["http://zotero.org/users/171999/items/DAZRR65I"],"uri":["http://zotero.org/users/171999/items/DAZRR65I"],"itemData":{"id":1585,"type":"article-journal","title":"Effects of fiber on food intake in dogs.","container-title":"Veterinary Clinical Nutrition","volume":"3","issue":"4","source":"ISI Web of Knowledge","abstract":"Two studies were conducted to investigate whether high-fibre diets increased satiety or reduced hunger in dogs. Two sequential crossover studies, each lasting 28 days, of the same design were conducted to compare 2 pairs of diets; composition of diets used is given. 30 Beagles ranging in age from 1 to 12 years (mean age 5.7 years) were randomly assigned to one of 2 groups. In the first study, groups were offered one 45-min meal daily consisting of a low- (&lt;2%) or medium-fibre (12%) diet. After 2 weeks diets were fed in reverse. A second 45-min meal (intruded meal) was offered 30 min after the first meal was removed on days 7, 14,","ISSN":"1076-3872","language":"English","author":[{"family":"Jewell","given":"D. E."},{"family":"Toll","given":"P. W."}],"issued":{"date-parts":[["1996"]]}}}],"schema":"https://github.com/citation-style-language/schema/raw/master/csl-citation.json"} </w:instrText>
      </w:r>
      <w:r>
        <w:fldChar w:fldCharType="separate"/>
      </w:r>
      <w:r w:rsidR="000A492A" w:rsidRPr="000A492A">
        <w:rPr>
          <w:vertAlign w:val="superscript"/>
        </w:rPr>
        <w:t>289</w:t>
      </w:r>
      <w:r>
        <w:fldChar w:fldCharType="end"/>
      </w:r>
      <w:r>
        <w:t xml:space="preserve">  Average daily food consumption below maintenance offerings for obese dogs losing weight was not a consistent finding during the study and was only significantly different between groups during the first week of treatment (</w:t>
      </w:r>
      <w:r>
        <w:rPr>
          <w:color w:val="FF0000"/>
        </w:rPr>
        <w:t>Table 3, Chapter I)</w:t>
      </w:r>
      <w:r>
        <w:t xml:space="preserve">.  At this point, WLD dogs left behind a larger amount of food than obese nutraceutical dogs, and this effect is likely due to response to diet change as consumption improved for the duration of the study.  Dogs maintaining ideal weight also did not leave food behind and when offered excess calories, dogs consistently ate above their maintenance requirements.  </w:t>
      </w:r>
    </w:p>
    <w:p w:rsidR="00962491" w:rsidRDefault="00962491" w:rsidP="00962491">
      <w:pPr>
        <w:ind w:firstLine="720"/>
      </w:pPr>
      <w:r>
        <w:t>Another distinction between the two studies is that Jewell offered an intrusion meal 75 minutes after the morning meal, while the dogs reported here were fed 180 minutes after the standard meal.  It is possible the satiating effects of fiber are active more immediately after a meal, rather than 3 hours later.  Median time to empty the canine stomach of 50% of radiopaque markers was 3.5 hours in 2 – 5 year old dogs and ranged from 6.4 – 7.8 hours in 60 week old dogs.</w:t>
      </w:r>
      <w:r>
        <w:fldChar w:fldCharType="begin"/>
      </w:r>
      <w:r w:rsidR="000A492A">
        <w:instrText xml:space="preserve"> ADDIN ZOTERO_ITEM CSL_CITATION {"citationID":"2agdvb5qo","properties":{"formattedCitation":"{\\rtf \\super 425,426\\nosupersub{}}","plainCitation":"425,426"},"citationItems":[{"id":486,"uris":["http://zotero.org/users/171999/items/KRUK2QP8"],"uri":["http://zotero.org/users/171999/items/KRUK2QP8"],"itemData":{"id":486,"type":"article-journal","title":"Gastric emptying of nondigestible radiopaque markers after circumcostal gastropexy in clinically normal dogs and dogs with gastric dilatation-volvulus","container-title":"American journal of veterinary research","page":"1961-1965","volume":"53","issue":"10","source":"NCBI PubMed","abstract":"Using radiopaque particles mixed with food, gastric emptying was assessed in healthy dogs not subjected to surgery, in healthy dogs 9 to 35 days after circumcostal gastropexy, and, in dogs 1 to 54 months after surgical treatment and recovery from gastric dilatation-volvulus (GDV). Circumcostal gastropexy surgery did not alter the 90% gastric emptying time for radiopaque particles in healthy dogs. However, 90% gastric emptying time was significantly (P less than 0.05) increased after circumcostal gastropexy in dogs with GDV, compared with healthy dogs after the same surgical procedure and recovery period. These results imply that dogs with GDV have delayed gastric emptying of solid particles. Whether delayed gastric emptying of markers detected in affected dogs after surgical treatment and recovery was the result or the cause of GDV was not determined. Results indicate that circumcostal gastropexy could be recommended as a prophylactic procedure for GDV in large breeds with deep thorax, because delayed gastric emptying of markers secondary to the surgical procedure is unlikely.","ISSN":"0002-9645","note":"PMID: 1456548","journalAbbreviation":"Am. J. Vet. Res.","language":"eng","author":[{"family":"Hall","given":"J A"},{"family":"Willer","given":"R L"},{"family":"Seim","given":"H B, 3rd"},{"family":"Lebel","given":"J L"},{"family":"Twedt","given":"D C"}],"issued":{"date-parts":[["1992",10]]},"PMID":"1456548"}},{"id":491,"uris":["http://zotero.org/users/171999/items/AAGUPWVN"],"uri":["http://zotero.org/users/171999/items/AAGUPWVN"],"itemData":{"id":491,"type":"article-journal","title":"Influence of age and body size on gastrointestinal transit time of radiopaque markers in healthy dogs","container-title":"American journal of veterinary research","page":"677-682","volume":"63","issue":"5","source":"NCBI PubMed","abstract":"OBJECTIVE: To compare gastric emptying time, small-intestinal transit time (SITT), and orocecal transit time (OCTT) of radiopaque markers in dogs varying in age and body size and to determine whether fecal variables (ie, consistency and moisture content) are related to gastrointestinal tract transit times in dogs.\nANIMALS: 24 eight-week-old female puppies, including 6 Miniature Poodles, 6 Standard Schnauzers, 6 Giant Schnauzers, and 6 Great Danes.\nPROCEDURE: Gastrointestinal tract transit time experiments were performed at 12, 22, 36, and 60 weeks of age. Dogs were fed 30 small radiopaque markers mixed with a meal. Abdominal radiographs were taken. The time at which 50% of the markers had left the stomach (T50) and the time at which the first marker reached the colon were calculated. Fecal moisture content and scoring on the basis of fecal consistency were recorded during the same periods.\nRESULTS: Puppies had a shorter mean T50 than adults, and mean OCTT decreased significantly only during growth of large-breed dogs. However mean fecal moisture content significantly increased with age, except in Giant Schnauzers. No effect of body size on T50 was found regardless of age, and no difference was observed between OCTT of small- and large-breed adult dogs. The effect of age on the mean SITT was not significant for any breed. However, a strong positive correlation was recorded between body size and fecal moisture content (r2 = 0.77) or fecal scores (r2 = 0.69) in adult dogs.\nCONCLUSIONS AND CLINICAL RELEVANCE: Age affects T50 in small- and large-breed dogs and OCTT in large-breed dogs. However, body size does not affect T50 or OCTT. A relationship does not exist between gastrointestinal tract transit time and fecal variables in healthy dogs.","ISSN":"0002-9645","note":"PMID: 12013468","journalAbbreviation":"Am. J. Vet. Res.","language":"eng","author":[{"family":"Weber","given":"Mickaël P"},{"family":"Stambouli","given":"Fouzia"},{"family":"Martin","given":"Lucile J"},{"family":"Dumon","given":"Henri J"},{"family":"Biourge","given":"Vincent C"},{"family":"Nguyen","given":"Patrick G"}],"issued":{"date-parts":[["2002",5]]},"PMID":"12013468"}}],"schema":"https://github.com/citation-style-language/schema/raw/master/csl-citation.json"} </w:instrText>
      </w:r>
      <w:r>
        <w:fldChar w:fldCharType="separate"/>
      </w:r>
      <w:r w:rsidR="000A492A" w:rsidRPr="000A492A">
        <w:rPr>
          <w:vertAlign w:val="superscript"/>
        </w:rPr>
        <w:t>425,426</w:t>
      </w:r>
      <w:r>
        <w:fldChar w:fldCharType="end"/>
      </w:r>
      <w:r>
        <w:t xml:space="preserve">  Using wireless motility capsules, total gastric emptying time has ranged from 385 – 897minutes in multiple studies and 99.9 – 181.2 minutes represents the stomach emptying half time.</w:t>
      </w:r>
      <w:r>
        <w:fldChar w:fldCharType="begin"/>
      </w:r>
      <w:r w:rsidR="000A492A">
        <w:instrText xml:space="preserve"> ADDIN ZOTERO_ITEM CSL_CITATION {"citationID":"w7bGfqUG","properties":{"formattedCitation":"{\\rtf \\super 427\\uc0\\u8211{}429\\nosupersub{}}","plainCitation":"427–429"},"citationItems":[{"id":698,"uris":["http://zotero.org/users/171999/items/IME6EPWT"],"uri":["http://zotero.org/users/171999/items/IME6EPWT"],"itemData":{"id":698,"type":"article-journal","title":"Assessment of the variation associated with repeated measurement of gastrointestinal transit times and assessment of the effect of oral ranitidine on gastrointestinal transit times using a wireless motility capsule system in dogs","container-title":"Veterinary medicine international","page":"938417","volume":"2012","source":"NCBI PubMed","abstract":"This study aimed to evaluate the variation associated with repeated measurement of gastrointestinal (GI) transit times and the effect of oral ranitidine on GI transit times in healthy dogs using a wireless motility capsule (WMC) system. Eight privately owned healthy adult dogs were enrolled, and one developed diarrhea and was removed from the study. For the first 3 repetitions, each dog was fed a standard meal followed by oral administration of a WMC. For the 4th repetition, each dog was given ranitidine hydrochloride (75 mg PO every 12 hours) prior to and during assessment of GI transit times. Mean between-subject coefficients of variation for gastric emptying time (GET), small and large bowel transit time (SLBTT), and total transit time (TTT) were 26.9%, 32.3%, and 19.6%, respectively. Mean within-subject coefficients of variation for GET, SLBTT, and TTT were 9.3%, 19.6%, and 15.9%, respectively. Median GET, SLBTT, and TTT without ranitidine were 719, 1,636, and 2,735 minutes, respectively. Median GET, SLBTT, and TTT with ranitidine were 757, 1,227, and 2,083 minutes, respectively. No significant differences in GI transit times were found between any of the 4 repetitions. Under these experimental conditions, no significant effects of oral ranitidine on GI transit times were observed.","DOI":"10.1155/2012/938417","ISSN":"2042-0048","note":"PMID: 22792515","journalAbbreviation":"Vet Med Int","language":"eng","author":[{"family":"Lidbury","given":"Jonathan A"},{"family":"Suchodolski","given":"Jan S"},{"family":"Ivanek","given":"Renata"},{"family":"Steiner","given":"Jörg M"}],"issued":{"date-parts":[["2012"]]},"PMID":"22792515"}},{"id":502,"uris":["http://zotero.org/users/171999/items/9RCZAQWF"],"uri":["http://zotero.org/users/171999/items/9RCZAQWF"],"itemData":{"id":502,"type":"article-journal","title":"Assessment of the relationship between body weight and gastrointestinal transit times measured by use of a wireless motility capsule system in dogs","container-title":"American journal of veterinary research","page":"898-902","volume":"71","issue":"8","source":"NCBI PubMed","abstract":"OBJECTIVE: To assess the relationship between body weight and gastrointestinal transit times measured by use of a wireless motility capsule (WMC) system in healthy dogs.\nANIMALS: 31 healthy adult dogs that weighed between 19.6 and 81.2 kg.\nPROCEDURES: Food was withheld overnight. The following morning, a WMC was orally administered to each dog, and each dog was then fed a test meal that provided a fourth of the daily energy requirements. A vest was fitted on each dog to hold a receiver that collected and stored data from the WMC. Measurements were obtained with each dog in its home environment. Regression analysis was used to assess the relationship between body weight and gastrointestinal transit times.\nRESULTS: Gastric emptying time (GET) ranged from 405 to 897 minutes, small bowel transit time (SBTT) ranged from 96 to 224 minutes, large bowel transit time (LBTT) ranged from 427 to 2,573 minutes, and total transit time (TTT) ranged from 1,294 to 3,443 minutes. There was no positive relationship between body weight and gastrointestinal transit times. A nonlinear inverse relationship between body weight and GET and between body weight and SBTT best fit the data. The LBTT could not be explained by this model and likely influenced the poor fit for the TTT.\nCONCLUSIONS AND CLINICAL RELEVANCE: A positive relationship did not exist between body weight and gastrointestinal transit times. Dogs with the lowest body weight of the cohort appeared to have longer gastric and small intestinal transit times than did large- and giant-breed dogs.","DOI":"10.2460/ajvr.71.8.898","ISSN":"0002-9645","note":"PMID: 20673088","journalAbbreviation":"Am. J. Vet. Res.","language":"eng","author":[{"family":"Boillat","given":"Carol S"},{"family":"Gaschen","given":"Frédéric P"},{"family":"Hosgood","given":"Giselle L"}],"issued":{"date-parts":[["2010",8]]},"PMID":"20673088"}},{"id":516,"uris":["http://zotero.org/users/171999/items/CJP3F4V7"],"uri":["http://zotero.org/users/171999/items/CJP3F4V7"],"itemData":{"id":516,"type":"article-journal","title":"Variability associated with repeated measurements of gastrointestinal tract motility in dogs obtained by use of a wireless motility capsule system and scintigraphy","container-title":"American journal of veterinary research","page":"903-908","volume":"71","issue":"8","source":"NCBI PubMed","abstract":"OBJECTIVE: To compare repeatability of measurements of gastrointestinal tract motility in healthy dogs obtained by use of a wireless motility capsule (WMC) and scintigraphy.\nANIMALS: 6 healthy adult dogs (mean +/- SD body weight, 21.5 +/- 1.8 kg).\nPROCEDURES: A radiolabeled test meal was offered immediately after oral administration of a WMC. Serial static scintigraphic abdominal images were acquired for 270 minutes. A dedicated remote receiver was used for data collection from the WMC until the WMC was expelled in the feces. Each dog was evaluated 3 times at intervals of 1 to 2 weeks.\nRESULTS: Mean gastric emptying half-time measured by use of scintigraphy (T(1/2)-GES) for each dog ranged from 99.9 to 181.2 minutes. Mean gastric emptying time (GET) measured by use of the WMC (GET-WMC) in each dog ranged from 385.3 to 669.7 minutes. Mean coefficient of variation was 11.8% for T(1/2)-GES and 7.8% for GET-WMC. The intraclass correlation coefficient was 69% for T(1/2)-GES and 71% for GET-WMC. Results for a nested analysis of covariance suggested that both methods were comparable for the evaluation of gastric emptying.\nCONCLUSIONS AND CLINICAL RELEVANCE: Scintigraphy and a WMC system had similar variation for assessment of gastric emptying. Moderate intraindividual variability was detected for both methods and must be considered when interpreting test results for individual dogs. Repeatability of measurements obtained by use of the WMC was equivalent to that obtained by use of scintigraphy. The WMC system offers a nonradioactive, user-friendly method for assessment of gastric emptying in dogs.","DOI":"10.2460/ajvr.71.8.903","ISSN":"0002-9645","note":"PMID: 20673089","journalAbbreviation":"Am. J. Vet. Res.","language":"eng","author":[{"family":"Boillat","given":"Carol S"},{"family":"Gaschen","given":"Frédéric P"},{"family":"Gaschen","given":"Lorrie"},{"family":"Stout","given":"Rhett W"},{"family":"Hosgood","given":"Giselle L"}],"issued":{"date-parts":[["2010",8]]},"PMID":"20673089"}}],"schema":"https://github.com/citation-style-language/schema/raw/master/csl-citation.json"} </w:instrText>
      </w:r>
      <w:r>
        <w:fldChar w:fldCharType="separate"/>
      </w:r>
      <w:r w:rsidR="000A492A" w:rsidRPr="000A492A">
        <w:rPr>
          <w:vertAlign w:val="superscript"/>
        </w:rPr>
        <w:t>427–429</w:t>
      </w:r>
      <w:r>
        <w:fldChar w:fldCharType="end"/>
      </w:r>
      <w:r>
        <w:t xml:space="preserve">  Based on the half time information, a 75 minute intrusion meal should be considered an indicator of short term satiety, likely to be highly responsive to gastric distention.  At 3 hours (180 minutes), the stomach emptying half time is approached and gastric distension is less likely a contributor to any perceived satiety effects.</w:t>
      </w:r>
    </w:p>
    <w:p w:rsidR="00962491" w:rsidRPr="00DC5B88" w:rsidRDefault="00962491" w:rsidP="00962491">
      <w:pPr>
        <w:ind w:firstLine="720"/>
      </w:pPr>
      <w:r>
        <w:t>An interesting, but not unexpected intrusion intake pattern emerged involving comparisons across the three study arms.  When dogs were being fed excess calories during obesification or treatment, intrusion meal consumption was lower than when fed to MER</w:t>
      </w:r>
      <w:r>
        <w:rPr>
          <w:vertAlign w:val="subscript"/>
        </w:rPr>
        <w:t>ideal</w:t>
      </w:r>
      <w:r>
        <w:t>. Dogs maintaining ideal body weight ate similar amounts of food during intrusion feedings as other dogs being fed to MER</w:t>
      </w:r>
      <w:r>
        <w:rPr>
          <w:vertAlign w:val="subscript"/>
        </w:rPr>
        <w:t>ideal</w:t>
      </w:r>
      <w:r>
        <w:t>.  So while nutraceutical, placebo, or WLD treatment did not affect satiety, overall average daily food consumption did have an effect, with MER feeding being associated with increased voluntary food intake.</w:t>
      </w:r>
    </w:p>
    <w:p w:rsidR="00962491" w:rsidRDefault="00962491" w:rsidP="00962491">
      <w:pPr>
        <w:ind w:firstLine="720"/>
      </w:pPr>
      <w:r>
        <w:t>In addition to intrusion meal intake, canine satiety may also be perceived based on food seeking behavior and other behavioral characteristics.  Butterwick assessed feeding behavior via 30 minute videotape recordings starting at the introduction of the meal.</w:t>
      </w:r>
      <w:r>
        <w:fldChar w:fldCharType="begin"/>
      </w:r>
      <w:r w:rsidR="000A492A">
        <w:instrText xml:space="preserve"> ADDIN ZOTERO_ITEM CSL_CITATION {"citationID":"mno489m25","properties":{"formattedCitation":"{\\rtf \\super 424\\nosupersub{}}","plainCitation":"424"},"citationItems":[{"id":922,"uris":["http://zotero.org/users/171999/items/VT7S522W"],"uri":["http://zotero.org/users/171999/items/VT7S522W"],"itemData":{"id":922,"type":"article-journal","title":"Effect of level and source of dietary fiber on food intake in the dog","container-title":"The Journal of nutrition","page":"2695S-2700S","volume":"124","issue":"12 Suppl","source":"NCBI PubMed","abstract":"The effects of dietary fiber on challenge meal intake and on the perception of hunger in dogs were evaluated. A program of testing variants of a standard low energy diet, to which one of five fiber containing raw materials was added, was undertaken. Diets were fed to a group of six dogs for 12-d periods in a latin square design and in amounts that corresponded to the food allowance for weight reduction. Behavioral characteristics of dogs were recorded on videotape for 30-min periods after introduction of test diets. On two occasions during each 12-d feeding period dogs were presented with a challenge meal. At the end of each 12-d feeding period all dogs entered a 6-d washout period. There was no significant effect of diet on the intake of the challenge meal or on intake of food during the subsequent washout period. In addition, diet had no apparent effect on the perception of hunger, as represented by behavioral characteristics during the 30-min period after presentation of test diets. It was concluded that inclusion of moderate levels of raw materials, composed primarily of insoluble fiber, in a commercial low energy diet had no apparent beneficial effects on satiety, when fed to dogs on an energy intake corresponding to allowances for weight reduction.","ISSN":"0022-3166","note":"PMID: 7996272","journalAbbreviation":"J. Nutr.","author":[{"family":"Butterwick","given":"R F"},{"family":"Markwell","given":"P J"},{"family":"Thorne","given":"C J"}],"issued":{"date-parts":[["1994",12]]},"PMID":"7996272"}}],"schema":"https://github.com/citation-style-language/schema/raw/master/csl-citation.json"} </w:instrText>
      </w:r>
      <w:r>
        <w:fldChar w:fldCharType="separate"/>
      </w:r>
      <w:r w:rsidR="000A492A" w:rsidRPr="000A492A">
        <w:rPr>
          <w:vertAlign w:val="superscript"/>
        </w:rPr>
        <w:t>424</w:t>
      </w:r>
      <w:r>
        <w:fldChar w:fldCharType="end"/>
      </w:r>
      <w:r>
        <w:t xml:space="preserve">  Bosch and colleagues also used video recordings to assess activity patterns within a 24 hour period and to assess interprandial behavior 30 minutes after the morning meal and 30 minutes before the evening meal.</w:t>
      </w:r>
      <w:r>
        <w:fldChar w:fldCharType="begin"/>
      </w:r>
      <w:r w:rsidR="000A492A">
        <w:instrText xml:space="preserve"> ADDIN ZOTERO_ITEM CSL_CITATION {"citationID":"1p2qa96te1","properties":{"formattedCitation":"{\\rtf \\super 430\\nosupersub{}}","plainCitation":"430"},"citationItems":[{"id":457,"uris":["http://zotero.org/users/171999/items/5R9NQ4AT"],"uri":["http://zotero.org/users/171999/items/5R9NQ4AT"],"itemData":{"id":457,"type":"article-journal","title":"Effect of dietary fibre type on physical activity and behaviour in   kennelled dogs.","container-title":"Applied Animal Behaviour Science","volume":"121","issue":"1","abstract":"Dog diets may differ in their effectiveness of maintaining satiety after   a meal. Consequently, sensations of hunger, feeding motivation, physical   activity, and sensitivity to environmental stressors may be increased.   Dietary fibre may be effective in prolonging postprandial satiety   depending on type and inclusion level. This study evaluated the effect   of fibre fermentability on behaviour in dogs. Sixteen healthy adult dogs   were housed individually and fed a low-fermentable fibre (LFF) diet   containing 8.5% cellulose or a high-fermentable fibre (HFF) diet   containing 8.5% sugar beet pulp and 2% inulin. Dogs were fed two equal   portions at 8:30 and 18:30 according to energy requirements. Behaviour   of dogs in their home-cage was recorded and analyzed by instantaneous   scan sampling (2*24 h with 15 min intervals) and focal sampling   continuous recordings (10 min per animal per hour, from 9:00 until   18:00). Dogs were subjected to a behaviour test composed of the subtests   open-field, sudden-silence, novel-object, and acoustic-startle. The   behavioural responses of each dog were recorded. Scores for the scan and   focal samples were expressed per clock hour and DIET * TIME effects were   tested statistically using Residual Maximum Likelihood (REML). Data from   the tests were examined using principal component analysis resulting in   the compilation of two components. Data were tested statistically for   DIET and DIET * SUBTEST effects using REML. Variables specific for the   open-field and novel-object test were analyzed using analysis of   variance. For the scans, a significant DIET * TIME effect was found for   resting. At night and in the morning, HFF dogs rested more compared to   LFF dogs, but they rested less between 14:00 and 17:00. For the   continuous recordings, the main findings were a tendency for DIET * TIME   effect for time spent resting with a pattern consistent with that for   the scans. The interaction was significant for inactive-alert (lie with   head up or sitting) with HFF-fed dogs having lower values around   10:00-11:00 and higher values hereafter. Finally, time spent tail   wagging was significantly higher for LFF-fed dogs just before the   evening meal that may indicate higher level of arousal. For the   behaviour tests, no significant DIET or DIET * SUBTEST effects were   detected. It is concluded that compared to the LFF diet, the HFF diet   increased inactivity in kennelled beagle dogs likely through the   prolongation of postprandial satiety. This effect did not change the   reaction to stressful events in kennelled laboratory dogs. Enhanced   susceptibility to environmental stressors at times of hunger in   sensitive companion dogs may occur but requires further study.","DOI":"10.1016/j.applanim.2009.08.001","ISSN":"0168-1591","note":"CABI:20093347959","author":[{"family":"Bosch","given":"G."},{"family":"Beerda","given":"B."},{"family":"Hoek","given":"E. van de"},{"family":"Hesta","given":"M."},{"family":"Poel","given":"A. F. B. van der"},{"family":"Janssens","given":"G. P. J."},{"family":"Hendriks","given":"W. H."}],"issued":{"date-parts":[["2009"]]}}}],"schema":"https://github.com/citation-style-language/schema/raw/master/csl-citation.json"} </w:instrText>
      </w:r>
      <w:r>
        <w:fldChar w:fldCharType="separate"/>
      </w:r>
      <w:r w:rsidR="000A492A" w:rsidRPr="000A492A">
        <w:rPr>
          <w:vertAlign w:val="superscript"/>
        </w:rPr>
        <w:t>430</w:t>
      </w:r>
      <w:r>
        <w:fldChar w:fldCharType="end"/>
      </w:r>
      <w:r>
        <w:t xml:space="preserve">  The ability to review recordings allowed for accurate accounting of the number of visits to the bowl, total time spent at the bowl, and occurrences of individual behaviors.  In the current study, the recording design was for individual observers to focus on accurately accounting for the amount of time dogs spent eating and/or with their head in the food bowl, providing a total duration measure of food consumption over 45 minutes.  For specific behavior information, instantaneous sampling every two minutes was employed.  This type of protocol allows one to record several different categories of behavior and total duration information simultaneously.</w:t>
      </w:r>
      <w:r>
        <w:fldChar w:fldCharType="begin"/>
      </w:r>
      <w:r w:rsidR="000A492A">
        <w:instrText xml:space="preserve"> ADDIN ZOTERO_ITEM CSL_CITATION {"citationID":"1cd0dsd7bd","properties":{"formattedCitation":"{\\rtf \\super 431\\nosupersub{}}","plainCitation":"431"},"citationItems":[{"id":534,"uris":["http://zotero.org/users/171999/items/M85U4RTI"],"uri":["http://zotero.org/users/171999/items/M85U4RTI"],"itemData":{"id":534,"type":"book","title":"Measuring Behaviour : An Introductory Guide","publisher":"Cambridge University Press","publisher-place":"Cambridge","number-of-pages":"176","edition":"3rd ed..","source":"Primo","event-place":"Cambridge","ISBN":"9780521828680","call-number":"QL751","shortTitle":"Measuring behaviour","language":"eng","author":[{"family":"Paul Martin","given":""}],"issued":{"date-parts":[["2007"]]}}}],"schema":"https://github.com/citation-style-language/schema/raw/master/csl-citation.json"} </w:instrText>
      </w:r>
      <w:r>
        <w:fldChar w:fldCharType="separate"/>
      </w:r>
      <w:r w:rsidR="000A492A" w:rsidRPr="000A492A">
        <w:rPr>
          <w:vertAlign w:val="superscript"/>
        </w:rPr>
        <w:t>431</w:t>
      </w:r>
      <w:r>
        <w:fldChar w:fldCharType="end"/>
      </w:r>
      <w:r>
        <w:t xml:space="preserve">  Several novel categories, along with behaviors previously described by Bosch et al, were assessed to gather information regarding behaviors related to canine food consumption.</w:t>
      </w:r>
      <w:r>
        <w:fldChar w:fldCharType="begin"/>
      </w:r>
      <w:r w:rsidR="000A492A">
        <w:instrText xml:space="preserve"> ADDIN ZOTERO_ITEM CSL_CITATION {"citationID":"20bhe54p6d","properties":{"formattedCitation":"{\\rtf \\super 430\\nosupersub{}}","plainCitation":"430"},"citationItems":[{"id":457,"uris":["http://zotero.org/users/171999/items/5R9NQ4AT"],"uri":["http://zotero.org/users/171999/items/5R9NQ4AT"],"itemData":{"id":457,"type":"article-journal","title":"Effect of dietary fibre type on physical activity and behaviour in   kennelled dogs.","container-title":"Applied Animal Behaviour Science","volume":"121","issue":"1","abstract":"Dog diets may differ in their effectiveness of maintaining satiety after   a meal. Consequently, sensations of hunger, feeding motivation, physical   activity, and sensitivity to environmental stressors may be increased.   Dietary fibre may be effective in prolonging postprandial satiety   depending on type and inclusion level. This study evaluated the effect   of fibre fermentability on behaviour in dogs. Sixteen healthy adult dogs   were housed individually and fed a low-fermentable fibre (LFF) diet   containing 8.5% cellulose or a high-fermentable fibre (HFF) diet   containing 8.5% sugar beet pulp and 2% inulin. Dogs were fed two equal   portions at 8:30 and 18:30 according to energy requirements. Behaviour   of dogs in their home-cage was recorded and analyzed by instantaneous   scan sampling (2*24 h with 15 min intervals) and focal sampling   continuous recordings (10 min per animal per hour, from 9:00 until   18:00). Dogs were subjected to a behaviour test composed of the subtests   open-field, sudden-silence, novel-object, and acoustic-startle. The   behavioural responses of each dog were recorded. Scores for the scan and   focal samples were expressed per clock hour and DIET * TIME effects were   tested statistically using Residual Maximum Likelihood (REML). Data from   the tests were examined using principal component analysis resulting in   the compilation of two components. Data were tested statistically for   DIET and DIET * SUBTEST effects using REML. Variables specific for the   open-field and novel-object test were analyzed using analysis of   variance. For the scans, a significant DIET * TIME effect was found for   resting. At night and in the morning, HFF dogs rested more compared to   LFF dogs, but they rested less between 14:00 and 17:00. For the   continuous recordings, the main findings were a tendency for DIET * TIME   effect for time spent resting with a pattern consistent with that for   the scans. The interaction was significant for inactive-alert (lie with   head up or sitting) with HFF-fed dogs having lower values around   10:00-11:00 and higher values hereafter. Finally, time spent tail   wagging was significantly higher for LFF-fed dogs just before the   evening meal that may indicate higher level of arousal. For the   behaviour tests, no significant DIET or DIET * SUBTEST effects were   detected. It is concluded that compared to the LFF diet, the HFF diet   increased inactivity in kennelled beagle dogs likely through the   prolongation of postprandial satiety. This effect did not change the   reaction to stressful events in kennelled laboratory dogs. Enhanced   susceptibility to environmental stressors at times of hunger in   sensitive companion dogs may occur but requires further study.","DOI":"10.1016/j.applanim.2009.08.001","ISSN":"0168-1591","note":"CABI:20093347959","author":[{"family":"Bosch","given":"G."},{"family":"Beerda","given":"B."},{"family":"Hoek","given":"E. van de"},{"family":"Hesta","given":"M."},{"family":"Poel","given":"A. F. B. van der"},{"family":"Janssens","given":"G. P. J."},{"family":"Hendriks","given":"W. H."}],"issued":{"date-parts":[["2009"]]}}}],"schema":"https://github.com/citation-style-language/schema/raw/master/csl-citation.json"} </w:instrText>
      </w:r>
      <w:r>
        <w:fldChar w:fldCharType="separate"/>
      </w:r>
      <w:r w:rsidR="000A492A" w:rsidRPr="000A492A">
        <w:rPr>
          <w:vertAlign w:val="superscript"/>
        </w:rPr>
        <w:t>430</w:t>
      </w:r>
      <w:r>
        <w:fldChar w:fldCharType="end"/>
      </w:r>
      <w:r>
        <w:t xml:space="preserve">  </w:t>
      </w:r>
    </w:p>
    <w:p w:rsidR="00962491" w:rsidRDefault="00962491" w:rsidP="00962491">
      <w:pPr>
        <w:ind w:firstLine="720"/>
      </w:pPr>
      <w:r>
        <w:t>Unfortunately, due to recording inconsistencies in total duration observations, total time spent at the bowl could not be assessed.  Instantaneous sampling of eating found all groups to be similar at all time points with the exception of obese placebo dogs.  This group had significantly higher within group counts during treatment than at baseline, correlating with both intrusion meal and average daily consumption patterns.  Clinical significance of this pattern is doubtful, however, because the nutraceutical and WLD obesification groups also consumed increasing volumes of food over the treatment period and at intrusion, but their eating counts were consistent.  These results echo Butterwick’s data, indicating caloric allotment and weight change status do not influence the time a dog spends eating a medium satiety intrusion meal.</w:t>
      </w:r>
      <w:r>
        <w:fldChar w:fldCharType="begin"/>
      </w:r>
      <w:r w:rsidR="000A492A">
        <w:instrText xml:space="preserve"> ADDIN ZOTERO_ITEM CSL_CITATION {"citationID":"24eac4h6bv","properties":{"formattedCitation":"{\\rtf \\super 432\\nosupersub{}}","plainCitation":"432"},"citationItems":[{"id":1588,"uris":["http://zotero.org/users/171999/items/ECKXS95P"],"uri":["http://zotero.org/users/171999/items/ECKXS95P"],"itemData":{"id":1588,"type":"article-journal","title":"Effect of amount and type of dietary fiber on food intake in energy-restricted dogs","container-title":"American journal of veterinary research","page":"272-276","volume":"58","issue":"3","source":"NCBI PubMed","abstract":"OBJECTIVE: To evaluate the effect of adding different amounts of insoluble (IF) or soluble (SF) dietary fiber to a commercial diet formulated for weight reduction on satiety and perception of hunger in dogs.\nANIMALS: 6 adult dogs.\nPROCEDURE: Test diets included 2 low-fiber control diets (CL1 and CL2), 2 diets with increased amount of IF (IF1 and IF2), and 2 diets with increased amount of SF (SF1 and SF2). Each test diet was fed for 12 days to 6 dogs in a Latin square design, and in amounts that correspond to the food allowance recommended for weight reduction. Behavioral characteristics of dogs were recorded for 30-minute periods after introduction of test diets. On 2 occasions during each test period, exactly 3 hours after feeding of the test diet, dogs were given a challenge meal consisting of a standard commercial canned dog food ad libitum. At the end of each 12-day feeding period, all dogs entered a 6-day washout period in which they were offered a standard commercial canned dog food ad libitum.\nRESULTS: Diet had no significant effect on intake of the challenge meal, intake of food during the subsequent washout period, or perception of hunger, as represented by behavioral characteristics during the 30-minute period after presentation of test diets. In addition, diet had no significant effect on percentage of weight loss.\nCONCLUSIONS: Inclusion of high amounts of IF or SF in a commercial low-energy diet has no apparent beneficial effects on satiety when fed to dogs on an energy intake regimen corresponding to allowances for weight reduction.","ISSN":"0002-9645","note":"PMID: 9055973","journalAbbreviation":"Am. J. Vet. Res.","language":"eng","author":[{"family":"Butterwick","given":"R F"},{"family":"Markwell","given":"P J"}],"issued":{"date-parts":[["1997",3]]},"PMID":"9055973"}}],"schema":"https://github.com/citation-style-language/schema/raw/master/csl-citation.json"} </w:instrText>
      </w:r>
      <w:r>
        <w:fldChar w:fldCharType="separate"/>
      </w:r>
      <w:r w:rsidR="000A492A" w:rsidRPr="000A492A">
        <w:rPr>
          <w:vertAlign w:val="superscript"/>
        </w:rPr>
        <w:t>432</w:t>
      </w:r>
      <w:r>
        <w:fldChar w:fldCharType="end"/>
      </w:r>
    </w:p>
    <w:p w:rsidR="00962491" w:rsidRDefault="00962491" w:rsidP="00962491">
      <w:pPr>
        <w:ind w:firstLine="720"/>
      </w:pPr>
      <w:r>
        <w:t xml:space="preserve">While some other behavior categories showed significant differences, the importance of these differences is unclear.  If these behaviors offered insight into actions more likely to be associated with satiety, or a lack thereof, one would expect differences between excess calorie fed dogs and the other dogs, which all were being meal fed based on caloric needs.  Since a consistent difference did not exist, a problem with the sampling method should be considered.  Electronic recording of intrusion feedings and analysis by a single observer would be a more reliable method than datasheet recording by multiple observers.  Because this study used various observers, between observer reliability should have been assessed.  Observer fatigue due to the both the length of the session and the time between instantaneous sampling could have contributed to fatigue and loss of concentration.  Finally, observer presence in the room during feedings could have altered dog behavior, despite attempts to habituate them before true recordings started.  This concept is supported by significantly </w:t>
      </w:r>
      <w:commentRangeStart w:id="114"/>
      <w:r>
        <w:t>greater total resting with head down counts across all groups at the end of treatment versus baseline</w:t>
      </w:r>
      <w:commentRangeEnd w:id="114"/>
      <w:r>
        <w:rPr>
          <w:rStyle w:val="CommentReference"/>
        </w:rPr>
        <w:commentReference w:id="114"/>
      </w:r>
      <w:r>
        <w:t>.  This supports the hypothesis that regardless of treatment, dogs were more comfortable with observer presence after repetitive exposure.</w:t>
      </w:r>
    </w:p>
    <w:p w:rsidR="00962491" w:rsidRDefault="00962491" w:rsidP="00962491">
      <w:pPr>
        <w:ind w:firstLine="720"/>
        <w:contextualSpacing/>
      </w:pPr>
      <w:r>
        <w:t>In relation to fixed meal times, the orexigenic hormone, ghrelin, is expected to be elevated with meal anticipation and should return to baseline levels postprandially.</w:t>
      </w:r>
      <w:r>
        <w:fldChar w:fldCharType="begin"/>
      </w:r>
      <w:r>
        <w:instrText xml:space="preserve"> ADDIN ZOTERO_ITEM CSL_CITATION {"citationID":"CikeZw1s","properties":{"formattedCitation":"{\\rtf \\super 95,96\\nosupersub{}}","plainCitation":"95,96"},"citationItems":[{"id":"Gpwq8jj7/sGI0KS0q","uris":["http://zotero.org/users/local/Ry4zHLbn/items/9PSQ4S2E"],"uri":["http://zotero.org/users/local/Ry4zHLbn/items/9PSQ4S2E"],"itemData":{"id":"Gpwq8jj7/sGI0KS0q","type":"article-journal","title":"Effects of food intake and food withholding on plasma ghrelin concentrations in healthy dogs","container-title":"American journal of veterinary research","page":"1557-1563","volume":"67","issue":"9","source":"NCBI PubMed","abstract":"OBJECTIVE: To investigate the physiologic endocrine effects of food intake and food withholding via measurement of the circulating concentrations of acylated ghrelin, growth hormone (GH), insulin-like growth factor-I (IGF-I), glucose, and insulin when food was administered at the usual time, after 1 day's withholding, after 3 days' withholding and after refeeding the next day in healthy Beagles.\nANIMALS: 9 healthy Beagles.\nPROCEDURES: Blood samples were collected from 8:30 AM to 5 PM from Beagles when food was administered as usual at 10 AM, after 1 day's withholding, after 3 days' withholding, and after refeeding at 10 AM the next day.\nRESULTS: Overall mean plasma ghrelin concentrations were significantly lower when food was administered than after food withholding. Overall mean plasma GH and IGF-I concentrations did not differ significantly among the 4 periods. Circulating overall mean glucose and insulin concentrations were significantly higher after refeeding, compared with the 3 other periods.\nCONCLUSIONS AND CLINICAL RELEVANCE: In dogs, food withholding and food intake were associated with higher and lower circulating ghrelin concentrations, respectively, suggesting that, in dogs, ghrelin participates in the control of feeding behavior and energy homeostasis. Changes in plasma ghrelin concentrations were not associated with similar changes in plasma GH concentrations, whereas insulin and glucose concentrations appeared to change reciprocally with the ghrelin concentrations.","DOI":"10.2460/ajvr.67.9.1557","ISSN":"0002-9645","note":"PMID: 16948601","journalAbbreviation":"Am. J. Vet. Res.","language":"eng","author":[{"family":"Bhatti","given":"Sofie F"},{"family":"Hofland","given":"Leo J"},{"family":"van Koetsveld","given":"Peter M"},{"family":"Van Ham","given":"Luc M"},{"family":"Duchateau","given":"Luc"},{"family":"Mol","given":"Jan A"},{"family":"van der Lely","given":"Aart Jan"},{"family":"Kooistra","given":"Hans S"}],"issued":{"year":2006,"month":9},"PMID":"16948601","page-first":"1557","container-title-short":"Am. J. Vet. Res."}},{"id":"Gpwq8jj7/a3zMFfyU","uris":["http://zotero.org/users/local/Ry4zHLbn/items/NQWE85G2"],"uri":["http://zotero.org/users/local/Ry4zHLbn/items/NQWE85G2"],"itemData":{"id":"Gpwq8jj7/a3zMFfyU","type":"article-journal","title":"Influencing the between-feeding and endocrine responses of plasma ghrelin in healthy dogs","container-title":"European journal of endocrinology / European Federation of Endocrine Societies","page":"155-160","volume":"152","issue":"1","source":"NCBI PubMed","abstract":"OBJECTIVES: Ghrelin has recently been isolated from rat and human stomach as an endogenous ligand for the growth hormone (GH) secretagog receptor. Using beagle dogs, we investigated the distribution of ghrelin in the stomach and its possible role.\nMETHODS: We examined: (i) GH release in response to ghrelin injection (0.5 or 5 microg/kg, i.v.), (ii) gastric localization of ghrelin-immunostained cells, (iii) changes in daily food consumption after ghrelin injection (3, 10, and 20 microg/kg, i.v.), (iv) plasma ghrelin levels under regular, but restricted feeding conditions, and (v) variations in plasma ghrelin levels in relatively lean, normal and obese dogs.\nRESULTS: Administration of ghrelin to dogs promptly increased circulating GH concentrations, although this effect was transitory and was maintained for only 20 min. Ghrelin was localized in the stomach fundus and body, but none was detected in either the pylorus or cardia. Administration of ghrelin at a dose of 20 microg/kg increased the daily food intake of beagle dogs. Plasma ghrelin levels peaked just before meal times, and then returned to basal levels. Obese dogs had higher plasma ghrelin levels than did normal and lean dogs.\nCONCLUSIONS: These results indicate that ghrelin is a potent GH secretagog in dogs. The distribution of ghrelin-immunoreactive cells in the canine stomach resembles that of both the murine and human stomach. Ghrelin participates in the control of feeding behavior and energy homeostasis in dogs and may, therefore, be involved in the development of obesity.","ISSN":"0804-4643","note":"PMID: 15762199","journalAbbreviation":"Eur. J. Endocrinol.","language":"eng","author":[{"family":"Yokoyama","given":"Masayuki"},{"family":"Nakahara","given":"Keiko"},{"family":"Kojima","given":"Masayasu"},{"family":"Hosoda","given":"Hiroshi"},{"family":"Kangawa","given":"Kenji"},{"family":"Murakami","given":"Noboru"}],"issued":{"year":2005,"month":1},"PMID":"15762199","page-first":"155","container-title-short":"Eur. J. Endocrinol."}}],"schema":"https://github.com/citation-style-language/schema/raw/master/csl-citation.json"} </w:instrText>
      </w:r>
      <w:r>
        <w:fldChar w:fldCharType="separate"/>
      </w:r>
      <w:r w:rsidRPr="008E47BD">
        <w:rPr>
          <w:vertAlign w:val="superscript"/>
        </w:rPr>
        <w:t>95</w:t>
      </w:r>
      <w:proofErr w:type="gramStart"/>
      <w:r w:rsidRPr="008E47BD">
        <w:rPr>
          <w:vertAlign w:val="superscript"/>
        </w:rPr>
        <w:t>,96</w:t>
      </w:r>
      <w:proofErr w:type="gramEnd"/>
      <w:r>
        <w:fldChar w:fldCharType="end"/>
      </w:r>
      <w:r>
        <w:t xml:space="preserve">  </w:t>
      </w:r>
      <w:r w:rsidRPr="003A0EF9">
        <w:t>In chronically obese dogs, fasting ghrelin is lower versus lean dogs, but is significantly higher during weight loss.  After maintaining weight loss for six m</w:t>
      </w:r>
      <w:r>
        <w:t>onths, plasma ghrelin</w:t>
      </w:r>
      <w:r w:rsidRPr="003A0EF9">
        <w:t xml:space="preserve"> return</w:t>
      </w:r>
      <w:r>
        <w:t>s</w:t>
      </w:r>
      <w:r w:rsidRPr="003A0EF9">
        <w:t xml:space="preserve"> to l</w:t>
      </w:r>
      <w:r>
        <w:t>evels comparable to those of</w:t>
      </w:r>
      <w:r w:rsidRPr="003A0EF9">
        <w:t xml:space="preserve"> lean animals.</w:t>
      </w:r>
      <w:r w:rsidRPr="003A0EF9">
        <w:fldChar w:fldCharType="begin"/>
      </w:r>
      <w:r w:rsidR="000A492A">
        <w:instrText xml:space="preserve"> ADDIN ZOTERO_ITEM CSL_CITATION {"citationID":"5hElfvAO","properties":{"formattedCitation":"{\\rtf \\super 103\\nosupersub{}}","plainCitation":"103"},"citationItems":[{"id":191,"uris":["http://zotero.org/users/local/Ry4zHLbn/items/B3FJ9CVI"],"uri":["http://zotero.org/users/local/Ry4zHLbn/items/B3FJ9CVI"],"itemData":{"id":191,"type":"article-journal","title":"Effects of chronic obesity and weight loss on plasma ghrelin and leptin concentrations in dogs","container-title":"Research in veterinary science","page":"169-175","volume":"79","issue":"2","source":"NCBI PubMed","abstract":"The objective of this study was to evaluate, in dogs, the effects of obesity and weight loss on plasma total ghrelin and leptin concentrations. Twenty-four Beagle dogs, 12 control lean and 12 obese dogs of both genders and aged between 1 and 9 years, were used for the experiments. Mean body weight was 12.7+/-0.7 kg for the lean group and 21.9+/-0.8 kg for the obese group. The trial was divided into three phases. During phase 1, all 24 Beagle dogs were fed a maintenance diet. During phase 2, the obese dogs were submitted to a weight loss protocol with a high protein-low energy diet. The weight loss protocol ended once dogs reached optimal body weight. During phase 3, the dogs that were submitted to the weight loss protocol were maintained at their optimal body weight for 6 months. Plasma total ghrelin, leptin, insulin and glucose concentrations were measured to evaluate the effects of obesity and weight loss on these parameters in dogs. Body weight, body condition score, thoracic and pelvic perimeters, and ingested food amounts were also recorded during the study. Obese dogs demonstrated a significant decrease in plasma ghrelin and a significant increase in plasma leptin and insulin concentrations when compared with control dogs. During weight loss, significant increases in plasma total ghrelin and glucose and significant decreases in plasma leptin and insulin were observed. The increase in plasma ghrelin concentrations seemed to be transient. Body weight and the morphometric parameters correlated positively with leptin concentrations and negatively with total ghrelin concentrations. These results suggest that ghrelin and leptin could play a role in dogs in the adaptation to a positive or negative energy balance, as observed in humans.","DOI":"10.1016/j.rvsc.2004.11.012","ISSN":"0034-5288","note":"PMID: 15924935","journalAbbreviation":"Res. Vet. Sci.","language":"eng","author":[{"family":"Jeusette","given":"Isabelle C"},{"family":"Detilleux","given":"Johanne"},{"family":"Shibata","given":"Haruki"},{"family":"Saito","given":"Masayuki"},{"family":"Honjoh","given":"Tsutomu"},{"family":"Delobel","given":"Agathe"},{"family":"Istasse","given":"Louis"},{"family":"Diez","given":"Marianne"}],"issued":{"date-parts":[["2005",10]]},"PMID":"15924935"}}],"schema":"https://github.com/citation-style-language/schema/raw/master/csl-citation.json"} </w:instrText>
      </w:r>
      <w:r w:rsidRPr="003A0EF9">
        <w:fldChar w:fldCharType="separate"/>
      </w:r>
      <w:r w:rsidR="000A492A" w:rsidRPr="000A492A">
        <w:rPr>
          <w:vertAlign w:val="superscript"/>
        </w:rPr>
        <w:t>103</w:t>
      </w:r>
      <w:r w:rsidRPr="003A0EF9">
        <w:fldChar w:fldCharType="end"/>
      </w:r>
      <w:r>
        <w:t xml:space="preserve">  In the current study, a fasting sample was not obtained, although 420 minute samples have been associated with return to fasting levels of ghrelin and glucose.</w:t>
      </w:r>
      <w:r>
        <w:fldChar w:fldCharType="begin"/>
      </w:r>
      <w:r>
        <w:instrText xml:space="preserve"> ADDIN ZOTERO_ITEM CSL_CITATION {"citationID":"k6rcb6oo3","properties":{"formattedCitation":"{\\rtf \\super 96\\nosupersub{}}","plainCitation":"96"},"citationItems":[{"id":"Gpwq8jj7/sGI0KS0q","uris":["http://zotero.org/users/local/Ry4zHLbn/items/9PSQ4S2E"],"uri":["http://zotero.org/users/local/Ry4zHLbn/items/9PSQ4S2E"],"itemData":{"id":"Gpwq8jj7/sGI0KS0q","type":"article-journal","title":"Effects of food intake and food withholding on plasma ghrelin concentrations in healthy dogs","container-title":"American journal of veterinary research","page":"1557-1563","volume":"67","issue":"9","source":"NCBI PubMed","abstract":"OBJECTIVE: To investigate the physiologic endocrine effects of food intake and food withholding via measurement of the circulating concentrations of acylated ghrelin, growth hormone (GH), insulin-like growth factor-I (IGF-I), glucose, and insulin when food was administered at the usual time, after 1 day's withholding, after 3 days' withholding and after refeeding the next day in healthy Beagles.\nANIMALS: 9 healthy Beagles.\nPROCEDURES: Blood samples were collected from 8:30 AM to 5 PM from Beagles when food was administered as usual at 10 AM, after 1 day's withholding, after 3 days' withholding, and after refeeding at 10 AM the next day.\nRESULTS: Overall mean plasma ghrelin concentrations were significantly lower when food was administered than after food withholding. Overall mean plasma GH and IGF-I concentrations did not differ significantly among the 4 periods. Circulating overall mean glucose and insulin concentrations were significantly higher after refeeding, compared with the 3 other periods.\nCONCLUSIONS AND CLINICAL RELEVANCE: In dogs, food withholding and food intake were associated with higher and lower circulating ghrelin concentrations, respectively, suggesting that, in dogs, ghrelin participates in the control of feeding behavior and energy homeostasis. Changes in plasma ghrelin concentrations were not associated with similar changes in plasma GH concentrations, whereas insulin and glucose concentrations appeared to change reciprocally with the ghrelin concentrations.","DOI":"10.2460/ajvr.67.9.1557","ISSN":"0002-9645","note":"PMID: 16948601","journalAbbreviation":"Am. J. Vet. Res.","language":"eng","author":[{"family":"Bhatti","given":"Sofie F"},{"family":"Hofland","given":"Leo J"},{"family":"van Koetsveld","given":"Peter M"},{"family":"Van Ham","given":"Luc M"},{"family":"Duchateau","given":"Luc"},{"family":"Mol","given":"Jan A"},{"family":"van der Lely","given":"Aart Jan"},{"family":"Kooistra","given":"Hans S"}],"issued":{"year":2006,"month":9},"PMID":"16948601","page-first":"1557","container-title-short":"Am. J. Vet. Res."}}],"schema":"https://github.com/citation-style-language/schema/raw/master/csl-citation.json"} </w:instrText>
      </w:r>
      <w:r>
        <w:fldChar w:fldCharType="separate"/>
      </w:r>
      <w:r w:rsidRPr="00186185">
        <w:rPr>
          <w:vertAlign w:val="superscript"/>
        </w:rPr>
        <w:t>96</w:t>
      </w:r>
      <w:r>
        <w:fldChar w:fldCharType="end"/>
      </w:r>
      <w:r>
        <w:t xml:space="preserve">  Because these dogs were habituated to 8am and 4pm feedings, ghrelin levels that did not decrease by 420 minutes may be due to anticipation of the afternoon meal, which was not provided until the final sample was collected and was 3 hours later than normal.  In contrast to the Bhatti paper, obese dogs in the present study had higher ghrelin levels initially, which then decreased over 12 weeks.  All of the nutraceutical and placebo groups (ObN, ObP, ExN, </w:t>
      </w:r>
      <w:proofErr w:type="gramStart"/>
      <w:r>
        <w:t>ExP</w:t>
      </w:r>
      <w:proofErr w:type="gramEnd"/>
      <w:r>
        <w:t>) exhibited lower end point ghrelin compared to baseline.  This is especially surprising since the expectation was for dogs undergoing weight loss (ObN, ObP) to have higher values at study termination.  When isolated for 420 minute samples, every group actually had numerically decreased ghrelin levels by study termination, although this was only significant in both nutraceutical and the obese placebo groups.  The most plausible explanation is that by the third exposure to an intrusion meal and blood sampling protocol, the dogs had become habituated to afternoon feedings being provided much later than was part of the general daily routine.</w:t>
      </w:r>
    </w:p>
    <w:p w:rsidR="00962491" w:rsidRDefault="00962491" w:rsidP="00962491">
      <w:pPr>
        <w:ind w:firstLine="720"/>
      </w:pPr>
      <w:r>
        <w:t xml:space="preserve">GLP-1 </w:t>
      </w:r>
      <w:r w:rsidRPr="003A0EF9">
        <w:t>is released after a meal to inhibit gastric acid secretion via an additive effect with PYY and to inhibit gastric emptying via the ileal brake mechanism.</w:t>
      </w:r>
      <w:r w:rsidRPr="003A0EF9">
        <w:fldChar w:fldCharType="begin"/>
      </w:r>
      <w:r w:rsidR="000A492A">
        <w:instrText xml:space="preserve"> ADDIN ZOTERO_ITEM CSL_CITATION {"citationID":"nmTdWGk3","properties":{"formattedCitation":"{\\rtf \\super 115,122,123\\nosupersub{}}","plainCitation":"115,122,123"},"citationItems":[{"id":223,"uris":["http://zotero.org/users/local/Ry4zHLbn/items/U3QXJ4G5"],"uri":["http://zotero.org/users/local/Ry4zHLbn/items/U3QXJ4G5"],"itemData":{"id":223,"type":"article-journal","title":"Glucagon-like peptide-1 7-36 amide and peptide YY have additive inhibitory effect on gastric acid secretion in man","container-title":"Scandinavian journal of gastroenterology","page":"552-555","volume":"32","issue":"6","source":"NCBI PubMed","abstract":"BACKGROUND: Glucagon-like peptide-1 7-36 amide (GLP-1) and peptide YY (PYY) are colocalized in the L-cell of the ileal mucosa, and both peptides may function as enterogastrone hormones. However, it is not known whether they interact with regard to the effect on acid secretion.\nMETHODS: The effect of intravenous infusion of GLP-1 and PYY, either alone or in combination, on pentagastrin-induced acid secretion in eight healthy volunteers was examined. The peptides were infused at two different rates: 0.25 pmol/kg/min (low rate) and 0.5 pmol/kg/min (high rate).\nRESULTS: Given alone, GLP-1 and PYY inhibited acid secretion by 26 +/- 5% and 18 +/- 5% (low rate) and 45 +/- 8% and 38 +/- 7% (high rate), respectively. Combined infusion resulted in an inhibition of 32 +/- 5% (low rate) and 62 +/- 7% (high rate). Both infusion rates resulted in GLP-1 and PYY plasma concentrations below or similar to postprandial levels.\nCONCLUSION: The present study suggests that the interaction between GLP-1 and PYY in man is of the additive type. The results indicate that GLP-1 and PYY have an important role in the physiologic control of gastric acid secretion.","ISSN":"0036-5521","note":"PMID: 9200286","journalAbbreviation":"Scand. J. Gastroenterol.","language":"eng","author":[{"family":"Wettergren","given":"A"},{"family":"Maina","given":"P"},{"family":"Boesby","given":"S"},{"family":"Holst","given":"J J"}],"issued":{"date-parts":[["1997",6]]},"PMID":"9200286"}},{"id":215,"uris":["http://zotero.org/users/local/Ry4zHLbn/items/8JN6R7VC"],"uri":["http://zotero.org/users/local/Ry4zHLbn/items/8JN6R7VC"],"itemData":{"id":215,"type":"article-journal","title":"GLP-1 slows solid gastric emptying and inhibits insulin, glucagon, and PYY release in humans","container-title":"The American journal of physiology","page":"R910-916","volume":"277","issue":"3 Pt 2","source":"NCBI PubMed","abstract":"The aim of the present study was to assess the effect of glucagon-like peptide-1 (GLP-1) on solid gastric emptying and the subsequent release of pancreatic and intestinal hormones. In eight men [age 33.6 +/- 2.5 yr, body mass index 24.1 +/- 0.9 (means +/- SE)], scintigraphic solid gastric emptying during infusion of GLP-1 (0.75 pmol. kg(-1). min(-1)) or saline was studied for 180 min. Concomitantly, plasma concentrations of C- and N-terminal GLP-1, glucose, insulin, C-peptide, glucagon, and peptide YY (PYY) were assessed. Infusion of GLP-1 resulted in a profound inhibition of both the lag phase (GLP-1: 91.5, range 73.3-103.6 min vs. saline: 19. 5, range 10.2-43.4 min) and emptying rate (GLP-1: 0.34, range 0.06-0. 56 %/min vs. saline: 0.84, range 0.54-1.33 %/min; P &lt; 0.01 for both) of solid gastric emptying. Concentrations of both intact and total GLP-1 were elevated to supraphysiological levels. Plasma glucose and glucagon concentrations were below baseline during infusion of GLP-1 in contrast to saline infusion, where concentrations were elevated above baseline (both P &lt; 0.001). The insulin and C-peptide responses were lower during infusion with GLP-1 than with saline (P &lt; 0.004 and P &lt; 0.001, respectively). Plasma PYY concentrations decreased below baseline during GLP-1 infusion in contrast to saline, where concentrations were elevated above baseline (P = 0.04). Infusion of GLP-1 inhibits solid gastric emptying with secondary effects on the release of insulin, C-peptide, and glucagon, resulting in lower plasma glucose concentrations. In addition, the release of PYY into the circulation is inhibited by GLP-1 infusion, suggesting a negative feedback of GLP-1 on the function of the L-cell.","ISSN":"0002-9513","note":"PMID: 10484511","journalAbbreviation":"Am. J. Physiol.","language":"eng","author":[{"family":"Näslund","given":"E"},{"family":"Bogefors","given":"J"},{"family":"Skogar","given":"S"},{"family":"Grybäck","given":"P"},{"family":"Jacobsson","given":"H"},{"family":"Holst","given":"J J"},{"family":"Hellström","given":"P M"}],"issued":{"date-parts":[["1999",9]]},"PMID":"10484511"}},{"id":227,"uris":["http://zotero.org/users/local/Ry4zHLbn/items/24JPCQJ9"],"uri":["http://zotero.org/users/local/Ry4zHLbn/items/24JPCQJ9"],"itemData":{"id":227,"type":"article-journal","title":"Glucagon-like peptide 1 increases the period of postprandial satiety and slows gastric emptying in obese men","container-title":"The American journal of clinical nutrition","page":"525-530","volume":"68","issue":"3","source":"NCBI PubMed","abstract":"The gut peptide glucagon-like peptide 1(7-36) amide (GLP-1) is released into the circulation after food intake. GLP-1 has been shown to have an incretin effect and inhibits gastrointestinal motility in humans. In rats, intracerebral administration of GLP-1 results in reduced food intake. Obese humans have been found to have an attenuated plasma GLP-1 response to a mixed meal. To approximate the physiologic state, GLP-1 or saline was administered intravenously and randomly at the beginning of a test meal served on a universal eating monitor to 6 obese subjects to test our hypothesis that GLP-1 influences termination of food intake (and thus food intake during a meal) and feelings of satiety in humans. As a marker for gastric emptying, 1.5 g acetaminophen was given at the start of the meal. Blood samples for analysis of acetaminophen, insulin, glucose, glucagon, and C-peptide were obtained. Hunger, fullness, and food choice were assessed with visual analogue scales and food-choice questionnaires. GLP-1 infusion resulted in a prolonged period of reduced feelings of hunger, desire to eat, and prospective consumption after the meal. The rate of gastric emptying was slower during infusion of GLP-1. Postprandial blood glucose concentrations were reduced during the GLP-1 infusion, but the amount of energy consumed, eating rate, and plasma concentrations of insulin, glucagon, and C-peptide were unchanged. GLP-1 given exogenously at the start of a meal did not seem to affect meal termination or the amount of food eaten. However, postprandial feelings of hunger decreased, suggesting that exogenous GLP-1 may influence feelings of hunger and satiety in humans.","ISSN":"0002-9165","note":"PMID: 9734726","journalAbbreviation":"Am. J. Clin. Nutr.","language":"eng","author":[{"family":"Näslund","given":"E"},{"family":"Gutniak","given":"M"},{"family":"Skogar","given":"S"},{"family":"Rössner","given":"S"},{"family":"Hellström","given":"P M"}],"issued":{"date-parts":[["1998",9]]},"PMID":"9734726"}}],"schema":"https://github.com/citation-style-language/schema/raw/master/csl-citation.json"} </w:instrText>
      </w:r>
      <w:r w:rsidRPr="003A0EF9">
        <w:fldChar w:fldCharType="separate"/>
      </w:r>
      <w:r w:rsidR="000A492A" w:rsidRPr="000A492A">
        <w:rPr>
          <w:vertAlign w:val="superscript"/>
        </w:rPr>
        <w:t>115,122,123</w:t>
      </w:r>
      <w:r w:rsidRPr="003A0EF9">
        <w:fldChar w:fldCharType="end"/>
      </w:r>
      <w:r w:rsidRPr="003A0EF9">
        <w:t xml:space="preserve"> As body mass rises, circulating GLP-1 levels </w:t>
      </w:r>
      <w:r>
        <w:t>decrease, with obese people</w:t>
      </w:r>
      <w:r w:rsidRPr="003A0EF9">
        <w:t xml:space="preserve"> showing a blunted GLP-1 response.</w:t>
      </w:r>
      <w:r w:rsidRPr="003A0EF9">
        <w:fldChar w:fldCharType="begin"/>
      </w:r>
      <w:r w:rsidR="000A492A">
        <w:instrText xml:space="preserve"> ADDIN ZOTERO_ITEM CSL_CITATION {"citationID":"ybFOCKwy","properties":{"formattedCitation":"{\\rtf \\super 126\\uc0\\u8211{}129\\nosupersub{}}","plainCitation":"126–129"},"citationItems":[{"id":233,"uris":["http://zotero.org/users/local/Ry4zHLbn/items/QEHDRZFP"],"uri":["http://zotero.org/users/local/Ry4zHLbn/items/QEHDRZFP"],"itemData":{"id":233,"type":"article-journal","title":"Diurnal profile of pancreatic polypeptide, pancreatic glucagon, gut glucagon and insulin in human morbid obesity","container-title":"International journal of obesity","page":"529-538","volume":"7","issue":"6","source":"NCBI PubMed","abstract":"The diurnal profiles of pancreatic glucagon, insulin, pancreatic polypeptide (PP), and enteroglucagon were studied in five obese non-diabetic subjects (195 +/- 11 per cent of ideal body weight) and in six age matched controls. All the subjects were served with ordinary mixed meals five times during the day. The obese subjects were normoglycemic but hyperinsulinemic. Both groups showed rapid increases in PP to all meals, but the PP-response was significantly impaired in the obese group during the first part of the day. Normal subjects showed significant enteroglucagon responses to all meals, and had elevated levels throughout the day. In obese subjects, levels and responses were much lower at all times. Pancreatic glucagon profiles were similar. It is concluded that the possible role of abnormalities of PP and enteroglucagon secretion in the pathogenesis of human obesity deserves further study.","ISSN":"0307-0565","note":"PMID: 6360922","journalAbbreviation":"Int J Obes","language":"eng","author":[{"family":"Holst","given":"J J"},{"family":"Schwartz","given":"T W"},{"family":"Lovgreen","given":"N A"},{"family":"Pedersen","given":"O"},{"family":"Beck-Nielsen","given":"H"}],"issued":{"date-parts":[["1983"]]},"PMID":"6360922"}},{"id":235,"uris":["http://zotero.org/users/local/Ry4zHLbn/items/Z4HWE5DC"],"uri":["http://zotero.org/users/local/Ry4zHLbn/items/Z4HWE5DC"],"itemData":{"id":235,"type":"article-journal","title":"Energy intake and appetite are suppressed by glucagon-like peptide-1 (GLP-1) in obese men","container-title":"International journal of obesity and related metabolic disorders: journal of the International Association for the Study of Obesity","page":"304-311","volume":"23","issue":"3","source":"NCBI PubMed","abstract":"BACKGROUND: Peripheral administration of glucagon-like peptide-1 (GLP-1) for four hours, to normal weight and obese humans, decreases food intake and suppresses appetite.\nOBJECTIVE: The aim of this study was to assess the effect of an eight hour infusion of GLP-1 on appetite and energy intake at lunch and dinner in obese subjects.\nDESIGN: Randomised, blinded cross-over design with intravenous infusion of GLP-1 (0.75 pmol x kg(-1) min(-1)) or saline.\nSUBJECTS: Eight obese (body mass index, BMI, 45.5 +/- 2.3 kg/m2) male subjects.\nMEASUREMENTS: Ad libitum energy intake at lunch (12.00 h) and dinner (16.00 h) after an energy fixed breakfast (2.4 MJ) at 08.00 h. Appetite sensations using visual analogue scales, (VAS) immediately before and after meals and hourly in-between. Blood samples for the analysis of glucose, insulin, C-peptide, GLP-1 and peptide YY. Gastric emptying after breakfast and lunch using a paracetamol absorption technique.\nRESULTS: Hunger ratings were significantly lower with GLP-1 infusion. The summed ad libitum energy intake at lunch and dinner was reduced by 1.7 +/- 0.5 MJ (21 +/- 6%) by GLP-1 infusion (P = 0.01). Gastric emptying was delayed by GLP-1 infusion, and plasma glucose concentrations decreased (baseline: 6.6 +/- 0.35 mmol/L; nadir: 5.3 +/- 0.15 mmol/L). No nausea was recorded during GLP-1 infusion.\nCONCLUSIONS: Our results demonstrate that GLP-1 decreases feelings of hunger and reduces energy intake in obese humans. One possible mechanism for this finding might be an increased satiety primarily mediated by gastric vagal afferent signals.","ISSN":"0307-0565","note":"PMID: 10193877","journalAbbreviation":"Int. J. Obes. Relat. Metab. Disord.","language":"eng","author":[{"family":"Näslund","given":"E"},{"family":"Barkeling","given":"B"},{"family":"King","given":"N"},{"family":"Gutniak","given":"M"},{"family":"Blundell","given":"J E"},{"family":"Holst","given":"J J"},{"family":"Rössner","given":"S"},{"family":"Hellström","given":"P M"}],"issued":{"date-parts":[["1999",3]]},"PMID":"10193877"}},{"id":237,"uris":["http://zotero.org/users/local/Ry4zHLbn/items/WRGBM4JS"],"uri":["http://zotero.org/users/local/Ry4zHLbn/items/WRGBM4JS"],"itemData":{"id":237,"type":"article-journal","title":"Attenuated GLP-1 secretion in obesity: cause or consequence?","container-title":"Gut","page":"916-919","volume":"38","issue":"6","source":"NCBI PubMed","abstract":"BACKGROUND: Hypersecretion of insulinotropic factors such as glucose dependent insulinotropic polypeptide (GIP) and glucagon-like peptide-1(7-36)amide (GLP-1) have been postulated to account for the hyperinsulinaemia of obesity.\nAIMS: To examine the role of GLP-1 and GIP in obese women and matched controls.\nSUBJECTS: Six lean and six obese women subjects matched for age.\nMETHODS: The gut hormone, plasma glucose, and serum triglyceride responses were studied over 180 minutes after oral carbohydrate and fat meals. Heparin (10,000 units) was given intravenously at 120 minutes.\nRESULTS: There was pronounced attenuation of plasma GLP-1 secretion to oral carbohydrate in the obese compared with lean subjects but no such difference in response to oral fat load. There were no differences in the plasma GIP responses to carbohydrate or fat feeding. There was an apparent fall in plasma GLP-1 values in all subjects after administration of heparin.\nCONCLUSION: Postprandial GLP-1 secretion in response to oral carbohydrate is considerably attenuated in obese subjects. The cause of this attenuation of GLP-1 secretion is not known although we suggest that both this fall and the overall reduction in GLP-1 values in obese subjects may be related to an increase in plasma non-esterified fatty acids.","ISSN":"0017-5749","note":"PMID: 8984033","shortTitle":"Attenuated GLP-1 secretion in obesity","journalAbbreviation":"Gut","language":"eng","author":[{"family":"Ranganath","given":"L R"},{"family":"Beety","given":"J M"},{"family":"Morgan","given":"L M"},{"family":"Wright","given":"J W"},{"family":"Howland","given":"R"},{"family":"Marks","given":"V"}],"issued":{"date-parts":[["1996",6]]},"PMID":"8984033"}},{"id":239,"uris":["http://zotero.org/users/local/Ry4zHLbn/items/XR5WRV4C"],"uri":["http://zotero.org/users/local/Ry4zHLbn/items/XR5WRV4C"],"itemData":{"id":239,"type":"article-journal","title":"The role of postprandial releases of insulin and incretin hormones in meal-induced satiety--effect of obesity and weight reduction","container-title":"International journal of obesity and related metabolic disorders: journal of the International Association for the Study of Obesity","page":"1206-1214","volume":"25","issue":"8","source":"NCBI PubMed","abstract":"BACKGROUND: Previous studies have indicated that the secretion of the intestinal satiety hormone glucagon-like peptide-1 (GLP-1) is attenuated in obese subjects.\nOBJECTIVE: To compare meal-induced response of GLP-1 and glucose-dependent insulinotropic polypeptide (GIP) in obese and lean male subjects, to investigate the effect of a major weight reduction in the obese subjects, and to look for an association between these hormones and ad libitum food intake.\nMETHOD: Plasma concentrations of intestinal hormones and appetite sensations were measured prior to, and every 30 min for 180 min after, ingestion of a 2.5 MJ solid test meal. Gastric emptying was estimated scintigraphically. An ad libitum lunch was served 3 h after the test meal.\nSUBJECTS: Nineteen non-diabetic obese (body mass index (BMI) 34.1--43.8 kg/m(2)) and 12 lean (BMI 20.4--24.7 kg/m(2)) males. All obese subjects were re-examined after a mean stabilised weight loss of 18.8 kg (95% CI 14.4--23.2).\nRESULTS: Total area under the GLP-1 response curve (AUC(total, GLP-1)) was lower in obese before and after the weight loss compared to lean subjects (P&lt;0.05), although weight loss improved the response from 80 to 88% of that of the lean subjects (P=0.003). The GIP response was similar in obese and lean subjects. However, after the weight loss both AUC(total, GIP) and AUC(incremental, GIP) were lowered (P&lt;0.05). An inverse correlation was observed between AUC(incremental, GIP) and energy intake at the subsequent ad libitum meal in all groups. In lean subjects ad libitum energy intake was largely predicted by the insulin response to the preceding meal (r(2)=0.67, P=0.001).\nCONCLUSION: Our study confirmed previous findings of a reduced postprandial GLP-1 response in severely obese subjects. Following weight reduction, GLP-1 response in the obese subjects apparently rose to a level between that of obese and lean subjects. The data suggests that postprandial insulin and GIP responses are key players in short-term appetite regulation.","DOI":"10.1038/sj.ijo.0801655","ISSN":"0307-0565","note":"PMID: 11477506","journalAbbreviation":"Int. J. Obes. Relat. Metab. Disord.","language":"eng","author":[{"family":"Verdich","given":"C"},{"family":"Toubro","given":"S"},{"family":"Buemann","given":"B"},{"family":"Lysgård Madsen","given":"J"},{"family":"Juul Holst","given":"J"},{"family":"Astrup","given":"A"}],"issued":{"date-parts":[["2001",8]]},"PMID":"11477506"}}],"schema":"https://github.com/citation-style-language/schema/raw/master/csl-citation.json"} </w:instrText>
      </w:r>
      <w:r w:rsidRPr="003A0EF9">
        <w:fldChar w:fldCharType="separate"/>
      </w:r>
      <w:r w:rsidR="000A492A" w:rsidRPr="000A492A">
        <w:rPr>
          <w:vertAlign w:val="superscript"/>
        </w:rPr>
        <w:t>126–129</w:t>
      </w:r>
      <w:r w:rsidRPr="003A0EF9">
        <w:fldChar w:fldCharType="end"/>
      </w:r>
      <w:r w:rsidRPr="003A0EF9">
        <w:t xml:space="preserve">  </w:t>
      </w:r>
      <w:r>
        <w:t>In dogs, however, GLP-1 has been shown to increase with weight gain and decrease after weight loss.</w:t>
      </w:r>
      <w:r>
        <w:fldChar w:fldCharType="begin"/>
      </w:r>
      <w:r w:rsidR="000A492A">
        <w:instrText xml:space="preserve"> ADDIN ZOTERO_ITEM CSL_CITATION {"citationID":"dxeAsDBh","properties":{"formattedCitation":"{\\rtf \\super 130,131\\nosupersub{}}","plainCitation":"130,131"},"citationItems":[{"id":395,"uris":["http://zotero.org/users/171999/items/HJRUJRIW"],"uri":["http://zotero.org/users/171999/items/HJRUJRIW"],"itemData":{"id":395,"type":"article-journal","title":"Metabolic and hormonal alterations with diacylglycerol and low glycemic index starch during canine weight loss.","container-title":"ISRN Veterinary Science","volume":"2012","source":"ISI Web of Knowledge","abstract":"Obesity increases insulin resistance and disregulation of glucose homeostasis. This study investigated low glycemic index starch (LGIS)/diacylglycerol (DAG) diet on plasma insulin and circulating incretin hormones during canine weight loss. Obese Beagle dogs were fed one of four starch/oil combination diets (LGIS/DAG; LGIS/triacylglycerol (TAG); high glycemic index starch (HGIS)/DAG; and HGIS/TAG) for 9 weeks during the weight loss period. At weeks 1 and 8, fasting plasma insulin, glucose, nonesterified fatty acid (NEFA), glucose-dependent insulinotropic polypeptide (GIP), and glucagon-like peptide-1 (GLP-1) were determined. Weight loss did not affect fasting insulin, glucose, and NEFA, but fasting GIP increased and GLP-1 decreased. LGIS affected postprandial insulin at both times and glucose was similar to insulin, except 60 min postprandially with DAG at week 8. NEFA lowering was less with the LGIS diets initially but not thereafter. At 60 min postprandially on week 8, GIP was significantly elevated by DAG, while GLP-1 was increased only with the HD diet. LGIS suppressed insulin and glucose responses up to 180 min postprandially at both sample times. DAG increased incretin hormones as did the DAG/HGIS combination but only at week 8. This latter finding appeared to be related to the glucose response but not to insulin at 60 min.","ISSN":"2090-4452","language":"English","author":[{"family":"Mitsuhashi","given":"Y."},{"family":"Nagaoka","given":"D."},{"family":"Bigley","given":"K. E."},{"family":"Umeda","given":"T."},{"family":"Otsuji","given":"K."},{"family":"Bauer","given":"J. E."}],"issued":{"date-parts":[["2012"]]}}},{"id":399,"uris":["http://zotero.org/users/171999/items/MVSENSMF"],"uri":["http://zotero.org/users/171999/items/MVSENSMF"],"itemData":{"id":399,"type":"article-journal","title":"Elevated glucagon-like peptide-1-(7-36)-amide, but not glucose, associated with hyperinsulinemic compensation for fat feeding","container-title":"The Journal of clinical endocrinology and metabolism","page":"5191-5198","volume":"87","issue":"11","source":"NCBI PubMed","abstract":"We previously developed a canine model of central obesity and insulin resistance by supplementing the normal chow diet with 2 g cooked bacon grease/kg body weight. Dogs fed this fatty diet maintained glucose tolerance with compensatory hyperinsulinemia. The signal(s) responsible for this up-regulation of plasma insulin is unknown. We hypothesized that meal-derived factors such as glucose, fatty acids, or incretin hormones may signal beta-cell compensation in the fat-fed dog. We fed the same fat-supplemented diet for 12 wk to six dogs and compared metabolic responses with seven control dogs fed a normal diet. Fasting and stimulated fatty acid and glucose-dependent insulinotropic peptide concentrations were not increased by fat feeding, whereas glucose was paradoxically decreased, ruling out those three factors as signals for compensatory hyperinsulinemia. Fasting plasma glucagon-like peptide-1 (GLP-1) concentration was 2.5-fold higher in the fat-fed animals, compared with controls, and 3.4-fold higher after a mixed meal. Additionally, expression of the GLP-1 receptor in whole pancreas was increased 2.3-fold in the fat-fed dogs. The increase in both circulating GLP-1 and its target receptor may have increased beta-cell responsiveness to lower glucose. Glucose is not the primary cause of hyperinsulinemia in the fat-fed dog. Corequisite meal-related signals may be permissive for development of hyperinsulinemia.","ISSN":"0021-972X","note":"PMID: 12414891","journalAbbreviation":"J. Clin. Endocrinol. Metab.","language":"eng","author":[{"family":"van Citters","given":"Gregg W"},{"family":"Kabir","given":"Morvarid"},{"family":"Kim","given":"Stella P"},{"family":"Mittelman","given":"Steven D"},{"family":"Dea","given":"Melvin K"},{"family":"Brubaker","given":"Patricia L"},{"family":"Bergman","given":"Richard N"}],"issued":{"date-parts":[["2002",11]]},"PMID":"12414891"}}],"schema":"https://github.com/citation-style-language/schema/raw/master/csl-citation.json"} </w:instrText>
      </w:r>
      <w:r>
        <w:fldChar w:fldCharType="separate"/>
      </w:r>
      <w:r w:rsidR="000A492A" w:rsidRPr="000A492A">
        <w:rPr>
          <w:vertAlign w:val="superscript"/>
        </w:rPr>
        <w:t>130,131</w:t>
      </w:r>
      <w:r>
        <w:fldChar w:fldCharType="end"/>
      </w:r>
      <w:r>
        <w:t xml:space="preserve">  Another study initially indicated GLP-1 levels were associated with the level of adiposity, but no significant effect remained after two extreme outliers were removed from analysis.</w:t>
      </w:r>
      <w:r>
        <w:fldChar w:fldCharType="begin"/>
      </w:r>
      <w:r w:rsidR="000A492A">
        <w:instrText xml:space="preserve"> ADDIN ZOTERO_ITEM CSL_CITATION {"citationID":"lXFWZUs0","properties":{"formattedCitation":"{\\rtf \\super 132\\nosupersub{}}","plainCitation":"132"},"citationItems":[{"id":"sfRcBkgw/HNI7LvFY","uris":["http://zotero.org/users/local/Ry4zHLbn/items/IV9PNVC8"],"uri":["http://zotero.org/users/local/Ry4zHLbn/items/IV9PNVC8"],"itemData":{"id":"sfRcBkgw/HNI7LvFY","type":"article-journal","title":"Compensation for obesity-induced insulin resistance in dogs: assessment of the effects of leptin, adiponectin, and glucagon-like peptide-1 using path analysis","container-title":"Domestic animal endocrinology","page":"24-34","volume":"41","issue":"1","source":"NCBI PubMed","abstract":"The hormonal mediators of obesity-induced insulin resistance and compensatory hyperinsulinemia in dogs have not been identified. Plasma samples were obtained after a 24-h fast from 104 client-owned lean, overweight, and obese dogs. Plasma glucose and insulin concentrations were used to calculate insulin sensitivity and β-cell function with the use of the homeostasis model assessment (HOMA(insulin sensitivity) and HOMA(β-cell function), respectively). Path analysis with multivariable linear regression was used to identify whether fasting plasma leptin, adiponectin, or glucagon-like peptide-1 concentrations were associated with adiposity, insulin sensitivity, and basal insulin secretion. None of the dogs were hyperglycemic. In the final path model, adiposity was positively associated with leptin (P &lt; 0.01) and glucagon-like peptide-1 (P = 0.04) concentrations. No significant total effect of adiposity on adiponectin in dogs (P = 0.24) was observed. If there is a direct effect of leptin on adiponectin, then our results indicate that this is a positive relationship, which at least partly counters a negative direct relationship between adiposity and adiponectin. Fasting plasma leptin concentration was directly negatively associated with fasting insulin sensitivity (P = 0.01) and positively associated with β-cell function (P &lt; 0.01), but no direct association was observed between adiponectin concentration and either insulin sensitivity or β-cell function (P = 0.42 and 0.11, respectively). We conclude that dogs compensate effectively for obesity-induced insulin resistance. Fasting plasma leptin concentrations appear to be associated with obesity-associated changes in insulin sensitivity and compensatory hyperinsulinemia in naturally occurring obese dogs. Adiponectin does not appear to be involved in the pathophysiology of obesity-associated changes in insulin sensitivity.","DOI":"10.1016/j.domaniend.2011.02.001","ISSN":"1879-0054","note":"PMID: 21474268","shortTitle":"Compensation for obesity-induced insulin resistance in dogs","journalAbbreviation":"Domest. Anim. Endocrinol.","language":"eng","author":[{"family":"Verkest","given":"K R"},{"family":"Fleeman","given":"L M"},{"family":"Morton","given":"J M"},{"family":"Ishioka","given":"K"},{"family":"Rand","given":"J S"}],"issued":{"year":2011,"month":7},"PMID":"21474268","page-first":"24","title-short":"Compensation for obesity-induced insulin resistance in dogs","container-title-short":"Domest. Anim. Endocrinol."}}],"schema":"https://github.com/citation-style-language/schema/raw/master/csl-citation.json"} </w:instrText>
      </w:r>
      <w:r>
        <w:fldChar w:fldCharType="separate"/>
      </w:r>
      <w:r w:rsidR="000A492A" w:rsidRPr="000A492A">
        <w:rPr>
          <w:vertAlign w:val="superscript"/>
        </w:rPr>
        <w:t>132</w:t>
      </w:r>
      <w:r>
        <w:fldChar w:fldCharType="end"/>
      </w:r>
      <w:r>
        <w:t xml:space="preserve">  The study reported here supports this second pattern of GLP-1 response to obesity, in agreement with data in people.</w:t>
      </w:r>
      <w:r w:rsidRPr="003A0EF9">
        <w:fldChar w:fldCharType="begin"/>
      </w:r>
      <w:r w:rsidR="000A492A">
        <w:instrText xml:space="preserve"> ADDIN ZOTERO_ITEM CSL_CITATION {"citationID":"yEXzko8a","properties":{"formattedCitation":"{\\rtf \\super 126\\uc0\\u8211{}129\\nosupersub{}}","plainCitation":"126–129"},"citationItems":[{"id":233,"uris":["http://zotero.org/users/local/Ry4zHLbn/items/QEHDRZFP"],"uri":["http://zotero.org/users/local/Ry4zHLbn/items/QEHDRZFP"],"itemData":{"id":233,"type":"article-journal","title":"Diurnal profile of pancreatic polypeptide, pancreatic glucagon, gut glucagon and insulin in human morbid obesity","container-title":"International journal of obesity","page":"529-538","volume":"7","issue":"6","source":"NCBI PubMed","abstract":"The diurnal profiles of pancreatic glucagon, insulin, pancreatic polypeptide (PP), and enteroglucagon were studied in five obese non-diabetic subjects (195 +/- 11 per cent of ideal body weight) and in six age matched controls. All the subjects were served with ordinary mixed meals five times during the day. The obese subjects were normoglycemic but hyperinsulinemic. Both groups showed rapid increases in PP to all meals, but the PP-response was significantly impaired in the obese group during the first part of the day. Normal subjects showed significant enteroglucagon responses to all meals, and had elevated levels throughout the day. In obese subjects, levels and responses were much lower at all times. Pancreatic glucagon profiles were similar. It is concluded that the possible role of abnormalities of PP and enteroglucagon secretion in the pathogenesis of human obesity deserves further study.","ISSN":"0307-0565","note":"PMID: 6360922","journalAbbreviation":"Int J Obes","language":"eng","author":[{"family":"Holst","given":"J J"},{"family":"Schwartz","given":"T W"},{"family":"Lovgreen","given":"N A"},{"family":"Pedersen","given":"O"},{"family":"Beck-Nielsen","given":"H"}],"issued":{"date-parts":[["1983"]]},"PMID":"6360922"}},{"id":235,"uris":["http://zotero.org/users/local/Ry4zHLbn/items/Z4HWE5DC"],"uri":["http://zotero.org/users/local/Ry4zHLbn/items/Z4HWE5DC"],"itemData":{"id":235,"type":"article-journal","title":"Energy intake and appetite are suppressed by glucagon-like peptide-1 (GLP-1) in obese men","container-title":"International journal of obesity and related metabolic disorders: journal of the International Association for the Study of Obesity","page":"304-311","volume":"23","issue":"3","source":"NCBI PubMed","abstract":"BACKGROUND: Peripheral administration of glucagon-like peptide-1 (GLP-1) for four hours, to normal weight and obese humans, decreases food intake and suppresses appetite.\nOBJECTIVE: The aim of this study was to assess the effect of an eight hour infusion of GLP-1 on appetite and energy intake at lunch and dinner in obese subjects.\nDESIGN: Randomised, blinded cross-over design with intravenous infusion of GLP-1 (0.75 pmol x kg(-1) min(-1)) or saline.\nSUBJECTS: Eight obese (body mass index, BMI, 45.5 +/- 2.3 kg/m2) male subjects.\nMEASUREMENTS: Ad libitum energy intake at lunch (12.00 h) and dinner (16.00 h) after an energy fixed breakfast (2.4 MJ) at 08.00 h. Appetite sensations using visual analogue scales, (VAS) immediately before and after meals and hourly in-between. Blood samples for the analysis of glucose, insulin, C-peptide, GLP-1 and peptide YY. Gastric emptying after breakfast and lunch using a paracetamol absorption technique.\nRESULTS: Hunger ratings were significantly lower with GLP-1 infusion. The summed ad libitum energy intake at lunch and dinner was reduced by 1.7 +/- 0.5 MJ (21 +/- 6%) by GLP-1 infusion (P = 0.01). Gastric emptying was delayed by GLP-1 infusion, and plasma glucose concentrations decreased (baseline: 6.6 +/- 0.35 mmol/L; nadir: 5.3 +/- 0.15 mmol/L). No nausea was recorded during GLP-1 infusion.\nCONCLUSIONS: Our results demonstrate that GLP-1 decreases feelings of hunger and reduces energy intake in obese humans. One possible mechanism for this finding might be an increased satiety primarily mediated by gastric vagal afferent signals.","ISSN":"0307-0565","note":"PMID: 10193877","journalAbbreviation":"Int. J. Obes. Relat. Metab. Disord.","language":"eng","author":[{"family":"Näslund","given":"E"},{"family":"Barkeling","given":"B"},{"family":"King","given":"N"},{"family":"Gutniak","given":"M"},{"family":"Blundell","given":"J E"},{"family":"Holst","given":"J J"},{"family":"Rössner","given":"S"},{"family":"Hellström","given":"P M"}],"issued":{"date-parts":[["1999",3]]},"PMID":"10193877"}},{"id":237,"uris":["http://zotero.org/users/local/Ry4zHLbn/items/WRGBM4JS"],"uri":["http://zotero.org/users/local/Ry4zHLbn/items/WRGBM4JS"],"itemData":{"id":237,"type":"article-journal","title":"Attenuated GLP-1 secretion in obesity: cause or consequence?","container-title":"Gut","page":"916-919","volume":"38","issue":"6","source":"NCBI PubMed","abstract":"BACKGROUND: Hypersecretion of insulinotropic factors such as glucose dependent insulinotropic polypeptide (GIP) and glucagon-like peptide-1(7-36)amide (GLP-1) have been postulated to account for the hyperinsulinaemia of obesity.\nAIMS: To examine the role of GLP-1 and GIP in obese women and matched controls.\nSUBJECTS: Six lean and six obese women subjects matched for age.\nMETHODS: The gut hormone, plasma glucose, and serum triglyceride responses were studied over 180 minutes after oral carbohydrate and fat meals. Heparin (10,000 units) was given intravenously at 120 minutes.\nRESULTS: There was pronounced attenuation of plasma GLP-1 secretion to oral carbohydrate in the obese compared with lean subjects but no such difference in response to oral fat load. There were no differences in the plasma GIP responses to carbohydrate or fat feeding. There was an apparent fall in plasma GLP-1 values in all subjects after administration of heparin.\nCONCLUSION: Postprandial GLP-1 secretion in response to oral carbohydrate is considerably attenuated in obese subjects. The cause of this attenuation of GLP-1 secretion is not known although we suggest that both this fall and the overall reduction in GLP-1 values in obese subjects may be related to an increase in plasma non-esterified fatty acids.","ISSN":"0017-5749","note":"PMID: 8984033","shortTitle":"Attenuated GLP-1 secretion in obesity","journalAbbreviation":"Gut","language":"eng","author":[{"family":"Ranganath","given":"L R"},{"family":"Beety","given":"J M"},{"family":"Morgan","given":"L M"},{"family":"Wright","given":"J W"},{"family":"Howland","given":"R"},{"family":"Marks","given":"V"}],"issued":{"date-parts":[["1996",6]]},"PMID":"8984033"}},{"id":239,"uris":["http://zotero.org/users/local/Ry4zHLbn/items/XR5WRV4C"],"uri":["http://zotero.org/users/local/Ry4zHLbn/items/XR5WRV4C"],"itemData":{"id":239,"type":"article-journal","title":"The role of postprandial releases of insulin and incretin hormones in meal-induced satiety--effect of obesity and weight reduction","container-title":"International journal of obesity and related metabolic disorders: journal of the International Association for the Study of Obesity","page":"1206-1214","volume":"25","issue":"8","source":"NCBI PubMed","abstract":"BACKGROUND: Previous studies have indicated that the secretion of the intestinal satiety hormone glucagon-like peptide-1 (GLP-1) is attenuated in obese subjects.\nOBJECTIVE: To compare meal-induced response of GLP-1 and glucose-dependent insulinotropic polypeptide (GIP) in obese and lean male subjects, to investigate the effect of a major weight reduction in the obese subjects, and to look for an association between these hormones and ad libitum food intake.\nMETHOD: Plasma concentrations of intestinal hormones and appetite sensations were measured prior to, and every 30 min for 180 min after, ingestion of a 2.5 MJ solid test meal. Gastric emptying was estimated scintigraphically. An ad libitum lunch was served 3 h after the test meal.\nSUBJECTS: Nineteen non-diabetic obese (body mass index (BMI) 34.1--43.8 kg/m(2)) and 12 lean (BMI 20.4--24.7 kg/m(2)) males. All obese subjects were re-examined after a mean stabilised weight loss of 18.8 kg (95% CI 14.4--23.2).\nRESULTS: Total area under the GLP-1 response curve (AUC(total, GLP-1)) was lower in obese before and after the weight loss compared to lean subjects (P&lt;0.05), although weight loss improved the response from 80 to 88% of that of the lean subjects (P=0.003). The GIP response was similar in obese and lean subjects. However, after the weight loss both AUC(total, GIP) and AUC(incremental, GIP) were lowered (P&lt;0.05). An inverse correlation was observed between AUC(incremental, GIP) and energy intake at the subsequent ad libitum meal in all groups. In lean subjects ad libitum energy intake was largely predicted by the insulin response to the preceding meal (r(2)=0.67, P=0.001).\nCONCLUSION: Our study confirmed previous findings of a reduced postprandial GLP-1 response in severely obese subjects. Following weight reduction, GLP-1 response in the obese subjects apparently rose to a level between that of obese and lean subjects. The data suggests that postprandial insulin and GIP responses are key players in short-term appetite regulation.","DOI":"10.1038/sj.ijo.0801655","ISSN":"0307-0565","note":"PMID: 11477506","journalAbbreviation":"Int. J. Obes. Relat. Metab. Disord.","language":"eng","author":[{"family":"Verdich","given":"C"},{"family":"Toubro","given":"S"},{"family":"Buemann","given":"B"},{"family":"Lysgård Madsen","given":"J"},{"family":"Juul Holst","given":"J"},{"family":"Astrup","given":"A"}],"issued":{"date-parts":[["2001",8]]},"PMID":"11477506"}}],"schema":"https://github.com/citation-style-language/schema/raw/master/csl-citation.json"} </w:instrText>
      </w:r>
      <w:r w:rsidRPr="003A0EF9">
        <w:fldChar w:fldCharType="separate"/>
      </w:r>
      <w:r w:rsidR="000A492A" w:rsidRPr="000A492A">
        <w:rPr>
          <w:vertAlign w:val="superscript"/>
        </w:rPr>
        <w:t>126–129</w:t>
      </w:r>
      <w:r w:rsidRPr="003A0EF9">
        <w:fldChar w:fldCharType="end"/>
      </w:r>
      <w:r>
        <w:t xml:space="preserve">  All three groups undergoing weight loss followed this pattern, although the difference was only significant for the placebo and therapeutic weight loss diet dogs over all timed samples, and only WLD when isolated for 420 minute collections.  Both excess calorie groups showed reciprocal trends over all timed samples, with a significant change in placebo dogs when timed samples were isolated.  Dogs maintaining lean body weight had a significantly higher group affect for GLP-1 against all other groups, also supporting the idea that circulating GLP-1 decreases with obesity.</w:t>
      </w:r>
    </w:p>
    <w:p w:rsidR="00962491" w:rsidRDefault="00962491" w:rsidP="00962491">
      <w:pPr>
        <w:ind w:firstLine="720"/>
      </w:pPr>
      <w:r>
        <w:t>As PYY is associated with an anorexigenic effect, levels would be expected to be higher in groups exhibiting meal intake changes attributed to satiation.  Since intrusion meal intake did not exhibit effects associated with medium term satiety in any groups, it is not surprising that there were few between group differences.  Obese placebo dogs had significantly lower PYY levels than all other groups, attributable to their baseline values.  Their average daily consumption was similar to that of other obesification dogs and was less than excess calorie and ideal weight groups at baseline.  Their mean baseline intrusion meal consumption was also the lowest numerically, but was not significantly different from the other obesification groups.  A modified picture emerges when samples were isolated for 420 minutes as an approximation of fasting values.  There was a consistent pattern of lower 420 minute PYY levels when obese/gaining weight compared to when lean/losing weight.  Lower fasting PYY has been noted in obese people and levels increase in correlation to the level of weight loss, which is supported by the current study in dogs.</w:t>
      </w:r>
      <w:r w:rsidRPr="003A0EF9">
        <w:fldChar w:fldCharType="begin"/>
      </w:r>
      <w:r w:rsidR="000A492A">
        <w:instrText xml:space="preserve"> ADDIN ZOTERO_ITEM CSL_CITATION {"citationID":"obWoRPDg","properties":{"formattedCitation":"{\\rtf \\super 110,117\\nosupersub{}}","plainCitation":"110,117"},"citationItems":[{"id":205,"uris":["http://zotero.org/users/local/Ry4zHLbn/items/EFQ328B9"],"uri":["http://zotero.org/users/local/Ry4zHLbn/items/EFQ328B9"],"itemData":{"id":205,"type":"article-journal","title":"Inhibition of food intake in obese subjects by peptide YY3-36","container-title":"The New England journal of medicine","page":"941-948","volume":"349","issue":"10","source":"NCBI PubMed","abstract":"BACKGROUND: The gut hormone fragment peptide YY3-36 (PYY) reduces appetite and food intake when infused into subjects of normal weight. In common with the adipocyte hormone leptin, PYY reduces food intake by modulating appetite circuits in the hypothalamus. However, in obesity there is a marked resistance to the action of leptin, which greatly limits its therapeutic effectiveness. We investigated whether obese subjects were also resistant to the anorectic effects of PYY.\nMETHODS: We compared the effects of PYY infusion on appetite and food intake in 12 obese and 12 lean subjects in a double-blind, placebo-controlled, crossover study. The plasma levels of PYY, ghrelin, leptin, and insulin were also determined.\nRESULTS: Caloric intake during a buffet lunch offered two hours after the infusion of PYY was decreased by 30 percent in the obese subjects (P&lt;0.001) and 31 percent in the lean subjects (P&lt;0.001). PYY infusion also caused a significant decrease in the cumulative 24-hour caloric intake in both obese and lean subjects. PYY infusion reduced plasma levels of the appetite-stimulatory hormone ghrelin. Endogenous fasting and postprandial levels of PYY were significantly lower in obese subjects (the mean [+/-SE] fasting PYY levels were 10.2+/-0.7 pmol per liter in the obese group and 16.9+/-0.8 pmol per liter in the lean group, P&lt;0.001). Furthermore, the fasting PYY levels correlated negatively with the body-mass index (r = -0.84, P&lt;0.001).\nCONCLUSIONS: We found that obese subjects were not resistant to the anorectic effects of PYY. Endogenous PYY levels were low in the obese subjects, suggesting that PYY deficiency may contribute to the pathogenesis of obesity.","DOI":"10.1056/NEJMoa030204","ISSN":"1533-4406","note":"PMID: 12954742","journalAbbreviation":"N. Engl. J. Med.","language":"eng","author":[{"family":"Batterham","given":"Rachel L"},{"family":"Cohen","given":"Mark A"},{"family":"Ellis","given":"Sandra M"},{"family":"Le Roux","given":"Carel W"},{"family":"Withers","given":"Dominic J"},{"family":"Frost","given":"Gary S"},{"family":"Ghatei","given":"Mohammad A"},{"family":"Bloom","given":"Stephen R"}],"issued":{"date-parts":[["2003",9,4]]},"PMID":"12954742"}},{"id":"Gpwq8jj7/JG5h9iuN","uris":["http://zotero.org/users/local/Ry4zHLbn/items/UFDBU585"],"uri":["http://zotero.org/users/local/Ry4zHLbn/items/UFDBU585"],"itemData":{"id":"Gpwq8jj7/JG5h9iuN","type":"article-journal","title":"Peptide YY is a regulator of energy homeostasis in obese children before and after weight loss","container-title":"The Journal of clinical endocrinology and metabolism","page":"6386-6391","volume":"90","issue":"12","source":"NCBI PubMed","abstract":"CONTEXT: The gut hormone peptide YY(3-36) (PYY) reduces food intake via hypothalamic Y2 receptors in the brain. There is not much known about PYY in obese children.\nOBJECTIVE: The objective of this study was to investigate the role of PYY in the metabolic changes in obese children and its change during weight loss.\nSETTING: The study was performed at a university medical center.\nPARTICIPANTS: We studied 73 obese children and 45 age-matched normal-weight children.\nINTERVENTIONS: We determined fasting serum total PYY and leptin by RIA in obese and normal-weight children. Fasting PYY was also measured in 28 obese children before and after completion of a 1-yr outpatient weight reduction program.\nMAIN OUTCOME MEASURES: PYY, insulin, and body mass index were the main outcome measures.\nRESULTS: Obese children demonstrated significantly lower PYY levels than lean children (median, 67 vs. 124 pg/ml; P &lt; 0.001). Fasting PYY correlated negatively to the degree of overweight. PYY levels did not differ significantly between boys and girls, nor between prepubertal and pubertal children. The group of patients participating in the outpatient weight reduction program was divided into four quartiles according to their changes in body mass index SD score over a 1-yr period. PYY increased significantly in patients with the most effective weight loss, but decreased in the subgroup of children with weight gain.\nCONCLUSIONS: PYY is negatively correlated to the degree of overweight, with reduced values in obese compared with normal-weight children. Decreased PYY levels could predispose subjects to develop obesity. Our results indicate that low pretreatment PYY levels that increase during weight loss may be a predictor of maintained weight loss.","DOI":"10.1210/jc.2005-1357","ISSN":"0021-972X","note":"PMID: 16204364","journalAbbreviation":"J. Clin. Endocrinol. Metab.","language":"eng","author":[{"family":"Roth","given":"Christian L"},{"family":"Enriori","given":"Pablo J"},{"family":"Harz","given":"Katia"},{"family":"Woelfle","given":"Joachim"},{"family":"Cowley","given":"Michael A"},{"family":"Reinehr","given":"Thomas"}],"issued":{"year":2005,"month":12},"PMID":"16204364","page-first":"6386","container-title-short":"J. Clin. Endocrinol. Metab."}}],"schema":"https://github.com/citation-style-language/schema/raw/master/csl-citation.json"} </w:instrText>
      </w:r>
      <w:r w:rsidRPr="003A0EF9">
        <w:fldChar w:fldCharType="separate"/>
      </w:r>
      <w:r w:rsidR="000A492A" w:rsidRPr="000A492A">
        <w:rPr>
          <w:vertAlign w:val="superscript"/>
        </w:rPr>
        <w:t>110,117</w:t>
      </w:r>
      <w:r w:rsidRPr="003A0EF9">
        <w:fldChar w:fldCharType="end"/>
      </w:r>
      <w:r>
        <w:t xml:space="preserve">  GLP-1 can inhibit PYY release, but the groups with the lowest numerical GLP-1 concentrations out of all the groups also had the lowest PYY concentrations.</w:t>
      </w:r>
      <w:r>
        <w:fldChar w:fldCharType="begin"/>
      </w:r>
      <w:r w:rsidR="000A492A">
        <w:instrText xml:space="preserve"> ADDIN ZOTERO_ITEM CSL_CITATION {"citationID":"f2k9m9kle","properties":{"formattedCitation":"{\\rtf \\super 115\\nosupersub{}}","plainCitation":"115"},"citationItems":[{"id":"Gpwq8jj7/DmC0rl9x","uris":["http://zotero.org/users/local/Ry4zHLbn/items/8JN6R7VC"],"uri":["http://zotero.org/users/local/Ry4zHLbn/items/8JN6R7VC"],"itemData":{"id":"Gpwq8jj7/DmC0rl9x","type":"article-journal","title":"GLP-1 slows solid gastric emptying and inhibits insulin, glucagon, and PYY release in humans","container-title":"The American journal of physiology","page":"R910-916","volume":"277","issue":"3 Pt 2","source":"NCBI PubMed","abstract":"The aim of the present study was to assess the effect of glucagon-like peptide-1 (GLP-1) on solid gastric emptying and the subsequent release of pancreatic and intestinal hormones. In eight men [age 33.6 +/- 2.5 yr, body mass index 24.1 +/- 0.9 (means +/- SE)], scintigraphic solid gastric emptying during infusion of GLP-1 (0.75 pmol. kg(-1). min(-1)) or saline was studied for 180 min. Concomitantly, plasma concentrations of C- and N-terminal GLP-1, glucose, insulin, C-peptide, glucagon, and peptide YY (PYY) were assessed. Infusion of GLP-1 resulted in a profound inhibition of both the lag phase (GLP-1: 91.5, range 73.3-103.6 min vs. saline: 19. 5, range 10.2-43.4 min) and emptying rate (GLP-1: 0.34, range 0.06-0. 56 %/min vs. saline: 0.84, range 0.54-1.33 %/min; P &lt; 0.01 for both) of solid gastric emptying. Concentrations of both intact and total GLP-1 were elevated to supraphysiological levels. Plasma glucose and glucagon concentrations were below baseline during infusion of GLP-1 in contrast to saline infusion, where concentrations were elevated above baseline (both P &lt; 0.001). The insulin and C-peptide responses were lower during infusion with GLP-1 than with saline (P &lt; 0.004 and P &lt; 0.001, respectively). Plasma PYY concentrations decreased below baseline during GLP-1 infusion in contrast to saline, where concentrations were elevated above baseline (P = 0.04). Infusion of GLP-1 inhibits solid gastric emptying with secondary effects on the release of insulin, C-peptide, and glucagon, resulting in lower plasma glucose concentrations. In addition, the release of PYY into the circulation is inhibited by GLP-1 infusion, suggesting a negative feedback of GLP-1 on the function of the L-cell.","ISSN":"0002-9513","note":"PMID: 10484511","journalAbbreviation":"Am. J. Physiol.","language":"eng","author":[{"family":"Näslund","given":"E"},{"family":"Bogefors","given":"J"},{"family":"Skogar","given":"S"},{"family":"Grybäck","given":"P"},{"family":"Jacobsson","given":"H"},{"family":"Holst","given":"J J"},{"family":"Hellström","given":"P M"}],"issued":{"year":1999,"month":9},"PMID":"10484511","page-first":"R910","container-title-short":"Am. J. Physiol."}}],"schema":"https://github.com/citation-style-language/schema/raw/master/csl-citation.json"} </w:instrText>
      </w:r>
      <w:r>
        <w:fldChar w:fldCharType="separate"/>
      </w:r>
      <w:r w:rsidR="000A492A" w:rsidRPr="000A492A">
        <w:rPr>
          <w:vertAlign w:val="superscript"/>
        </w:rPr>
        <w:t>115</w:t>
      </w:r>
      <w:r>
        <w:fldChar w:fldCharType="end"/>
      </w:r>
    </w:p>
    <w:p w:rsidR="00962491" w:rsidRPr="003A0EF9" w:rsidRDefault="00962491" w:rsidP="00962491">
      <w:pPr>
        <w:ind w:firstLine="720"/>
        <w:contextualSpacing/>
      </w:pPr>
      <w:r>
        <w:t>Glucose values exhibited a group affect for obese nutraceutical versus all other groups.  This relationship was not seen when 420 minute samples were analyzed, however, and lean maintenance dogs actually had lower glucose values at the end of twelve weeks.  Insulin is an adiposity signal</w:t>
      </w:r>
      <w:r w:rsidRPr="003A0EF9">
        <w:t xml:space="preserve"> released in a pulsatile fashion, leading to decreases in plasma glucose levels.  </w:t>
      </w:r>
      <w:r>
        <w:t>When insulin binds its receptor, the GLUT4 transporter moves to the plasma membrane and allows adipose and striated muscle cells to move glucose intracellularly and decreases the amount of glucose present in plas</w:t>
      </w:r>
      <w:r w:rsidRPr="00332248">
        <w:t>ma.</w:t>
      </w:r>
      <w:r w:rsidRPr="00332248">
        <w:fldChar w:fldCharType="begin"/>
      </w:r>
      <w:r>
        <w:instrText xml:space="preserve"> ADDIN ZOTERO_ITEM CSL_CITATION {"citationID":"UlQoxtaN","properties":{"formattedCitation":"{\\rtf \\super 139,140\\nosupersub{}}","plainCitation":"139,140"},"citationItems":[{"id":1774,"uris":["http://zotero.org/users/171999/items/ZDI6WP2K"],"uri":["http://zotero.org/users/171999/items/ZDI6WP2K"],"itemData":{"id":1774,"type":"article-journal","title":"Inhibition of the mTOR/p70S6K pathway is not involved in the insulin-sensitizing effect of AMPK on cardiac glucose uptake","container-title":"American Journal of Physiology - Heart and Circulatory Physiology","page":"H469-H477","volume":"301","issue":"2","source":"ajpheart.physiology.org","abstract":"The AMP-activated protein kinase (AMPK) is known to increase cardiac insulin sensitivity on glucose uptake. AMPK also inhibits the mammalian target of rapamycin (mTOR)/p70 ribosomal S6 kinase (p70S6K) pathway. Once activated by insulin, mTOR/p70S6K phosphorylates insulin receptor substrate-1 (IRS-1) on serine residues, resulting in its inhibition and reduction of insulin signaling. AMPK was postulated to act on insulin by inhibiting this mTOR/p70S6K-mediated negative feedback loop. We tested this hypothesis in cardiomyocytes. The stimulation of glucose uptake by AMPK activators and insulin correlated with AMPK and protein kinase B (PKB/Akt) activation, respectively. Both treatments induced the phosphorylation of Akt substrate 160 (AS160) known to control glucose uptake. Together, insulin and AMPK activators acted synergistically to induce PKB/Akt overactivation, AS160 overphosphorylation, and glucose uptake overstimulation. This correlated with p70S6K inhibition and with a decrease in serine phosphorylation of IRS-1, indicating the inhibition of the negative feedback loop. We used the mTOR inhibitor rapamycin to confirm these results. Mimicking AMPK activators in the presence of insulin, rapamycin inhibited p70S6K and reduced IRS-1 phosphorylation on serine, resulting in the overphosphorylation of PKB/Akt and AS160. However, rapamycin did not enhance the insulin-induced stimulation of glucose uptake. In conclusion, although the insulin-sensitizing effect of AMPK on PKB/Akt is explained by the inhibition of the insulin-induced negative feedback loop, its effect on glucose uptake is independent of this mechanism. This disconnection revealed that the PKB/Akt/AS160 pathway does not seem to be the rate-limiting step in the control of glucose uptake under insulin treatment.","DOI":"10.1152/ajpheart.00986.2010","note":"The AMP-activated protein kinase (AMPK) is known to increase cardiac insulin sensitivity on glucose uptake. AMPK also inhibits the mammalian target of rapamycin (mTOR)/p70 ribosomal S6 kinase (p70S6K) pathway. Once activated by insulin, mTOR/p70S6K phosphorylates insulin receptor substrate-1 (IRS-1) on serine residues, resulting in its inhibition and reduction of insulin signaling. AMPK was postulated to act on insulin by inhibiting this mTOR/p70S6K-mediated negative feedback loop. We tested this hypothesis in cardiomyocytes. The stimulation of glucose uptake by AMPK activators and insulin correlated with AMPK and protein kinase B (PKB/Akt) activation, respectively. Both treatments induced the phosphorylation of Akt substrate 160 (AS160) known to control glucose uptake. Together, insulin and AMPK activators acted synergistically to induce PKB/Akt overactivation, AS160 overphosphorylation, and glucose uptake overstimulation. This correlated with p70S6K inhibition and with a decrease in serine phosphorylation of IRS-1, indicating the inhibition of the negative feedback loop. We used the mTOR inhibitor rapamycin to confirm these results. Mimicking AMPK activators in the presence of insulin, rapamycin inhibited p70S6K and reduced IRS-1 phosphorylation on serine, resulting in the overphosphorylation of PKB/Akt and AS160. However, rapamycin did not enhance the insulin-induced stimulation of glucose uptake. In conclusion, although the insulin-sensitizing effect of AMPK on PKB/Akt is explained by the inhibition of the insulin-induced negative feedback loop, its effect on glucose uptake is independent of this mechanism. This disconnection revealed that the PKB/Akt/AS160 pathway does not seem to be the rate-limiting step in the control of glucose uptake under insulin treatment.\nPMID: 21602475","language":"en","author":[{"family":"Ginion","given":"Audrey"},{"family":"Auquier","given":"Julien"},{"family":"Benton","given":"Carley R."},{"family":"Mouton","given":"Céline"},{"family":"Vanoverschelde","given":"Jean-Louis"},{"family":"Hue","given":"Louis"},{"family":"Horman","given":"Sandrine"},{"family":"Beauloye","given":"Christophe"},{"family":"Bertrand","given":"Luc"}],"issued":{"date-parts":[["2011",8,1]]},"accessed":{"date-parts":[["2013",11,11]]},"PMID":"21602475"}},{"id":1790,"uris":["http://zotero.org/users/171999/items/BUE597FG"],"uri":["http://zotero.org/users/171999/items/BUE597FG"],"itemData":{"id":1790,"type":"article-journal","title":"Review of insulin and insulin-like growth factor expression, signaling, and malfunction in the central nervous system: relevance to Alzheimer's disease","container-title":"Journal of Alzheimer's disease: JAD","page":"45-61","volume":"7","issue":"1","source":"NCBI PubMed","abstract":"Interest in characterizing the role of impaired insulin actions in Alzheimer's disease (AD) and vascular dementia is growing exponentially. This review details what is currently known about insulin, insulin-like growth factor type I (IGF-I) and IGF-II proteins and their corresponding receptors in the brain, and delineates the major controversies pertaining to alterations in the expression and function of these molecules in AD. The various experimental animal models generated by over-expression, mutation, or depletion of genes that are critical to the insulin or IGF signaling cascades are summarized, noting the degrees to which they reproduce the histopathological, biochemical, molecular, or behavioral abnormalities associated with AD. Although no single model was determined to be truly representative of AD, depletion of the neuronal insulin receptor and intracerebroventricular injection of Streptozotocin reproduce a number of important aspects of AD-type neurodegeneration, and therefore provide supportive evidence that AD may be caused in part by neuronal insulin resistance, i.e. brain diabetes. The extant literature did not resolve whether the CNS insulin resistance in AD represents a local disease process, or complication/extension of peripheral insulin resistance, i.e. chronic hyperglycemia, hyperinsulinemia, and Type 2 diabetes mellitus. The available epidemiological data are largely inconclusive with regard to the contribution of Type 2 diabetes mellitus to cognitive impairment and AD-type neurodegeneration. A major conclusion drawn from this review is that there is a genuine need for thorough and comprehensive study of the neuropathological changes associated with diabetes mellitus, in the presence or absence of superimposed AD or vascular dementia. Strategies for intervention may depend entirely upon whether the CNS disease processes are mediated by peripheral, central, or both types of insulin resistance.","ISSN":"1387-2877","note":"PMID: 15750214","shortTitle":"Review of insulin and insulin-like growth factor expression, signaling, and malfunction in the central nervous system","journalAbbreviation":"J. Alzheimers Dis.","language":"eng","author":[{"family":"de la Monte","given":"Suzanne M"},{"family":"Wands","given":"Jack R"}],"issued":{"date-parts":[["2005",2]]},"PMID":"15750214"}}],"schema":"https://github.com/citation-style-language/schema/raw/master/csl-citation.json"} </w:instrText>
      </w:r>
      <w:r w:rsidRPr="00332248">
        <w:fldChar w:fldCharType="separate"/>
      </w:r>
      <w:r w:rsidRPr="00332248">
        <w:rPr>
          <w:vertAlign w:val="superscript"/>
        </w:rPr>
        <w:t>139,140</w:t>
      </w:r>
      <w:r w:rsidRPr="00332248">
        <w:fldChar w:fldCharType="end"/>
      </w:r>
      <w:r>
        <w:t xml:space="preserve">  </w:t>
      </w:r>
      <w:r w:rsidRPr="003A0EF9">
        <w:t>Obese individuals show pulsatile patterns similar to healthy weight individuals (release following meals and during overnight fasting), but the amplitude of insulin pulses are larger during obesity.</w:t>
      </w:r>
      <w:r w:rsidRPr="003A0EF9">
        <w:fldChar w:fldCharType="begin"/>
      </w:r>
      <w:r>
        <w:instrText xml:space="preserve"> ADDIN ZOTERO_ITEM CSL_CITATION {"citationID":"8VeAijod","properties":{"formattedCitation":"{\\rtf \\super 143\\nosupersub{}}","plainCitation":"143"},"citationItems":[{"id":259,"uris":["http://zotero.org/users/local/Ry4zHLbn/items/S7EDNQ98"],"uri":["http://zotero.org/users/local/Ry4zHLbn/items/S7EDNQ98"],"itemData":{"id":259,"type":"article-journal","title":"Twenty-four-hour profiles and pulsatile patterns of insulin secretion in normal and obese subjects","container-title":"The Journal of clinical investigation","page":"442-448","volume":"81","issue":"2","source":"NCBI PubMed","abstract":"The pattern of endogenous insulin secretion over a 24-h period, which included three mixed meals, was evaluated in 14 normal volunteers and 15 obese subjects. Insulin secretory rates were calculated from plasma C-peptide levels using individually derived C-peptide kinetic parameters and a validated open two-compartment model of peripheral C-peptide kinetics. Insulin secretion rates were consistently elevated in the obese subjects under basal conditions (11.6 +/- 1.2 vs. 5.4 +/- 0.5 nmol/h) and in the 4 h after breakfast (139 +/- 15 vs. 63 +/- 5 nmol/4 h, P less than 0.001), lunch (152 +/- 16 vs. 67 +/- 5 nmol/4 h, P less than 0.001), and dinner (145 +/- 18 vs. 65 +/- 6 nmol/4 h, P less than 0.001). In the normal subjects, basal insulin secretion represented 50 +/- 2.1% of total 24-h insulin production, insulin secretion returned to baseline between meals, and equal quantities of insulin were secreted in the 4 h after breakfast, lunch, and dinner, despite the fact that subjects consumed half the number of calories at breakfast compared to lunch and dinner. Overall glucose responses were also similar after the three meals. In contrast, the pattern of insulin secretion in obese subjects was largely normal, albeit set at a higher level. However, the insulin secretion rate after meals did not return to baseline, and the secretion rate immediately before lunch (350.5 +/- 81.9 pmol/min) and dinner (373.6 +/- 64.8 pmol/min) was considerably higher than the secretion rate immediately before breakfast (175.5 +/- 18.5 pmol/min). In these overweight subjects, the glucose response after lunch was lower than after dinner. Analysis of individual 24-h insulin secretory profiles in the normal subjects revealed that insulin secretion was pulsatile. On average 11.1 +/- 0.5 pulses were produced in each 24-h period. The most prevalent temporal distribution of postmeal secretory pulses was two pulses after breakfast and three pulses after both lunch and dinner. Insulin secretion was also pulsatile during the period without meal stimuli: 3.9 +/- 0.3 pulses occurred during the period of overnight sampling and in the 3-h period before ingestion of the breakfast meal. In the obese subjects, the number and timing of secretory pulses was similar to those of normal volunteers, although the amplitude of the pulses was significantly greater. In both groups of subjects, greater than 80% of insulin pulses were concomitant with a pulse in glucose concentration in the postmeal period. The concomitancy rate was significantly lower in the interval without the meal stimuli, averaging 47% in both groups. Thus in obesity, although hypersecretion of insulin can be documented, the temporal pattern of secretion i s largely unaltered, which suggests that the functioning beta cell mass is enhance, but normal regulatory mechanisms influencing secretion are still operative.","DOI":"10.1172/JCI113339","ISSN":"0021-9738","note":"PMID: 3276730","journalAbbreviation":"J. Clin. Invest.","language":"eng","author":[{"family":"Polonsky","given":"K S"},{"family":"Given","given":"B D"},{"family":"Van Cauter","given":"E"}],"issued":{"date-parts":[["1988",2]]},"PMID":"3276730"}}],"schema":"https://github.com/citation-style-language/schema/raw/master/csl-citation.json"} </w:instrText>
      </w:r>
      <w:r w:rsidRPr="003A0EF9">
        <w:fldChar w:fldCharType="separate"/>
      </w:r>
      <w:r w:rsidRPr="00C13C7E">
        <w:rPr>
          <w:vertAlign w:val="superscript"/>
        </w:rPr>
        <w:t>143</w:t>
      </w:r>
      <w:r w:rsidRPr="003A0EF9">
        <w:fldChar w:fldCharType="end"/>
      </w:r>
      <w:r w:rsidRPr="003A0EF9">
        <w:t xml:space="preserve">  Insulin exhibits a diurnal release pattern, with peak levels 2 to 5 hours postprandial in dogs.</w:t>
      </w:r>
      <w:r w:rsidRPr="003A0EF9">
        <w:fldChar w:fldCharType="begin"/>
      </w:r>
      <w:r>
        <w:instrText xml:space="preserve"> ADDIN ZOTERO_ITEM CSL_CITATION {"citationID":"F46R3pcy","properties":{"formattedCitation":"{\\rtf \\super 144\\nosupersub{}}","plainCitation":"144"},"citationItems":[{"id":261,"uris":["http://zotero.org/users/local/Ry4zHLbn/items/GTC6WIUN"],"uri":["http://zotero.org/users/local/Ry4zHLbn/items/GTC6WIUN"],"itemData":{"id":261,"type":"article-journal","title":"Diurnal variations of serum leptin in dogs: effects of fasting and re-feeding","container-title":"Veterinary journal (London, England: 1997)","page":"85-90","volume":"169","issue":"1","source":"NCBI PubMed","abstract":"Leptin is a protein synthesized and secreted primarily by adipocytes, and plays a key role in the regulation of energy balance. We have reported that serum leptin is elevated in obese dogs. In the present study, we examined diurnal variations of serum leptin in the dog, with special references to feeding and fasting cycles. Four male beagles were accustomed to feed once a day at 10:00 h, and blood samples were taken every 3 h for 24-36 h. Serum leptin concentration showed clear diurnal variations, being lowest before food intake (2.3+/-0.5 ng/mL) at 09:00 h, and highest (10.5+/-2.4 ng/mL) at 18:00 h. Such diurnal variations disappeared when the dogs were fasted. Serum insulin also showed diurnal variation with higher levels at 12:00-15:00 h. When insulin or glucose was injected in the fasted dogs to mimic the post-prandial insulin rise, serum leptin concentration was significantly increased in 4-8 h, but in both cases to a lesser extents than those after food intake. The results indicate that serum leptin concentrations change diurnally in association with feeding-fasting cycles in the dog, partially due to changes in insulin secretion.","DOI":"10.1016/j.tvjl.2004.01.003","ISSN":"1090-0233","note":"PMID: 15683767","shortTitle":"Diurnal variations of serum leptin in dogs","journalAbbreviation":"Vet. J.","language":"eng","author":[{"family":"Ishioka","given":"K"},{"family":"Hatai","given":"H"},{"family":"Komabayashi","given":"K"},{"family":"Soliman","given":"M M"},{"family":"Shibata","given":"H"},{"family":"Honjoh","given":"T"},{"family":"Kimura","given":"K"},{"family":"Saito","given":"M"}],"issued":{"date-parts":[["2005",1]]},"PMID":"15683767"}}],"schema":"https://github.com/citation-style-language/schema/raw/master/csl-citation.json"} </w:instrText>
      </w:r>
      <w:r w:rsidRPr="003A0EF9">
        <w:fldChar w:fldCharType="separate"/>
      </w:r>
      <w:r w:rsidRPr="00C13C7E">
        <w:rPr>
          <w:vertAlign w:val="superscript"/>
        </w:rPr>
        <w:t>144</w:t>
      </w:r>
      <w:r w:rsidRPr="003A0EF9">
        <w:fldChar w:fldCharType="end"/>
      </w:r>
      <w:r w:rsidRPr="003A0EF9">
        <w:t xml:space="preserve">  </w:t>
      </w:r>
      <w:r>
        <w:t>Insulin resistance is a common manifestation in obese people and has also been found in dogs.</w:t>
      </w:r>
      <w:r>
        <w:fldChar w:fldCharType="begin"/>
      </w:r>
      <w:r>
        <w:instrText xml:space="preserve"> ADDIN ZOTERO_ITEM CSL_CITATION {"citationID":"k8Dz7EKw","properties":{"formattedCitation":"{\\rtf \\super 145\\uc0\\u8211{}148\\nosupersub{}}","plainCitation":"145–148"},"citationItems":[{"id":"sfRcBkgw/Mv2E0of4","uris":["http://zotero.org/users/local/Ry4zHLbn/items/T3HJ3BEN"],"uri":["http://zotero.org/users/local/Ry4zHLbn/items/T3HJ3BEN"],"itemData":{"id":"sfRcBkgw/Mv2E0of4","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Endocrinol."}},{"id":410,"uris":["http://zotero.org/users/171999/items/HISNJAIQ"],"uri":["http://zotero.org/users/171999/items/HISNJAIQ"],"itemData":{"id":410,"type":"article-journal","title":"Longitudinal compensation for fat-induced insulin resistance includes reduced insulin clearance and enhanced beta-cell response","container-title":"Diabetes","page":"2116-2125","volume":"49","issue":"12","source":"NCBI PubMed","abstract":"Central adiposity is highly correlated with insulin resistance, which is an important risk factor for type 2 diabetes and other chronic diseases. However, in normal individuals, central adiposity can be tolerated for many years without development of impaired glucose tolerance or diabetes. Here we examine longitudinally the mechanisms by which glucose tolerance can be maintained in the face of substantial insulin resistance. Normal dogs were fed a diet enriched with moderate amounts of fat (2 g x kg(-1) x day(-1)), similar to that seen in modern \"cafeteria\" diets, and the time course of metabolic changes in these animals was examined over 12 weeks. Trunk adiposity as assessed by magnetic resonance imaging increased from 12 to 19%, but body weight remained unchanged. Insulin sensitivity (SI) as determined by frequently sampled intravenous glucose tolerance tests was measured over a 12-week period. SI decreased 35% by week 1 and remained impaired for the entire 12 weeks. Intravenous glucose tolerance was reduced transiently for 1 week, recovered to baseline, and then again began to decline after 8 weeks. First-phase insulin response began to increase after week 2, peaked by week 6 (190% of basal), and then declined. The increase in insulin response was due partially to enhanced beta-cell function (22%) but due also to an approximately 50% reduction in insulin clearance. This compensation by insulin clearance was also confirmed with insulin clamps performed in fat-fed versus control dogs. The present study confirms the ability of the normal individual to compensate for fat-induced insulin resistance by enhanced insulin response, such that the product of insulin sensitivity x secretion is little changed. However, the compensation is due as much to reduced insulin clearance as increased beta-cell sensitivity to glucose. Reduced hepatic extraction of insulin may be the first line of defense providing a higher proportion of secreted insulin to the periphery and sparing the beta-cells during compensation for the insulin-resistant state.","ISSN":"0012-1797","note":"PMID: 11118015","journalAbbreviation":"Diabetes","language":"eng","author":[{"family":"Mittelman","given":"S D"},{"family":"Van Citters","given":"G W"},{"family":"Kim","given":"S P"},{"family":"Davis","given":"D A"},{"family":"Dea","given":"M K"},{"family":"Hamilton-Wessler","given":"M"},{"family":"Bergman","given":"R N"}],"issued":{"date-parts":[["2000",12]]},"PMID":"11118015"}},{"id":402,"uris":["http://zotero.org/users/171999/items/XHNSVAQZ"],"uri":["http://zotero.org/users/171999/items/XHNSVAQZ"],"itemData":{"id":402,"type":"article-journal","title":"Primacy of hepatic insulin resistance in the development of the metabolic syndrome induced by an isocaloric moderate-fat diet in the dog","container-title":"Diabetes","page":"2453-2460","volume":"52","issue":"10","source":"NCBI PubMed","abstract":"Obesity is highly correlated with insulin resistance and the development of type 2 diabetes. Insulin resistance will result in a decrease in insulin's ability to stimulate glucose uptake into peripheral tissue and will suppress glucose production by the liver. However, the development of peripheral and hepatic insulin resistance relative to one another in the context of obesity-associated insulin resistance is not well understood. To examine this phenomena, we used the moderate fat-fed dog model, which has been shown to develop both subcutaneous and visceral adiposity and severe insulin resistance. Six normal dogs were fed an isocaloric diet with a modest increase in fat content for 12 weeks, and they were assessed at weeks 0, 6, and 12 for changes in insulin sensitivity and glucose turnover. By week 12 of the diet, there was a more than twofold increase in trunk adiposity as assessed by magnetic resonance imaging because of an accumulation in both subcutaneous and visceral fat depots with very little change in body weight. Fasting plasma insulin had increased by week 6 (150% of week 0) and remained increased up to week 12 of the study (170% of week 0). Surprisingly, there appeared to be no change in the rates of insulin-stimulated glucose uptake as measured by euglycemic-hyperinsulinemic clamps throughout the course of fat feeding. However, there was an increase in steady-state plasma insulin levels at weeks 6 and 12, indicating a moderate degree of peripheral insulin resistance. In contrast to the moderate defect seen in the periphery, there was a marked impairment in insulin's ability to suppress endogenous glucose production during the clamp such that by week 12 of the study, there was a complete inability of insulin to suppress glucose production. Our results indicate that a diet enriched with a moderate amount of fat results in the development of both subcutaneous and visceral adiposity, hyperinsulinemia, and a modest degree of peripheral insulin resistance. However, there is a complete inability of insulin to suppress hepatic glucose production during the clamp, suggesting that insulin resistance of the liver may be the primary defect in the development of insulin resistance associated with obesity.","ISSN":"0012-1797","note":"PMID: 14514627","journalAbbreviation":"Diabetes","language":"eng","author":[{"family":"Kim","given":"Stella P"},{"family":"Ellmerer","given":"Martin"},{"family":"Van Citters","given":"Gregg W"},{"family":"Bergman","given":"Richard N"}],"issued":{"date-parts":[["2003",10]]},"PMID":"14514627"}},{"id":422,"uris":["http://zotero.org/users/171999/items/EWHIZQ5J"],"uri":["http://zotero.org/users/171999/items/EWHIZQ5J"],"itemData":{"id":422,"type":"article-journal","title":"Glucose-Tolerance and Insulin-Response in Obese Dogs","container-title":"Journal of the American Animal Hospital Association","page":"287-293","volume":"20","issue":"2","source":"ISI Web of Knowledge","ISSN":"0587-2871","note":"WOS:A1984SJ53700014","journalAbbreviation":"J. Am. Anim. Hosp. Assoc.","language":"English","author":[{"family":"Mattheeuws","given":"D."},{"family":"Rottiers","given":"R."},{"family":"Baeyens","given":"D."},{"family":"Vermeulen","given":"A."}],"issued":{"date-parts":[["1984"]]}}}],"schema":"https://github.com/citation-style-language/schema/raw/master/csl-citation.json"} </w:instrText>
      </w:r>
      <w:r>
        <w:fldChar w:fldCharType="separate"/>
      </w:r>
      <w:r w:rsidRPr="00636862">
        <w:rPr>
          <w:vertAlign w:val="superscript"/>
        </w:rPr>
        <w:t>145–148</w:t>
      </w:r>
      <w:r>
        <w:fldChar w:fldCharType="end"/>
      </w:r>
      <w:r>
        <w:t xml:space="preserve">  The insulin:glucose ratio can be used as an indirect assessment of insulin resistance based on fasting samples.</w:t>
      </w:r>
      <w:r>
        <w:fldChar w:fldCharType="begin"/>
      </w:r>
      <w:r>
        <w:instrText xml:space="preserve"> ADDIN ZOTERO_ITEM CSL_CITATION {"citationID":"1b3ti674a6","properties":{"formattedCitation":"{\\rtf \\super 145\\nosupersub{}}","plainCitation":"145"},"citationItems":[{"id":"Gpwq8jj7/QN4EDEKg","uris":["http://zotero.org/users/local/Ry4zHLbn/items/T3HJ3BEN"],"uri":["http://zotero.org/users/local/Ry4zHLbn/items/T3HJ3BEN"],"itemData":{"id":"Gpwq8jj7/QN4EDEKg","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Endocrinol."}}],"schema":"https://github.com/citation-style-language/schema/raw/master/csl-citation.json"} </w:instrText>
      </w:r>
      <w:r>
        <w:fldChar w:fldCharType="separate"/>
      </w:r>
      <w:r w:rsidRPr="00BA0975">
        <w:rPr>
          <w:vertAlign w:val="superscript"/>
        </w:rPr>
        <w:t>145</w:t>
      </w:r>
      <w:r>
        <w:fldChar w:fldCharType="end"/>
      </w:r>
      <w:r>
        <w:t xml:space="preserve">  While true fasted samples were not collected in the present project, samples obtained 420 minutes (7 hours) after a meal were used as an approximate representation of fasting conditions.  Due to trend disagreements with other published research in dogs, the final analysis is considered nonvalid.  In the current study, “fasting” insulin and insulin:glucose ratio were negatively associated with weight gain, while the opposite relationship has been observed in dogs with properly fasted samples.</w:t>
      </w:r>
      <w:r>
        <w:fldChar w:fldCharType="begin"/>
      </w:r>
      <w:r w:rsidR="000A492A">
        <w:instrText xml:space="preserve"> ADDIN ZOTERO_ITEM CSL_CITATION {"citationID":"ZeNYr0Ln","properties":{"formattedCitation":"{\\rtf \\super 145\\uc0\\u8211{}148,251\\nosupersub{}}","plainCitation":"145–148,251"},"citationItems":[{"id":"sfRcBkgw/Mv2E0of4","uris":["http://zotero.org/users/local/Ry4zHLbn/items/T3HJ3BEN"],"uri":["http://zotero.org/users/local/Ry4zHLbn/items/T3HJ3BEN"],"itemData":{"id":"sfRcBkgw/Mv2E0of4","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Endocrinol."}},{"id":410,"uris":["http://zotero.org/users/171999/items/HISNJAIQ"],"uri":["http://zotero.org/users/171999/items/HISNJAIQ"],"itemData":{"id":410,"type":"article-journal","title":"Longitudinal compensation for fat-induced insulin resistance includes reduced insulin clearance and enhanced beta-cell response","container-title":"Diabetes","page":"2116-2125","volume":"49","issue":"12","source":"NCBI PubMed","abstract":"Central adiposity is highly correlated with insulin resistance, which is an important risk factor for type 2 diabetes and other chronic diseases. However, in normal individuals, central adiposity can be tolerated for many years without development of impaired glucose tolerance or diabetes. Here we examine longitudinally the mechanisms by which glucose tolerance can be maintained in the face of substantial insulin resistance. Normal dogs were fed a diet enriched with moderate amounts of fat (2 g x kg(-1) x day(-1)), similar to that seen in modern \"cafeteria\" diets, and the time course of metabolic changes in these animals was examined over 12 weeks. Trunk adiposity as assessed by magnetic resonance imaging increased from 12 to 19%, but body weight remained unchanged. Insulin sensitivity (SI) as determined by frequently sampled intravenous glucose tolerance tests was measured over a 12-week period. SI decreased 35% by week 1 and remained impaired for the entire 12 weeks. Intravenous glucose tolerance was reduced transiently for 1 week, recovered to baseline, and then again began to decline after 8 weeks. First-phase insulin response began to increase after week 2, peaked by week 6 (190% of basal), and then declined. The increase in insulin response was due partially to enhanced beta-cell function (22%) but due also to an approximately 50% reduction in insulin clearance. This compensation by insulin clearance was also confirmed with insulin clamps performed in fat-fed versus control dogs. The present study confirms the ability of the normal individual to compensate for fat-induced insulin resistance by enhanced insulin response, such that the product of insulin sensitivity x secretion is little changed. However, the compensation is due as much to reduced insulin clearance as increased beta-cell sensitivity to glucose. Reduced hepatic extraction of insulin may be the first line of defense providing a higher proportion of secreted insulin to the periphery and sparing the beta-cells during compensation for the insulin-resistant state.","ISSN":"0012-1797","note":"PMID: 11118015","journalAbbreviation":"Diabetes","language":"eng","author":[{"family":"Mittelman","given":"S D"},{"family":"Van Citters","given":"G W"},{"family":"Kim","given":"S P"},{"family":"Davis","given":"D A"},{"family":"Dea","given":"M K"},{"family":"Hamilton-Wessler","given":"M"},{"family":"Bergman","given":"R N"}],"issued":{"date-parts":[["2000",12]]},"PMID":"11118015"}},{"id":402,"uris":["http://zotero.org/users/171999/items/XHNSVAQZ"],"uri":["http://zotero.org/users/171999/items/XHNSVAQZ"],"itemData":{"id":402,"type":"article-journal","title":"Primacy of hepatic insulin resistance in the development of the metabolic syndrome induced by an isocaloric moderate-fat diet in the dog","container-title":"Diabetes","page":"2453-2460","volume":"52","issue":"10","source":"NCBI PubMed","abstract":"Obesity is highly correlated with insulin resistance and the development of type 2 diabetes. Insulin resistance will result in a decrease in insulin's ability to stimulate glucose uptake into peripheral tissue and will suppress glucose production by the liver. However, the development of peripheral and hepatic insulin resistance relative to one another in the context of obesity-associated insulin resistance is not well understood. To examine this phenomena, we used the moderate fat-fed dog model, which has been shown to develop both subcutaneous and visceral adiposity and severe insulin resistance. Six normal dogs were fed an isocaloric diet with a modest increase in fat content for 12 weeks, and they were assessed at weeks 0, 6, and 12 for changes in insulin sensitivity and glucose turnover. By week 12 of the diet, there was a more than twofold increase in trunk adiposity as assessed by magnetic resonance imaging because of an accumulation in both subcutaneous and visceral fat depots with very little change in body weight. Fasting plasma insulin had increased by week 6 (150% of week 0) and remained increased up to week 12 of the study (170% of week 0). Surprisingly, there appeared to be no change in the rates of insulin-stimulated glucose uptake as measured by euglycemic-hyperinsulinemic clamps throughout the course of fat feeding. However, there was an increase in steady-state plasma insulin levels at weeks 6 and 12, indicating a moderate degree of peripheral insulin resistance. In contrast to the moderate defect seen in the periphery, there was a marked impairment in insulin's ability to suppress endogenous glucose production during the clamp such that by week 12 of the study, there was a complete inability of insulin to suppress glucose production. Our results indicate that a diet enriched with a moderate amount of fat results in the development of both subcutaneous and visceral adiposity, hyperinsulinemia, and a modest degree of peripheral insulin resistance. However, there is a complete inability of insulin to suppress hepatic glucose production during the clamp, suggesting that insulin resistance of the liver may be the primary defect in the development of insulin resistance associated with obesity.","ISSN":"0012-1797","note":"PMID: 14514627","journalAbbreviation":"Diabetes","language":"eng","author":[{"family":"Kim","given":"Stella P"},{"family":"Ellmerer","given":"Martin"},{"family":"Van Citters","given":"Gregg W"},{"family":"Bergman","given":"Richard N"}],"issued":{"date-parts":[["2003",10]]},"PMID":"14514627"}},{"id":422,"uris":["http://zotero.org/users/171999/items/EWHIZQ5J"],"uri":["http://zotero.org/users/171999/items/EWHIZQ5J"],"itemData":{"id":422,"type":"article-journal","title":"Glucose-Tolerance and Insulin-Response in Obese Dogs","container-title":"Journal of the American Animal Hospital Association","page":"287-293","volume":"20","issue":"2","source":"ISI Web of Knowledge","ISSN":"0587-2871","note":"WOS:A1984SJ53700014","journalAbbreviation":"J. Am. Anim. Hosp. Assoc.","language":"English","author":[{"family":"Mattheeuws","given":"D."},{"family":"Rottiers","given":"R."},{"family":"Baeyens","given":"D."},{"family":"Vermeulen","given":"A."}],"issued":{"date-parts":[["1984"]]}}},{"id":384,"uris":["http://zotero.org/users/171999/items/26SKV3UZ"],"uri":["http://zotero.org/users/171999/items/26SKV3UZ"],"itemData":{"id":384,"type":"article-journal","title":"Effect of weight loss on inflammatory biomarkers in obese dogs","container-title":"Veterinary journal (London, England: 1997)","page":"570-572","volume":"193","issue":"2","source":"NCBI PubMed","abstract":"The objective of this study was to evaluate the effects of weight loss on selected serum inflammatory biomarkers in obese dogs. An experimentally induced bodyweight reduction of approximately 2.5%/week was accompanied by significant decreases in metabolic markers of obesity (lipidic profile, fructosamine, and insulin-like growth factor-1). The concentrations of acute phase proteins and of selected cytokines remained within reference ranges in obese dogs during weight loss, suggesting that significant inflammation was not a major component of this experimental model. However, adiponectin concentrations increased following the period of weight loss suggesting reduced susceptibility of these animals to obesity-related inflammation.","DOI":"10.1016/j.tvjl.2012.02.015","ISSN":"1532-2971","note":"PMID: 22464400","journalAbbreviation":"Vet. J.","language":"eng","author":[{"family":"Tvarijonaviciute","given":"Asta"},{"family":"Tecles","given":"Fernando"},{"family":"Martínez-Subiela","given":"Silvia"},{"family":"Cerón","given":"José J"}],"issued":{"date-parts":[["2012",8]]},"PMID":"22464400"}}],"schema":"https://github.com/citation-style-language/schema/raw/master/csl-citation.json"} </w:instrText>
      </w:r>
      <w:r>
        <w:fldChar w:fldCharType="separate"/>
      </w:r>
      <w:r w:rsidR="000A492A" w:rsidRPr="000A492A">
        <w:rPr>
          <w:vertAlign w:val="superscript"/>
        </w:rPr>
        <w:t>145–148,251</w:t>
      </w:r>
      <w:r>
        <w:fldChar w:fldCharType="end"/>
      </w:r>
    </w:p>
    <w:p w:rsidR="00962491" w:rsidRDefault="00962491" w:rsidP="00962491">
      <w:pPr>
        <w:ind w:firstLine="720"/>
      </w:pPr>
      <w:r>
        <w:t xml:space="preserve">Leptin trends, on the other hand, did follow what has been previously published.  </w:t>
      </w:r>
      <w:r w:rsidRPr="003A0EF9">
        <w:t>Leptin is</w:t>
      </w:r>
      <w:r>
        <w:t xml:space="preserve"> an adiposity signal</w:t>
      </w:r>
      <w:r w:rsidRPr="003A0EF9">
        <w:t xml:space="preserve"> secreted from adipocytes via the </w:t>
      </w:r>
      <w:r w:rsidRPr="003A0EF9">
        <w:rPr>
          <w:i/>
        </w:rPr>
        <w:t>ob</w:t>
      </w:r>
      <w:r w:rsidRPr="003A0EF9">
        <w:t xml:space="preserve"> gene in direct proportion to the level of fat mass.</w:t>
      </w:r>
      <w:r w:rsidRPr="003A0EF9">
        <w:fldChar w:fldCharType="begin"/>
      </w:r>
      <w:r>
        <w:instrText xml:space="preserve"> ADDIN ZOTERO_ITEM CSL_CITATION {"citationID":"vIFCfSnR","properties":{"formattedCitation":"{\\rtf \\super 152\\uc0\\u8211{}157\\nosupersub{}}","plainCitation":"152–157"},"citationItems":[{"id":269,"uris":["http://zotero.org/users/local/Ry4zHLbn/items/B7KIJ56U"],"uri":["http://zotero.org/users/local/Ry4zHLbn/items/B7KIJ56U"],"itemData":{"id":269,"type":"article-journal","title":"Positional cloning of the mouse obese gene and its human homologue","container-title":"Nature","page":"425-432","volume":"372","issue":"6505","source":"NCBI PubMed","abstract":"The mechanisms that balance food intake and energy expenditure determine who will be obese and who will be lean. One of the molecules that regulates energy balance in the mouse is the obese (ob) gene. Mutation of ob results in profound obesity and type II diabetes as part of a syndrome that resembles morbid obesity in humans. The ob gene product may function as part of a signalling pathway from adipose tissue that acts to regulate the size of the body fat depot.","DOI":"10.1038/372425a0","ISSN":"0028-0836","note":"PMID: 7984236","journalAbbreviation":"Nature","language":"eng","author":[{"family":"Zhang","given":"Y"},{"family":"Proenca","given":"R"},{"family":"Maffei","given":"M"},{"family":"Barone","given":"M"},{"family":"Leopold","given":"L"},{"family":"Friedman","given":"J M"}],"issued":{"date-parts":[["1994",12,1]]},"PMID":"7984236"}},{"id":271,"uris":["http://zotero.org/users/local/Ry4zHLbn/items/MI4TTAGJ"],"uri":["http://zotero.org/users/local/Ry4zHLbn/items/MI4TTAGJ"],"itemData":{"id":271,"type":"article-journal","title":"Serum immunoreactive-leptin concentrations in normal-weight and obese humans","container-title":"The New England journal of medicine","page":"292-295","volume":"334","issue":"5","source":"NCBI PubMed","abstract":"BACKGROUND: Leptin, the product of the ob gene, is a hormone secreted by adipocytes. Animals with mutations in the ob gene are obese and lose weight when given leptin, but little is known about the physiologic actions of leptin in humans.\nMETHODS: Using a newly developed radioimmunoassay, wer measured serum concentrations of leptin in 136 normal-weight subjects and 139 obese subjects (body-mass index, &gt; or = 27.3 for men and &gt; or = 27.8 for women; the body-mass index was defined as the weight in kilograms divided by the square of the height in meters). The measurements were repeated in seven obese subjects after weight loss and during maintenance of the lower weight. The ob messenger RNA (mRNA) content of adipocytes was determined in 27 normal-weight and 27 obese subjects.\nRESULTS: The mean (+/- SD) serum leptin concentrations were 31.3 +/- 24.1 ng per milliliter in the obese subjects and 7.5 +/- 9.3 ng per milliliter in the normal-weight subjects (P &lt; 0.001). There was a strong positive correlation between serum leptin concentrations and the percentage of body fat (r = 0.85, P &lt; 0.001). The ob mRNA content of adipocytes was about twice as high in the obese subjects as in the normal-weight subjects (P &lt; 0.001) and was correlated with the percentage of body fat (r = 0.68, P &lt; 0.001) in the 54 subjects in whom it was measured. In the seven obese subjects studied after weight loss, both serum leptin concentrations and ob mRNA content of adipocytes declined, but these measures increased again during the maintenance of the lower weight.\nCONCLUSIONS: Serum leptin concentrations are correlated with the percentage of body fat, suggesting that most obese persons are insensitive to endogenous leptin production.","DOI":"10.1056/NEJM199602013340503","ISSN":"0028-4793","note":"PMID: 8532024","journalAbbreviation":"N. Engl. J. Med.","language":"eng","author":[{"family":"Considine","given":"R V"},{"family":"Sinha","given":"M K"},{"family":"Heiman","given":"M L"},{"family":"Kriauciunas","given":"A"},{"family":"Stephens","given":"T W"},{"family":"Nyce","given":"M R"},{"family":"Ohannesian","given":"J P"},{"family":"Marco","given":"C C"},{"family":"McKee","given":"L J"},{"family":"Bauer","given":"T L"}],"issued":{"date-parts":[["1996",2,1]]},"PMID":"8532024"}},{"id":273,"uris":["http://zotero.org/users/local/Ry4zHLbn/items/4M27QUAB"],"uri":["http://zotero.org/users/local/Ry4zHLbn/items/4M27QUAB"],"itemData":{"id":273,"type":"article-journal","title":"Leptin levels in human and rodent: measurement of plasma leptin and ob RNA in obese and weight-reduced subjects","container-title":"Nature medicine","page":"1155-1161","volume":"1","issue":"11","source":"NCBI PubMed","abstract":"Leptin, the gene product of the obese gene, may play an important role in regulating body weight by signalling the size of the adipose tissue mass. Plasma leptin was found to be highly correlated with body mass index (BMI) in rodents and in 87 lean and obese humans. In humans, there was variability in plasma leptin at each BMI suggesting that there are differences in its secretion rate from fat. Weight loss due to food restriction was associated with a decrease in plasma leptin in samples from mice and obese humans.","ISSN":"1078-8956","note":"PMID: 7584987","shortTitle":"Leptin levels in human and rodent","journalAbbreviation":"Nat. Med.","language":"eng","author":[{"family":"Maffei","given":"M"},{"family":"Halaas","given":"J"},{"family":"Ravussin","given":"E"},{"family":"Pratley","given":"R E"},{"family":"Lee","given":"G H"},{"family":"Zhang","given":"Y"},{"family":"Fei","given":"H"},{"family":"Kim","given":"S"},{"family":"Lallone","given":"R"},{"family":"Ranganathan","given":"S"}],"issued":{"date-parts":[["1995",11]]},"PMID":"7584987"}},{"id":275,"uris":["http://zotero.org/users/local/Ry4zHLbn/items/SXXM3WXK"],"uri":["http://zotero.org/users/local/Ry4zHLbn/items/SXXM3WXK"],"itemData":{"id":275,"type":"article-journal","title":"Correlation between plasma leptin concentration and body fat content in dogs","container-title":"American journal of veterinary research","page":"7-10","volume":"63","issue":"1","source":"NCBI PubMed","abstract":"OBJECTIVE: To evaluate the relationship between plasma leptin concentration and body fat content in dogs.\nANIMALS: 20 spayed female Beagles that were 10 months old at the start of the experiment.\nPROCEDURE: Dogs were kept under regulated feeding and exercise conditions for 21 weeks, resulting in a wide range of body weights, body condition scores (BCS), and subcutaneous thicknesses. Plasma leptin concentration was measured by use of a canine leptin-specific ELISA test to evaluate its correlation to body fat content estimated by the deuterium oxide dilution method. Plasma concentrations of glucose, cholesterol, triglycerides (TG), and nonesterified fatty acids (NEFA) were also measured.\nRESULTS: Body fat content (9 to 60% of body weight) was positively and closely correlated (r = 0.920; n = 20; P &lt; 0.001) to plasma leptin concentration (0.67 to 8.06 ng/ml), compared with other variables (ie, glucose, cholesterol, TG, and NEFA; r = 0.142, 0.412, 0.074, and 0.182, respectively).\nCONCLUSIONS AND CLINICAL RELEVANCE: The positive relationship between plasma leptin concentration and body fat content in dogs was similar to correlations reported for humans and rodents, suggesting that plasma leptin is a quantitative marker of adiposity in dogs.","ISSN":"0002-9645","note":"PMID: 16206772","journalAbbreviation":"Am. J. Vet. Res.","language":"eng","author":[{"family":"Sagawa","given":"Mayumi M"},{"family":"Nakadomo","given":"Fumio"},{"family":"Honjoh","given":"Tsutomu"},{"family":"Ishioka","given":"Katsumi"},{"family":"Saito","given":"Masayuki"}],"issued":{"date-parts":[["2002",1]]},"PMID":"16206772"}},{"id":277,"uris":["http://zotero.org/users/local/Ry4zHLbn/items/C86UJ9T2"],"uri":["http://zotero.org/users/local/Ry4zHLbn/items/C86UJ9T2"],"itemData":{"id":277,"type":"article-journal","title":"Experimental and clinical studies on plasma leptin in obese dogs","container-title":"The Journal of veterinary medical science / the Japanese Society of Veterinary Science","page":"349-353","volume":"64","issue":"4","source":"NCBI PubMed","abstract":"Leptin is a protein synthesized and secreted primarily by adipocytes, and the circulating leptin concentration is elevated in obese humans and rodents. Recently, we have established a sandwich enzyme-linked immunosorbent assay for canine leptin. In the present study, plasma leptin concentrations were measured in experimentally developed obese beagles and in clinically obese dogs. When 5 male beagles were given a high-energy diet for 3 months, all of them became obese and the plasma leptin concentration significantly increased from 2.4+/-1.2 to 4.9+/-0.9 ng/ml, positively correlating with body fat content estimated by the deuterium oxide dilution method (r=0.87). The leptin concentrations of plasma samples collected from 59 dogs in veterinary practices were compared with their body condition scores (BCS). The plasma leptin concentrations of obese dogs were 9.7+/-0.7 and 12.3+/-1.5 ng/ml at BCS=4 and BCS=5, respectively, which were significantly higher than those of optimal (BCS=3) dogs (2.7+/-0.3 ng/ml). There was no significant effect of sex and breed. A weak positive correlation (r=0.37) was found between the plasma leptin concentration and age, probably due to the lesser content of visceral fat in puppies younger than 1 year old. These results indicate that plasma leptin is a good index of adiposity in dogs regardless of breed, age and sex, and may be useful for quantitative assessment of obesity in small animal practice.","ISSN":"0916-7250","note":"PMID: 12014581","journalAbbreviation":"J. Vet. Med. Sci.","language":"eng","author":[{"family":"Ishioka","given":"Katsumi"},{"family":"Soliman","given":"Mohamed M"},{"family":"Sagawa","given":"Mayumi"},{"family":"Nakadomo","given":"Fumio"},{"family":"Shibata","given":"Haruki"},{"family":"Honjoh","given":"Tsutomu"},{"family":"Hashimoto","given":"Akira"},{"family":"Kitamura","given":"Hiroshi"},{"family":"Kimura","given":"Kazuhiro"},{"family":"Saito","given":"Masayuki"}],"issued":{"date-parts":[["2002",4]]},"PMID":"12014581"}},{"id":279,"uris":["http://zotero.org/users/local/Ry4zHLbn/items/8B467TE4"],"uri":["http://zotero.org/users/local/Ry4zHLbn/items/8B467TE4"],"itemData":{"id":279,"type":"article-journal","title":"Influence of obesity on plasma lipid and lipoprotein concentrations in dogs","container-title":"American journal of veterinary research","page":"81-86","volume":"66","issue":"1","source":"NCBI PubMed","abstract":"OBJECTIVE: To determine effects of obesity and diet in dogs on plasma lipid and lipoprotein concentrations by assaying plasma leptin and ghrelin concentrations and determining total plasma cholesterol and triglyceride concentrations as well as the concentrations of cholesterol and triglycerides in various lipoprotein classes (ie, very-low-density, low-density, and high-density lipoproteins).\nANIMALS: 24 Beagles; 12 lean (mean [+/- SEM] body weight, 12.7 +/- 0.7 kg) and 12 chronically obese (21.9 +/- 0.8 kg) dogs of both sexes, between 1 and 9 years old.\nPROCEDURES: Total plasma cholesterol and triglyceride concentrations; lipoprotein cholesterol and triglyceride concentrations; and plasma ghrelin, leptin, free fatty acids, insulin, and glucose concentrations were measured and compared between lean and obese dogs, both of which were fed a complete and balanced maintenance diet. Chronically obese dogs were subsequently fed a high-protein low-energy diet to evaluate effects of diet composition on plasma lipid and lipoprotein measurements.\nRESULTS: Chronic obesity resulted in a significant decrease in plasma ghrelin concentration and a significant increase in plasma leptin, cholesterol, and triglyceride concentrations in dogs. High total plasma cholesterol and triglyceride concentrations resulted from increased cholesterol and triglyceride concentrations in all lipoprotein fractions. In obese dogs, modification of diet composition resulted in beneficial effects on plasma lipid and leptin concentrations, even before weight loss was observed.\nCONCLUSIONS AND CLINICAL RELEVANCE: Correlations exist between obesity and plasma measurements (ie, lipoproteins, leptin, insulin, and ghrelin) commonly associated with obesity. Modification of diet composition to control energy intake improves plasma lipid and leptin concentrations in obese dogs.","ISSN":"0002-9645","note":"PMID: 15691040","journalAbbreviation":"Am. J. Vet. Res.","language":"eng","author":[{"family":"Jeusette","given":"Isabelle C"},{"family":"Lhoest","given":"Estelle T"},{"family":"Istasse","given":"Louis P"},{"family":"Diez","given":"Marianne O"}],"issued":{"date-parts":[["2005",1]]},"PMID":"15691040"}}],"schema":"https://github.com/citation-style-language/schema/raw/master/csl-citation.json"} </w:instrText>
      </w:r>
      <w:r w:rsidRPr="003A0EF9">
        <w:fldChar w:fldCharType="separate"/>
      </w:r>
      <w:r w:rsidRPr="00636862">
        <w:rPr>
          <w:vertAlign w:val="superscript"/>
        </w:rPr>
        <w:t>152–157</w:t>
      </w:r>
      <w:r w:rsidRPr="003A0EF9">
        <w:fldChar w:fldCharType="end"/>
      </w:r>
      <w:r w:rsidRPr="003A0EF9">
        <w:t xml:space="preserve">  </w:t>
      </w:r>
      <w:proofErr w:type="gramStart"/>
      <w:r>
        <w:t>In</w:t>
      </w:r>
      <w:proofErr w:type="gramEnd"/>
      <w:r>
        <w:t xml:space="preserve"> chronically obese mice</w:t>
      </w:r>
      <w:r w:rsidRPr="003A0EF9">
        <w:t>, leptin is elevated and unable to assert its antiobesity effects.  In people, serum leptin concentration is 4 times higher in obese individuals versus those with a normal weight, with a strong positive correlation  to the level of fat mass.</w:t>
      </w:r>
      <w:r w:rsidRPr="003A0EF9">
        <w:fldChar w:fldCharType="begin"/>
      </w:r>
      <w:r>
        <w:instrText xml:space="preserve"> ADDIN ZOTERO_ITEM CSL_CITATION {"citationID":"4Vyrim9v","properties":{"formattedCitation":"{\\rtf \\super 153\\nosupersub{}}","plainCitation":"153"},"citationItems":[{"id":271,"uris":["http://zotero.org/users/local/Ry4zHLbn/items/MI4TTAGJ"],"uri":["http://zotero.org/users/local/Ry4zHLbn/items/MI4TTAGJ"],"itemData":{"id":271,"type":"article-journal","title":"Serum immunoreactive-leptin concentrations in normal-weight and obese humans","container-title":"The New England journal of medicine","page":"292-295","volume":"334","issue":"5","source":"NCBI PubMed","abstract":"BACKGROUND: Leptin, the product of the ob gene, is a hormone secreted by adipocytes. Animals with mutations in the ob gene are obese and lose weight when given leptin, but little is known about the physiologic actions of leptin in humans.\nMETHODS: Using a newly developed radioimmunoassay, wer measured serum concentrations of leptin in 136 normal-weight subjects and 139 obese subjects (body-mass index, &gt; or = 27.3 for men and &gt; or = 27.8 for women; the body-mass index was defined as the weight in kilograms divided by the square of the height in meters). The measurements were repeated in seven obese subjects after weight loss and during maintenance of the lower weight. The ob messenger RNA (mRNA) content of adipocytes was determined in 27 normal-weight and 27 obese subjects.\nRESULTS: The mean (+/- SD) serum leptin concentrations were 31.3 +/- 24.1 ng per milliliter in the obese subjects and 7.5 +/- 9.3 ng per milliliter in the normal-weight subjects (P &lt; 0.001). There was a strong positive correlation between serum leptin concentrations and the percentage of body fat (r = 0.85, P &lt; 0.001). The ob mRNA content of adipocytes was about twice as high in the obese subjects as in the normal-weight subjects (P &lt; 0.001) and was correlated with the percentage of body fat (r = 0.68, P &lt; 0.001) in the 54 subjects in whom it was measured. In the seven obese subjects studied after weight loss, both serum leptin concentrations and ob mRNA content of adipocytes declined, but these measures increased again during the maintenance of the lower weight.\nCONCLUSIONS: Serum leptin concentrations are correlated with the percentage of body fat, suggesting that most obese persons are insensitive to endogenous leptin production.","DOI":"10.1056/NEJM199602013340503","ISSN":"0028-4793","note":"PMID: 8532024","journalAbbreviation":"N. Engl. J. Med.","language":"eng","author":[{"family":"Considine","given":"R V"},{"family":"Sinha","given":"M K"},{"family":"Heiman","given":"M L"},{"family":"Kriauciunas","given":"A"},{"family":"Stephens","given":"T W"},{"family":"Nyce","given":"M R"},{"family":"Ohannesian","given":"J P"},{"family":"Marco","given":"C C"},{"family":"McKee","given":"L J"},{"family":"Bauer","given":"T L"}],"issued":{"date-parts":[["1996",2,1]]},"PMID":"8532024"}}],"schema":"https://github.com/citation-style-language/schema/raw/master/csl-citation.json"} </w:instrText>
      </w:r>
      <w:r w:rsidRPr="003A0EF9">
        <w:fldChar w:fldCharType="separate"/>
      </w:r>
      <w:r w:rsidRPr="00636862">
        <w:rPr>
          <w:vertAlign w:val="superscript"/>
        </w:rPr>
        <w:t>153</w:t>
      </w:r>
      <w:r w:rsidRPr="003A0EF9">
        <w:fldChar w:fldCharType="end"/>
      </w:r>
      <w:r w:rsidRPr="003A0EF9">
        <w:t xml:space="preserve">  Similar results are seen when lean dogs (BCS 3/5) are compared to obese dogs (BCS 5/5), regardless of gender or breed.</w:t>
      </w:r>
      <w:r w:rsidRPr="003A0EF9">
        <w:fldChar w:fldCharType="begin"/>
      </w:r>
      <w:r>
        <w:instrText xml:space="preserve"> ADDIN ZOTERO_ITEM CSL_CITATION {"citationID":"hVuruot1","properties":{"formattedCitation":"{\\rtf \\super 17,156\\nosupersub{}}","plainCitation":"17,156"},"citationItems":[{"id":277,"uris":["http://zotero.org/users/local/Ry4zHLbn/items/C86UJ9T2"],"uri":["http://zotero.org/users/local/Ry4zHLbn/items/C86UJ9T2"],"itemData":{"id":277,"type":"article-journal","title":"Experimental and clinical studies on plasma leptin in obese dogs","container-title":"The Journal of veterinary medical science / the Japanese Society of Veterinary Science","page":"349-353","volume":"64","issue":"4","source":"NCBI PubMed","abstract":"Leptin is a protein synthesized and secreted primarily by adipocytes, and the circulating leptin concentration is elevated in obese humans and rodents. Recently, we have established a sandwich enzyme-linked immunosorbent assay for canine leptin. In the present study, plasma leptin concentrations were measured in experimentally developed obese beagles and in clinically obese dogs. When 5 male beagles were given a high-energy diet for 3 months, all of them became obese and the plasma leptin concentration significantly increased from 2.4+/-1.2 to 4.9+/-0.9 ng/ml, positively correlating with body fat content estimated by the deuterium oxide dilution method (r=0.87). The leptin concentrations of plasma samples collected from 59 dogs in veterinary practices were compared with their body condition scores (BCS). The plasma leptin concentrations of obese dogs were 9.7+/-0.7 and 12.3+/-1.5 ng/ml at BCS=4 and BCS=5, respectively, which were significantly higher than those of optimal (BCS=3) dogs (2.7+/-0.3 ng/ml). There was no significant effect of sex and breed. A weak positive correlation (r=0.37) was found between the plasma leptin concentration and age, probably due to the lesser content of visceral fat in puppies younger than 1 year old. These results indicate that plasma leptin is a good index of adiposity in dogs regardless of breed, age and sex, and may be useful for quantitative assessment of obesity in small animal practice.","ISSN":"0916-7250","note":"PMID: 12014581","journalAbbreviation":"J. Vet. Med. Sci.","language":"eng","author":[{"family":"Ishioka","given":"Katsumi"},{"family":"Soliman","given":"Mohamed M"},{"family":"Sagawa","given":"Mayumi"},{"family":"Nakadomo","given":"Fumio"},{"family":"Shibata","given":"Haruki"},{"family":"Honjoh","given":"Tsutomu"},{"family":"Hashimoto","given":"Akira"},{"family":"Kitamura","given":"Hiroshi"},{"family":"Kimura","given":"Kazuhiro"},{"family":"Saito","given":"Masayuki"}],"issued":{"date-parts":[["2002",4]]},"PMID":"12014581"}},{"id":287,"uris":["http://zotero.org/users/local/Ry4zHLbn/items/CKGM6JWG"],"uri":["http://zotero.org/users/local/Ry4zHLbn/items/CKGM6JWG"],"itemData":{"id":287,"type":"article-journal","title":"Plasma leptin concentration in dogs: effects of body condition score, age, gender and breeds","container-title":"Research in veterinary science","page":"11-15","volume":"82","issue":"1","source":"NCBI PubMed","abstract":"Leptin is a cytokine produced by adipocytes, and plays a key role in the regulation of energy balance. In the present study, we measured plasma leptin concentrations of 166 normal and obese dogs visiting veterinary practices, and clarified the influence of age, gender and breed on plasma leptin levels in dogs. Leptin levels were higher in the dogs with higher body condition scores. There was no noticeable influence of age, gender and breed, but those in optimal puppies and obese Miniature Dachshund tended to be lower than those in corresponding groups. We conclude that plasma leptin is a reliable marker of adiposity in dogs regardless of age, gender and breed variations, and thereby useful as a blood biochemistry test for health examinations and treatment of obesity.","DOI":"10.1016/j.rvsc.2006.06.002","ISSN":"0034-5288","note":"PMID: 16919691","shortTitle":"Plasma leptin concentration in dogs","journalAbbreviation":"Res. Vet. Sci.","language":"eng","author":[{"family":"Ishioka","given":"K"},{"family":"Hosoya","given":"K"},{"family":"Kitagawa","given":"H"},{"family":"Shibata","given":"H"},{"family":"Honjoh","given":"T"},{"family":"Kimura","given":"K"},{"family":"Saito","given":"M"}],"issued":{"date-parts":[["2007",2]]},"PMID":"16919691"}}],"schema":"https://github.com/citation-style-language/schema/raw/master/csl-citation.json"} </w:instrText>
      </w:r>
      <w:r w:rsidRPr="003A0EF9">
        <w:fldChar w:fldCharType="separate"/>
      </w:r>
      <w:r w:rsidRPr="00636862">
        <w:rPr>
          <w:vertAlign w:val="superscript"/>
        </w:rPr>
        <w:t>17,156</w:t>
      </w:r>
      <w:r w:rsidRPr="003A0EF9">
        <w:fldChar w:fldCharType="end"/>
      </w:r>
      <w:r>
        <w:t xml:space="preserve">  In the dogs reported here, leptin levels were also associated with the level of fat mass, with a corresponding change as body mass evolved with treatment.  </w:t>
      </w:r>
      <w:r w:rsidRPr="003A0EF9">
        <w:t>In obese dogs, leptin levels decrease by 25% four weeks after consuming 45% less calories based on their target body weight</w:t>
      </w:r>
      <w:r>
        <w:t>,</w:t>
      </w:r>
      <w:r w:rsidRPr="003A0EF9">
        <w:t xml:space="preserve"> despite maintaining a consistent body weight over that time frame.</w:t>
      </w:r>
      <w:r w:rsidRPr="003A0EF9">
        <w:fldChar w:fldCharType="begin"/>
      </w:r>
      <w:r>
        <w:instrText xml:space="preserve"> ADDIN ZOTERO_ITEM CSL_CITATION {"citationID":"Qme3c8Yz","properties":{"formattedCitation":"{\\rtf \\super 157\\nosupersub{}}","plainCitation":"157"},"citationItems":[{"id":279,"uris":["http://zotero.org/users/local/Ry4zHLbn/items/8B467TE4"],"uri":["http://zotero.org/users/local/Ry4zHLbn/items/8B467TE4"],"itemData":{"id":279,"type":"article-journal","title":"Influence of obesity on plasma lipid and lipoprotein concentrations in dogs","container-title":"American journal of veterinary research","page":"81-86","volume":"66","issue":"1","source":"NCBI PubMed","abstract":"OBJECTIVE: To determine effects of obesity and diet in dogs on plasma lipid and lipoprotein concentrations by assaying plasma leptin and ghrelin concentrations and determining total plasma cholesterol and triglyceride concentrations as well as the concentrations of cholesterol and triglycerides in various lipoprotein classes (ie, very-low-density, low-density, and high-density lipoproteins).\nANIMALS: 24 Beagles; 12 lean (mean [+/- SEM] body weight, 12.7 +/- 0.7 kg) and 12 chronically obese (21.9 +/- 0.8 kg) dogs of both sexes, between 1 and 9 years old.\nPROCEDURES: Total plasma cholesterol and triglyceride concentrations; lipoprotein cholesterol and triglyceride concentrations; and plasma ghrelin, leptin, free fatty acids, insulin, and glucose concentrations were measured and compared between lean and obese dogs, both of which were fed a complete and balanced maintenance diet. Chronically obese dogs were subsequently fed a high-protein low-energy diet to evaluate effects of diet composition on plasma lipid and lipoprotein measurements.\nRESULTS: Chronic obesity resulted in a significant decrease in plasma ghrelin concentration and a significant increase in plasma leptin, cholesterol, and triglyceride concentrations in dogs. High total plasma cholesterol and triglyceride concentrations resulted from increased cholesterol and triglyceride concentrations in all lipoprotein fractions. In obese dogs, modification of diet composition resulted in beneficial effects on plasma lipid and leptin concentrations, even before weight loss was observed.\nCONCLUSIONS AND CLINICAL RELEVANCE: Correlations exist between obesity and plasma measurements (ie, lipoproteins, leptin, insulin, and ghrelin) commonly associated with obesity. Modification of diet composition to control energy intake improves plasma lipid and leptin concentrations in obese dogs.","ISSN":"0002-9645","note":"PMID: 15691040","journalAbbreviation":"Am. J. Vet. Res.","language":"eng","author":[{"family":"Jeusette","given":"Isabelle C"},{"family":"Lhoest","given":"Estelle T"},{"family":"Istasse","given":"Louis P"},{"family":"Diez","given":"Marianne O"}],"issued":{"date-parts":[["2005",1]]},"PMID":"15691040"}}],"schema":"https://github.com/citation-style-language/schema/raw/master/csl-citation.json"} </w:instrText>
      </w:r>
      <w:r w:rsidRPr="003A0EF9">
        <w:fldChar w:fldCharType="separate"/>
      </w:r>
      <w:r w:rsidRPr="00636862">
        <w:rPr>
          <w:vertAlign w:val="superscript"/>
        </w:rPr>
        <w:t>157</w:t>
      </w:r>
      <w:r w:rsidRPr="003A0EF9">
        <w:fldChar w:fldCharType="end"/>
      </w:r>
      <w:r w:rsidRPr="003A0EF9">
        <w:t xml:space="preserve">  After weight loss is achiev</w:t>
      </w:r>
      <w:r>
        <w:t>ed, leptin levels decrease 74.5</w:t>
      </w:r>
      <w:r w:rsidRPr="003A0EF9">
        <w:t>%, but weight maintenance values in dogs have not been determined.</w:t>
      </w:r>
      <w:r w:rsidRPr="003A0EF9">
        <w:fldChar w:fldCharType="begin"/>
      </w:r>
      <w:r w:rsidR="000A492A">
        <w:instrText xml:space="preserve"> ADDIN ZOTERO_ITEM CSL_CITATION {"citationID":"3BRlwxrl","properties":{"formattedCitation":"{\\rtf \\super 103\\nosupersub{}}","plainCitation":"103"},"citationItems":[{"id":191,"uris":["http://zotero.org/users/local/Ry4zHLbn/items/B3FJ9CVI"],"uri":["http://zotero.org/users/local/Ry4zHLbn/items/B3FJ9CVI"],"itemData":{"id":191,"type":"article-journal","title":"Effects of chronic obesity and weight loss on plasma ghrelin and leptin concentrations in dogs","container-title":"Research in veterinary science","page":"169-175","volume":"79","issue":"2","source":"NCBI PubMed","abstract":"The objective of this study was to evaluate, in dogs, the effects of obesity and weight loss on plasma total ghrelin and leptin concentrations. Twenty-four Beagle dogs, 12 control lean and 12 obese dogs of both genders and aged between 1 and 9 years, were used for the experiments. Mean body weight was 12.7+/-0.7 kg for the lean group and 21.9+/-0.8 kg for the obese group. The trial was divided into three phases. During phase 1, all 24 Beagle dogs were fed a maintenance diet. During phase 2, the obese dogs were submitted to a weight loss protocol with a high protein-low energy diet. The weight loss protocol ended once dogs reached optimal body weight. During phase 3, the dogs that were submitted to the weight loss protocol were maintained at their optimal body weight for 6 months. Plasma total ghrelin, leptin, insulin and glucose concentrations were measured to evaluate the effects of obesity and weight loss on these parameters in dogs. Body weight, body condition score, thoracic and pelvic perimeters, and ingested food amounts were also recorded during the study. Obese dogs demonstrated a significant decrease in plasma ghrelin and a significant increase in plasma leptin and insulin concentrations when compared with control dogs. During weight loss, significant increases in plasma total ghrelin and glucose and significant decreases in plasma leptin and insulin were observed. The increase in plasma ghrelin concentrations seemed to be transient. Body weight and the morphometric parameters correlated positively with leptin concentrations and negatively with total ghrelin concentrations. These results suggest that ghrelin and leptin could play a role in dogs in the adaptation to a positive or negative energy balance, as observed in humans.","DOI":"10.1016/j.rvsc.2004.11.012","ISSN":"0034-5288","note":"PMID: 15924935","journalAbbreviation":"Res. Vet. Sci.","language":"eng","author":[{"family":"Jeusette","given":"Isabelle C"},{"family":"Detilleux","given":"Johanne"},{"family":"Shibata","given":"Haruki"},{"family":"Saito","given":"Masayuki"},{"family":"Honjoh","given":"Tsutomu"},{"family":"Delobel","given":"Agathe"},{"family":"Istasse","given":"Louis"},{"family":"Diez","given":"Marianne"}],"issued":{"date-parts":[["2005",10]]},"PMID":"15924935"}}],"schema":"https://github.com/citation-style-language/schema/raw/master/csl-citation.json"} </w:instrText>
      </w:r>
      <w:r w:rsidRPr="003A0EF9">
        <w:fldChar w:fldCharType="separate"/>
      </w:r>
      <w:r w:rsidR="000A492A" w:rsidRPr="000A492A">
        <w:rPr>
          <w:vertAlign w:val="superscript"/>
        </w:rPr>
        <w:t>103</w:t>
      </w:r>
      <w:r w:rsidRPr="003A0EF9">
        <w:fldChar w:fldCharType="end"/>
      </w:r>
      <w:r w:rsidRPr="003A0EF9">
        <w:t xml:space="preserve">  </w:t>
      </w:r>
      <w:r>
        <w:t>Over twelve weeks, overall leptin values increased in current dogs maintaining body weight; even though their body weight and fat mass remained relatively stable (</w:t>
      </w:r>
      <w:r>
        <w:rPr>
          <w:color w:val="FF0000"/>
        </w:rPr>
        <w:t>Chapter I and II)</w:t>
      </w:r>
      <w:r>
        <w:t xml:space="preserve">. </w:t>
      </w:r>
      <w:r w:rsidRPr="003A0EF9">
        <w:t xml:space="preserve"> </w:t>
      </w:r>
      <w:r>
        <w:t>It</w:t>
      </w:r>
      <w:r w:rsidRPr="003A0EF9">
        <w:t xml:space="preserve"> exhibits diurnal variation, with lowest levels just prior to an accustomed feeding time, and highest levels 8 hours postprandial in dogs.</w:t>
      </w:r>
      <w:r w:rsidRPr="003A0EF9">
        <w:fldChar w:fldCharType="begin"/>
      </w:r>
      <w:r>
        <w:instrText xml:space="preserve"> ADDIN ZOTERO_ITEM CSL_CITATION {"citationID":"wBFypYlw","properties":{"formattedCitation":"{\\rtf \\super 144\\nosupersub{}}","plainCitation":"144"},"citationItems":[{"id":261,"uris":["http://zotero.org/users/local/Ry4zHLbn/items/GTC6WIUN"],"uri":["http://zotero.org/users/local/Ry4zHLbn/items/GTC6WIUN"],"itemData":{"id":261,"type":"article-journal","title":"Diurnal variations of serum leptin in dogs: effects of fasting and re-feeding","container-title":"Veterinary journal (London, England: 1997)","page":"85-90","volume":"169","issue":"1","source":"NCBI PubMed","abstract":"Leptin is a protein synthesized and secreted primarily by adipocytes, and plays a key role in the regulation of energy balance. We have reported that serum leptin is elevated in obese dogs. In the present study, we examined diurnal variations of serum leptin in the dog, with special references to feeding and fasting cycles. Four male beagles were accustomed to feed once a day at 10:00 h, and blood samples were taken every 3 h for 24-36 h. Serum leptin concentration showed clear diurnal variations, being lowest before food intake (2.3+/-0.5 ng/mL) at 09:00 h, and highest (10.5+/-2.4 ng/mL) at 18:00 h. Such diurnal variations disappeared when the dogs were fasted. Serum insulin also showed diurnal variation with higher levels at 12:00-15:00 h. When insulin or glucose was injected in the fasted dogs to mimic the post-prandial insulin rise, serum leptin concentration was significantly increased in 4-8 h, but in both cases to a lesser extents than those after food intake. The results indicate that serum leptin concentrations change diurnally in association with feeding-fasting cycles in the dog, partially due to changes in insulin secretion.","DOI":"10.1016/j.tvjl.2004.01.003","ISSN":"1090-0233","note":"PMID: 15683767","shortTitle":"Diurnal variations of serum leptin in dogs","journalAbbreviation":"Vet. J.","language":"eng","author":[{"family":"Ishioka","given":"K"},{"family":"Hatai","given":"H"},{"family":"Komabayashi","given":"K"},{"family":"Soliman","given":"M M"},{"family":"Shibata","given":"H"},{"family":"Honjoh","given":"T"},{"family":"Kimura","given":"K"},{"family":"Saito","given":"M"}],"issued":{"date-parts":[["2005",1]]},"PMID":"15683767"}}],"schema":"https://github.com/citation-style-language/schema/raw/master/csl-citation.json"} </w:instrText>
      </w:r>
      <w:r w:rsidRPr="003A0EF9">
        <w:fldChar w:fldCharType="separate"/>
      </w:r>
      <w:r w:rsidRPr="00C13C7E">
        <w:rPr>
          <w:vertAlign w:val="superscript"/>
        </w:rPr>
        <w:t>144</w:t>
      </w:r>
      <w:r w:rsidRPr="003A0EF9">
        <w:fldChar w:fldCharType="end"/>
      </w:r>
      <w:r>
        <w:t xml:space="preserve">  This overall pattern was also seen with the current dogs, regardless of treatment.</w:t>
      </w:r>
    </w:p>
    <w:p w:rsidR="005817F5" w:rsidRDefault="00962491" w:rsidP="005817F5">
      <w:pPr>
        <w:ind w:firstLine="720"/>
      </w:pPr>
      <w:r w:rsidRPr="003A0EF9">
        <w:t>There is conflicting evidence regarding total adiponectin levels in obese dogs.  Some have found obese levels to be similar to levels seen in lean dogs</w:t>
      </w:r>
      <w:r>
        <w:t>,</w:t>
      </w:r>
      <w:r>
        <w:fldChar w:fldCharType="begin"/>
      </w:r>
      <w:r w:rsidR="000A492A">
        <w:instrText xml:space="preserve"> ADDIN ZOTERO_ITEM CSL_CITATION {"citationID":"FjA45z46","properties":{"formattedCitation":"{\\rtf \\super 145,248,249\\nosupersub{}}","plainCitation":"145,248,249"},"citationItems":[{"id":"sfRcBkgw/imMslKgT","uris":["http://zotero.org/users/local/Ry4zHLbn/items/QCR9RKRK"],"uri":["http://zotero.org/users/local/Ry4zHLbn/items/QCR9RKRK"],"itemData":{"id":"sfRcBkgw/imMslKgT","type":"article-journal","title":"The effects of weight loss on adipokines and markers of inflammation in dogs","container-title":"The British journal of nutrition","page":"S11-14","volume":"106 Suppl 1","source":"NCBI PubMed","abstract":"Evidence suggests that adipose tissue-derived adipokines induce mild inflammation and may play a role in insulin resistance associated with diabetes. The present study was designed to examine a series of adipokines and markers of inflammation in dogs before and after a successful weight loss. The study included fasting serum samples from twenty-five dogs before and after a weight-loss programme. Serum C-reactive protein (CRP) and monocyte chemoattractant protein-1 (MCP-1) were measured as indicators of chronic inflammation, while serum adipokines including total adiponectin, high-molecular-weight (HMW) adiponectin, resistin and leptin were also examined. Medians for CRP (before, 10.0 (interquartile range 5.4-15.0) μg/ml; after, 5.6 (interquartile range 3.8-7.0) μg/ml) and MCP-1 (before, 212 (interquartile range 157-288) ng/ml; after, 185 (interquartile range 143-215) ng/ml) decreased significantly after weight loss. Medians for resistin showed a mild, yet significant reduction (before, 67.1 (interquartile range 44.4-88.5) pg/ml; after, 60.5 (interquartile range 32.3-67.1) pg/ml), while leptin showed a dramatic decrease after weight loss (before, 18.9 (interquartile range 10.8-35.4) ng/ml; after, 6.6 (interquartile range 3.9-10.2) ng/ml). Serum total adiponectin and HMW adiponectin were unchanged on all analyses performed. These data suggest that weight loss can decrease chronic inflammation; however, the clinical implications of this decrease are not well elucidated in dogs. Surprisingly, there was no increase in total or HMW serum adiponectin after weight loss, as observed previously in human subjects. The lack of change in total and HMW adiponectin might explain why insulin resistance and type 2 diabetes are less prevalent in obese dogs when compared with humans and cats.","DOI":"10.1017/S0007114511000560","ISSN":"1475-2662","note":"PMID: 22005402","journalAbbreviation":"Br. J. Nutr.","language":"eng","author":[{"family":"Wakshlag","given":"Joseph J"},{"family":"Struble","given":"Angela M"},{"family":"Levine","given":"Corri B"},{"family":"Bushey","given":"Jennifer J"},{"family":"Laflamme","given":"Dorothy P"},{"family":"Long","given":"Grace M"}],"issued":{"year":2011,"month":10},"PMID":"22005402","page-first":"S11","container-title-short":"Br. J. Nutr."}},{"id":"sfRcBkgw/0fwnw5vE","uris":["http://zotero.org/users/local/Ry4zHLbn/items/RBZIFQW7"],"uri":["http://zotero.org/users/local/Ry4zHLbn/items/RBZIFQW7"],"itemData":{"id":"sfRcBkgw/0fwnw5vE","type":"article-journal","title":"Distinct adiponectin profiles might contribute to differences in susceptibility to type 2 diabetes in dogs and humans","container-title":"Domestic animal endocrinology","page":"67-73","volume":"41","issue":"2","source":"NCBI PubMed","abstract":"Dogs develop obesity-associated insulin resistance but not type 2 diabetes mellitus. Low adiponectin is associated with progression to type 2 diabetes in obese humans. The aims of this study were to compare total and high molecular weight (HMW) adiponectin and the ratio of HMW to total adiponectin (S(A)) between dogs and humans and to examine whether total or HMW adiponectin or both are associated with insulin resistance in naturally occurring obese dogs. We compared adiponectin profiles between 10 lean dogs and 10 lean humans and between 6 lean dogs and 6 age- and sex-matched, client-owned obese dogs. Total adiponectin was measured with assays validated in each species. We measured S(A) with velocity centrifugation on sucrose gradients. The effect of total and HMW adiponectin concentrations on MINMOD-estimated insulin sensitivity was assessed with linear regression. Lean dogs had total and HMW adiponectin concentrations three to four times higher than lean humans (total: dogs 32 ± 5.6 mg/L, humans 10 ± 1.3 mg/L, P&lt;0.001; HMW: dogs 25 ± 4.5 mg/L, humans 6 ± 1.3 mg/L, P&lt;0.001) and a higher S(A) (dogs: 0.78 ± 0.05; humans: 0.54 ± 0.08, P = 0.002). Adiponectin concentrations and S(A) were not lower in obese dogs (0.76 ± 0.05 in both groups; P=1). Total adiponectin, HMW adiponectin, and S(A) were not associated with insulin sensitivity in dogs. We propose that differences in adiponectin profiles between humans and dogs might contribute to the propensity of humans but not dogs to develop type 2 diabetes. Dogs with chronic, naturally occurring obesity do not have selectively reduced HMW adiponectin, and adiponectin does not appear to be important in the development of canine obesity-associated insulin resistance.","DOI":"10.1016/j.domaniend.2011.03.003","ISSN":"1879-0054","note":"PMID: 21600725","journalAbbreviation":"Domest. Anim. Endocrinol.","language":"eng","author":[{"family":"Verkest","given":"K R"},{"family":"Rand","given":"J S"},{"family":"Fleeman","given":"L M"},{"family":"Morton","given":"J M"},{"family":"Richards","given":"A A"},{"family":"Rose","given":"F J"},{"family":"Whitehead","given":"J P"}],"issued":{"year":2011,"month":8},"PMID":"21600725","page-first":"67","container-title-short":"Domest. Anim. Endocrinol."}},{"id":"sfRcBkgw/Mv2E0of4","uris":["http://zotero.org/users/local/Ry4zHLbn/items/T3HJ3BEN"],"uri":["http://zotero.org/users/local/Ry4zHLbn/items/T3HJ3BEN"],"itemData":{"id":"sfRcBkgw/Mv2E0of4","type":"article-journal","title":"Improvement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Endocrinol."}}],"schema":"https://github.com/citation-style-language/schema/raw/master/csl-citation.json"} </w:instrText>
      </w:r>
      <w:r>
        <w:fldChar w:fldCharType="separate"/>
      </w:r>
      <w:r w:rsidR="000A492A" w:rsidRPr="000A492A">
        <w:rPr>
          <w:vertAlign w:val="superscript"/>
        </w:rPr>
        <w:t>145,248,249</w:t>
      </w:r>
      <w:r>
        <w:fldChar w:fldCharType="end"/>
      </w:r>
      <w:r w:rsidRPr="003A0EF9">
        <w:t xml:space="preserve"> while others have found lower levels in obese versus lean dogs.</w:t>
      </w:r>
      <w:r w:rsidRPr="003A0EF9">
        <w:fldChar w:fldCharType="begin"/>
      </w:r>
      <w:r w:rsidR="000A492A">
        <w:instrText xml:space="preserve"> ADDIN ZOTERO_ITEM CSL_CITATION {"citationID":"7WwKtUPg","properties":{"formattedCitation":"{\\rtf \\super 250\\uc0\\u8211{}252\\nosupersub{}}","plainCitation":"250–252"},"citationItems":[{"id":321,"uris":["http://zotero.org/users/local/Ry4zHLbn/items/SAVEQ6DH"],"uri":["http://zotero.org/users/local/Ry4zHLbn/items/SAVEQ6DH"],"itemData":{"id":321,"type":"article-journal","title":"Canine adiponectin: cDNA structure, mRNA expression in adipose tissues and reduced plasma levels in obesity","container-title":"Research in veterinary science","page":"127-132","volume":"80","issue":"2","source":"NCBI PubMed","abstract":"Adiponectin is a protein synthesized and secreted by adipocytes. Decreased adiponectin is responsible for insulin resistance and atherosclerosis associated with human obesity. We obtained a cDNA clone corresponding to canine adiponectin, whose nucleotide and deduced amino acid sequences were highly identical to those of other species. Adiponectin mRNA was detected in adipose tissues, but not in other tissues, of dogs. When 22 adult beagles were given a high-energy diet for 14 weeks, they became obese, showing heavier body weights, higher plasma leptin concentrations, but lower plasma adiponectin concentrations. The adiponectin concentrations of plasma samples collected from 71 dogs visiting veterinary practices were negatively correlated to plasma leptin concentrations, being lower in obese than non-obese dogs. These results are compatible with those reported in other species, and suggest that adiponectin is an index of adiposity and a target molecule for studies on diseases associated with obesity in dogs.","DOI":"10.1016/j.rvsc.2005.05.011","ISSN":"0034-5288","note":"PMID: 16051287","shortTitle":"Canine adiponectin","journalAbbreviation":"Res. Vet. Sci.","language":"eng","author":[{"family":"Ishioka","given":"K"},{"family":"Omachi","given":"A"},{"family":"Sagawa","given":"M"},{"family":"Shibata","given":"H"},{"family":"Honjoh","given":"T"},{"family":"Kimura","given":"K"},{"family":"Saito","given":"M"}],"issued":{"date-parts":[["2006",4]]},"PMID":"16051287"}},{"id":384,"uris":["http://zotero.org/users/171999/items/26SKV3UZ"],"uri":["http://zotero.org/users/171999/items/26SKV3UZ"],"itemData":{"id":384,"type":"article-journal","title":"Effect of weight loss on inflammatory biomarkers in obese dogs","container-title":"Veterinary journal (London, England: 1997)","page":"570-572","volume":"193","issue":"2","source":"NCBI PubMed","abstract":"The objective of this study was to evaluate the effects of weight loss on selected serum inflammatory biomarkers in obese dogs. An experimentally induced bodyweight reduction of approximately 2.5%/week was accompanied by significant decreases in metabolic markers of obesity (lipidic profile, fructosamine, and insulin-like growth factor-1). The concentrations of acute phase proteins and of selected cytokines remained within reference ranges in obese dogs during weight loss, suggesting that significant inflammation was not a major component of this experimental model. However, adiponectin concentrations increased following the period of weight loss suggesting reduced susceptibility of these animals to obesity-related inflammation.","DOI":"10.1016/j.tvjl.2012.02.015","ISSN":"1532-2971","note":"PMID: 22464400","journalAbbreviation":"Vet. J.","language":"eng","author":[{"family":"Tvarijonaviciute","given":"Asta"},{"family":"Tecles","given":"Fernando"},{"family":"Martínez-Subiela","given":"Silvia"},{"family":"Cerón","given":"José J"}],"issued":{"date-parts":[["2012",8]]},"PMID":"22464400"}},{"id":428,"uris":["http://zotero.org/users/171999/items/NVGTTF9T"],"uri":["http://zotero.org/users/171999/items/NVGTTF9T"],"itemData":{"id":428,"type":"article-journal","title":"Comparison of Adipokine Concentrations and Markers of Inflammation in Obese Versus Lean Dogs","container-title":"International Journal of Applied Research in Veterinary Medicine","page":"196-205","volume":"7","issue":"4","source":"ISI Web of Knowledge","abstract":"The purpose of this study was to compare the concentrations of key adipokines and markers of inflammation associated with obesity in a population of healthy lean versus obese pet dogs. Dogs were determined to be in good health based on medical history, physical examination, complete blood count, serum biochemistry profile, and urinalysis. Adult dogs between 2 and 7 years of age were assigned to either the lean group [body condition score (BCS) = 4-5/9; n=39] or the obese group [BCS= 7-9/9; n=37]. Sampling before daily feeding circulating concentrations of C-reactive protein (CRP), adiponectin, resistin, insulin, leptin, interleukin-6 (IL-6) and tumor necrosis factor-alpha (TNT were measured. Groups were compared using Chi-Square and Mann-Whitney U tests. No significant differences between groups were detected in age (p=0.16) or gender (p=0.34). Median CRP concentration was significantly higher in the obese group [median 0.94 ug/ml (0.47-6.22 ug/ml)], versus the lean group [median 0.72 ug/ml (0.45-6.04 ug/ml); p=0.03]. The lean group had higher median adiponectin concentration [median 21.84 ug/ml (3.08-79.14 ug/ml)] compared to the obese group [median 15.27 ug/ml (1.97-42.76 ug/ml); p=0.004]. Statistical analysis for IL-6 and TNF was not performed because &gt; 50% of samples either failed due to methodological issues or were below the level of detection. Differences between groups in insulin, glucose, insulin:glucose ratio, and leptin concentrations were not detected in this study.Additional studies in dogs are warranted to further evaluate mechanisms and clinical significance of adipokines and inflammatory mediators associated with obesity.","ISSN":"1542-2666","note":"WOS:000284802600008","journalAbbreviation":"Int. J. Appl. Res. Vet. Med.","language":"English","author":[{"family":"Eirmann","given":"Laura A."},{"family":"Freeman","given":"Lisa M."},{"family":"Laflamme","given":"Dorothy P."},{"family":"Michel","given":"Kathryn E."},{"family":"Satyaraj","given":"Ebenezer"}],"issued":{"date-parts":[["2009"]]}}}],"schema":"https://github.com/citation-style-language/schema/raw/master/csl-citation.json"} </w:instrText>
      </w:r>
      <w:r w:rsidRPr="003A0EF9">
        <w:fldChar w:fldCharType="separate"/>
      </w:r>
      <w:r w:rsidR="000A492A" w:rsidRPr="000A492A">
        <w:rPr>
          <w:vertAlign w:val="superscript"/>
        </w:rPr>
        <w:t>250–252</w:t>
      </w:r>
      <w:r w:rsidRPr="003A0EF9">
        <w:fldChar w:fldCharType="end"/>
      </w:r>
      <w:r w:rsidRPr="003A0EF9">
        <w:t xml:space="preserve">  </w:t>
      </w:r>
      <w:r>
        <w:t>A review of the two largest studies with conflicting results</w:t>
      </w:r>
      <w:r w:rsidRPr="003A0EF9">
        <w:t xml:space="preserve"> conclude</w:t>
      </w:r>
      <w:r>
        <w:t>d</w:t>
      </w:r>
      <w:r w:rsidRPr="003A0EF9">
        <w:t xml:space="preserve"> there </w:t>
      </w:r>
      <w:r>
        <w:t>is no</w:t>
      </w:r>
      <w:r w:rsidRPr="003A0EF9">
        <w:t xml:space="preserve"> sex-related difference in total adiponectin concentrations </w:t>
      </w:r>
      <w:r>
        <w:t xml:space="preserve">and </w:t>
      </w:r>
      <w:r w:rsidRPr="003A0EF9">
        <w:t>obesity may decrease concentrations in intact but not in neutered dogs</w:t>
      </w:r>
      <w:r>
        <w:t>.</w:t>
      </w:r>
      <w:r w:rsidRPr="003A0EF9">
        <w:fldChar w:fldCharType="begin"/>
      </w:r>
      <w:r w:rsidR="000A492A">
        <w:instrText xml:space="preserve"> ADDIN ZOTERO_ITEM CSL_CITATION {"citationID":"9VJ1Y9CL","properties":{"formattedCitation":"{\\rtf \\super 253\\nosupersub{}}","plainCitation":"253"},"citationItems":[{"id":329,"uris":["http://zotero.org/users/local/Ry4zHLbn/items/94U8UI9Z"],"uri":["http://zotero.org/users/local/Ry4zHLbn/items/94U8UI9Z"],"itemData":{"id":329,"type":"article-journal","title":"Adiposity and adiponectin in dogs: investigation of causes of discrepant results between two studies","container-title":"Domestic animal endocrinology","page":"35-41","volume":"41","issue":"1","source":"NCBI PubMed","abstract":"Although one study showed lower adiponectin concentrations in obese dogs, other recent studies indicate that adiponectin might not be decreased in obese dogs, raising the possibility that the physiology of adiponectin is different in dogs than in humans. The aim of this study was to investigate possible causes of the discrepancy between the two largest studies to date that assessed the association between adiposity and adiponectin concentration in dogs, including the validity of the assay, laboratory error, and the effects of breed, sex, and neuter status on the relationship between adiposity and adiponectin concentrations. Adiponectin concentrations measured with a previously validated adiponectin ELISA were compared with those estimated by Western blotting analysis of reduced and denatured plasma samples. The possibility of laboratory error and the effect of EDTA anticoagulant and aprotinin were tested. Adiponectin concentration was measured by ELISA in 20 lean dogs (10 male and 10 female, 5 neutered in each sex). There was close correlation between adiponectin concentrations measured by ELISA and those estimated by Western blotting analysis (r = 0.90; P &lt; 0.001). There was no substantial effect of EDTA, aprotinin, or laboratory error on the results. There was confounding by neuter status of the relationship between adiposity and adiponectin concentrations, but adiponectin concentrations were not significantly lower in male than in female lean dogs (females, 36 mg/L; males, 26 mg/L; P &gt; 0.20) and were not significantly lower in intact than in neutered lean male dogs (intact, 28 mg/L; neutered, 23 mg/L; P = 0.49). We conclude that the adiponectin ELISA previously validated for use in dogs appears to be suitable for determination of canine adiponectin concentrations and that testosterone does not appear to have a strong effect on plasma adiponectin concentrations in dogs. Obesity might decrease adiponectin concentrations in intact but not in neutered dogs.","DOI":"10.1016/j.domaniend.2011.03.004","ISSN":"1879-0054","note":"PMID: 21645805","shortTitle":"Adiposity and adiponectin in dogs","journalAbbreviation":"Domest. Anim. Endocrinol.","language":"eng","author":[{"family":"Verkest","given":"K R"},{"family":"Rose","given":"F J"},{"family":"Fleeman","given":"L M"},{"family":"Rand","given":"J S"},{"family":"Morton","given":"J M"},{"family":"Richards","given":"A A"},{"family":"Ishioka","given":"K"},{"family":"Whitehead","given":"J P"}],"issued":{"date-parts":[["2011",7]]},"PMID":"21645805"}}],"schema":"https://github.com/citation-style-language/schema/raw/master/csl-citation.json"} </w:instrText>
      </w:r>
      <w:r w:rsidRPr="003A0EF9">
        <w:fldChar w:fldCharType="separate"/>
      </w:r>
      <w:r w:rsidR="000A492A" w:rsidRPr="000A492A">
        <w:rPr>
          <w:vertAlign w:val="superscript"/>
        </w:rPr>
        <w:t>253</w:t>
      </w:r>
      <w:r w:rsidRPr="003A0EF9">
        <w:fldChar w:fldCharType="end"/>
      </w:r>
      <w:r>
        <w:t xml:space="preserve">  Adiponectin was largely unchanged in the dogs from the current study, although group differences did exist for excess calorie nutraceutical dogs and ideal maintenance dogs.  Both of these groups had higher overall levels, but also differed from each other.  Taken as a whole, dogs had similar total adiponectin levels, regardless of body mass, supporting the work of others.</w:t>
      </w:r>
      <w:r>
        <w:fldChar w:fldCharType="begin"/>
      </w:r>
      <w:r w:rsidR="000A492A">
        <w:instrText xml:space="preserve"> ADDIN ZOTERO_ITEM CSL_CITATION {"citationID":"XnREWJJ1","properties":{"formattedCitation":"{\\rtf \\super 145,248,249\\nosupersub{}}","plainCitation":"145,248,249"},"citationItems":[{"id":"sfRcBkgw/imMslKgT","uris":["http://zotero.org/users/local/Ry4zHLbn/items/QCR9RKRK"],"uri":["http://zotero.org/users/local/Ry4zHLbn/items/QCR9RKRK"],"itemData":{"id":"sfRcBkgw/imMslKgT","type":"article-journal","title":"The effects of weight loss on adipokines and markers of inflammation in dogs","container-title":"The British journal of nutrition","page":"S11-14","volume":"106 Suppl 1","source":"NCBI PubMed","abstract":"Evidence suggests that adipose tissue-derived adipokines induce mild inflammation and may play a role in insulin resistance associated with diabetes. The present study was designed to examine a series of adipokines and markers of inflammation in dogs before and after a successful weight loss. The study included fasting serum samples from twenty-five dogs before and after a weight-loss programme. Serum C-reactive protein (CRP) and monocyte chemoattractant protein-1 (MCP-1) were measured as indicators of chronic inflammation, while serum adipokines including total adiponectin, high-molecular-weight (HMW) adiponectin, resistin and leptin were also examined. Medians for CRP (before, 10.0 (interquartile range 5.4-15.0) μg/ml; after, 5.6 (interquartile range 3.8-7.0) μg/ml) and MCP-1 (before, 212 (interquartile range 157-288) ng/ml; after, 185 (interquartile range 143-215) ng/ml) decreased significantly after weight loss. Medians for resistin showed a mild, yet significant reduction (before, 67.1 (interquartile range 44.4-88.5) pg/ml; after, 60.5 (interquartile range 32.3-67.1) pg/ml), while leptin showed a dramatic decrease after weight loss (before, 18.9 (interquartile range 10.8-35.4) ng/ml; after, 6.6 (interquartile range 3.9-10.2) ng/ml). Serum total adiponectin and HMW adiponectin were unchanged on all analyses performed. These data suggest that weight loss can decrease chronic inflammation; however, the clinical implications of this decrease are not well elucidated in dogs. Surprisingly, there was no increase in total or HMW serum adiponectin after weight loss, as observed previously in human subjects. The lack of change in total and HMW adiponectin might explain why insulin resistance and type 2 diabetes are less prevalent in obese dogs when compared with humans and cats.","DOI":"10.1017/S0007114511000560","ISSN":"1475-2662","note":"PMID: 22005402","journalAbbreviation":"Br. J. Nutr.","language":"eng","author":[{"family":"Wakshlag","given":"Joseph J"},{"family":"Struble","given":"Angela M"},{"family":"Levine","given":"Corri B"},{"family":"Bushey","given":"Jennifer J"},{"family":"Laflamme","given":"Dorothy P"},{"family":"Long","given":"Grace M"}],"issued":{"year":2011,"month":10},"PMID":"22005402","page-first":"S11","container-title-short":"Br. J. Nutr."}},{"id":"sfRcBkgw/0fwnw5vE","uris":["http://zotero.org/users/local/Ry4zHLbn/items/RBZIFQW7"],"uri":["http://zotero.org/users/local/Ry4zHLbn/items/RBZIFQW7"],"itemData":{"id":"sfRcBkgw/0fwnw5vE","type":"article-journal","title":"Distinct adiponectin profiles might contribute to differences in susceptibility to type 2 diabetes in dogs and humans","container-title":"Domestic animal endocrinology","page":"67-73","volume":"41","issue":"2","source":"NCBI PubMed","abstract":"Dogs develop obesity-associated insulin resistance but not type 2 diabetes mellitus. Low adiponectin is associated with progression to type 2 diabetes in obese humans. The aims of this study were to compare total and high molecular weight (HMW) adiponectin and the ratio of HMW to total adiponectin (S(A)) between dogs and humans and to examine whether total or HMW adiponectin or both are associated with insulin resistance in naturally occurring obese dogs. We compared adiponectin profiles between 10 lean dogs and 10 lean humans and between 6 lean dogs and 6 age- and sex-matched, client-owned obese dogs. Total adiponectin was measured with assays validated in each species. We measured S(A) with velocity centrifugation on sucrose gradients. The effect of total and HMW adiponectin concentrations on MINMOD-estimated insulin sensitivity was assessed with linear regression. Lean dogs had total and HMW adiponectin concentrations three to four times higher than lean humans (total: dogs 32 ± 5.6 mg/L, humans 10 ± 1.3 mg/L, P&lt;0.001; HMW: dogs 25 ± 4.5 mg/L, humans 6 ± 1.3 mg/L, P&lt;0.001) and a higher S(A) (dogs: 0.78 ± 0.05; humans: 0.54 ± 0.08, P = 0.002). Adiponectin concentrations and S(A) were not lower in obese dogs (0.76 ± 0.05 in both groups; P=1). Total adiponectin, HMW adiponectin, and S(A) were not associated with insulin sensitivity in dogs. We propose that differences in adiponectin profiles between humans and dogs might contribute to the propensity of humans but not dogs to develop type 2 diabetes. Dogs with chronic, naturally occurring obesity do not have selectively reduced HMW adiponectin, and adiponectin does not appear to be important in the development of canine obesity-associated insulin resistance.","DOI":"10.1016/j.domaniend.2011.03.003","ISSN":"1879-0054","note":"PMID: 21600725","journalAbbreviation":"Domest. Anim. Endocrinol.","language":"eng","author":[{"family":"Verkest","given":"K R"},{"family":"Rand","given":"J S"},{"family":"Fleeman","given":"L M"},{"family":"Morton","given":"J M"},{"family":"Richards","given":"A A"},{"family":"Rose","given":"F J"},{"family":"Whitehead","given":"J P"}],"issued":{"year":2011,"month":8},"PMID":"21600725","page-first":"67","container-title-short":"Domest. Anim. Endocrinol."}},{"id":"sfRcBkgw/Mv2E0of4","uris":["http://zotero.org/users/local/Ry4zHLbn/items/T3HJ3BEN"],"uri":["http://zotero.org/users/local/Ry4zHLbn/items/T3HJ3BEN"],"itemData":{"id":"sfRcBkgw/Mv2E0of4","type":"article-journal","title":"Improvement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Endocrinol."}}],"schema":"https://github.com/citation-style-language/schema/raw/master/csl-citation.json"} </w:instrText>
      </w:r>
      <w:r>
        <w:fldChar w:fldCharType="separate"/>
      </w:r>
      <w:r w:rsidR="000A492A" w:rsidRPr="000A492A">
        <w:rPr>
          <w:vertAlign w:val="superscript"/>
        </w:rPr>
        <w:t>145,248,249</w:t>
      </w:r>
      <w:r>
        <w:fldChar w:fldCharType="end"/>
      </w:r>
      <w:r>
        <w:t xml:space="preserve">  The current study utilized induced obesity from a high fat diet as well as more natural obesity from overconsumption of a standard maintenance diet, negating a difference in adiponectin related to the way in which obesity occurred.  This study did not look at obesity beyond 12 weeks of treatment, so it is still possible differences may exist between chronic, natural obesity and high fat diet induced obesity.</w:t>
      </w:r>
    </w:p>
    <w:p w:rsidR="005817F5" w:rsidRPr="00945C83" w:rsidRDefault="005817F5" w:rsidP="005817F5">
      <w:pPr>
        <w:ind w:firstLine="720"/>
      </w:pPr>
      <w:r>
        <w:t>In people, a nutraceutical combining 2.25 g leucine and 30 mg pyridoxine (NuShape®, NuSirt Sciences, Nashville, TN) has shown promise as an effective aid to the management of obesity.</w:t>
      </w:r>
      <w:r>
        <w:fldChar w:fldCharType="begin"/>
      </w:r>
      <w:r w:rsidR="000A492A">
        <w:instrText xml:space="preserve"> ADDIN ZOTERO_ITEM CSL_CITATION {"citationID":"YokEZH9T","properties":{"formattedCitation":"{\\rtf \\super 347,354\\nosupersub{}}","plainCitation":"347,354"},"citationItems":[{"id":"sfRcBkgw/unGO8au1","uris":["http://zotero.org/users/local/Ry4zHLbn/items/WZP424QN"],"uri":["http://zotero.org/users/local/Ry4zHLbn/items/WZP424QN"],"itemData":{"id":"sfRcBkgw/unGO8au1","type":"article-journal","title":"Effects of a leucine and pyridoxine-containing nutraceutical on fat oxidation, and oxidative and inflammatory stress in overweight and obese subjects","container-title":"Nutrients","page":"529-541","volume":"4","issue":"6","source":"NCBI PubMed","abstract":"Leucine stimulates tissue protein synthesis and may also attenuate adiposity by increasing fatty acid oxidation and mitochondrial biogenesis in muscle and adipocytes. Accordingly, the effects of a nutraceutical containing 2.25 g leucine and 30 mg pyridoxine (Vitamin B6) (NuFit active blend) were tested in cell culture and in a clinical trial. 3T3L1 adipocytes were treated with leucine (0.25 mM or 0.5 mM) and/or Pyridoxal Phosphate (PLP) (50 nM or 100 nM) for 48 h. For the clinical trial, twenty overweight or obese subjects received the NuFit active blend or placebo three times/day for 4 weeks without energy restriction. Leucine decreased fatty acid synthase (FAS) expression and triglyceride content in adipocytes, and PLP addition significantly augmented this effect. Administration of NuFit active blend in the clinical trial increased fat oxidation by 33.6 g/day (p &lt; 0.04), decreased respiratory quotient, improved HOMA(IR), reduced oxidative and inflammatory biomarkers (plasma MDA, 8-isoprostane-F(2α), TNF-α, C-reactive protein), and increased the anti-inflammatory marker adiponectin. These data indicate that the NuFit active blend significantly increased fat oxidation and insulin sensitivity, and reduced oxidative and inflammatory stress. Therefore, the NuFit active blend appears to be a useful nutraceutical in the management of obesity and associated co-morbidities.","DOI":"10.3390/nu4060529","ISSN":"2072-6643","note":"PMID: 22822451","journalAbbreviation":"Nutrients","language":"eng","author":[{"family":"Zemel","given":"Michael B"},{"family":"Bruckbauer","given":"Antje"}],"issued":{"year":2012,"month":6},"PMID":"22822451","page-first":"529","container-title-short":"Nutrients"}},{"id":"sfRcBkgw/s6z6ObuO","uris":["http://zotero.org/users/local/Ry4zHLbn/items/GJKIQNPJ"],"uri":["http://zotero.org/users/local/Ry4zHLbn/items/GJKIQNPJ"],"itemData":{"id":"sfRcBkgw/s6z6ObuO","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B"},{"family":"Bruckbauer","given":"Antje"}],"issued":{"year":2013},"PMID":"24003309","page-first":"309","container-title-short":"Diabetes Metab Syndr Obes"}}],"schema":"https://github.com/citation-style-language/schema/raw/master/csl-citation.json"} </w:instrText>
      </w:r>
      <w:r>
        <w:fldChar w:fldCharType="separate"/>
      </w:r>
      <w:r w:rsidR="000A492A" w:rsidRPr="000A492A">
        <w:rPr>
          <w:vertAlign w:val="superscript"/>
        </w:rPr>
        <w:t>347,354</w:t>
      </w:r>
      <w:r>
        <w:fldChar w:fldCharType="end"/>
      </w:r>
      <w:r>
        <w:t xml:space="preserve">  The active ingredients are reported to have a synergistic ability to encourage lipolysis while maintaining lean tissue mass.  The aim of the current study was to determine if a dose modified for dogs (1 g leucine and 13 mg pyridoxine)</w:t>
      </w:r>
      <w:r w:rsidRPr="008D0218">
        <w:t xml:space="preserve"> </w:t>
      </w:r>
      <w:r>
        <w:t xml:space="preserve">would alter energy partitioning differently than a negative placebo control or therapeutic weight loss diet when losing, gaining, or maintaining weight.  The nutraceutical was associated with </w:t>
      </w:r>
      <w:r>
        <w:rPr>
          <w:rFonts w:cs="Times New Roman"/>
        </w:rPr>
        <w:t>weight loss similar to that achieved by dogs consuming lean maintenance levels of a therapeutic weight loss diet (</w:t>
      </w:r>
      <w:r>
        <w:rPr>
          <w:rFonts w:cs="Times New Roman"/>
          <w:color w:val="FF0000"/>
        </w:rPr>
        <w:t>Chapter I)</w:t>
      </w:r>
      <w:r>
        <w:rPr>
          <w:rFonts w:cs="Times New Roman"/>
        </w:rPr>
        <w:t xml:space="preserve">.  Both groups performed better than a placebo control, but all groups lost weight over twelve weeks.  The supplement did not affect voluntary food intake or weight gain in a different group of dogs when provided access to excess calories </w:t>
      </w:r>
      <w:r>
        <w:rPr>
          <w:rFonts w:cs="Times New Roman"/>
          <w:color w:val="FF0000"/>
        </w:rPr>
        <w:t xml:space="preserve">(Chapter II).  </w:t>
      </w:r>
      <w:r>
        <w:rPr>
          <w:rFonts w:cs="Times New Roman"/>
        </w:rPr>
        <w:t>Select gene expression was determined from muscle and fat samples in all dogs from both trials, along with a negative control group that maintained ideal weight for twelve weeks to determine product action at the cellular level.</w:t>
      </w:r>
    </w:p>
    <w:p w:rsidR="005817F5" w:rsidRDefault="005817F5" w:rsidP="005817F5">
      <w:pPr>
        <w:ind w:firstLine="720"/>
      </w:pPr>
      <w:r>
        <w:t xml:space="preserve">Leucine has been shown to increase muscle fatty acid oxidation and UCP3 expression and to decrease adipocyte fatty acid synthase (FASN) and PPARγ expression </w:t>
      </w:r>
      <w:r w:rsidRPr="00625917">
        <w:rPr>
          <w:i/>
        </w:rPr>
        <w:t>in vitro</w:t>
      </w:r>
      <w:r w:rsidRPr="000560D3">
        <w:t>.</w:t>
      </w:r>
      <w:r w:rsidRPr="00625917">
        <w:rPr>
          <w:i/>
        </w:rPr>
        <w:fldChar w:fldCharType="begin"/>
      </w:r>
      <w:r w:rsidR="000A492A">
        <w:rPr>
          <w:i/>
        </w:rPr>
        <w:instrText xml:space="preserve"> ADDIN ZOTERO_ITEM CSL_CITATION {"citationID":"r28Mnx4s","properties":{"formattedCitation":"{\\rtf \\super 348\\nosupersub{}}","plainCitation":"348"},"citationItems":[{"id":1693,"uris":["http://zotero.org/users/171999/items/7S98DPBI"],"uri":["http://zotero.org/users/171999/items/7S98DPBI"],"itemData":{"id":1693,"type":"article-journal","title":"Leucine and calcium regulate fat metabolism and energy partitioning in murine adipocytes and muscle cells","container-title":"Lipids","page":"297-305","volume":"42","issue":"4","source":"NCBI PubMed","abstract":"Dietary calcium modulation of adiposity is mediated, in part, by suppression of calcitriol, while the additional effect of dairy products is mediated by additional components; these include the high concentration of leucine, a key factor in the regulation of muscle protein turnover. We investigated the effect of leucine, calcitriol and calcium on energy metabolism in murine adipocytes and muscle cells and on energy partitioning between adipocytes and skeletal muscle. Leucine induced a marked increase in fatty acid oxidation in C2C12 muscle cells (P&lt;0.001) and decreased FAS expression by 66% (P&lt;0.001) in 3T3-L1 adipocytes. Calcitriol decreased muscle cell fatty acid oxidation by 37% (P&lt;0.001) and increased adipocyte FAS gene expression by threefold (P&lt;0.05); these effects were partially reversed by either leucine or calcium channel antagonism with nifedipine. Co-culture of muscle cells with adipocytes or incubation with 48-h adipocyte conditioned medium decreased muscle fatty acid oxidation by 62% (P&lt;0.001), but treating adipocytes with leucine and/or nifedipine attenuated this effect. Leucine, nifedipine and calcitriol also modulated adiponectin production and thereby exerted additional indirect effects on fatty acid oxidation in C2C12 myotubes. Adiponectin increased IL-15 and IL-6 release by myotubes and partially reversed the inhibitory effects of calcitriol. Comparable effects of leucine, calcitriol and adiponectin were found in myotubes treated with conditioned medium derived from adipocytes or co-cultured with adipocytes. These data suggest that leucine and nifedipine promote energy partitioning from adipocytes to muscle cells, resulting in decreased energy storage in adipocytes and increasing fatty acid utilization in muscle.","DOI":"10.1007/s11745-007-3029-5","ISSN":"0024-4201","note":"PMID: 17406924","journalAbbreviation":"Lipids","language":"eng","author":[{"family":"Sun","given":"Xiaocun"},{"family":"Zemel","given":"Michael B"}],"issued":{"date-parts":[["2007",4]]},"PMID":"17406924"}}],"schema":"https://github.com/citation-style-language/schema/raw/master/csl-citation.json"} </w:instrText>
      </w:r>
      <w:r w:rsidRPr="00625917">
        <w:rPr>
          <w:i/>
        </w:rPr>
        <w:fldChar w:fldCharType="separate"/>
      </w:r>
      <w:r w:rsidR="000A492A" w:rsidRPr="000A492A">
        <w:rPr>
          <w:vertAlign w:val="superscript"/>
        </w:rPr>
        <w:t>348</w:t>
      </w:r>
      <w:r w:rsidRPr="00625917">
        <w:rPr>
          <w:i/>
        </w:rPr>
        <w:fldChar w:fldCharType="end"/>
      </w:r>
      <w:r>
        <w:t xml:space="preserve">  FASN is integral to fat production by catalyzing palmitate production from acetyl CoA and malonyl CoA.  PPARγ stimulates lipid uptake and production within adipocytes and UCP3 causes oxidative phosphorylation, mainly in skeletal muscle.  PPARγ expression was not measured in this study, but it has previously been shown to be decreased in visceral adipose tissue of obese and insulin resistant dogs compared to expression before obesity.</w:t>
      </w:r>
      <w:r>
        <w:fldChar w:fldCharType="begin"/>
      </w:r>
      <w:r w:rsidR="000A492A">
        <w:instrText xml:space="preserve"> ADDIN ZOTERO_ITEM CSL_CITATION {"citationID":"2qsu9fpdnf","properties":{"formattedCitation":"{\\rtf \\super 433\\nosupersub{}}","plainCitation":"433"},"citationItems":[{"id":756,"uris":["http://zotero.org/users/171999/items/2GFQUEWS"],"uri":["http://zotero.org/users/171999/items/2GFQUEWS"],"itemData":{"id":756,"type":"article-journal","title":"Modulation of uncoupling protein 1 and peroxisome proliferator-activated receptor gamma expression in adipose tissue in obese insulin-resistant dogs","container-title":"Journal of Nutrition","page":"2154S-2157S","volume":"134","issue":"8","source":"ISI Web of Knowledge","ISSN":"0022-3166","note":"WOS:000223613200034","journalAbbreviation":"J. Nutr.","language":"English","author":[{"family":"Leray","given":"V."},{"family":"Gayet","given":"C."},{"family":"Martin","given":"L."},{"family":"Dumon","given":"H."},{"family":"Siliart","given":"B."},{"family":"Nguyen","given":"P."}],"issued":{"date-parts":[["2004",8]]}}}],"schema":"https://github.com/citation-style-language/schema/raw/master/csl-citation.json"} </w:instrText>
      </w:r>
      <w:r>
        <w:fldChar w:fldCharType="separate"/>
      </w:r>
      <w:r w:rsidR="000A492A" w:rsidRPr="000A492A">
        <w:rPr>
          <w:vertAlign w:val="superscript"/>
        </w:rPr>
        <w:t>433</w:t>
      </w:r>
      <w:r>
        <w:fldChar w:fldCharType="end"/>
      </w:r>
      <w:r>
        <w:t xml:space="preserve">  FASN (adipose tissue), UCP3 (skeletal muscle), and UCP2 (adipose tissue) were assessed in the current project, but expression levels were similar across and within all groups at both time points.  Subcutaneous fat expression of FASN has been shown to increase numerically, although not significantly, in dogs </w:t>
      </w:r>
      <w:commentRangeStart w:id="115"/>
      <w:r>
        <w:t xml:space="preserve">before and </w:t>
      </w:r>
      <w:commentRangeEnd w:id="115"/>
      <w:r>
        <w:rPr>
          <w:rStyle w:val="CommentReference"/>
        </w:rPr>
        <w:commentReference w:id="115"/>
      </w:r>
      <w:r>
        <w:t>after weight loss.</w:t>
      </w:r>
      <w:r>
        <w:fldChar w:fldCharType="begin"/>
      </w:r>
      <w:r w:rsidR="000A492A">
        <w:instrText xml:space="preserve"> ADDIN ZOTERO_ITEM CSL_CITATION {"citationID":"dnqsl84i6","properties":{"formattedCitation":"{\\rtf \\super 434\\nosupersub{}}","plainCitation":"434"},"citationItems":[{"id":775,"uris":["http://zotero.org/users/171999/items/ZCKRMFRF"],"uri":["http://zotero.org/users/171999/items/ZCKRMFRF"],"itemData":{"id":775,"type":"article-journal","title":"Adipose tissue gene expression in obese dogs after weight loss","container-title":"Journal of animal physiology and animal nutrition","page":"390-398","volume":"92","issue":"3","source":"NCBI PubMed","abstract":"Body weight (BW) mainly depends on a balance between fat storage (lipogenesis) and fat mobilization (lipolysis) in adipocytes. BW changes play a role in insulin resistance (IR), the inability of insulin target tissue to respond to physiological levels of insulin. This results in inhibition of lipogenesis and stimulation of lipolysis. Weight gain leads to IR whereas, weight loss improves insulin sensitivity (IS). The aim of this study was to evaluate the effect of weight loss and recovery of IS on the expression of genes involved in lipogenesis and lipolysis in weight losing dogs. Gene expression was studied in both subcutaneous and visceral adipose tissue. Obese dogs received a hypoenergetic low fat high protein diet (0.6 x NRC recommendation). Before and after weight loss, IS was assessed using the euglycaemic hyperinsulinaemic clamp. Gene expression of IRS-2, SREBP, intracellular insulin effectors, ACC, FAS, FABP, ADRP, PEPCK, lipogenesis key proteins, perilipin and HSL, lipolysis key proteins were quantified using real-time RT-PCR in subcutaneous and visceral fat. BW decreased from 15.2 +/- 0.5 to 11.4 +/- 0.4 kg (p &lt; 0.05) over 78 +/- 8 days. When obese, dogs were insulin resistant. After weight loss, IS was improved. In the subcutaneous adipose tissue, the expression of only the IRS-2 was increased. In the visceral adipose tissue, the expression of the genes involved in the lipogenesis was decreased whereas one of the genes implied in the lipolysis did not change. The expression profile of genes involved in lipid metabolism, as measured after weight loss, is indicative for a lower lipogenesis after weight loss than in obese dogs. Our results also confirm dramatic differences in the lipid metabolism of visceral and subcutaneous fat. They should be completed by comparing gene expression during weight losing and normal weight steady state.","DOI":"10.1111/j.1439-0396.2008.00818.x","ISSN":"1439-0396","note":"PMID: 18477322","journalAbbreviation":"J Anim Physiol Anim Nutr (Berl)","language":"eng","author":[{"family":"Leray","given":"V"},{"family":"Serisier","given":"S"},{"family":"Khosniat","given":"S"},{"family":"Martin","given":"L"},{"family":"Dumon","given":"H"},{"family":"Nguyen","given":"P"}],"issued":{"date-parts":[["2008",6]]},"PMID":"18477322"}}],"schema":"https://github.com/citation-style-language/schema/raw/master/csl-citation.json"} </w:instrText>
      </w:r>
      <w:r>
        <w:fldChar w:fldCharType="separate"/>
      </w:r>
      <w:r w:rsidR="000A492A" w:rsidRPr="000A492A">
        <w:rPr>
          <w:vertAlign w:val="superscript"/>
        </w:rPr>
        <w:t>434</w:t>
      </w:r>
      <w:r>
        <w:fldChar w:fldCharType="end"/>
      </w:r>
      <w:r>
        <w:t xml:space="preserve">  The nutraceutical and therapeutic weight loss diet dogs reported here followed this pattern, while placebo dogs actually exhibited numerically </w:t>
      </w:r>
      <w:commentRangeStart w:id="116"/>
      <w:r>
        <w:t>higher</w:t>
      </w:r>
      <w:commentRangeEnd w:id="116"/>
      <w:r>
        <w:rPr>
          <w:rStyle w:val="CommentReference"/>
        </w:rPr>
        <w:commentReference w:id="116"/>
      </w:r>
      <w:r>
        <w:t xml:space="preserve"> FASN expression at 12 weeks.  The lack of expression changes may be related to the type of adipose tissue analyzed.  Visceral adipose tissue, rather than subcutaneous tissue, has been associated with decreased FASN expresstion in dogs after weight loss.</w:t>
      </w:r>
      <w:r>
        <w:fldChar w:fldCharType="begin"/>
      </w:r>
      <w:r w:rsidR="000A492A">
        <w:instrText xml:space="preserve"> ADDIN ZOTERO_ITEM CSL_CITATION {"citationID":"277j361olg","properties":{"formattedCitation":"{\\rtf \\super 434\\nosupersub{}}","plainCitation":"434"},"citationItems":[{"id":775,"uris":["http://zotero.org/users/171999/items/ZCKRMFRF"],"uri":["http://zotero.org/users/171999/items/ZCKRMFRF"],"itemData":{"id":775,"type":"article-journal","title":"Adipose tissue gene expression in obese dogs after weight loss","container-title":"Journal of animal physiology and animal nutrition","page":"390-398","volume":"92","issue":"3","source":"NCBI PubMed","abstract":"Body weight (BW) mainly depends on a balance between fat storage (lipogenesis) and fat mobilization (lipolysis) in adipocytes. BW changes play a role in insulin resistance (IR), the inability of insulin target tissue to respond to physiological levels of insulin. This results in inhibition of lipogenesis and stimulation of lipolysis. Weight gain leads to IR whereas, weight loss improves insulin sensitivity (IS). The aim of this study was to evaluate the effect of weight loss and recovery of IS on the expression of genes involved in lipogenesis and lipolysis in weight losing dogs. Gene expression was studied in both subcutaneous and visceral adipose tissue. Obese dogs received a hypoenergetic low fat high protein diet (0.6 x NRC recommendation). Before and after weight loss, IS was assessed using the euglycaemic hyperinsulinaemic clamp. Gene expression of IRS-2, SREBP, intracellular insulin effectors, ACC, FAS, FABP, ADRP, PEPCK, lipogenesis key proteins, perilipin and HSL, lipolysis key proteins were quantified using real-time RT-PCR in subcutaneous and visceral fat. BW decreased from 15.2 +/- 0.5 to 11.4 +/- 0.4 kg (p &lt; 0.05) over 78 +/- 8 days. When obese, dogs were insulin resistant. After weight loss, IS was improved. In the subcutaneous adipose tissue, the expression of only the IRS-2 was increased. In the visceral adipose tissue, the expression of the genes involved in the lipogenesis was decreased whereas one of the genes implied in the lipolysis did not change. The expression profile of genes involved in lipid metabolism, as measured after weight loss, is indicative for a lower lipogenesis after weight loss than in obese dogs. Our results also confirm dramatic differences in the lipid metabolism of visceral and subcutaneous fat. They should be completed by comparing gene expression during weight losing and normal weight steady state.","DOI":"10.1111/j.1439-0396.2008.00818.x","ISSN":"1439-0396","note":"PMID: 18477322","journalAbbreviation":"J Anim Physiol Anim Nutr (Berl)","language":"eng","author":[{"family":"Leray","given":"V"},{"family":"Serisier","given":"S"},{"family":"Khosniat","given":"S"},{"family":"Martin","given":"L"},{"family":"Dumon","given":"H"},{"family":"Nguyen","given":"P"}],"issued":{"date-parts":[["2008",6]]},"PMID":"18477322"}}],"schema":"https://github.com/citation-style-language/schema/raw/master/csl-citation.json"} </w:instrText>
      </w:r>
      <w:r>
        <w:fldChar w:fldCharType="separate"/>
      </w:r>
      <w:r w:rsidR="000A492A" w:rsidRPr="000A492A">
        <w:rPr>
          <w:vertAlign w:val="superscript"/>
        </w:rPr>
        <w:t>434</w:t>
      </w:r>
      <w:r>
        <w:fldChar w:fldCharType="end"/>
      </w:r>
      <w:r>
        <w:t xml:space="preserve">  In people, subcutaneous adipose tissue is the source of &gt; 80% of total body fat and is stored as large depots in abdominal, gluteal, and femoral regions.</w:t>
      </w:r>
      <w:r>
        <w:fldChar w:fldCharType="begin"/>
      </w:r>
      <w:r w:rsidR="000A492A">
        <w:instrText xml:space="preserve"> ADDIN ZOTERO_ITEM CSL_CITATION {"citationID":"2p06ubcgn5","properties":{"formattedCitation":"{\\rtf \\super 435\\nosupersub{}}","plainCitation":"435"},"citationItems":[{"id":785,"uris":["http://zotero.org/users/171999/items/SEJFUQR2"],"uri":["http://zotero.org/users/171999/items/SEJFUQR2"],"itemData":{"id":785,"type":"article-journal","title":"Adipose tissue heterogeneity: implication of depot differences in adipose tissue for obesity complications","container-title":"Molecular aspects of medicine","page":"1-11","volume":"34","issue":"1","source":"NCBI PubMed","abstract":"Obesity, defined as excess fat mass, increases risks for multiple metabolic diseases, such as type 2 diabetes, cardiovascular disease and several types of cancer. Over and above fat mass per se, the pattern of fat distribution, android or truncal as compared to gynoid or peripheral, has a profound influence on systemic metabolism and hence risk for metabolic diseases. Increases in upper body adipose tissue (visceral and abdominal subcutaneous) confer an independent risk, while the quantity of gluteofemoral adipose tissue is protective. Variations in the capacity of different depots to store and release fatty acids and to produce adipokines are important determinants of fat distribution and its metabolic consequences. Depot differences in cellular composition and physiology, including innervation and blood flow, likely influence their phenotypic properties. A number of lines of evidence also support the idea that adipocytes from different anatomical depots are intrinsically different as a result of genetic or developmental events. In this chapter, we will review the phenotypic characteristics of different adipose depots and mechanisms that link their depot-specific biology to metabolic complications in men and women.","DOI":"10.1016/j.mam.2012.10.001","ISSN":"1872-9452","note":"PMID: 23068073","shortTitle":"Adipose tissue heterogeneity","journalAbbreviation":"Mol. Aspects Med.","language":"eng","author":[{"family":"Lee","given":"Mi-Jeong"},{"family":"Wu","given":"Yuanyuan"},{"family":"Fried","given":"Susan K"}],"issued":{"date-parts":[["2013",2]]},"PMID":"23068073"}}],"schema":"https://github.com/citation-style-language/schema/raw/master/csl-citation.json"} </w:instrText>
      </w:r>
      <w:r>
        <w:fldChar w:fldCharType="separate"/>
      </w:r>
      <w:r w:rsidR="000A492A" w:rsidRPr="000A492A">
        <w:rPr>
          <w:vertAlign w:val="superscript"/>
        </w:rPr>
        <w:t>435</w:t>
      </w:r>
      <w:r>
        <w:fldChar w:fldCharType="end"/>
      </w:r>
      <w:r>
        <w:t xml:space="preserve">  Visceral fat comprises a minority of total body fat and is found associated with internal organs, but increased adiposity of this region (central obesity) is associated with risk of metabolic comorbidities develpoment.</w:t>
      </w:r>
      <w:r>
        <w:fldChar w:fldCharType="begin"/>
      </w:r>
      <w:r w:rsidR="000A492A">
        <w:instrText xml:space="preserve"> ADDIN ZOTERO_ITEM CSL_CITATION {"citationID":"scah0ub4q","properties":{"formattedCitation":"{\\rtf \\super 435\\nosupersub{}}","plainCitation":"435"},"citationItems":[{"id":785,"uris":["http://zotero.org/users/171999/items/SEJFUQR2"],"uri":["http://zotero.org/users/171999/items/SEJFUQR2"],"itemData":{"id":785,"type":"article-journal","title":"Adipose tissue heterogeneity: implication of depot differences in adipose tissue for obesity complications","container-title":"Molecular aspects of medicine","page":"1-11","volume":"34","issue":"1","source":"NCBI PubMed","abstract":"Obesity, defined as excess fat mass, increases risks for multiple metabolic diseases, such as type 2 diabetes, cardiovascular disease and several types of cancer. Over and above fat mass per se, the pattern of fat distribution, android or truncal as compared to gynoid or peripheral, has a profound influence on systemic metabolism and hence risk for metabolic diseases. Increases in upper body adipose tissue (visceral and abdominal subcutaneous) confer an independent risk, while the quantity of gluteofemoral adipose tissue is protective. Variations in the capacity of different depots to store and release fatty acids and to produce adipokines are important determinants of fat distribution and its metabolic consequences. Depot differences in cellular composition and physiology, including innervation and blood flow, likely influence their phenotypic properties. A number of lines of evidence also support the idea that adipocytes from different anatomical depots are intrinsically different as a result of genetic or developmental events. In this chapter, we will review the phenotypic characteristics of different adipose depots and mechanisms that link their depot-specific biology to metabolic complications in men and women.","DOI":"10.1016/j.mam.2012.10.001","ISSN":"1872-9452","note":"PMID: 23068073","shortTitle":"Adipose tissue heterogeneity","journalAbbreviation":"Mol. Aspects Med.","language":"eng","author":[{"family":"Lee","given":"Mi-Jeong"},{"family":"Wu","given":"Yuanyuan"},{"family":"Fried","given":"Susan K"}],"issued":{"date-parts":[["2013",2]]},"PMID":"23068073"}}],"schema":"https://github.com/citation-style-language/schema/raw/master/csl-citation.json"} </w:instrText>
      </w:r>
      <w:r>
        <w:fldChar w:fldCharType="separate"/>
      </w:r>
      <w:r w:rsidR="000A492A" w:rsidRPr="000A492A">
        <w:rPr>
          <w:vertAlign w:val="superscript"/>
        </w:rPr>
        <w:t>435</w:t>
      </w:r>
      <w:r>
        <w:fldChar w:fldCharType="end"/>
      </w:r>
      <w:r>
        <w:t xml:space="preserve">  Obtaining visceral fat samples requires more invasive sampling proceedures and was not completed in this study, but it should be considered for future study of adipocyte gene expression.</w:t>
      </w:r>
    </w:p>
    <w:p w:rsidR="005817F5" w:rsidRDefault="005817F5" w:rsidP="005817F5">
      <w:pPr>
        <w:ind w:firstLine="720"/>
      </w:pPr>
      <w:r>
        <w:t xml:space="preserve">Leucine also increases mitochondrial mass in both muscle and fat cells </w:t>
      </w:r>
      <w:r w:rsidRPr="00347E50">
        <w:rPr>
          <w:i/>
        </w:rPr>
        <w:t>in vitro</w:t>
      </w:r>
      <w:r>
        <w:t xml:space="preserve"> with a corresponding increase in expression of mitochondrial biogenesis genes (SIRT1, PGC1α, and NRF1) and mitochondrial component genes (UCP3, Cox, and NADH).</w:t>
      </w:r>
      <w:r>
        <w:fldChar w:fldCharType="begin"/>
      </w:r>
      <w:r w:rsidR="000A492A">
        <w:instrText xml:space="preserve"> ADDIN ZOTERO_ITEM CSL_CITATION {"citationID":"FN30SsxX","properties":{"formattedCitation":"{\\rtf \\super 349,355\\nosupersub{}}","plainCitation":"349,355"},"citationItems":[{"id":1695,"uris":["http://zotero.org/users/171999/items/RCRVB9BJ"],"uri":["http://zotero.org/users/171999/items/RCRVB9BJ"],"itemData":{"id":1695,"type":"article-journal","title":"Leucine modulation of mitochondrial mass and oxygen consumption in skeletal muscle cells and adipocytes","container-title":"Nutrition &amp; metabolism","page":"26","volume":"6","source":"NCBI PubMed","abstract":"BACKGROUND: The effects of dairy on energy metabolism appear to be mediated, in part, by leucine and calcium which regulate both adipocyte and skeletal muscle energy metabolism. We recently demonstrated that leucine and calcitriol regulate fatty acid oxidation in skeletal muscle cells in vitro, with leucine promoting and calcitriol suppressing fatty acid oxidation. Moreover, leucine coordinately regulated adipocyte lipid metabolism to promote flux of lipid to skeletal muscle and regulate metabolic flexibility. We have now investigated the role of mitochondrial biogenesis in mediating these effects.\nMETHODS: We tested the effect of leucine, calcitriol and calcium in regulation of mitochondrial mass using a fluorescence method and tested mitochondrial biogenesis regulatory genes as well mitochondrial component genes using real-time PCR. We also evaluated the effect of leucine on oxygen consumption with a modified perfusion system.\nRESULTS: Leucine (0.5 mM) increased mitochondrial mass by 30% and 53% in C2C12 myocytes and 3T3-L1 adipocytes, respectively, while calcitriol (10 nM) decreased mitochondrial abundance by 37% and 27% (p &lt; 0.02). Leucine also stimulated mitochondrial biogenesis genes SIRT-1, PGC-1alpha and NRF-1 as well as mitochondrial component genes UCP3, COX, and NADH expression by 3-5 fold in C2C12 cells (p &lt; 0.003). Adipocyte-conditioned medium reduced mitochondrial abundance (p &lt; 0.001) and decreased UCP3 but increased PGC-1alpha expression in myocytes, suggesting a feedback stimulation of mitochondrial biogenesis. Similar data were observed in C2C12 myocytes co-cultured with adipocytes, with co-culture markedly suppressing mitochondrial abundance (p &lt; 0.02). Leucine stimulated oxygen consumption in both C2C12 cells and adipocytes compared with either control or valine-treated cells. Transfection of C2C12 myocytes with SIRT-1 siRNA resulted in parallel suppression of SIRT-1 expression and leucine-induced stimulation of PGC-1alpha and NRF-1, indicating that SIRT-1 mediates leucine induced mitochondrial biogenesis in muscle cells.\nCONCLUSION: These data suggest that leucine and calcitriol modulation of muscle and adipocyte energy metabolism is mediated, in part, by mitochondrial biogenesis.","DOI":"10.1186/1743-7075-6-26","ISSN":"1743-7075","note":"PMID: 19500359","journalAbbreviation":"Nutr Metab (Lond)","language":"eng","author":[{"family":"Sun","given":"Xiaocun"},{"family":"Zemel","given":"Michael B"}],"issued":{"date-parts":[["2009"]]},"PMID":"19500359"}},{"id":1778,"uris":["http://zotero.org/users/171999/items/HW346HK8"],"uri":["http://zotero.org/users/171999/items/HW346HK8"],"itemData":{"id":1778,"type":"article-journal","title":"Effects of dairy consumption on SIRT1 and mitochondrial biogenesis in adipocytes and muscle cells","container-title":"Nutrition &amp; metabolism","page":"91","volume":"8","source":"NCBI PubMed","abstract":"BACKGROUND: Recent data from this laboratory suggest that components of dairy foods may serve as activators of SIRT1 (Silent Information Regulator Transcript 1), and thereby participate in regulation of glucose and lipid metabolism. In this study, an ex-vivo/in-vitro approach was used to examine the integrated effects of dairy diets on SIRT1 activation in two key target tissues (adipose and muscle tissue).\nMETHODS: Serum from overweight and obese subjects fed low or high dairy diets for 28 days was added to culture medium (similar to conditioned media) to treat cultured adipocytes and muscle cells for 48 hours.\nRESULTS: Treatment with high dairy group conditioned media resulted in 40% increased SIRT1 gene expression in both tissues (p &lt; 0.01) and 13% increased enzyme activity in adipose tissue compared to baseline. This was associated with increased gene expression of peroxisome proliferator-activated receptor-gamma coactivator 1 alpha (PGC-1α), nuclear respiratory factor 1 (NRF1), cytochrome oxidase c subunit 7 (Cox 7), NADH dehydrogenase and uncoupling protein 2 (UCP2) in adipocytes as well as uncoupling protein 3 (UCP3), NRF1 and Cox 7 in muscle cells (p &lt; 0.05). Further, direct incubation of physiological concentrations of leucine and its metabolites α-Ketoisocaproic acid (KIC) and β-hydroxy-methylbuteric acid (HMB) with recombinant human SIRT1 enzyme resulted in 30 to 50% increase of SIRT1 activity (p &lt; 0.05).\nCONCLUSIONS: These data indicate that dairy consumption leads to systemic effects, which may promote mitochondrial biogenesis in key target tissues such as muscle and adipose tissue both by direct activation of SIRT1 as well as by SIRT1-independent pathways.","DOI":"10.1186/1743-7075-8-91","ISSN":"1743-7075","note":"PMID: 22185590","journalAbbreviation":"Nutr Metab (Lond)","language":"eng","author":[{"family":"Bruckbauer","given":"Antje"},{"family":"Zemel","given":"Michael B"}],"issued":{"date-parts":[["2011"]]},"PMID":"22185590"}}],"schema":"https://github.com/citation-style-language/schema/raw/master/csl-citation.json"} </w:instrText>
      </w:r>
      <w:r>
        <w:fldChar w:fldCharType="separate"/>
      </w:r>
      <w:r w:rsidR="000A492A" w:rsidRPr="000A492A">
        <w:rPr>
          <w:vertAlign w:val="superscript"/>
        </w:rPr>
        <w:t>349,355</w:t>
      </w:r>
      <w:r>
        <w:fldChar w:fldCharType="end"/>
      </w:r>
      <w:r>
        <w:t xml:space="preserve">  Decreased adiposity has been attributed to increased UCP3 expression and improved insulin sensitivity in mice.</w:t>
      </w:r>
      <w:r>
        <w:fldChar w:fldCharType="begin"/>
      </w:r>
      <w:r w:rsidR="000A492A">
        <w:instrText xml:space="preserve"> ADDIN ZOTERO_ITEM CSL_CITATION {"citationID":"C7SVjcx4","properties":{"formattedCitation":"{\\rtf \\super 351\\nosupersub{}}","plainCitation":"351"},"citationItems":[{"id":1701,"uris":["http://zotero.org/users/171999/items/GM59NI4T"],"uri":["http://zotero.org/users/171999/items/GM59NI4T"],"itemData":{"id":1701,"type":"article-journal","title":"Increasing dietary leucine intake reduces diet-induced obesity and improves glucose and cholesterol metabolism in mice via multimechanisms","container-title":"Diabetes","page":"1647-1654","volume":"56","issue":"6","source":"NCBI PubMed","abstract":"Leucine, as an essential amino acid and activator of mTOR (mammalian target of rapamycin), promotes protein synthesis and suppresses protein catabolism. However, the effect of leucine on overall glucose and energy metabolism remains unclear, and whether leucine has beneficial effects as a long-term dietary supplement has not been examined. In the present study, we doubled dietary leucine intake via leucine-containing drinking water in mice with free excess to either a rodent chow or a high-fat diet (HFD). While it produced no major metabolic effects in chow-fed mice, increasing leucine intake resulted in up to 32% reduction of weight gain (P &lt; 0.05) and a 25% decrease in adiposity (P &lt; 0.01) in HFD-fed mice. The reduction of adiposity resulted from increased resting energy expenditure associated with increased expression of uncoupling protein 3 in brown and white adipose tissues and in skeletal muscle, while food intake was not decreased. Increasing leucine intake also prevented HFD-induced hyperglycemia, which was associated with improved insulin sensitivity, decreased plasma concentrations of glucagon and glucogenic amino acids, and downregulation of hepatic glucose-6-phosphatase. Additionally, plasma levels of total and LDL cholesterol were decreased by 27% (P &lt; 0.001) and 53% (P &lt; 0.001), respectively, in leucine supplemented HFD-fed mice compared with the control mice fed the same diet. The reduction in cholesterol levels was largely independent of leucine-induced changes in adiposity. In conclusion, increases in dietary leucine intake substantially decrease diet-induced obesity, hyperglycemia, and hypercholesterolemia in mice with ad libitum consumption of HFD likely via multiple mechanisms.","DOI":"10.2337/db07-0123","ISSN":"1939-327X","note":"PMID: 17360978","journalAbbreviation":"Diabetes","language":"eng","author":[{"family":"Zhang","given":"Yiying"},{"family":"Guo","given":"Kaiying"},{"family":"LeBlanc","given":"Robert E"},{"family":"Loh","given":"Daniella"},{"family":"Schwartz","given":"Gary J"},{"family":"Yu","given":"Yi-Hao"}],"issued":{"date-parts":[["2007",6]]},"PMID":"17360978"}}],"schema":"https://github.com/citation-style-language/schema/raw/master/csl-citation.json"} </w:instrText>
      </w:r>
      <w:r>
        <w:fldChar w:fldCharType="separate"/>
      </w:r>
      <w:r w:rsidR="000A492A" w:rsidRPr="000A492A">
        <w:rPr>
          <w:vertAlign w:val="superscript"/>
        </w:rPr>
        <w:t>351</w:t>
      </w:r>
      <w:r>
        <w:fldChar w:fldCharType="end"/>
      </w:r>
      <w:r>
        <w:t xml:space="preserve">  Adipocytes exposed to serum from overweight people consuming a high dairy diet exhibited increased UCP2, PGC1α, NRF1, and UCP3 activity and expression, indicating increased mitochondrial biogenesis and component gene activation.</w:t>
      </w:r>
      <w:r>
        <w:fldChar w:fldCharType="begin"/>
      </w:r>
      <w:r w:rsidR="000A492A">
        <w:instrText xml:space="preserve"> ADDIN ZOTERO_ITEM CSL_CITATION {"citationID":"RtOzCha4","properties":{"formattedCitation":"{\\rtf \\super 355\\nosupersub{}}","plainCitation":"355"},"citationItems":[{"id":1778,"uris":["http://zotero.org/users/171999/items/HW346HK8"],"uri":["http://zotero.org/users/171999/items/HW346HK8"],"itemData":{"id":1778,"type":"article-journal","title":"Effects of dairy consumption on SIRT1 and mitochondrial biogenesis in adipocytes and muscle cells","container-title":"Nutrition &amp; metabolism","page":"91","volume":"8","source":"NCBI PubMed","abstract":"BACKGROUND: Recent data from this laboratory suggest that components of dairy foods may serve as activators of SIRT1 (Silent Information Regulator Transcript 1), and thereby participate in regulation of glucose and lipid metabolism. In this study, an ex-vivo/in-vitro approach was used to examine the integrated effects of dairy diets on SIRT1 activation in two key target tissues (adipose and muscle tissue).\nMETHODS: Serum from overweight and obese subjects fed low or high dairy diets for 28 days was added to culture medium (similar to conditioned media) to treat cultured adipocytes and muscle cells for 48 hours.\nRESULTS: Treatment with high dairy group conditioned media resulted in 40% increased SIRT1 gene expression in both tissues (p &lt; 0.01) and 13% increased enzyme activity in adipose tissue compared to baseline. This was associated with increased gene expression of peroxisome proliferator-activated receptor-gamma coactivator 1 alpha (PGC-1α), nuclear respiratory factor 1 (NRF1), cytochrome oxidase c subunit 7 (Cox 7), NADH dehydrogenase and uncoupling protein 2 (UCP2) in adipocytes as well as uncoupling protein 3 (UCP3), NRF1 and Cox 7 in muscle cells (p &lt; 0.05). Further, direct incubation of physiological concentrations of leucine and its metabolites α-Ketoisocaproic acid (KIC) and β-hydroxy-methylbuteric acid (HMB) with recombinant human SIRT1 enzyme resulted in 30 to 50% increase of SIRT1 activity (p &lt; 0.05).\nCONCLUSIONS: These data indicate that dairy consumption leads to systemic effects, which may promote mitochondrial biogenesis in key target tissues such as muscle and adipose tissue both by direct activation of SIRT1 as well as by SIRT1-independent pathways.","DOI":"10.1186/1743-7075-8-91","ISSN":"1743-7075","note":"PMID: 22185590","journalAbbreviation":"Nutr Metab (Lond)","language":"eng","author":[{"family":"Bruckbauer","given":"Antje"},{"family":"Zemel","given":"Michael B"}],"issued":{"date-parts":[["2011"]]},"PMID":"22185590"}}],"schema":"https://github.com/citation-style-language/schema/raw/master/csl-citation.json"} </w:instrText>
      </w:r>
      <w:r>
        <w:fldChar w:fldCharType="separate"/>
      </w:r>
      <w:r w:rsidR="000A492A" w:rsidRPr="000A492A">
        <w:rPr>
          <w:vertAlign w:val="superscript"/>
        </w:rPr>
        <w:t>355</w:t>
      </w:r>
      <w:r>
        <w:fldChar w:fldCharType="end"/>
      </w:r>
      <w:r>
        <w:t xml:space="preserve">  UCP2 and UCP3 have been sequenced in dogs, but comparisons between expression levels based on body composition have not been published.</w:t>
      </w:r>
      <w:r>
        <w:fldChar w:fldCharType="begin"/>
      </w:r>
      <w:r>
        <w:instrText xml:space="preserve"> ADDIN ZOTERO_ITEM CSL_CITATION {"citationID":"m0d0ge136","properties":{"formattedCitation":"{\\rtf \\super 224\\nosupersub{}}","plainCitation":"224"},"citationItems":[{"id":1513,"uris":["http://zotero.org/users/171999/items/4ESKQKRV"],"uri":["http://zotero.org/users/171999/items/4ESKQKRV"],"itemData":{"id":1513,"type":"article-journal","title":"Canine mitochondrial uncoupling proteins: structure and mRNA expression of three isoforms in adult beagles","container-title":"Comparative biochemistry and physiology. Part B, Biochemistry &amp; molecular biology","page":"483-489","volume":"131","issue":"3","source":"NCBI PubMed","abstract":"Uncoupling proteins (UCPs) are members of the mitochondrial transporter family that dissipate the proton gradient as heat more than via ATP synthesis. In the present study, nucleotide and amino acid sequences of UCPs 1, 2 and 3 of a dog were determined, and their mRNA expression in various peripheral tissues was examined. The sequences were highly (76-97%) homologous to those of other species. Although lower homologies (60-74%) were found when compared among the three canine UCPs, their deduced amino acid sequences had some common domains, such as three mitochondrial carrier protein motifs, six transmembrane alpha-helix domains, and putative purine nucleotide binding domains. By Northern blot analyses, UCP1 mRNA was not detected in any tissues examined. UCP2 mRNA was expressed in most tissues, particularly abundantly in adipose tissue, spleen and lung. Two sizes of UCP3 mRNA were found exclusively in heart and skeletal muscle. These results suggest that canine UCPs have uncoupling activity, and are involved in the regulation of metabolic heat production and/or energy expenditure, as do those of other species.","ISSN":"1096-4959","note":"PMID: 11959030","shortTitle":"Canine mitochondrial uncoupling proteins","journalAbbreviation":"Comp. Biochem. Physiol. B, Biochem. Mol. Biol.","language":"eng","author":[{"family":"Ishioka","given":"Katsumi"},{"family":"Kanehira","given":"Katsushi"},{"family":"Sasaki","given":"Noriyasu"},{"family":"Kitamura","given":"Hiroshi"},{"family":"Kimura","given":"Kazuhiro"},{"family":"Saito","given":"Masayuki"}],"issued":{"date-parts":[["2002",3]]},"PMID":"11959030"}}],"schema":"https://github.com/citation-style-language/schema/raw/master/csl-citation.json"} </w:instrText>
      </w:r>
      <w:r>
        <w:fldChar w:fldCharType="separate"/>
      </w:r>
      <w:r w:rsidRPr="00D0029F">
        <w:rPr>
          <w:vertAlign w:val="superscript"/>
        </w:rPr>
        <w:t>224</w:t>
      </w:r>
      <w:r>
        <w:fldChar w:fldCharType="end"/>
      </w:r>
      <w:r>
        <w:t xml:space="preserve">  SIRT1 adipose tissue expression in the current dogs did not differ by group or time point, while muscle values were inititally increased in the obese nutraceutical dogs, but normalized to all other groups by week twelve.  A similar trend was seen with muscle PGC1α expression, which was initially greater in obese nutraceutical dogs compared to both excess calorie groups, but did not differ from other groups by study termination.  Adipocyte PGC1α and NFR1 muscle and fat expression did not differ within or across groups.</w:t>
      </w:r>
    </w:p>
    <w:p w:rsidR="005817F5" w:rsidRDefault="005817F5" w:rsidP="005817F5">
      <w:pPr>
        <w:ind w:firstLine="720"/>
      </w:pPr>
      <w:r>
        <w:t>Another function of leucine is its ability to stimulate protein synthesis in skeletal muscle via mammalian target of rapamycin (mTOR) dependent and independent pathways.</w:t>
      </w:r>
      <w:r>
        <w:fldChar w:fldCharType="begin"/>
      </w:r>
      <w:r w:rsidR="000A492A">
        <w:instrText xml:space="preserve"> ADDIN ZOTERO_ITEM CSL_CITATION {"citationID":"RiKbNi6x","properties":{"formattedCitation":"{\\rtf \\super 357,357\\uc0\\u8211{}362\\nosupersub{}}","plainCitation":"357,357–362"},"citationItems":[{"id":1717,"uris":["http://zotero.org/users/171999/items/DHV9VK5S"],"uri":["http://zotero.org/users/171999/items/DHV9VK5S"],"itemData":{"id":1717,"type":"article-journal","title":"Leucine. A possible regulator of protein turnover in muscle","container-title":"The Journal of clinical investigation","page":"1250-1261","volume":"56","issue":"5","source":"NCBI PubMed","abstract":"Incorporation of radiolabeled precursors into muscle proteins was studied in isolated rat hemidiaphragms. A mixture of three branched-chain amino acids (0.3 mM each) added to media containing glucose stimulated the incorporation of [14C]lysine into proteins. When tested separately, valine was ineffective, isoleucine was inhibitory, but 0.5 mM leucine increased the specific activity of muscle proteins during incubation with [14C]lysine or [14C]acetate in hemidiaphragms from fed or fasted rats incubated with or without insulin. Preincubation with 0.5 mM leucine increased the specific activity of muscle proteins during a subsequent 30- or 60-min incubation with [14C]lysine or [14C]pyruvate without leucine. Preincubation with other amino acids (glutamate, histidine, methionine, phenylalanine, or tryptophan) did not exert this effect. When hemidiaphragms were incubated with a mixture of amino acids at concentrations found in rat serum and a [14C]lysine tracer, the specific activity of muscle proteins increased when leucine in the medium was raised from 0.1 to 0.5 mM. Experiments with actinomycin D and cycloheximide suggested that neither RNA synthesis nor protein synthesis are required for the initiation of the leucine effect. Leucine was not effective when added after 1 h preincubation without leucine. The concentration of lysine in the tissue water of diaphragms decreased during incubation with 0.5 mM leucine in the presence or absence of cycloheximide, suggesting that leucine inhibited protein degradation. During incubation with [3h]tyrosine (0.35 mM) the addition of 0.5 mM leucine increased the specific activity of muscle proteins, while the specific activity of intracellular tyrosine remained constant and its concentration decreased, suggesting that leucine also promoted protein synthesis. The concentration of leucine in muscle cells or a compartment thereof may play a role in regulating the turnover of muscle proteins and influence the transition to negative nitrogen balance during fasting, uncontrolled diabetes, and the posttraumatic state. Leucine may play a pivotal role in the protein-sparing effect of amino aicds.","DOI":"10.1172/JCI108201","ISSN":"0021-9738","note":"PMID: 1237498","journalAbbreviation":"J. Clin. Invest.","language":"eng","author":[{"family":"Buse","given":"M G"},{"family":"Reid","given":"S S"}],"issued":{"date-parts":[["1975",11]]},"PMID":"1237498"}},{"id":1717,"uris":["http://zotero.org/users/171999/items/DHV9VK5S"],"uri":["http://zotero.org/users/171999/items/DHV9VK5S"],"itemData":{"id":1717,"type":"article-journal","title":"Leucine. A possible regulator of protein turnover in muscle","container-title":"The Journal of clinical investigation","page":"1250-1261","volume":"56","issue":"5","source":"NCBI PubMed","abstract":"Incorporation of radiolabeled precursors into muscle proteins was studied in isolated rat hemidiaphragms. A mixture of three branched-chain amino acids (0.3 mM each) added to media containing glucose stimulated the incorporation of [14C]lysine into proteins. When tested separately, valine was ineffective, isoleucine was inhibitory, but 0.5 mM leucine increased the specific activity of muscle proteins during incubation with [14C]lysine or [14C]acetate in hemidiaphragms from fed or fasted rats incubated with or without insulin. Preincubation with 0.5 mM leucine increased the specific activity of muscle proteins during a subsequent 30- or 60-min incubation with [14C]lysine or [14C]pyruvate without leucine. Preincubation with other amino acids (glutamate, histidine, methionine, phenylalanine, or tryptophan) did not exert this effect. When hemidiaphragms were incubated with a mixture of amino acids at concentrations found in rat serum and a [14C]lysine tracer, the specific activity of muscle proteins increased when leucine in the medium was raised from 0.1 to 0.5 mM. Experiments with actinomycin D and cycloheximide suggested that neither RNA synthesis nor protein synthesis are required for the initiation of the leucine effect. Leucine was not effective when added after 1 h preincubation without leucine. The concentration of lysine in the tissue water of diaphragms decreased during incubation with 0.5 mM leucine in the presence or absence of cycloheximide, suggesting that leucine inhibited protein degradation. During incubation with [3h]tyrosine (0.35 mM) the addition of 0.5 mM leucine increased the specific activity of muscle proteins, while the specific activity of intracellular tyrosine remained constant and its concentration decreased, suggesting that leucine also promoted protein synthesis. The concentration of leucine in muscle cells or a compartment thereof may play a role in regulating the turnover of muscle proteins and influence the transition to negative nitrogen balance during fasting, uncontrolled diabetes, and the posttraumatic state. Leucine may play a pivotal role in the protein-sparing effect of amino aicds.","DOI":"10.1172/JCI108201","ISSN":"0021-9738","note":"PMID: 1237498","journalAbbreviation":"J. Clin. Invest.","language":"eng","author":[{"family":"Buse","given":"M G"},{"family":"Reid","given":"S S"}],"issued":{"date-parts":[["1975",11]]},"PMID":"1237498"}},{"id":1719,"uris":["http://zotero.org/users/171999/items/GMA96WD5"],"uri":["http://zotero.org/users/171999/items/GMA96WD5"],"itemData":{"id":1719,"type":"article-journal","title":"Orally administered leucine stimulates protein synthesis in skeletal muscle of postabsorptive rats in association with increased eIF4F formation","container-title":"The Journal of nutrition","page":"139-145","volume":"130","issue":"2","source":"NCBI PubMed","abstract":"We investigated the protein synthetic response of skeletal muscle to an orally administered dose of leucine given alone or in combination with carbohydrate. Male rats were freely fed (F) or food deprived for 18 h; food-deprived rats were then administered saline (S), carbohydrate (CHO), leucine (L) or a combination of carbohydrate plus leucine (CL). CHO and CL meals were isocaloric and provided 15% of daily energy requirements. L and CL meals each delivered 270 mg leucine. Muscle protein synthesis in S was 65% of F (P&lt;0.01) 1 h after meal administration. Concomitant with lower rates of protein synthesis, phosphorylation of the translational repressor, eukaryotic initiation factor (eIF)4E-binding protein 1 (4E-BP1), was less in S, leading to greater association of 4E-BP1.eIF4E, and reduced formation of the active eIF4G.eIF4E complex compared with F (P&lt;0.01). Oral administration of leucine (L or CL), but not CHO, restored protein synthesis equal to that in F and resulted in 4E-BP1 phosphorylation that was threefold greater than that of S (P&lt;0.01). Consequently, formation of 4E-BP1.eIF4E was inhibited and eIF4G.eIF4E was not different from F. The amount of eIF4E in the phosphorylated form was greater in S and CHO (P&lt;0.01) than in all other groups. In contrast, no differences in the phosphorylation state of eIF2alpha or the activity of eIF2B were noted among treatment groups. Serum insulin was elevated 2.6- and 3.7-fold in CHO and CL, respectively, but was not different in L, compared with S (P&lt;0.05). These results suggest that leucine stimulates protein synthesis in skeletal muscle by enhancing eIF4F formation independently of increases in serum insulin.","ISSN":"0022-3166","note":"PMID: 10720160","journalAbbreviation":"J. Nutr.","language":"eng","author":[{"family":"Anthony","given":"J C"},{"family":"Anthony","given":"T G"},{"family":"Kimball","given":"S R"},{"family":"Vary","given":"T C"},{"family":"Jefferson","given":"L S"}],"issued":{"date-parts":[["2000",2]]},"PMID":"10720160"}},{"id":1723,"uris":["http://zotero.org/users/171999/items/GMPTRJJS"],"uri":["http://zotero.org/users/171999/items/GMPTRJJS"],"itemData":{"id":1723,"type":"article-journal","title":"Influence of amino acid availability on protein turnover in perfused skeletal muscle","container-title":"Biochimica et biophysica acta","page":"351-359","volume":"544","issue":"2","source":"NCBI PubMed","ISSN":"0006-3002","note":"PMID: 719005","journalAbbreviation":"Biochim. Biophys. Acta","language":"eng","author":[{"family":"Li","given":"J B"},{"family":"Jefferson","given":"L S"}],"issued":{"date-parts":[["1978",12,1]]},"PMID":"719005"}},{"id":1725,"uris":["http://zotero.org/users/171999/items/F29Q7D88"],"uri":["http://zotero.org/users/171999/items/F29Q7D88"],"itemData":{"id":1725,"type":"article-journal","title":"Effects of leucine on in vitro protein synthesis and degradation in rat skeletal muscles","container-title":"The Journal of nutrition","page":"1204-1212","volume":"114","issue":"7","source":"NCBI PubMed","abstract":"Weanling rats were used to examine the role of leucine in in vitro protein turnover in skeletal muscles. In three experiments, rats were subjected to 24 or 72 hours of food deprivation or 5 days of consuming a protein-free diet or injection of streptozotocin. The soleus and extensor digitorum longus muscles were removed and utilized for measures of protein synthesis or degradation by using the isolated, incubated muscle technique of Li et al. These experiments demonstrate that supplementation of the incubation media with 0.5 mM leucine stimulates protein synthesis in these catabolic muscles and that during total starvation the stimulation decreases as the severity of the condition increases. Leucine supplementation failed to affect protein degradation in these skeletal muscles. This study demonstrates that the branched-chain amino acid leucine has the potential to stimulate protein synthesis in skeletal muscles, at least under specific catabolic conditions, but does not affect protein degradation in skeletal muscles under the conditions studied.","ISSN":"0022-3166","note":"PMID: 6737085","journalAbbreviation":"J. Nutr.","language":"eng","author":[{"family":"Hong","given":"S O"},{"family":"Layman","given":"D K"}],"issued":{"date-parts":[["1984",7]]},"PMID":"6737085"}},{"id":1705,"uris":["http://zotero.org/users/171999/items/83N6VMVK"],"uri":["http://zotero.org/users/171999/items/83N6VMVK"],"itemData":{"id":1705,"type":"article-journal","title":"Signaling pathways involved in translational control of protein synthesis in skeletal muscle by leucine","container-title":"The Journal of nutrition","page":"856S-860S","volume":"131","issue":"3","source":"NCBI PubMed","abstract":"Numerous reports established that in skeletal muscle the indispensable branched-chain amino acid leucine is unique in its ability to initiate signal transduction pathways that modulate translation initiation. Oral administration of leucine stimulates protein synthesis in association with hyperphosphorylation of the translational repressor, eukaryotic initiation factor (eIF) 4E binding protein 1 (4E-BP1), resulting in enhanced availability of the mRNA cap-binding protein eIF4E, for binding eIF4G and forming the active eIF4F complex. In addition, leucine enhances phosphorylation of the 70-kDa ribosomal protein S6 kinase (S6K1). These results suggest that leucine upregulates protein synthesis in skeletal muscle by enhancing both the activity and synthesis of proteins involved in mRNA translation. The stimulatory effects of leucine on translation initiation are mediated in part through the protein kinase mammalian target of rapamycin (mTOR), where both insulin signaling and leucine signaling converge to promote a maximal response.","ISSN":"0022-3166","note":"PMID: 11238774","journalAbbreviation":"J. Nutr.","language":"eng","author":[{"family":"Anthony","given":"J C"},{"family":"Anthony","given":"T G"},{"family":"Kimball","given":"S R"},{"family":"Jefferson","given":"L S"}],"issued":{"date-parts":[["2001",3]]},"PMID":"11238774"}},{"id":1729,"uris":["http://zotero.org/users/171999/items/Q7K7DJBC"],"uri":["http://zotero.org/users/171999/items/Q7K7DJBC"],"itemData":{"id":1729,"type":"article-journal","title":"Leucine and protein synthesis: mTOR and beyond","container-title":"Nutrition reviews","page":"122-129","volume":"65","issue":"3","source":"NCBI PubMed","abstract":"The effects of amino acid intake on protein synthesis in the intact rat appear to be mediated almost entirely by a single amino acid: leucine. The effect of leucine on protein synthesis appears to be closely associated with eIF4G phosphorylation and its association with eIF4E, but whether eIF4G phosphorylation actually mediates the effects of leucine or is merely associated with these events has not been elucidated. Additional research is needed to determine whether leucine effects eIF4G phosphorylation, whether eIF4G phosphorylation is essential for the effect of leucine on protein synthesis, and whether mTOR (mammalian target of rapamycin) or another component of the mTOR complex is somehow involved in leucine-specific signaling.","ISSN":"0029-6643","note":"PMID: 17425063","shortTitle":"Leucine and protein synthesis","journalAbbreviation":"Nutr. Rev.","language":"eng","author":[{"family":"Stipanuk","given":"Martha H"}],"issued":{"date-parts":[["2007",3]]},"PMID":"17425063"}}],"schema":"https://github.com/citation-style-language/schema/raw/master/csl-citation.json"} </w:instrText>
      </w:r>
      <w:r>
        <w:fldChar w:fldCharType="separate"/>
      </w:r>
      <w:r w:rsidR="000A492A" w:rsidRPr="000A492A">
        <w:rPr>
          <w:vertAlign w:val="superscript"/>
        </w:rPr>
        <w:t>357,357–362</w:t>
      </w:r>
      <w:r>
        <w:fldChar w:fldCharType="end"/>
      </w:r>
      <w:r>
        <w:t xml:space="preserve">  It also maintains muscle mass via an antiproteolytic effect, supported by evidence of down regulated ubiquination and proteasome activity in rats.</w:t>
      </w:r>
      <w:r>
        <w:fldChar w:fldCharType="begin"/>
      </w:r>
      <w:r w:rsidR="000A492A">
        <w:instrText xml:space="preserve"> ADDIN ZOTERO_ITEM CSL_CITATION {"citationID":"JbXWG5oQ","properties":{"formattedCitation":"{\\rtf \\super 372,374\\nosupersub{}}","plainCitation":"372,374"},"citationItems":[{"id":1761,"uris":["http://zotero.org/users/171999/items/X3A87AGG"],"uri":["http://zotero.org/users/171999/items/X3A87AGG"],"itemData":{"id":1761,"type":"article-journal","title":"A leucine-supplemented diet restores the defective postprandial inhibition of proteasome-dependent proteolysis in aged rat skeletal muscle","container-title":"The Journal of physiology","page":"489-499","volume":"569","issue":"Pt 2","source":"NCBI PubMed","abstract":"We tested the hypothesis that skeletal muscle ubiquitin-proteasome-dependent proteolysis is dysregulated in ageing in response to feeding. In Experiment 1 we measured rates of proteasome-dependent proteolysis in incubated muscles from 8- and 22-month-old rats, proteasome activities, and rates of ubiquitination, in the postprandial and postabsorptive states. Peptidase activities of the proteasome decreased in the postabsorptive state in 22-month-old rats compared with 8-month-old animals, while the rate of ubiquitination was not altered. Furthermore, the down-regulation of in vitro proteasome-dependent proteolysis that prevailed in the postprandial state in 8-month-old rats was defective in 22-month-old rats. Next, we tested the hypothesis that the ingestion of a 5% leucine-supplemented diet may correct this defect. Leucine supplementation restored the postprandial inhibition of in vitro proteasome-dependent proteolysis in 22-month-old animals, by down-regulating both rates of ubiquitination and proteasome activities. In Experiment 2, we verified that dietary leucine supplementation had long-lasting effects by comparing 8- and 22-month-old rats that were fed either a leucine-supplemented diet or an alanine-supplemented diet for 10 days. The inhibited in vitro proteolysis was maintained in the postprandial state in the 22-month-old rats fed the leucine-supplemented diet. Moreover, elevated mRNA levels for ubiquitin, 14-kDa ubiquitin-conjugating enzyme E2, and C2 and X subunits of the 20S proteasome that were characteristic of aged muscle were totally suppressed in 22-month-old animals chronically fed the leucine-supplemented diet, demonstrating an in vivo effect. Thus the defective postprandial down-regulation of in vitro proteasome-dependent proteolysis in 22-month-old rats was restored in animals chronically fed a leucine-supplemented diet.","DOI":"10.1113/jphysiol.2005.098004","ISSN":"0022-3751","note":"PMID: 16195315","journalAbbreviation":"J. Physiol. (Lond.)","language":"eng","author":[{"family":"Combaret","given":"Lydie"},{"family":"Dardevet","given":"Dominique"},{"family":"Rieu","given":"Isabelle"},{"family":"Pouch","given":"Marie-Noëlle"},{"family":"Béchet","given":"Daniel"},{"family":"Taillandier","given":"Daniel"},{"family":"Grizard","given":"Jean"},{"family":"Attaix","given":"Didier"}],"issued":{"date-parts":[["2005",12,1]]},"PMID":"16195315"}},{"id":1740,"uris":["http://zotero.org/users/171999/items/KS66TX9T"],"uri":["http://zotero.org/users/171999/items/KS66TX9T"],"itemData":{"id":1740,"type":"article-journal","title":"Potential antiproteolytic effects of L-leucine: observations of in vitro and in vivo studies","container-title":"Nutrition &amp; metabolism","page":"20","volume":"5","source":"NCBI PubMed","abstract":"The purpose of present review is to describe the effect of leucine supplementation on skeletal muscle proteolysis suppression in both in vivo and in vitro studies. Most studies, using in vitro methodology, incubated skeletal muscles with leucine with different doses and the results suggests that there is a dose-dependent effect. The same responses can be observed in in vivo studies. Importantly, the leucine effects on skeletal muscle protein synthesis are not always connected to the inhibition of skeletal muscle proteolysis. As a matter of fact, high doses of leucine incubation can promote suppression of muscle proteolysis without additional effects on protein synthesis, and low leucine doses improve skeletal muscle protein ynthesis but have no effect on skeletal muscle proteolysis. These research findings may have an important clinical relevancy, because muscle loss in atrophic states would be reversed by specific leucine supplementation doses. Additionally, it has been clearly demonstrated that leucine administration suppresses skeletal muscle proteolysis in various catabolic states. Thus, if protein metabolism changes during different atrophic conditions, it is not surprising that the leucine dose-effect relationship must also change, according to atrophy or pathological state and catabolism magnitude. In conclusion, leucine has a potential role on attenuate skeletal muscle proteolysis. Future studies will help to sharpen the leucine efficacy on skeletal muscle protein degradation during several atrophic states.","DOI":"10.1186/1743-7075-5-20","ISSN":"1743-7075","note":"PMID: 18637185","shortTitle":"Potential antiproteolytic effects of L-leucine","journalAbbreviation":"Nutr Metab (Lond)","language":"eng","author":[{"family":"Zanchi","given":"Nelo E"},{"family":"Nicastro","given":"Humberto"},{"family":"Lancha","given":"Antonio H, Jr"}],"issued":{"date-parts":[["2008"]]},"PMID":"18637185"}}],"schema":"https://github.com/citation-style-language/schema/raw/master/csl-citation.json"} </w:instrText>
      </w:r>
      <w:r>
        <w:fldChar w:fldCharType="separate"/>
      </w:r>
      <w:r w:rsidR="000A492A" w:rsidRPr="000A492A">
        <w:rPr>
          <w:vertAlign w:val="superscript"/>
        </w:rPr>
        <w:t>372,374</w:t>
      </w:r>
      <w:r>
        <w:fldChar w:fldCharType="end"/>
      </w:r>
      <w:r>
        <w:t xml:space="preserve">  When given to tumor bearing cachectic rats, leucine (3% of diet) over 20 days reduced protein degradation compared to control rats.</w:t>
      </w:r>
      <w:r>
        <w:fldChar w:fldCharType="begin"/>
      </w:r>
      <w:r w:rsidR="000A492A">
        <w:instrText xml:space="preserve"> ADDIN ZOTERO_ITEM CSL_CITATION {"citationID":"dMkztuPI","properties":{"formattedCitation":"{\\rtf \\super 375\\nosupersub{}}","plainCitation":"375"},"citationItems":[{"id":1763,"uris":["http://zotero.org/users/171999/items/P5XVG9UH"],"uri":["http://zotero.org/users/171999/items/P5XVG9UH"],"itemData":{"id":1763,"type":"article-journal","title":"Proteasome activity is altered in skeletal muscle tissue of tumour-bearing rats a leucine-rich diet","container-title":"Endocrine-related cancer","page":"887-895","volume":"11","issue":"4","source":"NCBI PubMed","abstract":"Leucine can modulate skeletal muscle metabolism by enhancing protein synthesis and decreasing proteolysis. In this study, we investigated the effects of leucine on the ubiquitin-proteasome system in skeletal muscle of pregnant tumour-bearing rats fed a leucine-rich diet. Pregnant Wistar rats were distributed into three groups that were fed a semi-purified control diet (C, control; W, Walker tumour-bearing; P, pair-fed) and three other groups of pregnant rats fed a semi-purified leucine-rich diet (L, leucine; WL, Walker tumour-bearing; PL, pair-fed). The tumour-bearing rats were injected subcutaneously with a suspension of Walker 256 tumour cells. Protein synthesis and degradation were measured in gastrocnemius muscle; the total protein content and tissue chymotrypsin-like and alkaline phosphatase enzyme activities were also determined. Muscle protein extracts were run on SDS-PAGE to assess the expression of the myosin heavy chain (MHC), 20S alpha proteasome subunit, 19S MSSI ATPase regulator subunit and 11S alpha subunit. Although tumour growth decreased the incorporation of [3H]-Phe, the concomitant feeding of a leucine-rich diet increased the rate of protein synthesis. Muscle proteolysis in both tumour-bearing groups was increased more than in the respective control groups. Conversely, the leucine-rich diet caused less protein breakdown in the WL group than in the W group. Only the W group showed a significant reduction (71%) in the myosin content. In WL rats, the 20S proteasome content (32 kDa band) was reduced, while the expression of the 19S subunit was 3-fold less than in the W group and the 11S proteasome subunit reduced, to around 32% less than in the W group. These findings clearly indicate that leucine can stimulate protein synthesis and inhibit protein breakdown in pregnant rats, probably by modulating the activation of the ubiquitin-proteasome system during tumour growth.","DOI":"10.1677/erc.1.00828","ISSN":"1351-0088","note":"PMID: 15613461","journalAbbreviation":"Endocr. Relat. Cancer","language":"eng","author":[{"family":"Ventrucci","given":"G"},{"family":"Mello","given":"M A R"},{"family":"Gomes-Marcondes","given":"M C C"}],"issued":{"date-parts":[["2004",12]]},"PMID":"15613461"}}],"schema":"https://github.com/citation-style-language/schema/raw/master/csl-citation.json"} </w:instrText>
      </w:r>
      <w:r>
        <w:fldChar w:fldCharType="separate"/>
      </w:r>
      <w:r w:rsidR="000A492A" w:rsidRPr="000A492A">
        <w:rPr>
          <w:vertAlign w:val="superscript"/>
        </w:rPr>
        <w:t>375</w:t>
      </w:r>
      <w:r>
        <w:fldChar w:fldCharType="end"/>
      </w:r>
      <w:r>
        <w:t xml:space="preserve">  The only objective </w:t>
      </w:r>
      <w:r>
        <w:rPr>
          <w:i/>
        </w:rPr>
        <w:t>in vivo</w:t>
      </w:r>
      <w:r>
        <w:t xml:space="preserve"> measure of muscle in the current study was measurement of overall lean tissue mass by DXA (</w:t>
      </w:r>
      <w:r>
        <w:rPr>
          <w:color w:val="FF0000"/>
        </w:rPr>
        <w:t>Chapter I and II)</w:t>
      </w:r>
      <w:r>
        <w:t>.  Nutraceutical dogs maintained muscle mass while losing weight, but there was not an advantage over a therapeutic weight loss diet.  To better assess the protein synthesis capabilities of the nutraceutical, genes involved with mTOR activiation and activity would need to be measured.</w:t>
      </w:r>
    </w:p>
    <w:p w:rsidR="005817F5" w:rsidRDefault="005817F5" w:rsidP="005817F5">
      <w:pPr>
        <w:ind w:firstLine="720"/>
      </w:pPr>
      <w:r>
        <w:t>Pyridoxine, the other component of the nutraceutical,</w:t>
      </w:r>
      <w:r w:rsidRPr="003A0EF9">
        <w:t xml:space="preserve"> acts to attenuate calcium signaling, </w:t>
      </w:r>
      <w:r>
        <w:t xml:space="preserve">inhibiting calcium movement into adipocytes </w:t>
      </w:r>
      <w:r>
        <w:rPr>
          <w:i/>
        </w:rPr>
        <w:t>in vitro</w:t>
      </w:r>
      <w:r>
        <w:t>.  This has been noted in research utilizing pyridoxine deficient rats, which have enhanced influx of calcium into vascular smooth muscle.</w:t>
      </w:r>
      <w:r>
        <w:fldChar w:fldCharType="begin"/>
      </w:r>
      <w:r w:rsidR="000A492A">
        <w:instrText xml:space="preserve"> ADDIN ZOTERO_ITEM CSL_CITATION {"citationID":"prTU8KA8","properties":{"formattedCitation":"{\\rtf \\super 384,385\\nosupersub{}}","plainCitation":"384,385"},"citationItems":[{"id":175,"uris":["http://zotero.org/users/171999/items/Z2XJEMFC"],"uri":["http://zotero.org/users/171999/items/Z2XJEMFC"],"itemData":{"id":175,"type":"article-journal","title":"Regulation of calcium influx into vascular smooth muscle by vitamin B6","container-title":"Clinical and experimental hypertension (New York, N.Y.: 1993)","page":"489-500","volume":"15","issue":"3","source":"NCBI PubMed","abstract":"In the vitamin B6 deficiency-induced hypertensive (B6DHT) rat there is an increased influx of calcium into the vascular smooth muscle. Vitamers which possess vitamin B6 activity blocked the in vitro calcium influx into the caudal artery of B6DHT rats and the BAY K 8644-induced influx into artery segments from vitamin B6-supplemented (control) rats. BAY K 8644 did not increase further the calcium influx into caudal artery segments from B6DHT rats. However, when this influx was partly decreased by Nifedipine or by pyridoxal phosphate, BAY K 8644 antagonized their effects indicating that calcium influx mediated by the dihydropyridine-sensitive calcium channel is a site of the calcium influx defect in the B6DHT rat.","ISSN":"1064-1963","note":"PMID: 7683949","journalAbbreviation":"Clin. Exp. Hypertens.","language":"eng","author":[{"family":"Lal","given":"K J"},{"family":"Sharma","given":"S K"},{"family":"Dakshinamurti","given":"K"}],"issued":{"date-parts":[["1993",5]]},"PMID":"7683949"}},{"id":179,"uris":["http://zotero.org/users/171999/items/VPI2R49G"],"uri":["http://zotero.org/users/171999/items/VPI2R49G"],"itemData":{"id":179,"type":"article-journal","title":"Hypertension, calcium channel and pyridoxine (vitamin B6)","container-title":"Molecular and cellular biochemistry","page":"137-148","volume":"188","issue":"1-2","source":"NCBI PubMed","abstract":"The moderately pyridoxine (vitamin B6)-deficient male rat was introduced by us as an animal model (B6DHT) for the study of hypertension. Hypertension in this rat is associated with increased sympathetic stimulation. Arterial segments from B6DHT rats maintained a higher resting tone. The influx of 45calcium into intracellular compartment of the vascular smooth muscle of the caudate artery of B6DHT rats was also enhanced. Administration of pyridoxine attenuated the hypertension in B6DHT rats as well as in genetic or dietary-induced moderately hypertensive conditions such as in the Zucker obese rat and sucrose or low calcium-fed rats. However, pyridoxine did not have any effect on the spontaneously hypertensive rat. All classes of calcium channel blockers were effective in lowering the systolic blood pressure of B6DHT rats. The increased in vitro influx of 45calcium into intracellular compartment of artery segments of B6DHT rats as well as the BAY K 8644-induced influx of 45calcium into artery segments from normal rats were blocked by pyridoxal phosphate as well as by dihydropyridine-sensitive calcium channel blockers (DHP). Pyridoxal phosphate (PLP) in vitro enhances the binding of calcium channel antagonists to membrane preparations from vascular tissue. PLP corrects the membrane abnormality in responsive hypertensive conditions and thus, could be an endogenous modulator of DHP-sensitive calcium channels.","ISSN":"0300-8177","note":"PMID: 9823019","journalAbbreviation":"Mol. Cell. Biochem.","language":"eng","author":[{"family":"Dakshinamurti","given":"K"},{"family":"Lal","given":"K J"},{"family":"Ganguly","given":"P K"}],"issued":{"date-parts":[["1998",11]]},"PMID":"9823019"}}],"schema":"https://github.com/citation-style-language/schema/raw/master/csl-citation.json"} </w:instrText>
      </w:r>
      <w:r>
        <w:fldChar w:fldCharType="separate"/>
      </w:r>
      <w:r w:rsidR="000A492A" w:rsidRPr="000A492A">
        <w:rPr>
          <w:vertAlign w:val="superscript"/>
        </w:rPr>
        <w:t>384,385</w:t>
      </w:r>
      <w:r>
        <w:fldChar w:fldCharType="end"/>
      </w:r>
      <w:r>
        <w:t xml:space="preserve">  Spontaneously hypertensive rats also exhibit increased intracellular calcium levels, which is reduced with dietary pyridoxine supplementation at both recommended and 20 x recommended dietary intake levels.</w:t>
      </w:r>
      <w:r>
        <w:fldChar w:fldCharType="begin"/>
      </w:r>
      <w:r w:rsidR="000A492A">
        <w:instrText xml:space="preserve"> ADDIN ZOTERO_ITEM CSL_CITATION {"citationID":"kWjGMFE2","properties":{"formattedCitation":"{\\rtf \\super 386\\nosupersub{}}","plainCitation":"386"},"citationItems":[{"id":183,"uris":["http://zotero.org/users/171999/items/QC5JEVF2"],"uri":["http://zotero.org/users/171999/items/QC5JEVF2"],"itemData":{"id":183,"type":"article-journal","title":"Dietary vitamin B6 supplementation attenuates hypertension in spontaneously hypertensive rats","container-title":"Molecular and cellular biochemistry","page":"155-162","volume":"200","issue":"1-2","source":"NCBI PubMed","abstract":"In spontaneously hypertensive rats (SHRs) excess endogenous aldehydes bind sulfhydryl groups of membrane proteins, altering membrane Ca2+ channels, increasing cytosolic free calcium and blood pressure. N-acetyl cysteine normalizes elevated blood pressure in SHRs by binding excess endogenous aldehydes. It is known that dietary vitamin B6 supplementation can increase the level of endogenous cysteine. Our objective was to investigate whether a dietary supplementation of vitamin B6 can prevent hypertension and associated changes in SHRs. Starting at 7 weeks of age, animals were divided into three groups of six animals each. Animals in WKY-control group and SHR-control group were given a normal vitamin B6 diet; and SHR-vitamin B6 group, a high vitamin B6 diet (20 times the recommended dietary intake; RDA) for the next 14 weeks. After 14 weeks, systolic blood pressure, platelet [Ca2+]i and liver, kidney and aortic aldehyde conjugates were significantly higher in SHR controls compared to WKY controls. These animals also showed smooth muscle cell hyperplasia in the small arteries and arterioles of the kidneys. Dietary vitamin B6 supplementation attenuated the increase in systolic blood pressure, tissue aldehyde conjugates and associated changes. These results further support the hypothesis that aldehydes are involved in increased systolic blood pressure in SHRs and suggest that vitamin B6 supplementation may be an effective antihypertensive.","ISSN":"0300-8177","note":"PMID: 10569195","journalAbbreviation":"Mol. Cell. Biochem.","language":"eng","author":[{"family":"Vasdev","given":"S"},{"family":"Ford","given":"C A"},{"family":"Parai","given":"S"},{"family":"Longerich","given":"L"},{"family":"Gadag","given":"V"}],"issued":{"date-parts":[["1999",10]]},"PMID":"10569195"}}],"schema":"https://github.com/citation-style-language/schema/raw/master/csl-citation.json"} </w:instrText>
      </w:r>
      <w:r>
        <w:fldChar w:fldCharType="separate"/>
      </w:r>
      <w:r w:rsidR="000A492A" w:rsidRPr="000A492A">
        <w:rPr>
          <w:vertAlign w:val="superscript"/>
        </w:rPr>
        <w:t>386</w:t>
      </w:r>
      <w:r>
        <w:fldChar w:fldCharType="end"/>
      </w:r>
      <w:r>
        <w:t xml:space="preserve">  The ability to limit intracellular calcium accumulation is important to discussions surrounding weight loss because calcium regulates adipocyte lipid metabolism.  This relationship has been shown using human adipocytes exposed to agouti protein, which is associated with obesity and is expressed primarily in adipocytes.  Agouti protein exposure increased adipocyte FASN expression in these adipocytes, indicating a lipogenic state.</w:t>
      </w:r>
      <w:r>
        <w:fldChar w:fldCharType="begin"/>
      </w:r>
      <w:r w:rsidR="000A492A">
        <w:instrText xml:space="preserve"> ADDIN ZOTERO_ITEM CSL_CITATION {"citationID":"OfxkbfTL","properties":{"formattedCitation":"{\\rtf \\super 387,388\\nosupersub{}}","plainCitation":"387,388"},"citationItems":[{"id":187,"uris":["http://zotero.org/users/171999/items/D95PS2N9"],"uri":["http://zotero.org/users/171999/items/D95PS2N9"],"itemData":{"id":187,"type":"article-journal","title":"Transcriptional regulation of the adipocyte fatty acid synthase gene by agouti: interaction with insulin","container-title":"Physiological genomics","page":"157-162","volume":"3","issue":"3","source":"NCBI PubMed","abstract":"Mice carrying dominant mutations at the agouti locus exhibit ectopic expression of agouti gene transcripts, obesity, and type II diabetes through unknown mechanisms. To gain insight into the role of agouti protein in modulating adiposity, we investigated regulation of a key lipogenic gene, fatty acid synthase (FAS) by agouti alone and in combination with insulin. Both agouti and insulin increase FAS activity in 3T3-L1 and in human adipocytes. Agouti and insulin independently and additively increase FAS activity in 3T3-L1 adipocytes. We further investigated the mechanism responsible for the agouti-induced FAS expression in these cells and demonstrated that both insulin (3-fold increase) and agouti (2-fold) increased FAS gene expression at the transcriptional level. Furthermore, insulin and agouti together exerted additive effects (5-fold increase) on FAS gene transcription. Transfection assays of FAS promoter-luciferase fusion gene constructs into 3T3-L1 adipocytes indicated that the agouti response element(s) is (are) located in the -435 to -415 region (-435/-415) of the FAS promoter. Nuclear proteins binding to this novel sequence are adipocyte specific. Thus the agouti response sequences mapped to a region upstream of the insulin-responsive element (which we previously reported to be located at -67/-52), consistent with additive effects of these two factors on FAS gene transcription.","ISSN":"1531-2267","note":"PMID: 11015611","shortTitle":"Transcriptional regulation of the adipocyte fatty acid synthase gene by agouti","journalAbbreviation":"Physiol. Genomics","language":"eng","author":[{"family":"Claycombe","given":"K J"},{"family":"Wang","given":"Y"},{"family":"Jones","given":"B H"},{"family":"Kim","given":"S"},{"family":"Wilkison","given":"W O"},{"family":"Zemel","given":"M B"},{"family":"Chun","given":"J"},{"family":"Moustaid-Moussa","given":"N"}],"issued":{"date-parts":[["2000",9,8]]},"PMID":"11015611"}},{"id":191,"uris":["http://zotero.org/users/171999/items/RNHCWFIG"],"uri":["http://zotero.org/users/171999/items/RNHCWFIG"],"itemData":{"id":191,"type":"article-journal","title":"Relationship between human adipose tissue agouti and fatty acid synthase (FAS)","container-title":"The Journal of nutrition","page":"2478-2481","volume":"130","issue":"10","source":"NCBI PubMed","abstract":"The human homologue of the murine obesity gene, agouti, is expressed in adipose tissue. We have shown that recombinant agouti protein regulates adipocyte lipogenesis and lipolysis coordinately and promotes lipid storage via a Ca(2+)-dependent mechanism in vitro, which may contribute to agouti-induced obesity. However, little is known about agouti's physiologic function in humans. We first studied the agouti content in human mature adipocytes vs. preadipocytes. The agouti content of human mature adipocytes was five times as abundant as in preadipocytes (19.18 +/- 2.46 vs. 4.07 +/- 0.51 pg/microg protein, P: &lt; 0.005), suggesting that agouti is up-regulated during adipocyte differentiation. We next studied the relationship of agouti mRNA and protein to fatty acid synthase (FAS) mRNA and activity in adipose tissue obtained from nonobese and mildly obese patients (body mass index range, 21-31 kg/m(2)). Agouti protein was correlated with FAS activity (r = 0.782, P: &lt; 0.005). Similarly, human adipose tissue agouti mRNA level was also correlated with FAS mRNA level (r = 0.846, P: &lt; 0.001). These data suggest that agouti may be another adipocyte-produced factor that modulates adipocyte lipid metabolism via a paracrine/autocrine mechanism.","ISSN":"0022-3166","note":"PMID: 11015476","journalAbbreviation":"J. Nutr.","language":"eng","author":[{"family":"Xue","given":"B"},{"family":"Zemel","given":"M B"}],"issued":{"date-parts":[["2000",10]]},"PMID":"11015476"}}],"schema":"https://github.com/citation-style-language/schema/raw/master/csl-citation.json"} </w:instrText>
      </w:r>
      <w:r>
        <w:fldChar w:fldCharType="separate"/>
      </w:r>
      <w:r w:rsidR="000A492A" w:rsidRPr="000A492A">
        <w:rPr>
          <w:vertAlign w:val="superscript"/>
        </w:rPr>
        <w:t>387,388</w:t>
      </w:r>
      <w:r>
        <w:fldChar w:fldCharType="end"/>
      </w:r>
      <w:r>
        <w:t xml:space="preserve">  As previously discussed, FASN expression did not differ between groups utilized in this study, but further examination of visceral adipose tissue expression is warranted.</w:t>
      </w:r>
    </w:p>
    <w:p w:rsidR="001D2FF5" w:rsidRDefault="001D2FF5" w:rsidP="005817F5">
      <w:pPr>
        <w:ind w:firstLine="720"/>
        <w:contextualSpacing/>
      </w:pPr>
    </w:p>
    <w:p w:rsidR="001D2FF5" w:rsidRDefault="001D2FF5" w:rsidP="005817F5">
      <w:pPr>
        <w:ind w:firstLine="720"/>
        <w:contextualSpacing/>
      </w:pPr>
      <w:commentRangeStart w:id="117"/>
      <w:r>
        <w:t>In most studies, the expression of UCP homologues has been reported at the level of mRNA only.However, it is important to note that the expression of UCPmRNA in a specific tissue does not necessarily correlate with the expression of UCPs at the protein level.</w:t>
      </w:r>
      <w:r>
        <w:fldChar w:fldCharType="begin"/>
      </w:r>
      <w:r>
        <w:instrText xml:space="preserve"> ADDIN ZOTERO_ITEM CSL_CITATION {"citationID":"26n3iddcr8","properties":{"formattedCitation":"{\\rtf \\super 349,350\\nosupersub{}}","plainCitation":"349,350"},"citationItems":[{"id":1509,"uris":["http://zotero.org/users/171999/items/TZC28NU9"],"uri":["http://zotero.org/users/171999/items/TZC28NU9"],"itemData":{"id":1509,"type":"article-journal","title":"Fasting and leptin modulate adipose and muscle uncoupling protein: divergent effects between messenger ribonucleic acid and protein expression","container-title":"Endocrinology","page":"1511-1519","volume":"140","issue":"4","source":"NCBI PubMed","abstract":"Leptin is believed to act through hypothalamic centers to decrease appetite and increase energy utilization, in part through enhanced thermogenesis. In this study, we examined the effects of fasting for 2 days and exogenous s.c. leptin, 200 microg every 8 h for 2 days, on the regulation of uncoupling protein (UCP) subtypes in brown adipose tissue (BAT) and gastrocnemius muscle. Northern blot analysis (UCP-1) and ribonuclease protection (UCP-2 and 3) were used for quantitative messenger RNA (mRNA) analysis, and specific antibodies were used to measure UCP-1 and UCP-3 total protein expression. Leptin, compared with vehicle, did not alter BAT UCP-1 or UCP-3 mRNA or protein expression when administered to normal ad libitum fed rats. Fasting significantly decreased BAT UCP-1 and UCP-3 mRNA expression, to 31% and 30% of ad libitum fed controls, respectively, effects which were prevented by administration of leptin to fasted rats. Fasting also significantly decreased BAT UCP-1 protein expression, to 67% of control; however, that effect was not prevented by leptin treatment. Fasting also decreased BAT UCP-3 protein, to 85% of control, an effect that was not statistically significant. Fasting, with or without leptin administration, did not affect BAT UCP-2 mRNA; however, leptin administration to ad libitum fed rats significantly increased BAT UCP-2 mRNA, to 138% of control. Fasting significantly enhanced gastrocnemius muscle UCP-3 mRNA (411% of control) and protein expression (168% of control), whereas leptin administration to fasted rats did not alter either of these effects. In summary, UCP subtype mRNA and protein are regulated in tissue- and subtype-specific fashion by leptin and food restriction. Under certain conditions, the effects of these perturbations on UCP mRNA and protein are discordant.","ISSN":"0013-7227","note":"PMID: 10098482","shortTitle":"Fasting and leptin modulate adipose and muscle uncoupling protein","journalAbbreviation":"Endocrinology","language":"eng","author":[{"family":"Sivitz","given":"W I"},{"family":"Fink","given":"B D"},{"family":"Donohoue","given":"P A"}],"issued":{"date-parts":[["1999",4]]},"PMID":"10098482"}},{"id":1511,"uris":["http://zotero.org/users/171999/items/PJE72FXP"],"uri":["http://zotero.org/users/171999/items/PJE72FXP"],"itemData":{"id":1511,"type":"article-journal","title":"Uncoupling protein 2, in vivo distribution, induction upon oxidative stress, and evidence for translational regulation","container-title":"The Journal of biological chemistry","page":"8705-8712","volume":"276","issue":"12","source":"NCBI PubMed","abstract":"Uncoupling protein 2 (UCP2) belongs to the mitochondrial anion carrier family and partially uncouples respiration from ATP synthesis when expressed in recombinant yeast mitochondria. We generated a highly sensitive polyclonal antibody against human UCP2. Its reactivity toward mitochondrial proteins was compared between wild type and ucp2(-/-) mice, leading to non-ambiguous identification of UCP2. We detected UCP2 in spleen, lung, stomach, and white adipose tissue. No UCP2 was detected in heart, skeletal muscle, liver, and brown adipose tissue. The level of UCP2 in spleen mitochondria is less than 1% of the level of UCP1 in brown adipose tissue mitochondria. Starvation and LPS treatments increase UCP2 level up to 12 times in lung and stomach, which supports the hypothesis that UCP2 responds to oxidative stress situations. Stimulation of the UCP2 expression occurs without any change in UCP2 mRNA levels. This is explained by translational regulation of the UCP2 mRNA. We have shown that an upstream open reading frame located in exon two of the ucp2 gene strongly inhibits the expression of the protein. This further level of regulation of the ucp2 gene provides a mechanism by which expression can be strongly and rapidly induced under stress conditions.","DOI":"10.1074/jbc.M006938200","ISSN":"0021-9258","note":"PMID: 11098051","journalAbbreviation":"J. Biol. Chem.","language":"eng","author":[{"family":"Pecqueur","given":"C"},{"family":"Alves-Guerra","given":"M C"},{"family":"Gelly","given":"C"},{"family":"Levi-Meyrueis","given":"C"},{"family":"Couplan","given":"E"},{"family":"Collins","given":"S"},{"family":"Ricquier","given":"D"},{"family":"Bouillaud","given":"F"},{"family":"Miroux","given":"B"}],"issued":{"date-parts":[["2001",3,23]]},"PMID":"11098051"}}],"schema":"https://github.com/citation-style-language/schema/raw/master/csl-citation.json"} </w:instrText>
      </w:r>
      <w:r>
        <w:fldChar w:fldCharType="separate"/>
      </w:r>
      <w:r w:rsidRPr="004C0563">
        <w:rPr>
          <w:vertAlign w:val="superscript"/>
        </w:rPr>
        <w:t>349,350</w:t>
      </w:r>
      <w:r>
        <w:fldChar w:fldCharType="end"/>
      </w:r>
      <w:r>
        <w:t xml:space="preserve"> For example, whereas UCP2mRNA is found in heart tissues, skeletal muscle and BAT, no UCP2 protein could be detected in these tissues.</w:t>
      </w:r>
      <w:r>
        <w:fldChar w:fldCharType="begin"/>
      </w:r>
      <w:r>
        <w:instrText xml:space="preserve"> ADDIN ZOTERO_ITEM CSL_CITATION {"citationID":"s525cpv05","properties":{"formattedCitation":"{\\rtf \\super 350\\nosupersub{}}","plainCitation":"350"},"citationItems":[{"id":1511,"uris":["http://zotero.org/users/171999/items/PJE72FXP"],"uri":["http://zotero.org/users/171999/items/PJE72FXP"],"itemData":{"id":1511,"type":"article-journal","title":"Uncoupling protein 2, in vivo distribution, induction upon oxidative stress, and evidence for translational regulation","container-title":"The Journal of biological chemistry","page":"8705-8712","volume":"276","issue":"12","source":"NCBI PubMed","abstract":"Uncoupling protein 2 (UCP2) belongs to the mitochondrial anion carrier family and partially uncouples respiration from ATP synthesis when expressed in recombinant yeast mitochondria. We generated a highly sensitive polyclonal antibody against human UCP2. Its reactivity toward mitochondrial proteins was compared between wild type and ucp2(-/-) mice, leading to non-ambiguous identification of UCP2. We detected UCP2 in spleen, lung, stomach, and white adipose tissue. No UCP2 was detected in heart, skeletal muscle, liver, and brown adipose tissue. The level of UCP2 in spleen mitochondria is less than 1% of the level of UCP1 in brown adipose tissue mitochondria. Starvation and LPS treatments increase UCP2 level up to 12 times in lung and stomach, which supports the hypothesis that UCP2 responds to oxidative stress situations. Stimulation of the UCP2 expression occurs without any change in UCP2 mRNA levels. This is explained by translational regulation of the UCP2 mRNA. We have shown that an upstream open reading frame located in exon two of the ucp2 gene strongly inhibits the expression of the protein. This further level of regulation of the ucp2 gene provides a mechanism by which expression can be strongly and rapidly induced under stress conditions.","DOI":"10.1074/jbc.M006938200","ISSN":"0021-9258","note":"PMID: 11098051","journalAbbreviation":"J. Biol. Chem.","language":"eng","author":[{"family":"Pecqueur","given":"C"},{"family":"Alves-Guerra","given":"M C"},{"family":"Gelly","given":"C"},{"family":"Levi-Meyrueis","given":"C"},{"family":"Couplan","given":"E"},{"family":"Collins","given":"S"},{"family":"Ricquier","given":"D"},{"family":"Bouillaud","given":"F"},{"family":"Miroux","given":"B"}],"issued":{"date-parts":[["2001",3,23]]},"PMID":"11098051"}}],"schema":"https://github.com/citation-style-language/schema/raw/master/csl-citation.json"} </w:instrText>
      </w:r>
      <w:r>
        <w:fldChar w:fldCharType="separate"/>
      </w:r>
      <w:r w:rsidRPr="004C0563">
        <w:rPr>
          <w:vertAlign w:val="superscript"/>
        </w:rPr>
        <w:t>350</w:t>
      </w:r>
      <w:r>
        <w:fldChar w:fldCharType="end"/>
      </w:r>
      <w:r>
        <w:t xml:space="preserve"> Similarly, changes in the amount of mRNA expression do not necessarily predict changes in the amount of protein expression.</w:t>
      </w:r>
      <w:r w:rsidRPr="00D117B4">
        <w:t xml:space="preserve"> </w:t>
      </w:r>
      <w:r>
        <w:fldChar w:fldCharType="begin"/>
      </w:r>
      <w:r>
        <w:instrText xml:space="preserve"> ADDIN ZOTERO_ITEM CSL_CITATION {"citationID":"X9MD575e","properties":{"formattedCitation":"{\\rtf \\super 349,350\\nosupersub{}}","plainCitation":"349,350"},"citationItems":[{"id":1509,"uris":["http://zotero.org/users/171999/items/TZC28NU9"],"uri":["http://zotero.org/users/171999/items/TZC28NU9"],"itemData":{"id":1509,"type":"article-journal","title":"Fasting and leptin modulate adipose and muscle uncoupling protein: divergent effects between messenger ribonucleic acid and protein expression","container-title":"Endocrinology","page":"1511-1519","volume":"140","issue":"4","source":"NCBI PubMed","abstract":"Leptin is believed to act through hypothalamic centers to decrease appetite and increase energy utilization, in part through enhanced thermogenesis. In this study, we examined the effects of fasting for 2 days and exogenous s.c. leptin, 200 microg every 8 h for 2 days, on the regulation of uncoupling protein (UCP) subtypes in brown adipose tissue (BAT) and gastrocnemius muscle. Northern blot analysis (UCP-1) and ribonuclease protection (UCP-2 and 3) were used for quantitative messenger RNA (mRNA) analysis, and specific antibodies were used to measure UCP-1 and UCP-3 total protein expression. Leptin, compared with vehicle, did not alter BAT UCP-1 or UCP-3 mRNA or protein expression when administered to normal ad libitum fed rats. Fasting significantly decreased BAT UCP-1 and UCP-3 mRNA expression, to 31% and 30% of ad libitum fed controls, respectively, effects which were prevented by administration of leptin to fasted rats. Fasting also significantly decreased BAT UCP-1 protein expression, to 67% of control; however, that effect was not prevented by leptin treatment. Fasting also decreased BAT UCP-3 protein, to 85% of control, an effect that was not statistically significant. Fasting, with or without leptin administration, did not affect BAT UCP-2 mRNA; however, leptin administration to ad libitum fed rats significantly increased BAT UCP-2 mRNA, to 138% of control. Fasting significantly enhanced gastrocnemius muscle UCP-3 mRNA (411% of control) and protein expression (168% of control), whereas leptin administration to fasted rats did not alter either of these effects. In summary, UCP subtype mRNA and protein are regulated in tissue- and subtype-specific fashion by leptin and food restriction. Under certain conditions, the effects of these perturbations on UCP mRNA and protein are discordant.","ISSN":"0013-7227","note":"PMID: 10098482","shortTitle":"Fasting and leptin modulate adipose and muscle uncoupling protein","journalAbbreviation":"Endocrinology","language":"eng","author":[{"family":"Sivitz","given":"W I"},{"family":"Fink","given":"B D"},{"family":"Donohoue","given":"P A"}],"issued":{"date-parts":[["1999",4]]},"PMID":"10098482"}},{"id":1511,"uris":["http://zotero.org/users/171999/items/PJE72FXP"],"uri":["http://zotero.org/users/171999/items/PJE72FXP"],"itemData":{"id":1511,"type":"article-journal","title":"Uncoupling protein 2, in vivo distribution, induction upon oxidative stress, and evidence for translational regulation","container-title":"The Journal of biological chemistry","page":"8705-8712","volume":"276","issue":"12","source":"NCBI PubMed","abstract":"Uncoupling protein 2 (UCP2) belongs to the mitochondrial anion carrier family and partially uncouples respiration from ATP synthesis when expressed in recombinant yeast mitochondria. We generated a highly sensitive polyclonal antibody against human UCP2. Its reactivity toward mitochondrial proteins was compared between wild type and ucp2(-/-) mice, leading to non-ambiguous identification of UCP2. We detected UCP2 in spleen, lung, stomach, and white adipose tissue. No UCP2 was detected in heart, skeletal muscle, liver, and brown adipose tissue. The level of UCP2 in spleen mitochondria is less than 1% of the level of UCP1 in brown adipose tissue mitochondria. Starvation and LPS treatments increase UCP2 level up to 12 times in lung and stomach, which supports the hypothesis that UCP2 responds to oxidative stress situations. Stimulation of the UCP2 expression occurs without any change in UCP2 mRNA levels. This is explained by translational regulation of the UCP2 mRNA. We have shown that an upstream open reading frame located in exon two of the ucp2 gene strongly inhibits the expression of the protein. This further level of regulation of the ucp2 gene provides a mechanism by which expression can be strongly and rapidly induced under stress conditions.","DOI":"10.1074/jbc.M006938200","ISSN":"0021-9258","note":"PMID: 11098051","journalAbbreviation":"J. Biol. Chem.","language":"eng","author":[{"family":"Pecqueur","given":"C"},{"family":"Alves-Guerra","given":"M C"},{"family":"Gelly","given":"C"},{"family":"Levi-Meyrueis","given":"C"},{"family":"Couplan","given":"E"},{"family":"Collins","given":"S"},{"family":"Ricquier","given":"D"},{"family":"Bouillaud","given":"F"},{"family":"Miroux","given":"B"}],"issued":{"date-parts":[["2001",3,23]]},"PMID":"11098051"}}],"schema":"https://github.com/citation-style-language/schema/raw/master/csl-citation.json"} </w:instrText>
      </w:r>
      <w:r>
        <w:fldChar w:fldCharType="separate"/>
      </w:r>
      <w:r w:rsidRPr="004C0563">
        <w:rPr>
          <w:vertAlign w:val="superscript"/>
        </w:rPr>
        <w:t>349,350</w:t>
      </w:r>
      <w:r>
        <w:fldChar w:fldCharType="end"/>
      </w:r>
      <w:r>
        <w:t xml:space="preserve"> Therefore, it is crucial that the presence of UCP2 and UCP3, and/or a change in their rates of expression, be confirmed at the protein level if a biochemical or physiological role for either of these proteins is to be claimed. The assessment of RNA expression</w:t>
      </w:r>
      <w:proofErr w:type="gramStart"/>
      <w:r>
        <w:t>,by</w:t>
      </w:r>
      <w:proofErr w:type="gramEnd"/>
      <w:r>
        <w:t xml:space="preserve"> itself, is inadequate.</w:t>
      </w:r>
      <w:commentRangeEnd w:id="117"/>
      <w:r>
        <w:rPr>
          <w:rStyle w:val="CommentReference"/>
        </w:rPr>
        <w:commentReference w:id="117"/>
      </w:r>
      <w:r w:rsidRPr="005E54E2">
        <w:br w:type="page"/>
      </w:r>
    </w:p>
    <w:p w:rsidR="005817F5" w:rsidRDefault="005817F5" w:rsidP="005817F5">
      <w:pPr>
        <w:ind w:firstLine="720"/>
        <w:contextualSpacing/>
      </w:pPr>
      <w:r>
        <w:t>Interleukin-6 (IL6) is a cytokine released from white adipose tissue (WAT), macrophages, fibroblasts, endothelial cells, and skeletal muscle cells.</w:t>
      </w:r>
      <w:r>
        <w:fldChar w:fldCharType="begin"/>
      </w:r>
      <w:r>
        <w:instrText xml:space="preserve"> ADDIN ZOTERO_ITEM CSL_CITATION {"citationID":"RY6b4arN","properties":{"formattedCitation":"{\\rtf \\super 166\\nosupersub{}}","plainCitation":"166"},"citationItems":[{"id":251,"uris":["http://zotero.org/users/171999/items/D3HWXAZ7"],"uri":["http://zotero.org/users/171999/items/D3HWXAZ7"],"itemData":{"id":251,"type":"article-journal","title":"Adipokine inflammation and insulin resistance: the role of glucose, lipids and endotoxin","container-title":"The Journal of endocrinology","page":"T1-T15","volume":"216","issue":"1","source":"NCBI PubMed","abstract":"Adipose tissue is an active endocrine organ, and our knowledge of this secretory tissue, in recent years, has led us to completely rethink how our body functions and becomes dysregulated with weight gain. Human adipose tissue appears to act as a multifunctional secretory organ with the capacity to control energy homoeostasis through peripheral and central regulation of energy homoeostasis. It also plays an important role in innate immunity. However, the capability to more than double its original mass to cope with positive energy balance in obesity leads to many pathogenic changes. These changes arise within the adipose tissue as well as inducing secondary detrimental effects on other organs like muscle and liver, including chronic low-grade inflammation mediated by adipocytokines (adipokine inflammation). This inflammation is modulated by dietary factors and nutrients including glucose and lipids, as well as gut bacteria in the form of endotoxin or LPS. The aim of this current review is to consider the impact of nutrients such as glucose and lipids on inflammatory pathways, specifically within adipose tissue. Furthermore, how nutrients such as these can influence adipokine inflammation and consequently insulin resistance directly through their effects on secretion of adipocytokines (TNFα, IL6 and resistin) as well as indirectly through increases in endotoxin is discussed.","DOI":"10.1530/JOE-12-0498","ISSN":"1479-6805","note":"PMID: 23160966","shortTitle":"Adipokine inflammation and insulin resistance","journalAbbreviation":"J. Endocrinol.","language":"eng","author":[{"family":"Piya","given":"M K"},{"family":"McTernan","given":"P G"},{"family":"Kumar","given":"S"}],"issued":{"date-parts":[["2013",1]]},"PMID":"23160966"}}],"schema":"https://github.com/citation-style-language/schema/raw/master/csl-citation.json"} </w:instrText>
      </w:r>
      <w:r>
        <w:fldChar w:fldCharType="separate"/>
      </w:r>
      <w:r w:rsidRPr="00636862">
        <w:rPr>
          <w:vertAlign w:val="superscript"/>
        </w:rPr>
        <w:t>166</w:t>
      </w:r>
      <w:r>
        <w:fldChar w:fldCharType="end"/>
      </w:r>
      <w:r>
        <w:t xml:space="preserve">  Its plasma levels correlate to the level of adiposity, it is proinflammatory when in WAT and hepatic tissue, and increases insulin resistance via downstream inhibition of insulin receptor and IRS1 phosphorylation.</w:t>
      </w:r>
      <w:r>
        <w:fldChar w:fldCharType="begin"/>
      </w:r>
      <w:r>
        <w:instrText xml:space="preserve"> ADDIN ZOTERO_ITEM CSL_CITATION {"citationID":"XYJtnfnK","properties":{"formattedCitation":"{\\rtf \\super 166\\uc0\\u8211{}170\\nosupersub{}}","plainCitation":"166–170"},"citationItems":[{"id":251,"uris":["http://zotero.org/users/171999/items/D3HWXAZ7"],"uri":["http://zotero.org/users/171999/items/D3HWXAZ7"],"itemData":{"id":251,"type":"article-journal","title":"Adipokine inflammation and insulin resistance: the role of glucose, lipids and endotoxin","container-title":"The Journal of endocrinology","page":"T1-T15","volume":"216","issue":"1","source":"NCBI PubMed","abstract":"Adipose tissue is an active endocrine organ, and our knowledge of this secretory tissue, in recent years, has led us to completely rethink how our body functions and becomes dysregulated with weight gain. Human adipose tissue appears to act as a multifunctional secretory organ with the capacity to control energy homoeostasis through peripheral and central regulation of energy homoeostasis. It also plays an important role in innate immunity. However, the capability to more than double its original mass to cope with positive energy balance in obesity leads to many pathogenic changes. These changes arise within the adipose tissue as well as inducing secondary detrimental effects on other organs like muscle and liver, including chronic low-grade inflammation mediated by adipocytokines (adipokine inflammation). This inflammation is modulated by dietary factors and nutrients including glucose and lipids, as well as gut bacteria in the form of endotoxin or LPS. The aim of this current review is to consider the impact of nutrients such as glucose and lipids on inflammatory pathways, specifically within adipose tissue. Furthermore, how nutrients such as these can influence adipokine inflammation and consequently insulin resistance directly through their effects on secretion of adipocytokines (TNFα, IL6 and resistin) as well as indirectly through increases in endotoxin is discussed.","DOI":"10.1530/JOE-12-0498","ISSN":"1479-6805","note":"PMID: 23160966","shortTitle":"Adipokine inflammation and insulin resistance","journalAbbreviation":"J. Endocrinol.","language":"eng","author":[{"family":"Piya","given":"M K"},{"family":"McTernan","given":"P G"},{"family":"Kumar","given":"S"}],"issued":{"date-parts":[["2013",1]]},"PMID":"23160966"}},{"id":255,"uris":["http://zotero.org/users/171999/items/3GHDFRBP"],"uri":["http://zotero.org/users/171999/items/3GHDFRBP"],"itemData":{"id":255,"type":"article-journal","title":"Interleukin-6 induces cellular insulin resistance in hepatocytes","container-title":"Diabetes","page":"3391-3399","volume":"51","issue":"12","source":"NCBI PubMed","abstract":"Interleukin (IL)-6 is one of several proinflammatory cytokines that have been associated with insulin resistance and type 2 diabetes. A two- to threefold elevation of circulating IL-6 has been observed in these conditions. Nonetheless, little evidence supports a direct role for IL-6 in mediating insulin resistance. Here, we present data that IL-6 can inhibit insulin receptor (IR) signal transduction and insulin action in both primary mouse hepatocytes and the human hepatocarcinoma cell line, HepG2. This inhibition depends on duration of IL-6 exposure, with a maximum effect at 1-1.5 h of pretreatment with IL-6 in both HepG2 cells and primary hepatocytes. The IL-6 effect is characterized by a decreased tyrosine phosphorylation of IR substrate (IRS)-1 and decreased association of the p85 subunit of phosphatidylinositol 3-kinase with IRS-1 in response to physiologic insulin levels. In addition, insulin-dependent activation of Akt, important in mediating insulin's downstream metabolic actions, is markedly inhibited by IL-6 treatment. Finally, a 1.5-h preincubation of primary hepatocytes with IL-6 inhibits insulin-induced glycogen synthesis by 75%. These data suggest that IL-6 plays a direct role in insulin resistance at the cellular level in both primary hepatocytes and HepG2 cell lines and may contribute to insulin resistance and type 2 diabetes.","ISSN":"0012-1797","note":"PMID: 12453891","journalAbbreviation":"Diabetes","language":"eng","author":[{"family":"Senn","given":"Joseph J"},{"family":"Klover","given":"Peter J"},{"family":"Nowak","given":"Irena A"},{"family":"Mooney","given":"Robert A"}],"issued":{"date-parts":[["2002",12]]},"PMID":"12453891"}},{"id":259,"uris":["http://zotero.org/users/171999/items/IK4U25NH"],"uri":["http://zotero.org/users/171999/items/IK4U25NH"],"itemData":{"id":259,"type":"article-journal","title":"Suppressor of cytokine signaling-3 (SOCS-3), a potential mediator of interleukin-6-dependent insulin resistance in hepatocytes","container-title":"The Journal of biological chemistry","page":"13740-13746","volume":"278","issue":"16","source":"NCBI PubMed","abstract":"Interleukin-6 (IL-6) is one of several pro-inflammatory cytokines implicated in insulin resistance during infection, cachexia, and obesity. We recently demonstrated that IL-6 inhibits insulin signaling in hepatocytes (Senn, J. J., Klover, P. J., Nowak, I. A., and Mooney, R. A. (2002) Diabetes 51, 3391-3399). Members of the suppressors of cytokine signaling (SOCS) family associate with the insulin receptor (IR), and their ectopic expression inhibits IR signaling. Since several SOCS proteins are induced by IL-6, a working hypothesis is that IL-6-dependent insulin resistance is mediated, at least in part, by induction of SOCS protein(s) in insulin target cells. To examine the involvement of SOCS protein(s) in IL-6-dependent inhibition of insulin receptor signaling, HepG2 cells were treated with IL-6 (20 ng/ml) for periods from 1 min to 8 h. IL-6 induced SOCS-3 transcript at 30 min with a maximum effect at 1 h. SOCS-3 protein levels were also markedly elevated at 1 h. Transcript and protein levels returned to near basal levels by 2 h. SOCS-3 induction by IL-6 paralleled IL-6-dependent inhibition of IR signal transduction. Ectopically expressed SOCS-3 associated with the IR and suppressed insulin-dependent receptor autophosphorylation, insulin receptor substrate-1 (IRS-1) tyrosine phosphorylation, association of IRS-1 with the p85 subunit of phosphatidylinositol 3-kinase, and activation of Akt. SOCS-3 was also a direct inhibitor of insulin receptor autophosphorylation in vitro. In mice exposed to IL-6 for 60-90 min, hepatic SOCS-3 expression was increased. This was associated with inhibition of hepatic insulin-dependent receptor autophosphorylation and IRS-1 tyrosine phosphorylation. These data suggest that induction of SOCS-3 in liver may be an important mechanism of IL-6-mediated insulin resistance.","DOI":"10.1074/jbc.M210689200","ISSN":"0021-9258","note":"PMID: 12560330","journalAbbreviation":"J. Biol. Chem.","language":"eng","author":[{"family":"Senn","given":"Joseph J"},{"family":"Klover","given":"Peter J"},{"family":"Nowak","given":"Irena A"},{"family":"Zimmers","given":"Teresa A"},{"family":"Koniaris","given":"Leonidas G"},{"family":"Furlanetto","given":"Richard W"},{"family":"Mooney","given":"Robert A"}],"issued":{"date-parts":[["2003",4,18]]},"PMID":"12560330"}},{"id":265,"uris":["http://zotero.org/users/171999/items/BQZ26STT"],"uri":["http://zotero.org/users/171999/items/BQZ26STT"],"itemData":{"id":265,"type":"article-journal","title":"Interleukin-6 (IL-6) induces insulin resistance in 3T3-L1 adipocytes and is, like IL-8 and tumor necrosis factor-alpha, overexpressed in human fat cells from insulin-resistant subjects","container-title":"The Journal of biological chemistry","page":"45777-45784","volume":"278","issue":"46","source":"NCBI PubMed","abstract":"Several studies have shown a relationship between interleukin (IL) 6 levels and insulin resistance. We here show that human subcutaneous adipose cells, like 3T3-L1 cells, are target cells for IL-6. To examine putative mechanisms and cross-talk with insulin, 3T3-L1 adipocytes were cultured for different times with IL-6 and tumor necrosis factor alpha (TNF-alpha). IL-6, in contrast to TNF-alpha, did not increase pS-307 of insulin-receptor substrate (IRS)-1 or JNK activation. However, IL-6, like TNF-alpha exerted long term inhibitory effects on the gene transcription of IRS-1, GLUT-4, and peroxisome proliferator-activated receptor gamma. This effect of IL-6 was accompanied by a marked reduction in IRS-1, but not IRS-2, protein expression, and insulin-stimulated tyrosine phosphorylation, whereas no inhibitory effect was seen on the insulin receptor tyrosine phosphorylation. Consistent with the reduced GLUT-4 mRNA, insulin-stimulated glucose transport was also significantly reduced by IL-6. An important interaction with TNF-alpha was found because TNF-alpha markedly increased IL-6 mRNA and protein secretion. These results show that IL-6, through effects on gene transcription, is capable of impairing insulin signaling and action but, in contrast to TNF-alpha, IL-6 does not increase pS-307 (or pS-612) of IRS-1. The link between IL-6 and insulin resistance in man was further corroborated by the finding that the expression of IL-6, like that of TNF-alpha and IL-8, was markedly increased ( approximately 15-fold) in human fat cells from insulin-resistant individuals. We conclude that IL-6 can play an important role in insulin resistance in man and, furthermore, that it may act in concert with other cytokines that also are up-regulated in adipose cells in insulin resistance.","DOI":"10.1074/jbc.M301977200","ISSN":"0021-9258","note":"PMID: 12952969","journalAbbreviation":"J. Biol. Chem.","language":"eng","author":[{"family":"Rotter","given":"Victoria"},{"family":"Nagaev","given":"Ivan"},{"family":"Smith","given":"Ulf"}],"issued":{"date-parts":[["2003",11,14]]},"PMID":"12952969"}},{"id":237,"uris":["http://zotero.org/users/171999/items/3BFI36T2"],"uri":["http://zotero.org/users/171999/items/3BFI36T2"],"itemData":{"id":237,"type":"article-journal","title":"Adiposity signals, genetic and body weight regulation in humans","container-title":"Diabetes &amp; metabolism","page":"215-227","volume":"30","issue":"3","source":"NCBI PubMed","abstract":"Numerous signals convey information about body fat status from the periphery to the brain areas that control energy homeostasis so that, throughout life, body weight remains nearly stable. These signals mainly originate, either from the adipose tissue, like leptin and to a lesser extent interleukin 6, or from the pancreas, like insulin and amylin. These factors circulate in proportion to body fat mass and they are referred to as \"adiposity signals\". It is well established, at least for leptin and insulin, that they enter the brain from the plasma where they induce/repress a network of important neuropeptide regulators of energy intake and expenditure. Beside these endocrine signals, a growing amount of literature show data relative to adipocyte-derived molecules, most of them belonging to the cytokine family, like IL6, TNFalpha, IL8, IL10 whose secretion also correlates with body fat mass and that may locally regulate fat mass expansion. Others, like adiponectin, are negatively correlated with body fat mass. These \"adiposity molecules\" have already been involved in insulin resistance associated with obesity and inflammatory process. They may participate to a complex inter organ dialogue. In this review, we will synthesize data relative to the role played by insulin, leptin and amylin, either alone or through a cross talk, in \"energy level sensing\" at the brain level. Furthermore, we will develop how \"adiposity molecules\" through their paracrin and/or autocrin action may contribute to maintain fat mass expansion, therefore representing new adiposity molecules per se. Lastly, since any distortion in the metabolic circuitry of energy homeostasis is susceptible to lead to a pathological status like obesity, the impact of known genetic polymorphisms in genes encoding the adiposity signals will be discussed.","ISSN":"1262-3636","note":"PMID: 15223973","journalAbbreviation":"Diabetes Metab.","language":"eng","author":[{"family":"Cancello","given":"R"},{"family":"Tounian","given":"A"},{"family":"Poitou","given":"Ch"},{"family":"Clément","given":"K"}],"issued":{"date-parts":[["2004",6]]},"PMID":"15223973"}}],"schema":"https://github.com/citation-style-language/schema/raw/master/csl-citation.json"} </w:instrText>
      </w:r>
      <w:r>
        <w:fldChar w:fldCharType="separate"/>
      </w:r>
      <w:r w:rsidRPr="005B6EFE">
        <w:rPr>
          <w:vertAlign w:val="superscript"/>
        </w:rPr>
        <w:t>166–170</w:t>
      </w:r>
      <w:r>
        <w:fldChar w:fldCharType="end"/>
      </w:r>
      <w:r>
        <w:t xml:space="preserve">  IL6 has been previously measured in dogs, but remained below the level of detection limit in most or all samples</w:t>
      </w:r>
      <w:r>
        <w:fldChar w:fldCharType="begin"/>
      </w:r>
      <w:r w:rsidR="000A492A">
        <w:instrText xml:space="preserve"> ADDIN ZOTERO_ITEM CSL_CITATION {"citationID":"kafHp2oZ","properties":{"formattedCitation":"{\\rtf \\super 145,251,252\\nosupersub{}}","plainCitation":"145,251,252"},"citationItems":[{"id":"Gpwq8jj7/QN4EDEKg","uris":["http://zotero.org/users/local/Ry4zHLbn/items/T3HJ3BEN"],"uri":["http://zotero.org/users/local/Ry4zHLbn/items/T3HJ3BEN"],"itemData":{"id":"Gpwq8jj7/QN4EDEKg","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Endocrinol."}},{"id":428,"uris":["http://zotero.org/users/171999/items/NVGTTF9T"],"uri":["http://zotero.org/users/171999/items/NVGTTF9T"],"itemData":{"id":428,"type":"article-journal","title":"Comparison of Adipokine Concentrations and Markers of Inflammation in Obese Versus Lean Dogs","container-title":"International Journal of Applied Research in Veterinary Medicine","page":"196-205","volume":"7","issue":"4","source":"ISI Web of Knowledge","abstract":"The purpose of this study was to compare the concentrations of key adipokines and markers of inflammation associated with obesity in a population of healthy lean versus obese pet dogs. Dogs were determined to be in good health based on medical history, physical examination, complete blood count, serum biochemistry profile, and urinalysis. Adult dogs between 2 and 7 years of age were assigned to either the lean group [body condition score (BCS) = 4-5/9; n=39] or the obese group [BCS= 7-9/9; n=37]. Sampling before daily feeding circulating concentrations of C-reactive protein (CRP), adiponectin, resistin, insulin, leptin, interleukin-6 (IL-6) and tumor necrosis factor-alpha (TNT were measured. Groups were compared using Chi-Square and Mann-Whitney U tests. No significant differences between groups were detected in age (p=0.16) or gender (p=0.34). Median CRP concentration was significantly higher in the obese group [median 0.94 ug/ml (0.47-6.22 ug/ml)], versus the lean group [median 0.72 ug/ml (0.45-6.04 ug/ml); p=0.03]. The lean group had higher median adiponectin concentration [median 21.84 ug/ml (3.08-79.14 ug/ml)] compared to the obese group [median 15.27 ug/ml (1.97-42.76 ug/ml); p=0.004]. Statistical analysis for IL-6 and TNF was not performed because &gt; 50% of samples either failed due to methodological issues or were below the level of detection. Differences between groups in insulin, glucose, insulin:glucose ratio, and leptin concentrations were not detected in this study.Additional studies in dogs are warranted to further evaluate mechanisms and clinical significance of adipokines and inflammatory mediators associated with obesity.","ISSN":"1542-2666","note":"WOS:000284802600008","journalAbbreviation":"Int. J. Appl. Res. Vet. Med.","language":"English","author":[{"family":"Eirmann","given":"Laura A."},{"family":"Freeman","given":"Lisa M."},{"family":"Laflamme","given":"Dorothy P."},{"family":"Michel","given":"Kathryn E."},{"family":"Satyaraj","given":"Ebenezer"}],"issued":{"date-parts":[["2009"]]}}},{"id":384,"uris":["http://zotero.org/users/171999/items/26SKV3UZ"],"uri":["http://zotero.org/users/171999/items/26SKV3UZ"],"itemData":{"id":384,"type":"article-journal","title":"Effect of weight loss on inflammatory biomarkers in obese dogs","container-title":"Veterinary journal (London, England: 1997)","page":"570-572","volume":"193","issue":"2","source":"NCBI PubMed","abstract":"The objective of this study was to evaluate the effects of weight loss on selected serum inflammatory biomarkers in obese dogs. An experimentally induced bodyweight reduction of approximately 2.5%/week was accompanied by significant decreases in metabolic markers of obesity (lipidic profile, fructosamine, and insulin-like growth factor-1). The concentrations of acute phase proteins and of selected cytokines remained within reference ranges in obese dogs during weight loss, suggesting that significant inflammation was not a major component of this experimental model. However, adiponectin concentrations increased following the period of weight loss suggesting reduced susceptibility of these animals to obesity-related inflammation.","DOI":"10.1016/j.tvjl.2012.02.015","ISSN":"1532-2971","note":"PMID: 22464400","journalAbbreviation":"Vet. J.","language":"eng","author":[{"family":"Tvarijonaviciute","given":"Asta"},{"family":"Tecles","given":"Fernando"},{"family":"Martínez-Subiela","given":"Silvia"},{"family":"Cerón","given":"José J"}],"issued":{"date-parts":[["2012",8]]},"PMID":"22464400"}}],"schema":"https://github.com/citation-style-language/schema/raw/master/csl-citation.json"} </w:instrText>
      </w:r>
      <w:r>
        <w:fldChar w:fldCharType="separate"/>
      </w:r>
      <w:r w:rsidR="000A492A" w:rsidRPr="000A492A">
        <w:rPr>
          <w:vertAlign w:val="superscript"/>
        </w:rPr>
        <w:t>145,251,252</w:t>
      </w:r>
      <w:r>
        <w:fldChar w:fldCharType="end"/>
      </w:r>
      <w:r>
        <w:t xml:space="preserve">  Using the same multiple cytokine (IL-6, IL-15) technique, many samples (33.8%) were below the standard curve expected concentration limit of 12.2 pg/ml, but were still included in the analysis.  Overall, IL6 did not differ between dogs whether gaining, losing, or maintaining body weight.  This may corroborate the hypothesis that obesity is not indicative of an inflammatory state in dogs, based on inconsistent adiponectin, C-reactive protein, and resistin results.</w:t>
      </w:r>
      <w:r>
        <w:fldChar w:fldCharType="begin"/>
      </w:r>
      <w:r w:rsidR="000A492A">
        <w:instrText xml:space="preserve"> ADDIN ZOTERO_ITEM CSL_CITATION {"citationID":"auZYzDYX","properties":{"formattedCitation":"{\\rtf \\super 145,250\\uc0\\u8211{}253,436,437\\nosupersub{}}","plainCitation":"145,250–253,436,437"},"citationItems":[{"id":384,"uris":["http://zotero.org/users/171999/items/26SKV3UZ"],"uri":["http://zotero.org/users/171999/items/26SKV3UZ"],"itemData":{"id":384,"type":"article-journal","title":"Effect of weight loss on inflammatory biomarkers in obese dogs","container-title":"Veterinary journal (London, England: 1997)","page":"570-572","volume":"193","issue":"2","source":"NCBI PubMed","abstract":"The objective of this study was to evaluate the effects of weight loss on selected serum inflammatory biomarkers in obese dogs. An experimentally induced bodyweight reduction of approximately 2.5%/week was accompanied by significant decreases in metabolic markers of obesity (lipidic profile, fructosamine, and insulin-like growth factor-1). The concentrations of acute phase proteins and of selected cytokines remained within reference ranges in obese dogs during weight loss, suggesting that significant inflammation was not a major component of this experimental model. However, adiponectin concentrations increased following the period of weight loss suggesting reduced susceptibility of these animals to obesity-related inflammation.","DOI":"10.1016/j.tvjl.2012.02.015","ISSN":"1532-2971","note":"PMID: 22464400","journalAbbreviation":"Vet. J.","language":"eng","author":[{"family":"Tvarijonaviciute","given":"Asta"},{"family":"Tecles","given":"Fernando"},{"family":"Martínez-Subiela","given":"Silvia"},{"family":"Cerón","given":"José J"}],"issued":{"date-parts":[["2012",8]]},"PMID":"22464400"}},{"id":"Gpwq8jj7/QN4EDEKg","uris":["http://zotero.org/users/local/Ry4zHLbn/items/T3HJ3BEN"],"uri":["http://zotero.org/users/local/Ry4zHLbn/items/T3HJ3BEN"],"itemData":{"id":"Gpwq8jj7/QN4EDEKg","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Endocrinol."}},{"id":428,"uris":["http://zotero.org/users/171999/items/NVGTTF9T"],"uri":["http://zotero.org/users/171999/items/NVGTTF9T"],"itemData":{"id":428,"type":"article-journal","title":"Comparison of Adipokine Concentrations and Markers of Inflammation in Obese Versus Lean Dogs","container-title":"International Journal of Applied Research in Veterinary Medicine","page":"196-205","volume":"7","issue":"4","source":"ISI Web of Knowledge","abstract":"The purpose of this study was to compare the concentrations of key adipokines and markers of inflammation associated with obesity in a population of healthy lean versus obese pet dogs. Dogs were determined to be in good health based on medical history, physical examination, complete blood count, serum biochemistry profile, and urinalysis. Adult dogs between 2 and 7 years of age were assigned to either the lean group [body condition score (BCS) = 4-5/9; n=39] or the obese group [BCS= 7-9/9; n=37]. Sampling before daily feeding circulating concentrations of C-reactive protein (CRP), adiponectin, resistin, insulin, leptin, interleukin-6 (IL-6) and tumor necrosis factor-alpha (TNT were measured. Groups were compared using Chi-Square and Mann-Whitney U tests. No significant differences between groups were detected in age (p=0.16) or gender (p=0.34). Median CRP concentration was significantly higher in the obese group [median 0.94 ug/ml (0.47-6.22 ug/ml)], versus the lean group [median 0.72 ug/ml (0.45-6.04 ug/ml); p=0.03]. The lean group had higher median adiponectin concentration [median 21.84 ug/ml (3.08-79.14 ug/ml)] compared to the obese group [median 15.27 ug/ml (1.97-42.76 ug/ml); p=0.004]. Statistical analysis for IL-6 and TNF was not performed because &gt; 50% of samples either failed due to methodological issues or were below the level of detection. Differences between groups in insulin, glucose, insulin:glucose ratio, and leptin concentrations were not detected in this study.Additional studies in dogs are warranted to further evaluate mechanisms and clinical significance of adipokines and inflammatory mediators associated with obesity.","ISSN":"1542-2666","note":"WOS:000284802600008","journalAbbreviation":"Int. J. Appl. Res. Vet. Med.","language":"English","author":[{"family":"Eirmann","given":"Laura A."},{"family":"Freeman","given":"Lisa M."},{"family":"Laflamme","given":"Dorothy P."},{"family":"Michel","given":"Kathryn E."},{"family":"Satyaraj","given":"Ebenezer"}],"issued":{"date-parts":[["2009"]]}}},{"id":803,"uris":["http://zotero.org/users/171999/items/9X2T5UFW"],"uri":["http://zotero.org/users/171999/items/9X2T5UFW"],"itemData":{"id":803,"type":"article-journal","title":"Serum acute phase proteins concentrations in dogs during experimentally short-term induced overweight. A preliminary study","container-title":"Research in veterinary science","page":"31-34","volume":"90","issue":"1","source":"NCBI PubMed","abstract":"The purpose of the study was to analyse serum concentrations of four different positive acute phase proteins (APPs): C-reactive protein, haptoglobin, serum amyloid A and ceruloplasmin in a model of experimentally short-term developed obesity in Beagle dogs. All APPs were quantified by commercially available ELISA methods and C-reactive protein was also determined by a highly sensitive time-resolved fluorometric assay. There were no significant differences between APPs concentrations at the beginning and the end of the study in groups of dogs that increased their body condition scores. In addition, dogs with body condition scores of 4 and 5 did not shown significant differences for any of the acute phase proteins studied compared with control dogs of BCS of 3, with exception of a decrease in haptoglobin. It was concluded that overweight induced in the experimental conditions of this study does not produce a significant change in acute phase proteins.","DOI":"10.1016/j.rvsc.2010.05.008","ISSN":"1532-2661","note":"PMID: 20553703","journalAbbreviation":"Res. Vet. Sci.","language":"eng","author":[{"family":"Tvarijonaviciute","given":"Asta"},{"family":"Martinez","given":"Silvia"},{"family":"Gutierrez","given":"Ana"},{"family":"Ceron","given":"Jose J"},{"family":"Tecles","given":"Fernando"}],"issued":{"date-parts":[["2011",2]]},"PMID":"20553703"}},{"id":"Gpwq8jj7/SlPx8JWY","uris":["http://zotero.org/users/local/Ry4zHLbn/items/SAVEQ6DH"],"uri":["http://zotero.org/users/local/Ry4zHLbn/items/SAVEQ6DH"],"itemData":{"id":"Gpwq8jj7/SlPx8JWY","type":"article-journal","title":"Canine adiponectin: cDNA structure, mRNA expression in adipose tissues and reduced plasma levels in obesity","container-title":"Research in veterinary science","page":"127-132","volume":"80","issue":"2","source":"NCBI PubMed","abstract":"Adiponectin is a protein synthesized and secreted by adipocytes. Decreased adiponectin is responsible for insulin resistance and atherosclerosis associated with human obesity. We obtained a cDNA clone corresponding to canine adiponectin, whose nucleotide and deduced amino acid sequences were highly identical to those of other species. Adiponectin mRNA was detected in adipose tissues, but not in other tissues, of dogs. When 22 adult beagles were given a high-energy diet for 14 weeks, they became obese, showing heavier body weights, higher plasma leptin concentrations, but lower plasma adiponectin concentrations. The adiponectin concentrations of plasma samples collected from 71 dogs visiting veterinary practices were negatively correlated to plasma leptin concentrations, being lower in obese than non-obese dogs. These results are compatible with those reported in other species, and suggest that adiponectin is an index of adiposity and a target molecule for studies on diseases associated with obesity in dogs.","DOI":"10.1016/j.rvsc.2005.05.011","ISSN":"0034-5288","note":"PMID: 16051287","shortTitle":"Canine adiponectin","journalAbbreviation":"Res. Vet. Sci.","language":"eng","author":[{"family":"Ishioka","given":"K"},{"family":"Omachi","given":"A"},{"family":"Sagawa","given":"M"},{"family":"Shibata","given":"H"},{"family":"Honjoh","given":"T"},{"family":"Kimura","given":"K"},{"family":"Saito","given":"M"}],"issued":{"year":2006,"month":4},"PMID":"16051287","page-first":"127","title-short":"Canine adiponectin","container-title-short":"Res. Vet. Sci."}},{"id":"Gpwq8jj7/eMmYw40f","uris":["http://zotero.org/users/local/Ry4zHLbn/items/94U8UI9Z"],"uri":["http://zotero.org/users/local/Ry4zHLbn/items/94U8UI9Z"],"itemData":{"id":"Gpwq8jj7/eMmYw40f","type":"article-journal","title":"Adiposity and adiponectin in dogs: investigation of causes of discrepant results between two studies","container-title":"Domestic animal endocrinology","page":"35-41","volume":"41","issue":"1","source":"NCBI PubMed","abstract":"Although one study showed lower adiponectin concentrations in obese dogs, other recent studies indicate that adiponectin might not be decreased in obese dogs, raising the possibility that the physiology of adiponectin is different in dogs than in humans. The aim of this study was to investigate possible causes of the discrepancy between the two largest studies to date that assessed the association between adiposity and adiponectin concentration in dogs, including the validity of the assay, laboratory error, and the effects of breed, sex, and neuter status on the relationship between adiposity and adiponectin concentrations. Adiponectin concentrations measured with a previously validated adiponectin ELISA were compared with those estimated by Western blotting analysis of reduced and denatured plasma samples. The possibility of laboratory error and the effect of EDTA anticoagulant and aprotinin were tested. Adiponectin concentration was measured by ELISA in 20 lean dogs (10 male and 10 female, 5 neutered in each sex). There was close correlation between adiponectin concentrations measured by ELISA and those estimated by Western blotting analysis (r = 0.90; P &lt; 0.001). There was no substantial effect of EDTA, aprotinin, or laboratory error on the results. There was confounding by neuter status of the relationship between adiposity and adiponectin concentrations, but adiponectin concentrations were not significantly lower in male than in female lean dogs (females, 36 mg/L; males, 26 mg/L; P &gt; 0.20) and were not significantly lower in intact than in neutered lean male dogs (intact, 28 mg/L; neutered, 23 mg/L; P = 0.49). We conclude that the adiponectin ELISA previously validated for use in dogs appears to be suitable for determination of canine adiponectin concentrations and that testosterone does not appear to have a strong effect on plasma adiponectin concentrations in dogs. Obesity might decrease adiponectin concentrations in intact but not in neutered dogs.","DOI":"10.1016/j.domaniend.2011.03.004","ISSN":"1879-0054","note":"PMID: 21645805","shortTitle":"Adiposity and adiponectin in dogs","journalAbbreviation":"Domest. Anim. Endocrinol.","language":"eng","author":[{"family":"Verkest","given":"K R"},{"family":"Rose","given":"F J"},{"family":"Fleeman","given":"L M"},{"family":"Rand","given":"J S"},{"family":"Morton","given":"J M"},{"family":"Richards","given":"A A"},{"family":"Ishioka","given":"K"},{"family":"Whitehead","given":"J P"}],"issued":{"year":2011,"month":7},"PMID":"21645805","page-first":"35","title-short":"Adiposity and adiponectin in dogs","container-title-short":"Domest. Anim. Endocrinol."}},{"id":813,"uris":["http://zotero.org/users/171999/items/V5587CR9"],"uri":["http://zotero.org/users/171999/items/V5587CR9"],"itemData":{"id":813,"type":"article-journal","title":"Association of canine obesity with reduced serum levels of C-reactive protein","container-title":"Journal of veterinary diagnostic investigation: official publication of the American Association of Veterinary Laboratory Diagnosticians, Inc","page":"224-228","volume":"20","issue":"2","source":"NCBI PubMed","abstract":"The prevalence of obesity is increasing in dogs as well as in humans. C-reactive protein (CRP) is an important tool for the detection of inflammation and/or early tissue damage and is linked to obesity in humans. The objective of the present study was to determine if serum CRP levels are altered in obese dogs. Fifteen lean (control group) and 16 overweight (obese group) dogs were examined. Blood samples were collected under fasted conditions for serum determination of CRP, glucose, insulin, cholesterol, triglyceride, and fructosamine. Results indicated that obese dogs were insulin resistant because serum insulin and insulin/glucose ratios were higher than in lean dogs (P &lt; or = 0.05). Serum CRP concentrations were lower in obese dogs than in controls (P &lt; or = 0.001). C-reactive protein was negatively correlated with insulin/glucose ratio (R = -0.42) and cholesterol (R = -0.39; P &lt; or = 0.05). Furthermore, levels of cholesterol, triglycerides, and fructosamine were increased in the obese group compared with the control group. Based on these results, it can be postulated that CRP production is inhibited by obesity and insulin resistance in dogs.","ISSN":"1040-6387","note":"PMID: 18319438","journalAbbreviation":"J. Vet. Diagn. Invest.","language":"eng","author":[{"family":"Veiga","given":"Angela P M"},{"family":"Price","given":"Christopher A"},{"family":"de Oliveira","given":"Simone T"},{"family":"Dos Santos","given":"Andréa P"},{"family":"Campos","given":"Rómulo"},{"family":"Barbosa","given":"Patricia R"},{"family":"González","given":"Félix H D"}],"issued":{"date-parts":[["2008",3]]},"PMID":"18319438"}}],"schema":"https://github.com/citation-style-language/schema/raw/master/csl-citation.json"} </w:instrText>
      </w:r>
      <w:r>
        <w:fldChar w:fldCharType="separate"/>
      </w:r>
      <w:r w:rsidR="000A492A" w:rsidRPr="000A492A">
        <w:rPr>
          <w:vertAlign w:val="superscript"/>
        </w:rPr>
        <w:t>145,250–253,436,437</w:t>
      </w:r>
      <w:r>
        <w:fldChar w:fldCharType="end"/>
      </w:r>
      <w:r>
        <w:t xml:space="preserve">  On the other hand, it may only indicate these are not appropriate markers of obesity-related inflammation in dogs as opposed to leptin and TNFα, which are elevated.</w:t>
      </w:r>
      <w:r>
        <w:fldChar w:fldCharType="begin"/>
      </w:r>
      <w:r w:rsidR="000A492A">
        <w:instrText xml:space="preserve"> ADDIN ZOTERO_ITEM CSL_CITATION {"citationID":"hMaMwDhe","properties":{"formattedCitation":"{\\rtf \\super 17,145,156,438\\nosupersub{}}","plainCitation":"17,145,156,438"},"citationItems":[{"id":"Gpwq8jj7/QN4EDEKg","uris":["http://zotero.org/users/local/Ry4zHLbn/items/T3HJ3BEN"],"uri":["http://zotero.org/users/local/Ry4zHLbn/items/T3HJ3BEN"],"itemData":{"id":"Gpwq8jj7/QN4EDEKg","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Endocrinol."}},{"id":"Gpwq8jj7/HOSSNBJQ","uris":["http://zotero.org/users/local/Ry4zHLbn/items/C86UJ9T2"],"uri":["http://zotero.org/users/local/Ry4zHLbn/items/C86UJ9T2"],"itemData":{"id":"Gpwq8jj7/HOSSNBJQ","type":"article-journal","title":"Experimental and clinical studies on plasma leptin in obese dogs","container-title":"The Journal of veterinary medical science / the Japanese Society of Veterinary Science","page":"349-353","volume":"64","issue":"4","source":"NCBI PubMed","abstract":"Leptin is a protein synthesized and secreted primarily by adipocytes, and the circulating leptin concentration is elevated in obese humans and rodents. Recently, we have established a sandwich enzyme-linked immunosorbent assay for canine leptin. In the present study, plasma leptin concentrations were measured in experimentally developed obese beagles and in clinically obese dogs. When 5 male beagles were given a high-energy diet for 3 months, all of them became obese and the plasma leptin concentration significantly increased from 2.4+/-1.2 to 4.9+/-0.9 ng/ml, positively correlating with body fat content estimated by the deuterium oxide dilution method (r=0.87). The leptin concentrations of plasma samples collected from 59 dogs in veterinary practices were compared with their body condition scores (BCS). The plasma leptin concentrations of obese dogs were 9.7+/-0.7 and 12.3+/-1.5 ng/ml at BCS=4 and BCS=5, respectively, which were significantly higher than those of optimal (BCS=3) dogs (2.7+/-0.3 ng/ml). There was no significant effect of sex and breed. A weak positive correlation (r=0.37) was found between the plasma leptin concentration and age, probably due to the lesser content of visceral fat in puppies younger than 1 year old. These results indicate that plasma leptin is a good index of adiposity in dogs regardless of breed, age and sex, and may be useful for quantitative assessment of obesity in small animal practice.","ISSN":"0916-7250","note":"PMID: 12014581","journalAbbreviation":"J. Vet. Med. Sci.","language":"eng","author":[{"family":"Ishioka","given":"Katsumi"},{"family":"Soliman","given":"Mohamed M"},{"family":"Sagawa","given":"Mayumi"},{"family":"Nakadomo","given":"Fumio"},{"family":"Shibata","given":"Haruki"},{"family":"Honjoh","given":"Tsutomu"},{"family":"Hashimoto","given":"Akira"},{"family":"Kitamura","given":"Hiroshi"},{"family":"Kimura","given":"Kazuhiro"},{"family":"Saito","given":"Masayuki"}],"issued":{"year":2002,"month":4},"PMID":"12014581","page-first":"349","container-title-short":"J. Vet. Med. Sci."}},{"id":"Gpwq8jj7/kS9gafmT","uris":["http://zotero.org/users/local/Ry4zHLbn/items/CKGM6JWG"],"uri":["http://zotero.org/users/local/Ry4zHLbn/items/CKGM6JWG"],"itemData":{"id":"Gpwq8jj7/kS9gafmT","type":"article-journal","title":"Plasma leptin concentration in dogs: effects of body condition score, age, gender and breeds","container-title":"Research in veterinary science","page":"11-15","volume":"82","issue":"1","source":"NCBI PubMed","abstract":"Leptin is a cytokine produced by adipocytes, and plays a key role in the regulation of energy balance. In the present study, we measured plasma leptin concentrations of 166 normal and obese dogs visiting veterinary practices, and clarified the influence of age, gender and breed on plasma leptin levels in dogs. Leptin levels were higher in the dogs with higher body condition scores. There was no noticeable influence of age, gender and breed, but those in optimal puppies and obese Miniature Dachshund tended to be lower than those in corresponding groups. We conclude that plasma leptin is a reliable marker of adiposity in dogs regardless of age, gender and breed variations, and thereby useful as a blood biochemistry test for health examinations and treatment of obesity.","DOI":"10.1016/j.rvsc.2006.06.002","ISSN":"0034-5288","note":"PMID: 16919691","shortTitle":"Plasma leptin concentration in dogs","journalAbbreviation":"Res. Vet. Sci.","language":"eng","author":[{"family":"Ishioka","given":"K"},{"family":"Hosoya","given":"K"},{"family":"Kitagawa","given":"H"},{"family":"Shibata","given":"H"},{"family":"Honjoh","given":"T"},{"family":"Kimura","given":"K"},{"family":"Saito","given":"M"}],"issued":{"year":2007,"month":2},"PMID":"16919691","page-first":"11","title-short":"Plasma leptin concentration in dogs","container-title-short":"Res. Vet. Sci."}},{"id":547,"uris":["http://zotero.org/users/171999/items/BBTTA294"],"uri":["http://zotero.org/users/171999/items/BBTTA294"],"itemData":{"id":547,"type":"article-journal","title":"The effects of weight loss on adipokines and markers of inflammation in dogs","container-title":"The British journal of nutrition","page":"S11-14","volume":"106 Suppl 1","source":"NCBI PubMed","abstract":"Evidence suggests that adipose tissue-derived adipokines induce mild inflammation and may play a role in insulin resistance associated with diabetes. The present study was designed to examine a series of adipokines and markers of inflammation in dogs before and after a successful weight loss. The study included fasting serum samples from twenty-five dogs before and after a weight-loss programme. Serum C-reactive protein (CRP) and monocyte chemoattractant protein-1 (MCP-1) were measured as indicators of chronic inflammation, while serum adipokines including total adiponectin, high-molecular-weight (HMW) adiponectin, resistin and leptin were also examined. Medians for CRP (before, 10.0 (interquartile range 5.4-15.0) μg/ml; after, 5.6 (interquartile range 3.8-7.0) μg/ml) and MCP-1 (before, 212 (interquartile range 157-288) ng/ml; after, 185 (interquartile range 143-215) ng/ml) decreased significantly after weight loss. Medians for resistin showed a mild, yet significant reduction (before, 67.1 (interquartile range 44.4-88.5) pg/ml; after, 60.5 (interquartile range 32.3-67.1) pg/ml), while leptin showed a dramatic decrease after weight loss (before, 18.9 (interquartile range 10.8-35.4) ng/ml; after, 6.6 (interquartile range 3.9-10.2) ng/ml). Serum total adiponectin and HMW adiponectin were unchanged on all analyses performed. These data suggest that weight loss can decrease chronic inflammation; however, the clinical implications of this decrease are not well elucidated in dogs. Surprisingly, there was no increase in total or HMW serum adiponectin after weight loss, as observed previously in human subjects. The lack of change in total and HMW adiponectin might explain why insulin resistance and type 2 diabetes are less prevalent in obese dogs when compared with humans and cats.","DOI":"10.1017/S0007114511000560","ISSN":"1475-2662","note":"PMID: 22005402","journalAbbreviation":"Br. J. Nutr.","language":"eng","author":[{"family":"Wakshlag","given":"Joseph J"},{"family":"Struble","given":"Angela M"},{"family":"Levine","given":"Corri B"},{"family":"Bushey","given":"Jennifer J"},{"family":"Laflamme","given":"Dorothy P"},{"family":"Long","given":"Grace M"}],"issued":{"date-parts":[["2011",10]]},"PMID":"22005402"}}],"schema":"https://github.com/citation-style-language/schema/raw/master/csl-citation.json"} </w:instrText>
      </w:r>
      <w:r>
        <w:fldChar w:fldCharType="separate"/>
      </w:r>
      <w:r w:rsidR="000A492A" w:rsidRPr="000A492A">
        <w:rPr>
          <w:vertAlign w:val="superscript"/>
        </w:rPr>
        <w:t>17,145,156,438</w:t>
      </w:r>
      <w:r>
        <w:fldChar w:fldCharType="end"/>
      </w:r>
      <w:r>
        <w:t xml:space="preserve">  </w:t>
      </w:r>
    </w:p>
    <w:p w:rsidR="005817F5" w:rsidRDefault="005817F5" w:rsidP="005817F5">
      <w:pPr>
        <w:ind w:firstLine="720"/>
        <w:contextualSpacing/>
      </w:pPr>
      <w:r>
        <w:t>Interleukin-15 (IL15) is another cytokine that was measured as a marker of increased muscle fatty acid oxidation.  It is involved in modulation of the cross-talk between muscle and adipose tissue, leading to decreased fat deposition in adipose tissue and increased skeletal muscle fiber growth.</w:t>
      </w:r>
      <w:r>
        <w:fldChar w:fldCharType="begin"/>
      </w:r>
      <w:r w:rsidR="000A492A">
        <w:instrText xml:space="preserve"> ADDIN ZOTERO_ITEM CSL_CITATION {"citationID":"BcIZO7Or","properties":{"formattedCitation":"{\\rtf \\super 262\\uc0\\u8211{}266\\nosupersub{}}","plainCitation":"262–266"},"citationItems":[{"id":348,"uris":["http://zotero.org/users/171999/items/Q2X8SSQR"],"uri":["http://zotero.org/users/171999/items/Q2X8SSQR"],"itemData":{"id":348,"type":"article-journal","title":"Interleukin-15: a novel anabolic cytokine for skeletal muscle","container-title":"Endocrinology","page":"3669-3672","volume":"136","issue":"8","source":"NCBI PubMed","abstract":"Interleukin-15 (IL-15) is a recently discovered growth factor which is highly expressed in skeletal muscle. In order to determine a functional role for IL-15 in skeletal myogenesis, the effects of IL-15 on myoblast proliferation and muscle-specific myosin heavy chain (MHC) expression were analyzed using the mouse C2 skeletal myogenic cell line and primary fetal bovine skeletal myogenic cultures. IL-15 had no effect on [3H]thymidine incorporation, nor on the rate of myoblast differentiation, assessed by anti-MHC immunocytochemical staining, in either type of culture. However, Western blot analyses revealed that IL-15 used at concentrations of 10 or 100 ng/ml increased MHC accumulation five-fold in C2 myoblast cultures and 2.5-fold in primary bovine myogenic cultures. Moreover, C2 myotubes formed in the presence of IL-15 appeared larger than controls. These findings indicate IL-15 can stimulate differentiated myocytes and muscle fibers to accumulate increased amounts of contractile proteins. Well-fused primary bovine myogenic cultures treated with the mitotic inhibitor aphidicolin, then administered IL-15 and/or the anabolic growth factor insulin-like growth factor-I (IGF-I), were analyzed for MHC accumulation using Western blots. IL-15 used at 10 ng/ml doubled MHC accumulation and was as effective as IGF-I used at 10 or 100 ng/ml. IL-15 and IGF-I used together increased MHC accumulation close to five-fold, indicating these two factors can act additively on muscle fibers. These findings indicate IL-15 affects parameters associated with skeletal muscle fiber hypertrophy, and suggest that IL-15 may be a novel anabolic agent to increase skeletal muscle mass.","ISSN":"0013-7227","note":"PMID: 7628408","shortTitle":"Interleukin-15","journalAbbreviation":"Endocrinology","language":"eng","author":[{"family":"Quinn","given":"L S"},{"family":"Haugk","given":"K L"},{"family":"Grabstein","given":"K H"}],"issued":{"date-parts":[["1995",8]]},"PMID":"7628408"}},{"id":356,"uris":["http://zotero.org/users/171999/items/4IVRMXMT"],"uri":["http://zotero.org/users/171999/items/4IVRMXMT"],"itemData":{"id":356,"type":"article-journal","title":"Interleukin-15 increases myosin accretion in human skeletal myogenic cultures","container-title":"Cell biology international","page":"845-851","volume":"27","issue":"10","source":"NCBI PubMed","abstract":"Interleukin-15 (IL-15) has been shown to have anabolic effects on skeletal muscle in rodent studies conducted in vitro and in vivo. The mechanism of IL-15 action on muscle appears to be distinct from that of the well-characterized muscle anabolic factor insulin-like growth factor-I (IGF-I). IL-15 action has not been investigated in a human culture system nor in detail in primary skeletal myogenic cells. The purpose of this study was to compare the effects of IL-15 and IGF-I in primary human skeletal myogenic cells. Accretion of a major myofibrillar protein, myosin heavy chain (MHC), was used as a measure of muscle anabolism. We found that both growth factors induced increases in MHC accretion in primary human skeletal myogenic cultures; however, IL-15 and IGF-I actions were temporally distinct. IL-15 was more effective at stimulating MHC accretion when added to cultures after differentiation of myoblasts had occurred. In contrast, IGF-I was more effective at stimulating MHC accretion when added to cultures prior to differentiation of myoblasts. These results using a human system support recent findings from rodent models which indicate that the primary mode of IGF-I action on skeletal muscle anabolism is through stimulation of myogenic precursor cells, whereas the primary target of IL-15 action is the differentiated muscle fiber. Further, since clinical and experimental studies have shown IGF-I is not effective in preventing skeletal muscle wasting, the distinct mode of action of IL-15 suggests it may be of potential usefulness in the treatment of muscle wasting disorders.","ISSN":"1065-6995","note":"PMID: 14499665","journalAbbreviation":"Cell Biol. Int.","language":"eng","author":[{"family":"Furmanczyk","given":"Paul S"},{"family":"Quinn","given":"LeBris S"}],"issued":{"date-parts":[["2003"]]},"PMID":"14499665"}},{"id":352,"uris":["http://zotero.org/users/171999/items/NKBHXPX8"],"uri":["http://zotero.org/users/171999/items/NKBHXPX8"],"itemData":{"id":352,"type":"article-journal","title":"Overexpression of interleukin-15 induces skeletal muscle hypertrophy in vitro: implications for treatment of muscle wasting disorders","container-title":"Experimental cell research","page":"55-63","volume":"280","issue":"1","source":"NCBI PubMed","abstract":"Interleukin-15 (IL-15) is a novel anabolic factor for skeletal muscle which inhibits muscle wasting associated with cancer (cachexia) in a rat model. To develop a cell culture system in which the mechanism of the anabolic action of IL-15 on skeletal muscle could be examined, the mouse C2 skeletal myogenic cell line was transduced with a retroviral expression vector for IL-15 and compared to sister cells transduced with a control vector. Overexpression of IL-15 induced fivefold higher levels of sarcomeric myosin heavy chain and alpha-actin accumulation in differentiated myotubes. Secreted factors from IL-15-overexpressing myogenic cells, but not from control cells, induced increased myofibrillar protein accumulation in cocultured control myotubes. IL-15 overexpression induced a hypertrophic myotube morphology similar to that described for cultured myotubes which overexpressed the well-characterized anabolic factor insulin-like growth factor-I (IGF-I). However, in contrast to IGF-I, the hypertrophic action of IL-15 on skeletal myogenic cells did not involve stimulation of skeletal myoblast proliferation or differentiation. IL-15 induced myotube hypertrophy at both low and high IGF-I concentrations. Furthermore, in contrast to IGF-I, which stimulated only protein synthesis under these culture conditions, IL-15 both stimulated protein synthesis and inhibited protein degradation in cultured skeletal myotubes. These findings indicate that IL-15 action on skeletal myogenic cells is distinct from that of IGF-I. Due to the ability of IGF-I to stimulate cell division and its association with several forms of cancer, controversy exists concerning the advisability of treating cachexia or age-associated muscle wasting with IGF-I. Administration of IL-15 or modulation of the IL-15 signaling pathway may represent an alternative strategy for maintaining skeletal muscle mass under these conditions.","ISSN":"0014-4827","note":"PMID: 12372339","shortTitle":"Overexpression of interleukin-15 induces skeletal muscle hypertrophy in vitro","journalAbbreviation":"Exp. Cell Res.","language":"eng","author":[{"family":"Quinn","given":"LeBris S"},{"family":"Anderson","given":"Barbara G"},{"family":"Drivdahl","given":"Rolf H"},{"family":"Alvarez","given":"Belén"},{"family":"Argilés","given":"Josep M"}],"issued":{"date-parts":[["2002",10,15]]},"PMID":"12372339"}},{"id":293,"uris":["http://zotero.org/users/171999/items/2IF2VR7T"],"uri":["http://zotero.org/users/171999/items/2IF2VR7T"],"itemData":{"id":293,"type":"article-journal","title":"Effects of interleukin-15 on lipid oxidation: disposal of an oral [(14)C]-triolein load","container-title":"Biochimica et biophysica acta","page":"37-42","volume":"1761","issue":"1","source":"NCBI PubMed","abstract":"Interleukin 15 (IL-15) has previously been shown to have important effects on lipid metabolism in adipose tissue, particularly influencing the rate of the de novo fatty acid synthesis. The results presented here show that chronic administration to rats (100 microg/kg body weight) has important effects on the metabolic fate of an exogenous [(14)C]-triolein load, decreasing the incorporation of lipid into adipose tissue and significantly increasing the total (14)CO(2) formation from [(14)C]-triolein. Skeletal muscle and possibly liver seem to be the main organs involved in the action of IL-15 on lipid oxidation, since the presence of the cytokine in incubated EDL muscle with [(14)C]-palmitic acid increased (14)CO(2) formation by 39%. Concerning the mechanism, the results suggest that the transport of fatty acids into mitochondria could be involved in the action of IL-15 since the cytokine clearly increases the presence of L-CPT-I and CPT-II in liver tissue. In addition, IL-15 treatment resulted in a significant increment in the gene expression of PPARdelta, a transcription factor clearly related with lipid catabolism in many tissues. Altogether, the results presented here suggest that IL-15 alters exogenous lipid partitioning, limiting adipose tissue uptake and favouring oxidation.","DOI":"10.1016/j.bbalip.2005.12.006","ISSN":"0006-3002","note":"PMID: 16458591","shortTitle":"Effects of interleukin-15 on lipid oxidation","journalAbbreviation":"Biochim. Biophys. Acta","language":"eng","author":[{"family":"Almendro","given":"Vanessa"},{"family":"Busquets","given":"Sílvia"},{"family":"Ametller","given":"Elisabet"},{"family":"Carbó","given":"Neus"},{"family":"Figueras","given":"Maite"},{"family":"Fuster","given":"Gemma"},{"family":"Argilés","given":"Josep M"},{"family":"López-Soriano","given":"Francisco J"}],"issued":{"date-parts":[["2006",1]]},"PMID":"16458591"}},{"id":360,"uris":["http://zotero.org/users/171999/items/PM27SDA5"],"uri":["http://zotero.org/users/171999/items/PM27SDA5"],"itemData":{"id":360,"type":"article-journal","title":"Regulation of muscle fiber type and running endurance by PPARdelta","container-title":"PLoS biology","page":"e294","volume":"2","issue":"10","source":"NCBI PubMed","abstract":"Endurance exercise training can promote an adaptive muscle fiber transformation and an increase of mitochondrial biogenesis by triggering scripted changes in gene expression. However, no transcription factor has yet been identified that can direct this process. We describe the engineering of a mouse capable of continuous running of up to twice the distance of a wild-type littermate. This was achieved by targeted expression of an activated form of peroxisome proliferator-activated receptor delta (PPARdelta) in skeletal muscle, which induces a switch to form increased numbers of type I muscle fibers. Treatment of wild-type mice with PPARdelta agonist elicits a similar type I fiber gene expression profile in muscle. Moreover, these genetically generated fibers confer resistance to obesity with improved metabolic profiles, even in the absence of exercise. These results demonstrate that complex physiologic properties such as fatigue, endurance, and running capacity can be molecularly analyzed and manipulated.","DOI":"10.1371/journal.pbio.0020294","ISSN":"1545-7885","note":"PMID: 15328533","journalAbbreviation":"PLoS Biol.","language":"eng","author":[{"family":"Wang","given":"Yong-Xu"},{"family":"Zhang","given":"Chun-Li"},{"family":"Yu","given":"Ruth T"},{"family":"Cho","given":"Helen K"},{"family":"Nelson","given":"Michael C"},{"family":"Bayuga-Ocampo","given":"Corinne R"},{"family":"Ham","given":"Jungyeob"},{"family":"Kang","given":"Heonjoong"},{"family":"Evans","given":"Ronald M"}],"issued":{"date-parts":[["2004",10]]},"PMID":"15328533"}}],"schema":"https://github.com/citation-style-language/schema/raw/master/csl-citation.json"} </w:instrText>
      </w:r>
      <w:r>
        <w:fldChar w:fldCharType="separate"/>
      </w:r>
      <w:r w:rsidR="000A492A" w:rsidRPr="000A492A">
        <w:rPr>
          <w:vertAlign w:val="superscript"/>
        </w:rPr>
        <w:t>262–266</w:t>
      </w:r>
      <w:r>
        <w:fldChar w:fldCharType="end"/>
      </w:r>
      <w:r>
        <w:t xml:space="preserve">  IL15 has not been measured in obese dogs, but it has been assessed in endurance racing sled dogs.  In dogs competing in a 1650 km, multi-day race, IL15 plasma concentration did not change from 72 hours before, halfway through, and within 6 hours of race completion.</w:t>
      </w:r>
      <w:r>
        <w:fldChar w:fldCharType="begin"/>
      </w:r>
      <w:r w:rsidR="000A492A">
        <w:instrText xml:space="preserve"> ADDIN ZOTERO_ITEM CSL_CITATION {"citationID":"1nk1m773qq","properties":{"formattedCitation":"{\\rtf \\super 439\\nosupersub{}}","plainCitation":"439"},"citationItems":[{"id":842,"uris":["http://zotero.org/users/171999/items/H9USIAVF"],"uri":["http://zotero.org/users/171999/items/H9USIAVF"],"itemData":{"id":842,"type":"article-journal","title":"Assessment of serum myokines and markers of inflammation associated with exercise in endurance racing sled dogs","container-title":"Journal of veterinary internal medicine / American College of Veterinary Internal Medicine","page":"371-376","volume":"27","issue":"2","source":"NCBI PubMed","abstract":"BACKGROUND: The endurance sled dog is the ultimate endurance athlete in which to examine the exercise-associated acute phase and myokine responses that might be related to changes in muscle metabolism and damage. An inciting cause for increased C-reactive protein has yet to be elucidated, which might involve interleukin-6 and other myokines.\nOBJECTIVES: To examine concentrations of interleukin-6 (IL-6), interleukin-15 (IL-15), interleukin-8 (IL-8), and tumor necrosis factor-α (TNF-α), and markers of the inflammatory response of exercise; monocyte chemoattractant protein-1(MCP-1) and C-reactive protein (CRP) before, during, and after an endurance racing event.\nANIMALS: 26 sled dogs completing a 1650-km race.\nMETHODS: In a prospective study, cephalic venipuncture was performed before racing, at the midpoint, and after racing. Body weight and serum CRP, MCP-1, IL-15, IL-8, IL-6, and TNF-α concentrations were evaluated using enzyme-linked immunoabsorbance-based assays or a luminex multiplex assay.\nRESULTS: There were no significant differences in concentrations of IL-6, IL-15, IL-8, or TNF-α at the 3 time points, whereas there were significant increases in MCP-1 (median and range-start: 86 pg/mL [30-1845]; midpoint: 179 pg/mL [53-730]; finish: 180 pg/mL [21-1294]; P &lt; .01) and CRP (median and range-start: 18 μg/mL [11-58]; midpoint: 76 μg/mL [12-198]; finish: 60 μg/mL [12-170]; P &lt; .01) at the midpoint and race finish. There was a significant linear relationship between MCP-1 and IL-6 (R = 0.68; P &lt; .01). CONCLUSIONS AND CLINICAL SIGNIFICANCE: The inflammatory response to exercise increases as measured by MCP-1 during and after endurance exercise in sled dogs. IL-6 appears to be associated with MCP-1; however, the reasons for increases in the acute phase response (CRP) cannot be attributed to IL-6 or other myokines. IL-6 and MCP-1 concentrations might be useful in future investigations of exertional rhabdomyolysis.","DOI":"10.1111/jvim.12046","ISSN":"1939-1676","note":"PMID: 23398265","journalAbbreviation":"J. Vet. Intern. Med.","language":"eng","author":[{"family":"Yazwinski","given":"M"},{"family":"Milizio","given":"J G"},{"family":"Wakshlag","given":"J J"}],"issued":{"date-parts":[["2013",4]]},"PMID":"23398265"}}],"schema":"https://github.com/citation-style-language/schema/raw/master/csl-citation.json"} </w:instrText>
      </w:r>
      <w:r>
        <w:fldChar w:fldCharType="separate"/>
      </w:r>
      <w:r w:rsidR="000A492A" w:rsidRPr="000A492A">
        <w:rPr>
          <w:vertAlign w:val="superscript"/>
        </w:rPr>
        <w:t>439</w:t>
      </w:r>
      <w:r>
        <w:fldChar w:fldCharType="end"/>
      </w:r>
      <w:r>
        <w:t xml:space="preserve">  In obese rats, however, IL15 plasma and muscle tissue expression levels are reduced, but increase with treadmill running (26 m/min, 60 min/day, 5 days/week) over 8 weeks as compared to sedentary obese controls.</w:t>
      </w:r>
      <w:r>
        <w:fldChar w:fldCharType="begin"/>
      </w:r>
      <w:r w:rsidR="000A492A">
        <w:instrText xml:space="preserve"> ADDIN ZOTERO_ITEM CSL_CITATION {"citationID":"14lajmfn0q","properties":{"formattedCitation":"{\\rtf \\super 440\\nosupersub{}}","plainCitation":"440"},"citationItems":[{"id":855,"uris":["http://zotero.org/users/171999/items/Z8GQ4A5V"],"uri":["http://zotero.org/users/171999/items/Z8GQ4A5V"],"itemData":{"id":855,"type":"article-journal","title":"Treadmill exercise promotes interleukin 15 expression in skeletal muscle and interleukin 15 receptor alpha expression in adipose tissue of high-fat diet rats","container-title":"Endocrine","page":"579-585","volume":"43","issue":"3","source":"NCBI PubMed","abstract":"Interleukin 15 (IL-15) has recently been proposed as a myokine involved in regulating lipid metabolism. We investigated the effect of exercise training on IL-15 content in skeletal muscle and expression of IL-15 receptor (IL-15R) in adipose tissue of obese rats. After 12 weeks of a high-fat diet, obese rats underwent treadmill running at 26 m/min (60 min each, 5 days/week for 8 weeks). High-fat diet induced obesity, with increased body weight, body fat, and lipid profile. The level of IL-15 immunoreactivity (IL-15-ir) in plasma and gastrocnemius muscle was lower in obese than control rats, and the mRNA level of IL-15 in gastrocnemius muscle was markedly decreased. The mRNA and protein levels of IL-15R in adipose tissue were markedly lower in obese rats. Compared with sedentary obese rats, treadmill running showed decreased body weight and elevated mRNA expression of IL-15 in muscle and elevated IL-15-ir level in plasma and muscle. The mRNA and protein level of IL-15R were increased in adipose tissue in treadmill running obese rats. Our results showed that exercise training improve obesity and reversed the downregulation of the IL-15 in muscle and IL-15R in adipose tissue induced by high-fat diet.","DOI":"10.1007/s12020-012-9809-6","ISSN":"1559-0100","note":"PMID: 23076740","journalAbbreviation":"Endocrine","language":"eng","author":[{"family":"Yang","given":"Hongtao"},{"family":"Chang","given":"Jinrui"},{"family":"Chen","given":"Wenjia"},{"family":"Zhao","given":"Lei"},{"family":"Qu","given":"Bo"},{"family":"Tang","given":"Chaoshu"},{"family":"Qi","given":"Yongfen"},{"family":"Zhang","given":"Jing"}],"issued":{"date-parts":[["2013",6]]},"PMID":"23076740"}}],"schema":"https://github.com/citation-style-language/schema/raw/master/csl-citation.json"} </w:instrText>
      </w:r>
      <w:r>
        <w:fldChar w:fldCharType="separate"/>
      </w:r>
      <w:r w:rsidR="000A492A" w:rsidRPr="000A492A">
        <w:rPr>
          <w:vertAlign w:val="superscript"/>
        </w:rPr>
        <w:t>440</w:t>
      </w:r>
      <w:r>
        <w:fldChar w:fldCharType="end"/>
      </w:r>
      <w:r>
        <w:t xml:space="preserve">  In the dogs reported here, lowest numerical IL15 baseline values were observed in the group maintaining ideal body weight at all time points, although the obese placebo dogs also had relatively low numbers compared to other groups.  While IL15 assessment in </w:t>
      </w:r>
      <w:proofErr w:type="gramStart"/>
      <w:r>
        <w:t>rats</w:t>
      </w:r>
      <w:proofErr w:type="gramEnd"/>
      <w:r>
        <w:t xml:space="preserve"> increases to appreciable levels, based on both dogs of various weights and dogs undergoing intensive exercise, IL15 may not be a myokine that changes to appreciable levels.</w:t>
      </w:r>
    </w:p>
    <w:p w:rsidR="005817F5" w:rsidRDefault="005817F5" w:rsidP="005817F5">
      <w:pPr>
        <w:ind w:firstLine="720"/>
      </w:pPr>
      <w:r>
        <w:t>In conclusion, leucine/pyridoxine nutraceutical, placebo, and therapeutic weight loss diet did not have an effect on tissue expression of genes involved in fat oxidation, oxidadive phosphorylation, and mitochondrial biogenesis.  Future work in dogs should include visceral adipose tissue samples for functional comparisons.  Circulating plasma concentrations of IL6 and IL15 also did not differ between groups, suggesting they are not the most appropriate markers of obesity related inflammation and muscle fatty acid oxidation in dogs.  This is true of both obese dogs losing weight on a lean maintenance level of calories and of lean dogs gaining weight while consuming excess energy.</w:t>
      </w:r>
    </w:p>
    <w:p w:rsidR="00962491" w:rsidRDefault="00962491" w:rsidP="00962491">
      <w:pPr>
        <w:ind w:firstLine="720"/>
      </w:pPr>
      <w:r>
        <w:t>In conclusion, leucine/pyridoxine nutraceutical, placebo, and therapeutic weight loss diet did not have an effect on medium term satiety, based on intrusion meal intake 3 hours after a standard morning meal and select behavior observations during feeding.  This is true of both obese dogs losing weight on a lean maintenance level of calories and of lean dogs gaining weight while consuming excess energy.  Voluntary food intake of an intrusion meal was higher when regularly exposed to limited feeding and lower when regular meals provide excess calories.  In general, plasma measurements of gut hormones and endocrine factors followed expected trends.  Perhaps the most significant revelation is that adiponectin levels remained relatively consistent in these dogs, unrelated to the level of adiposity.</w:t>
      </w:r>
      <w:commentRangeEnd w:id="113"/>
      <w:r>
        <w:rPr>
          <w:rStyle w:val="CommentReference"/>
        </w:rPr>
        <w:commentReference w:id="113"/>
      </w:r>
    </w:p>
    <w:p w:rsidR="00FD6176" w:rsidRPr="00FD6176" w:rsidRDefault="00C71E14" w:rsidP="00C71E14">
      <w:pPr>
        <w:rPr>
          <w:rFonts w:cs="Times New Roman"/>
        </w:rPr>
      </w:pPr>
      <w:r>
        <w:rPr>
          <w:rFonts w:cs="Times New Roman"/>
        </w:rPr>
        <w:tab/>
        <w:t>In conclusion, t</w:t>
      </w:r>
      <w:r w:rsidR="00A512F5">
        <w:rPr>
          <w:rFonts w:cs="Times New Roman"/>
        </w:rPr>
        <w:t xml:space="preserve">hese data show dogs eating lean maintenance levels of a canned </w:t>
      </w:r>
      <w:r w:rsidR="0003110D">
        <w:rPr>
          <w:rFonts w:cs="Times New Roman"/>
        </w:rPr>
        <w:t>adult diet with a leucine/pyridoxine nutraceutical can achieve weight loss similar to dogs consuming lean maintenance levels of a therapeutic weight loss diet</w:t>
      </w:r>
      <w:r w:rsidR="00A512F5">
        <w:rPr>
          <w:rFonts w:cs="Times New Roman"/>
        </w:rPr>
        <w:t xml:space="preserve">.  </w:t>
      </w:r>
      <w:r>
        <w:rPr>
          <w:rFonts w:cs="Times New Roman"/>
        </w:rPr>
        <w:t>Both groups performed better than a placebo control, but all groups lost weight over twelve weeks.  This supplement shows promise as an alternative method to inducing effective weight loss in dogs without excessive caloric restriction or changing to a therapeutic weight loss diet.  Clinical trials in naturally obese, client-owned animals are the next recommended step toward clinical use of this product.</w:t>
      </w:r>
    </w:p>
    <w:p w:rsidR="00FD6176" w:rsidRPr="00FD6176" w:rsidRDefault="00FD6176" w:rsidP="00FD6176">
      <w:pPr>
        <w:rPr>
          <w:rFonts w:cs="Times New Roman"/>
        </w:rPr>
      </w:pPr>
    </w:p>
    <w:p w:rsidR="00975E37" w:rsidRPr="005E54E2" w:rsidRDefault="00975E37" w:rsidP="00F12428"/>
    <w:p w:rsidR="00FD6176" w:rsidRDefault="00FD6176">
      <w:pPr>
        <w:rPr>
          <w:b/>
          <w:bCs/>
          <w:caps/>
          <w:sz w:val="28"/>
        </w:rPr>
      </w:pPr>
      <w:bookmarkStart w:id="118" w:name="_Toc289175833"/>
      <w:r>
        <w:br w:type="page"/>
      </w:r>
    </w:p>
    <w:p w:rsidR="00CE3A3E" w:rsidRPr="00A7249E" w:rsidRDefault="00CE3A3E" w:rsidP="005E54E2">
      <w:pPr>
        <w:pStyle w:val="Heading1"/>
        <w:rPr>
          <w:i/>
        </w:rPr>
      </w:pPr>
      <w:bookmarkStart w:id="119" w:name="_Toc376465791"/>
      <w:r>
        <w:t>CHAPTER I</w:t>
      </w:r>
      <w:r w:rsidR="00236E6D">
        <w:t>I</w:t>
      </w:r>
      <w:r w:rsidR="00E459DC">
        <w:br/>
      </w:r>
      <w:bookmarkEnd w:id="118"/>
      <w:r w:rsidR="00340E3A">
        <w:t xml:space="preserve">Effect of </w:t>
      </w:r>
      <w:r w:rsidR="00C059FE">
        <w:t xml:space="preserve">a </w:t>
      </w:r>
      <w:r w:rsidR="00EA7410">
        <w:t>leucine/</w:t>
      </w:r>
      <w:r w:rsidR="00340E3A">
        <w:t>pyridoxine</w:t>
      </w:r>
      <w:r w:rsidR="00C059FE">
        <w:t xml:space="preserve"> nutraceutical</w:t>
      </w:r>
      <w:r w:rsidR="00A7249E">
        <w:t xml:space="preserve"> on </w:t>
      </w:r>
      <w:r w:rsidR="0053456F">
        <w:t xml:space="preserve">food intake and body composition of </w:t>
      </w:r>
      <w:r w:rsidR="00A7249E">
        <w:t xml:space="preserve">lean dogs </w:t>
      </w:r>
      <w:r w:rsidR="00C059FE">
        <w:t>consuming excess calories</w:t>
      </w:r>
      <w:bookmarkEnd w:id="119"/>
    </w:p>
    <w:p w:rsidR="00236E6D" w:rsidRPr="00A23850" w:rsidRDefault="00CE3A3E" w:rsidP="00A23850">
      <w:pPr>
        <w:jc w:val="center"/>
        <w:rPr>
          <w:b/>
          <w:sz w:val="28"/>
          <w:szCs w:val="28"/>
        </w:rPr>
      </w:pPr>
      <w:r>
        <w:br w:type="page"/>
      </w:r>
    </w:p>
    <w:p w:rsidR="00927570" w:rsidRDefault="00927570" w:rsidP="00927570">
      <w:pPr>
        <w:pStyle w:val="Heading2"/>
      </w:pPr>
      <w:bookmarkStart w:id="120" w:name="_Toc289175836"/>
      <w:bookmarkStart w:id="121" w:name="_Toc376465792"/>
      <w:r>
        <w:t>Introduction</w:t>
      </w:r>
      <w:bookmarkEnd w:id="121"/>
    </w:p>
    <w:p w:rsidR="00B61560" w:rsidRDefault="00B61560" w:rsidP="00B61560">
      <w:pPr>
        <w:ind w:firstLine="720"/>
        <w:contextualSpacing/>
      </w:pPr>
      <w:r>
        <w:t>V</w:t>
      </w:r>
      <w:r w:rsidRPr="003A0EF9">
        <w:t>arious data</w:t>
      </w:r>
      <w:r>
        <w:t xml:space="preserve"> indicate a global overweight and obesity prevalence of 22.9-59.3% in adult dogs</w:t>
      </w:r>
      <w:r w:rsidRPr="003A0EF9">
        <w:t>.</w:t>
      </w:r>
      <w:r w:rsidRPr="003A0EF9">
        <w:fldChar w:fldCharType="begin"/>
      </w:r>
      <w:r w:rsidR="00F61ABE">
        <w:instrText xml:space="preserve"> ADDIN ZOTERO_ITEM CSL_CITATION {"citationID":"Tqr6AVnB","properties":{"formattedCitation":"{\\rtf \\super 6\\uc0\\u8211{}14\\nosupersub{}}","plainCitation":"6–14"},"citationItems":[{"id":13,"uris":["http://zotero.org/users/171999/items/934HWIHU"],"uri":["http://zotero.org/users/171999/items/934HWIHU"],"itemData":{"id":13,"type":"article-journal","title":"Prevalence and risk factors for obesity in adult dogs from private US veterinary practices.","container-title":"International Journal of Applied Research in Veterinary Medicine","volume":"4","issue":"2","source":"ISI Web of Knowledge","abstract":"Using a cross-sectional study design, the prevalence of overweight and obesity in dogs over 1 year of age seen by US veterinarians during 1995 was determined. Risk factors for overweight and obesity were also determined from the following variables: age, breed, gender, body condition score, food type, reported concurrent disease, and geographic region. Thirty-four percent of adult dogs (n=21,754) were overweight or obese. From multivariate analyses, overweight dogs were more likely to be older, of certain breeds (Cocker Spaniel, Labrador Retriever, Dalmatian, Dachshund, Rottweiler, Golden Retriever, Shetland Sheepdog, Mixed-breed), neutered, and to consume a semi-moist food as their major diet source. In addition, overweight adult dogs were most likely to reside in the Pacific, South Central, East North Central, or Northeast regions of the United States and be diagnosed with hyperadrenocorticism, ruptured cruciate ligament, hypothyroidism, lower urinary tract disease, or oral disease. Obese dogs were more likely to be older, of certain breeds (Shetland Sheepdog, Dachshund, and Golden Retriever), neutered, and to consume \"other\" foods (meat or other food products, commercial treats, or table scraps), homemade, or canned foods as their major diet source. Also, obese adult dogs were more likely to live in the Pacific or Northeast region of the United States and be diagnosed with hypothyroidism, diabetes mellitus, pancreatitis, ruptured cruciate ligament, or neoplasia. Practitioners can use these data to counsel dog owners on obesity prevention, especially owners of dogs with ≥1 risk factors for overweight/obesity, and to strongly advocate for the maintenance of canine patients at an ideal body condition.","ISSN":"1542-2666","language":"English","author":[{"family":"Lund","given":"E. M."},{"family":"Armstrong","given":"P. J."},{"family":"Kirk","given":"C. A."},{"family":"Klausner","given":"J. S."}],"issued":{"date-parts":[["2006"]]}}},{"id":14,"uris":["http://zotero.org/users/171999/items/45JH5SVI"],"uri":["http://zotero.org/users/171999/items/45JH5SVI"],"itemData":{"id":14,"type":"article-journal","title":"Body condition and diet of relatively healthy older dogs","container-title":"The Journal of nutrition","page":"S58-59","volume":"121","issue":"11 Suppl","source":"NCBI PubMed","ISSN":"0022-3166","note":"PMID: 1941239","journalAbbreviation":"J. Nutr.","language":"eng","author":[{"family":"Donoghue","given":"S"},{"family":"Khoo","given":"L"},{"family":"Glickman","given":"L T"},{"family":"Kronfeld","given":"D S"}],"issued":{"date-parts":[["1991",11]]},"PMID":"1941239"}},{"id":16,"uris":["http://zotero.org/users/171999/items/XIANMWZC"],"uri":["http://zotero.org/users/171999/items/XIANMWZC"],"itemData":{"id":16,"type":"article-journal","title":"Prevalence of obesity in dogs examined by Australian veterinary practices and the risk factors involved","container-title":"The Veterinary record","page":"695-702","volume":"156","issue":"22","source":"NCBI PubMed","abstract":"A study was undertaken to determine the prevalence of obesity in dogs examined by veterinary practices across Australia, and to determine the risk factors involved; 1700 practices were asked to complete a veterinarian opinion survey, and of the 428 practices that responded, 178 were selected to complete an RSPCA Australia Pet Obesity Questionnaire, together with additional practices selected by Australian State and Territory RSPCA societies. This questionnaire was sent to a total of 209 practices which were asked to record details of eligible dogs, and the reason why they had been examined during the previous month. Fifty-two (24.9 per cent) of the practices responded and provided data on 2661 dogs, of which 892 (33.5 per cent) were overweight and 201 (7.6 per cent) were obese. A further 112 dogs (4.2 per cent) were classified as thin or very thin, but these were excluded from subsequent analyses. Of the remaining 2549 dogs, approximately half were female and 1905 (74.7 per cent) were neutered. The dogs' weight category was influenced by several factors. Breed influenced the importance of sex and neutering as risk factors. The prevalence of overweight and obese dogs combined was 41 per cent; the prevalence increased with age up to about 10 years old, and then declined. Rural and semirural dogs were more at risk of obesity than urban and suburban dogs.","ISSN":"0042-4900","note":"PMID: 15923551","journalAbbreviation":"Vet. Rec.","language":"eng","author":[{"family":"McGreevy","given":"P D"},{"family":"Thomson","given":"P C"},{"family":"Pride","given":"C"},{"family":"Fawcett","given":"A"},{"family":"Grassi","given":"T"},{"family":"Jones","given":"B"}],"issued":{"date-parts":[["2005",5,28]]},"PMID":"15923551"}},{"id":18,"uris":["http://zotero.org/users/171999/items/42W4HSE2"],"uri":["http://zotero.org/users/171999/items/42W4HSE2"],"itemData":{"id":18,"type":"article-journal","title":"Pattern of diet and obesity in female adult pet dogs.","container-title":"Veterinary Clinical Nutrition","volume":"2","issue":"1","source":"ISI Web of Knowledge","abstract":"A telephone questionnaire to the owners of 146 female adult dogs with breast cancer and 143 female dogs with other cancers that had participated in a larger epidemiological study was used to describe what dogs eat in terms of total energy intake; the percentage of calories derived from commercial food types and table scraps; and the percentage calories from fat, protein, and carbohydrates. The average energy intake for all dogs was almost 1000 calories of metabolizable energy per day, of which about 40% was derived from fat, 25% from protein, and 35% from carbohydrate. About one-third of the total calories was provided by table scraps. Consumption of dry dog food increased, while consumption of table scraps decreased, with increasing breed size. the prevalence of obesity (at least 15% above ideal bodyweight) was 40 and 6% for adult and juvenile (9-12 months old) females, respectively. Dogs reported by their owners to have been overweight at 9-12 months old were 1.5 times more likely to be overweight as adults compared with dogs that were thin as juveniles. These findings should be applicable to the general dog population since no association between diet and the risk of cancer was found previously in the same dogs. These findings should also be useful for developing preventative and therapeutic approaches for obesity and nutritionally related diseases.","ISSN":"1076-3872","language":"English","author":[{"family":"Glickman","given":"L. T."},{"family":"Sonnenschein","given":"E. G."},{"family":"Glickman","given":"N. W."},{"family":"Donoghue","given":"S."},{"family":"Goldschmidt","given":"M. H."}],"issued":{"date-parts":[["1995"]]}}},{"id":19,"uris":["http://zotero.org/users/171999/items/JC5E64D4"],"uri":["http://zotero.org/users/171999/items/JC5E64D4"],"itemData":{"id":19,"type":"article-journal","title":"Obesity in pet dogs","container-title":"The Veterinary record","page":"612-616","volume":"86","issue":"21","source":"NCBI PubMed","ISSN":"0042-4900","note":"PMID: 5465678","journalAbbreviation":"Vet. Rec.","language":"eng","author":[{"family":"Mason","given":"E"}],"issued":{"date-parts":[["1970",5,23]]},"PMID":"5465678"}},{"id":21,"uris":["http://zotero.org/users/171999/items/QVP9XV53"],"uri":["http://zotero.org/users/171999/items/QVP9XV53"],"itemData":{"id":21,"type":"article-journal","title":"Risk factors for obesity in dogs in France","container-title":"The Journal of nutrition","page":"1951S-1954S","volume":"136","issue":"7 Suppl","source":"NCBI PubMed","ISSN":"0022-3166","note":"PMID: 16772466","journalAbbreviation":"J. Nutr.","language":"eng","author":[{"family":"Colliard","given":"Laurence"},{"family":"Ancel","given":"Julie"},{"family":"Benet","given":"Jean-Jacques"},{"family":"Paragon","given":"Bernard-Marie"},{"family":"Blanchard","given":"Géraldine"}],"issued":{"date-parts":[["2006",7]]},"PMID":"16772466"}},{"id":23,"uris":["http://zotero.org/users/171999/items/TC6EBK2I"],"uri":["http://zotero.org/users/171999/items/TC6EBK2I"],"itemData":{"id":23,"type":"article-journal","title":"Risk factors associated with excess body weight in dogs in the UK (Abstract)","container-title":"Journal of Animal Physiology and Animal Nutrition","page":"166-167","volume":"91","issue":"3-4","DOI":"10.1111/j.1439-0396.2007.00680_9.x","journalAbbreviation":"J Anim Physiol Anim Nutr","author":[{"family":"Holmes","given":"K L"},{"family":"Morris","given":"P J"},{"family":"Abdulla","given":"Z"},{"family":"Hackett","given":"R"},{"family":"Rawlings","given":"J M"}],"issued":{"date-parts":[["2007",3,7]]},"accessed":{"date-parts":[["2013",10,10]]}}},{"id":25,"uris":["http://zotero.org/users/171999/items/JN69SBH5"],"uri":["http://zotero.org/users/171999/items/JN69SBH5"],"itemData":{"id":25,"type":"article-journal","title":"An epidemiological study of environmental factors associated with canine obesity","container-title":"The Journal of small animal practice","page":"362-367","volume":"51","issue":"7","source":"NCBI PubMed","abstract":"OBJECTIVES: To assess the relationships between socioeconomic and other environmental factors with canine obesity.\nMETHODS: This was a cross-sectional questionnaire study of dog owners attending five primary veterinary practices in the UK. Owners were asked about dog age, neuter status, feeding habits, dog exercise, household income and owner age. The body condition score of the dogs was also assessed. Factors hypothesised to be associated with obesity were investigated.\nRESULTS: In total, data from 696 questionnaires were evaluated. Out of those data evaluated, 35.3% of dogs (n=246) were classed as an ideal body shape, 38.9% (n=271) were overweight, 20.4% (n=142) were obese and 5.3% (n=37) were underweight. Identified risk factors associated with obesity included owner age, hours of weekly exercise, frequency of snacks/treats and personal income.\nCLINICAL SIGNIFICANCE: Environmental risk factors associated with canine obesity are multifactorial and include personal income, owner age, frequency of snacks/treats and amount of exercise the dog receives. Awareness about health risks associated with obesity in dogs is significantly less in people in lower income brackets. This phenomenon is recognised in human obesity.","DOI":"10.1111/j.1748-5827.2010.00933.x","ISSN":"1748-5827","note":"PMID: 20402841","journalAbbreviation":"J Small Anim Pract","language":"eng","author":[{"family":"Courcier","given":"E A"},{"family":"Thomson","given":"R M"},{"family":"Mellor","given":"D J"},{"family":"Yam","given":"P S"}],"issued":{"date-parts":[["2010",7]]},"PMID":"20402841"}},{"id":1620,"uris":["http://zotero.org/users/171999/items/SDV43U5I"],"uri":["http://zotero.org/users/171999/items/SDV43U5I"],"itemData":{"id":1620,"type":"article-journal","title":"Prevalence and risk factors for canine obesity surveyed in veterinary practices in Beijing, China","container-title":"Preventive veterinary medicine","page":"438-442","volume":"112","issue":"3-4","source":"NCBI PubMed","abstract":"An epidemiological survey of canine obesity was carried out in Beijing, China. Cases (n=2391, 7 districts) were collected at 14 animal hospitals between April 2008 and April 2011. The body condition score (scales of 1-5) was used to assess obesity of the dogs (Burkholder and Toll, 2000; Laflamme, 1997). Obesity rates were analyzed with respect to breed, age, sex, neutering, food control, feeding frequency, reproduction status, food type, nutritional supplements, living environment, feeding time, number of pets per household, feeding purpose, activity control, exercise duration, exercise status and exercise type. The overall canine obesity rate was 44.4% in this survey. The risk factors for dog obesity were food type (non-commercial food, OR=1.377, p&lt;0.05), age (1-2y, OR=0.044, p&lt;0.001), activity control (free activity, OR=0.685, p&lt;0.05), neutering (intact, OR=0.629, p&lt;0.01), sex (male, OR=0.628, p&lt;0.001), feeding frequency (Once per day, OR=0.521, p&lt;0.01). By dog breed, prevalence of obesity was high in pugs (70.7%), Cocker Spaniel (69.4%), Pekingese (51.9%), Pomeranian (54.6%) and Golden Retriever (51.9%). This is the first report of the epidemiology of canine obesity in China.","DOI":"10.1016/j.prevetmed.2013.08.012","ISSN":"1873-1716","note":"PMID: 24042026","journalAbbreviation":"Prev. Vet. Med.","language":"eng","author":[{"family":"Mao","given":"Junfu"},{"family":"Xia","given":"Zhaofei"},{"family":"Chen","given":"Jiangnan"},{"family":"Yu","given":"Jinhai"}],"issued":{"date-parts":[["2013",11,1]]},"PMID":"24042026"}}],"schema":"https://github.com/citation-style-language/schema/raw/master/csl-citation.json"} </w:instrText>
      </w:r>
      <w:r w:rsidRPr="003A0EF9">
        <w:fldChar w:fldCharType="separate"/>
      </w:r>
      <w:r w:rsidRPr="00CC106C">
        <w:rPr>
          <w:vertAlign w:val="superscript"/>
        </w:rPr>
        <w:t>6–14</w:t>
      </w:r>
      <w:r w:rsidRPr="003A0EF9">
        <w:fldChar w:fldCharType="end"/>
      </w:r>
      <w:r>
        <w:t xml:space="preserve">  T</w:t>
      </w:r>
      <w:r w:rsidRPr="003A0EF9">
        <w:t>he greatest prevalence is</w:t>
      </w:r>
      <w:r>
        <w:t xml:space="preserve"> when</w:t>
      </w:r>
      <w:r w:rsidRPr="003A0EF9">
        <w:t xml:space="preserve"> 6-10 years old</w:t>
      </w:r>
      <w:r>
        <w:t>, neutered, and when represented by specific breeds (i.e., Beagle, Labrador Retriever</w:t>
      </w:r>
      <w:r w:rsidRPr="003A0EF9">
        <w:t>,</w:t>
      </w:r>
      <w:r>
        <w:t xml:space="preserve"> and Rottweiler)</w:t>
      </w:r>
      <w:r w:rsidRPr="003A0EF9">
        <w:t>.</w:t>
      </w:r>
      <w:r w:rsidRPr="003A0EF9">
        <w:fldChar w:fldCharType="begin"/>
      </w:r>
      <w:r w:rsidR="00F61ABE">
        <w:instrText xml:space="preserve"> ADDIN ZOTERO_ITEM CSL_CITATION {"citationID":"KE9YYz4I","properties":{"formattedCitation":"{\\rtf \\super 6\\nosupersub{}}","plainCitation":"6"},"citationItems":[{"id":13,"uris":["http://zotero.org/users/171999/items/934HWIHU"],"uri":["http://zotero.org/users/171999/items/934HWIHU"],"itemData":{"id":13,"type":"article-journal","title":"Prevalence and risk factors for obesity in adult dogs from private US veterinary practices.","container-title":"International Journal of Applied Research in Veterinary Medicine","volume":"4","issue":"2","source":"ISI Web of Knowledge","abstract":"Using a cross-sectional study design, the prevalence of overweight and obesity in dogs over 1 year of age seen by US veterinarians during 1995 was determined. Risk factors for overweight and obesity were also determined from the following variables: age, breed, gender, body condition score, food type, reported concurrent disease, and geographic region. Thirty-four percent of adult dogs (n=21,754) were overweight or obese. From multivariate analyses, overweight dogs were more likely to be older, of certain breeds (Cocker Spaniel, Labrador Retriever, Dalmatian, Dachshund, Rottweiler, Golden Retriever, Shetland Sheepdog, Mixed-breed), neutered, and to consume a semi-moist food as their major diet source. In addition, overweight adult dogs were most likely to reside in the Pacific, South Central, East North Central, or Northeast regions of the United States and be diagnosed with hyperadrenocorticism, ruptured cruciate ligament, hypothyroidism, lower urinary tract disease, or oral disease. Obese dogs were more likely to be older, of certain breeds (Shetland Sheepdog, Dachshund, and Golden Retriever), neutered, and to consume \"other\" foods (meat or other food products, commercial treats, or table scraps), homemade, or canned foods as their major diet source. Also, obese adult dogs were more likely to live in the Pacific or Northeast region of the United States and be diagnosed with hypothyroidism, diabetes mellitus, pancreatitis, ruptured cruciate ligament, or neoplasia. Practitioners can use these data to counsel dog owners on obesity prevention, especially owners of dogs with ≥1 risk factors for overweight/obesity, and to strongly advocate for the maintenance of canine patients at an ideal body condition.","ISSN":"1542-2666","language":"English","author":[{"family":"Lund","given":"E. M."},{"family":"Armstrong","given":"P. J."},{"family":"Kirk","given":"C. A."},{"family":"Klausner","given":"J. S."}],"issued":{"date-parts":[["2006"]]}}}],"schema":"https://github.com/citation-style-language/schema/raw/master/csl-citation.json"} </w:instrText>
      </w:r>
      <w:r w:rsidRPr="003A0EF9">
        <w:fldChar w:fldCharType="separate"/>
      </w:r>
      <w:r w:rsidRPr="003A0EF9">
        <w:rPr>
          <w:vertAlign w:val="superscript"/>
        </w:rPr>
        <w:t>6</w:t>
      </w:r>
      <w:r w:rsidRPr="003A0EF9">
        <w:fldChar w:fldCharType="end"/>
      </w:r>
      <w:r>
        <w:t xml:space="preserve">  </w:t>
      </w:r>
      <w:r w:rsidRPr="003A0EF9">
        <w:t xml:space="preserve">Lean Labrador Retrievers have been found to live 1.8 years longer </w:t>
      </w:r>
      <w:r>
        <w:t xml:space="preserve">and require long-term treatment for osteoarthritis 3 years later </w:t>
      </w:r>
      <w:r w:rsidRPr="003A0EF9">
        <w:t>than their overweight sex- and weight-matched siblings</w:t>
      </w:r>
      <w:r>
        <w:t>, giving credence to undertaking efforts to achieve weight loss</w:t>
      </w:r>
      <w:r w:rsidRPr="003A0EF9">
        <w:t>.</w:t>
      </w:r>
      <w:r w:rsidRPr="003A0EF9">
        <w:fldChar w:fldCharType="begin"/>
      </w:r>
      <w:r w:rsidR="00F61ABE">
        <w:instrText xml:space="preserve"> ADDIN ZOTERO_ITEM CSL_CITATION {"citationID":"7lTwILsK","properties":{"formattedCitation":"{\\rtf \\super 33\\nosupersub{}}","plainCitation":"33"},"citationItems":[{"id":58,"uris":["http://zotero.org/users/171999/items/9546738F"],"uri":["http://zotero.org/users/171999/items/9546738F"],"itemData":{"id":58,"type":"article-journal","title":"Effects of diet restriction on life span and age-related changes in dogs","container-title":"Journal of the American Veterinary Medical Association","page":"1315-1320","volume":"220","issue":"9","source":"NCBI PubMed","abstract":"OBJECTIVE: To evaluate the effects of 25% diet restriction on life span of dogs and on markers of aging.\nDESIGN: Paired feeding study.\nANIMALS: 48 Labrador Retrievers.\nPROCEDURES: Dogs were paired, and 1 dog in each pair was fed 25% less food than its pair-mate from 8 weeks of age until death. Serum biochemical analyses were performed, body condition was scored, and body composition was measured annually until 12 years of age. Age at onset of chronic disease and median (age when 50% of the dogs were deceased) and maximum (age when 90% of the dogs were deceased) life spans were evaluated.\nRESULTS: Compared with control dogs, food-restricted dogs weighed less and had lower body fat content and lower serum triglycerides, triiodothyronine, insulin, and glucose concentrations. Median life span was significantly longer for dogs in which food was restricted. The onset of clinical signs of chronic disease generally was delayed for food-restricted dogs.\nCONCLUSIONS AND CLINICAL RELEVANCE: Results suggest that 25% restriction in food intake increased median life span and delayed the onset of signs of chronic disease in these dogs.","ISSN":"0003-1488","note":"PMID: 11991408","journalAbbreviation":"J. Am. Vet. Med. Assoc.","language":"eng","author":[{"family":"Kealy","given":"Richard D"},{"family":"Lawler","given":"Dennis F"},{"family":"Ballam","given":"Joan M"},{"family":"Mantz","given":"Sandra L"},{"family":"Biery","given":"Darryl N"},{"family":"Greeley","given":"Elizabeth H"},{"family":"Lust","given":"George"},{"family":"Segre","given":"Mariangela"},{"family":"Smith","given":"Gail K"},{"family":"Stowe","given":"Howard D"}],"issued":{"date-parts":[["2002",5,1]]},"PMID":"11991408"}}],"schema":"https://github.com/citation-style-language/schema/raw/master/csl-citation.json"} </w:instrText>
      </w:r>
      <w:r w:rsidRPr="003A0EF9">
        <w:fldChar w:fldCharType="separate"/>
      </w:r>
      <w:r w:rsidRPr="00CC106C">
        <w:rPr>
          <w:vertAlign w:val="superscript"/>
        </w:rPr>
        <w:t>33</w:t>
      </w:r>
      <w:r w:rsidRPr="003A0EF9">
        <w:fldChar w:fldCharType="end"/>
      </w:r>
    </w:p>
    <w:p w:rsidR="00B61560" w:rsidRDefault="00B61560" w:rsidP="00B61560">
      <w:pPr>
        <w:ind w:firstLine="720"/>
        <w:contextualSpacing/>
      </w:pPr>
      <w:r>
        <w:t>Diet manipulations to decrease caloric intake have long been the treatment of choice for canine obesity, but compliance and long-term weight maintenance success has proven difficult to achieve.</w:t>
      </w:r>
      <w:r>
        <w:fldChar w:fldCharType="begin"/>
      </w:r>
      <w:r w:rsidR="000A492A">
        <w:instrText xml:space="preserve"> ADDIN ZOTERO_ITEM CSL_CITATION {"citationID":"kxTjaeql","properties":{"formattedCitation":"{\\rtf \\super 292,325,326,396\\uc0\\u8211{}400\\nosupersub{}}","plainCitation":"292,325,326,396–400"},"citationItems":[{"id":444,"uris":["http://zotero.org/users/171999/items/VVSBDAAA"],"uri":["http://zotero.org/users/171999/items/VVSBDAAA"],"itemData":{"id":444,"type":"article-journal","title":"Dietary energy restriction and successful weight loss in obese client-owned dogs","container-title":"Journal of veterinary internal medicine / American College of Veterinary Internal Medicine","page":"1174-1180","volume":"21","issue":"6","source":"NCBI PubMed","abstract":"BACKGROUND: Obesity is the most common nutritional disease in dogs. Although weight loss by dietary caloric energy restriction is successful in experimental studies, there is limited information on success of such programs in client-owned dogs who are obese. Further, no information currently exists on the changes in body composition during weight loss in clinical cases.\nHYPOTHESIS: Key determinants of outcome of weight loss, including energy allocation and body composition, are influenced by both individual and weight program factors.\nANIMALS: Nineteen client-owned dogs with naturally occurring obesity.\nMETHODS: In this prospective clinical study, body composition was quantified by dual-energy X-ray absorptiometry before and after weight loss on an individually tailored program that incorporated a high-protein and moderate-fiber diet.\nRESULTS: Mean percentage weight loss was 18% (range, 6-29%), and mean rate of weight loss was 0.85% per week (range, 0.35-1.56%). Mean energy allocation required to achieve weight loss was 60% of maintenance energy requirement at target weight (MERTW) (range, 50-82%). Significant dietary noncompliance was reported (mean, 1.0% MERTW; range, 0.0-9.5%). The mean composition of tissue lost was 84: 15:1 (fat : lean : bone mineral content [BMC]). Lean tissue loss was positively associated with overall percentage of weight loss (Pearson correlation coefficient [Rp] = 0.591, P = .008), whereas BMC loss was greater in retrievers compared with other breeds (1.9% +/- 1.16% versus 0.8% +/- 0.44%; P = .008).\nCONCLUSIONS AND CLINICAL IMPORTANCE: This clinical study demonstrated body composition changes during weight loss in dogs. Conventional programs produced safe weight loss, but marked energy restriction was required and the rate of loss was slower than in experimental studies.","ISSN":"0891-6640","note":"PMID: 18196722","journalAbbreviation":"J. Vet. Intern. Med.","language":"eng","author":[{"family":"German","given":"Alexander J"},{"family":"Holden","given":"Shelley L"},{"family":"Bissot","given":"Thomas"},{"family":"Hackett","given":"Rachel M"},{"family":"Biourge","given":"Vincent"}],"issued":{"date-parts":[["2007",12]]},"PMID":"18196722"}},{"id":950,"uris":["http://zotero.org/users/171999/items/X4WVNB6A"],"uri":["http://zotero.org/users/171999/items/X4WVNB6A"],"itemData":{"id":950,"type":"article-journal","title":"Long-term follow-up after weight management in obese dogs: the role of diet in preventing regain","container-title":"Veterinary journal (London, England: 1997)","page":"65-70","volume":"192","issue":"1","source":"NCBI PubMed","abstract":"Regain after weight loss is widely reported in humans, but there is little information on this phenomenon in dogs. The current study aim was to determine long-term success of a weight loss regime and those factors linked with regain. Thirty-three obese dogs, that had successfully lost weight, were included, all enrolled between December 2004 and May 2009. After weight loss, dogs were switched to a maintenance regime and follow-up weight checks were performed periodically. A review of cases that had completed their weight programme was held during the summer of 2010 and a follow-up check was subsequently conducted, where dogs were reweighed and information was collected on current feeding practices. Median duration of follow-up was 640 days (119-1828 days). Fourteen dogs (42%) maintained weight, 3 (9%) lost &gt;5% additional weight, and 16 (48%) gained &gt;5% weight. Dogs fed a purpose-formulated weight loss diet regained less weight than those switched onto a standard maintenance diet (P=0.0016). Energy intake at the time of follow-up was significantly higher in those dogs fed a standard maintenance diet, compared with those that had remained on a purpose-formulated weight loss diet (P=0.017). These results suggest that weight regain occurs in about half of dogs after successful weight loss. Long-term use of a purpose-formulated weight management diet can significantly limit regain in the follow-up period, likely by limiting food intake.","DOI":"10.1016/j.tvjl.2011.04.001","ISSN":"1532-2971","note":"PMID: 21570327","shortTitle":"Long-term follow-up after weight management in obese dogs","journalAbbreviation":"Vet. J.","author":[{"family":"German","given":"A J"},{"family":"Holden","given":"S L"},{"family":"Morris","given":"P J"},{"family":"Biourge","given":"V"}],"issued":{"date-parts":[["2012",4]]},"PMID":"21570327"}},{"id":1575,"uris":["http://zotero.org/users/171999/items/A4MMEIAF"],"uri":["http://zotero.org/users/171999/items/A4MMEIAF"],"itemData":{"id":1575,"type":"article-journal","title":"A high protein high fibre diet improves weight loss in obese dogs","container-title":"Veterinary journal (London, England: 1997)","page":"294-297","volume":"183","issue":"3","source":"NCBI PubMed","abstract":"A newly-formulated, high protein high fibre (HPHF) diet has recently been shown to improve satiety in dogs. The current study examined its performance during weight loss in client-owned dogs with naturally-occurring obesity. Fifteen dogs were fed the HPHF diet, whilst a matched 'control' group of 27 dogs, received a high protein medium fibre diet (HPMF), with an equivalent caloric density. Baseline characteristics (signalment, percentage overweight, and body fat percentage) were not significantly different between groups. However, percentage weight loss was greater (median [range] 31.8% [12.0-41.2%] vs. 20.0% [5.9-45.0%], P=0.016) and mean rate of weight loss faster (median [range] 1.0%/week [0.3-1.6%] vs. 0.7%/week [0.3-1.5%], P=0.028) on HPHF compared with HPMF. Percentage body fat mass decrease (measured by dual-energy X-ray absorptiometry) was also greater in dogs fed the HPHF diet (median (range] 58% [32-85%) vs. 37% [15-72%), P=0.002). Thus, a diet formulated to include high levels of both protein and fibre, improves outcome during weight loss in obese dogs.","DOI":"10.1016/j.tvjl.2008.12.004","ISSN":"1532-2971","note":"PMID: 19138868","journalAbbreviation":"Vet. J.","language":"eng","author":[{"family":"German","given":"Alexander J"},{"family":"Holden","given":"Shelley L"},{"family":"Bissot","given":"Thomas"},{"family":"Morris","given":"Penelope J"},{"family":"Biourge","given":"Vincent"}],"issued":{"date-parts":[["2010",3]]},"PMID":"19138868"}},{"id":557,"uris":["http://zotero.org/users/171999/items/BTVZND9X"],"uri":["http://zotero.org/users/171999/items/BTVZND9X"],"itemData":{"id":557,"type":"article-journal","title":"The Effect of Weight-Loss Regimen on Subsequent Weight Maintenance in Dogs","container-title":"Nutrition Research","page":"1019-1028","volume":"15","issue":"7","source":"ISI Web of Knowledge","abstract":"Long term studies indicate that the majority of humans regain the weight lost during weight reduction programs. In dogs, while some information is available regarding weight loss programs, no data have been published regarding the ability to maintain lower weight following weight loss. The objectives of this study were to determine the ability of dogs to maintain weight loss following a weight reduction program and to determine if the degree of caloric restriction or rate of weight loss affected subsequent body weight change. Thirty-nine dogs were assigned to 4 treatment groups (100%, 75%, 60% or 50% calculated maintenance energy requirements for target body weight) and were allowed up to 16 weeks for weight loss. Following weight loss, dogs were assigned to be fed ad libitum or were fed to maintain body weight for an additional 26 weeks. All dogs were fed the same low calorie dog food throughout the study. The weights of ail groups of dogs fed ad libitum during the maintenance period ''rebounded'', increasing by the end of week 1. The percent weight gain was correlated to the amount of weight lost and to the level of caloric restriction (p&lt;0.01). Dogs from all weight loss treatments which were control fed to maintain weight following weight loss were able to maintain their weight loss. After 26 weeks of weight maintenance, there was no difference in weight loss between the 4 weight loss regimens. This study demonstrated that dogs, like humans, experience a weight ''rebound'' following caloric restriction which is greater subsequent to severe caloric restriction. The rebound effect and weight regain can be controlled by a slow rate of weight loss or by continuing to limit the dog's intake.","DOI":"10.1016/0271-5317(95)00063-O","ISSN":"0271-5317","journalAbbreviation":"Nutr. Res.","language":"English","author":[{"family":"Laflamme","given":"Dp"},{"family":"Kuhlman","given":"G."}],"issued":{"date-parts":[["1995",7]]}}},{"id":405,"uris":["http://zotero.org/users/171999/items/3AP3NQR9"],"uri":["http://zotero.org/users/171999/items/3AP3NQR9"],"itemData":{"id":405,"type":"article-journal","title":"Results of the clinical use of a standardized weight-loss program in   dogs and cats.","container-title":"Journal of the American Animal Hospital Association","volume":"29","issue":"4","source":"ISI Web of Knowledge","abstract":"Fifteen obese dogs and 5 obese cats were placed on a standardized   veterinary weight-loss programme. Commercial \"light\" foods were fed to   provide 60 and 70% of the maintenance energy requirements for the ideal   estimated weight in the dogs and cats, respectively. A comparison was   made of the percentage of weight lost versus the percentage of   calculated time to complete the programme. After 10 months all had lost   weight but only at an average of 60% of the calculated rate. Each had   fluctuations with weight loss and weight gain. All showed an increase in   activity and were more active. It was shown that weight loss programmes   must be modified to fit the clinical setting. Details of the diets   (manufacturer's data), the animals participating in the programme and   their body weight before and at intervals during the treatment are   presented in tables.","ISSN":"0587-2871","language":"English","author":[{"family":"Gentry","given":"S. J."}],"issued":{"date-parts":[["1993"]]}}},{"id":463,"uris":["http://zotero.org/users/171999/items/I2EZGMUA"],"uri":["http://zotero.org/users/171999/items/I2EZGMUA"],"itemData":{"id":463,"type":"article-journal","title":"Evaluation of weight loss protocols for dogs","container-title":"Journal of the American Animal Hospital Association","page":"253-259","volume":"33","issue":"3","source":"ISI Web of Knowledge","abstract":"Several canine weight loss protocols were evaluated to determine their relative safety and efficacy, Dogs were fed 100%, 75%, 60%, or 50% of maintenance energy requirements (MERs) using the dogs' target body weights, No indications of adverse health effects were observed with any weight loss protocol, Triiodothyronine (T-3) levels and apparent MERs decreased in dogs restricted to 50% to 60% of their MERs. The rate of weight loss was correlated linearly with degree of calorie restriction, although there was considerable individual variation. Percent overweight by the end of the test was not different between protocol groups for dogs fed 50%, 60%, or 75% of MERs. Therefore, any of the protocols tested in this study may be used in the management of overweight dogs; however, individual responses will be expected to vary, and severe calorie restriction may predispose dogs to weight rebound.","ISSN":"0587-2871","note":"WOS:A1997WW32200008","journalAbbreviation":"J. Am. Anim. Hosp. Assoc.","language":"English","author":[{"family":"Laflamme","given":"D. P."},{"family":"Kuhlman","given":"G."},{"family":"Lawler","given":"D. F."}],"issued":{"date-parts":[["1997",6]]}}},{"id":"sfRcBkgw/Mh3Amvc9","uris":["http://zotero.org/users/local/Ry4zHLbn/items/N6IC7E8R"],"uri":["http://zotero.org/users/local/Ry4zHLbn/items/N6IC7E8R"],"itemData":{"id":"sfRcBkgw/Mh3Amvc9","type":"article-journal","title":"Influence of dirlotapide, a microsomal triglyceride transfer protein inhibitor, on the digestibility of a dry expanded diet in adult dogs","container-title":"Journal of veterinary pharmacology and therapeutics","page":"66-72","volume":"30 Suppl 1","source":"NCBI PubMed","abstract":"The objectives of this study were to evaluate the effects of dirlotapide, a microsomal triglyceride transfer protein inhibitor, on apparent nutrient digestibility of an expanded dry dog food, on defecation frequency and fecal consistency. Eighteen beagles were randomized to either placebo (n = 6) or dirlotapide (n = 12). Testing was divided into a 21-day adaptation phase (days -21 to -1) and a 35-day treatment (digestibility testing) phase (days 0-35). During the treatment phase, dogs were administered oral dirlotapide (0.3 mg/kg) or placebo (0.06 mL/kg) once daily. For digestibility testing, feces were collected over two periods for 7 days each starting on days -9 and 28. All dogs were fed a commercial adult dog food throughout the study. Food intake was adjusted to maintain body weight during adaptation, followed by pair-feeding placebo dogs the amount of food ingested by the dirlotapide dogs during the treatment period. Dogs in both groups had reduced food intake and lost similar amounts of body weight during treatment. Dogs receiving 0.3 mg dirlotapide/kg once daily had a small but significant (P = 0.018) decrease (6.16 +/- 2.22%, mean +/- SD) in crude fat digestibility compared with the placebo-treated food-restricted dogs, but no difference in crude protein, dry matter, or energy digestibility was observed. Fecal consistency and volume and defecation frequency were similar between groups. Dirlotapide effectively reduced appetite and energy intake without affecting nutrient digestibility, except for a minimal decrease in fat digestibility.","DOI":"10.1111/j.1365-2885.2007.00856.x","ISSN":"0140-7783","note":"PMID: 17567516","journalAbbreviation":"J. Vet. Pharmacol. Ther.","language":"eng","author":[{"family":"Kirk","given":"C A"},{"family":"Boucher","given":"J F"},{"family":"Sunderland","given":"S J"},{"family":"Wren","given":"J A"}],"issued":{"year":2007,"month":8},"PMID":"17567516","page-first":"66","container-title-short":"J. Vet. Pharmacol. Ther."}},{"id":"sfRcBkgw/sBrbqJF5","uris":["http://zotero.org/users/local/Ry4zHLbn/items/S52KNXND"],"uri":["http://zotero.org/users/local/Ry4zHLbn/items/S52KNXND"],"itemData":{"id":"sfRcBkgw/sBrbqJF5","type":"article-journal","title":"Evaluation of dirlotapide for sustained weight loss in overweight Labrador retrievers","container-title":"Journal of veterinary pharmacology and therapeutics","page":"55-65","volume":"30 Suppl 1","source":"NCBI PubMed","abstract":"The effects of dirlotapide on body weight (BW) reduction were investigated in overweight Labradors in two parallel-design studies. Study A involved 42 dogs randomized to 0.0, 0.025, 0.05, 0.1, 0.2 or 0.4 mg dirlotapide/kg/day orally for 4 weeks. Study B involved 72 dogs randomized to nine treatments: placebo (24 weeks); dirlotapide (24 weeks) followed by placebo (28 weeks); or dirlotapide (52 weeks); on diets containing 5%, 10% or 15% fat. Dirlotapide dose (initially 0.1 mg/kg) was adjusted monthly during 24-week weight-loss and subsequent 28-week weight-stabilization phases. Food was offered above maintenance energy requirements (MERx 1.1-1.2) based on initial BW. Body composition (body fat, lean tissue and bone mineral content) was monitored using dual-energy X-ray absorptiometry. After treatment, dogs that had received dirlotapide for 52 weeks were fed 90% of quantity consumed at week 52. In study A, BW and food intake decreased asymptotically with dose: mean weekly weight loss exceeded 1% at 0.1-0.4 mg/kg. In study B, dirlotapide resulted in significant mean weekly weight loss (&gt;0.8%) and decreased food intake over 24 weeks compared with placebo (P = 0.0001) for all diets. Food restriction minimized post-treatment weight rebound. Dirlotapide administered daily to dogs for up to 52 weeks was clinically safe and resulted in sustained weight reduction.","DOI":"10.1111/j.1365-2885.2007.00855.x","ISSN":"0140-7783","note":"PMID: 17567515","journalAbbreviation":"J. Vet. Pharmacol. Ther.","language":"eng","author":[{"family":"Gossellin","given":"J"},{"family":"Peachey","given":"S"},{"family":"Sherington","given":"J"},{"family":"Rowan","given":"T G"},{"family":"Sunderland","given":"S J"}],"issued":{"year":2007,"month":8},"PMID":"17567515","page-first":"55","container-title-short":"J. Vet. Pharmacol. Ther."}}],"schema":"https://github.com/citation-style-language/schema/raw/master/csl-citation.json"} </w:instrText>
      </w:r>
      <w:r>
        <w:fldChar w:fldCharType="separate"/>
      </w:r>
      <w:r w:rsidR="000A492A" w:rsidRPr="000A492A">
        <w:rPr>
          <w:vertAlign w:val="superscript"/>
        </w:rPr>
        <w:t>292,325,326,396–400</w:t>
      </w:r>
      <w:r>
        <w:fldChar w:fldCharType="end"/>
      </w:r>
      <w:r>
        <w:t xml:space="preserve">  Most plans involve feeding specially designed therapeutic weight loss diets, typically providing an increased nutrient to calorie ratio, increased fiber and protein</w:t>
      </w:r>
      <w:r w:rsidR="00E502B3">
        <w:t xml:space="preserve"> content</w:t>
      </w:r>
      <w:r>
        <w:t>, and reduced kcal/kg food content.</w:t>
      </w:r>
      <w:r>
        <w:fldChar w:fldCharType="begin"/>
      </w:r>
      <w:r w:rsidR="000A492A">
        <w:instrText xml:space="preserve"> ADDIN ZOTERO_ITEM CSL_CITATION {"citationID":"w3MvVaQd","properties":{"formattedCitation":"{\\rtf \\super 282,292\\nosupersub{}}","plainCitation":"282,292"},"citationItems":[{"id":1575,"uris":["http://zotero.org/users/171999/items/A4MMEIAF"],"uri":["http://zotero.org/users/171999/items/A4MMEIAF"],"itemData":{"id":1575,"type":"article-journal","title":"A high protein high fibre diet improves weight loss in obese dogs","container-title":"Veterinary journal (London, England: 1997)","page":"294-297","volume":"183","issue":"3","source":"NCBI PubMed","abstract":"A newly-formulated, high protein high fibre (HPHF) diet has recently been shown to improve satiety in dogs. The current study examined its performance during weight loss in client-owned dogs with naturally-occurring obesity. Fifteen dogs were fed the HPHF diet, whilst a matched 'control' group of 27 dogs, received a high protein medium fibre diet (HPMF), with an equivalent caloric density. Baseline characteristics (signalment, percentage overweight, and body fat percentage) were not significantly different between groups. However, percentage weight loss was greater (median [range] 31.8% [12.0-41.2%] vs. 20.0% [5.9-45.0%], P=0.016) and mean rate of weight loss faster (median [range] 1.0%/week [0.3-1.6%] vs. 0.7%/week [0.3-1.5%], P=0.028) on HPHF compared with HPMF. Percentage body fat mass decrease (measured by dual-energy X-ray absorptiometry) was also greater in dogs fed the HPHF diet (median (range] 58% [32-85%) vs. 37% [15-72%), P=0.002). Thus, a diet formulated to include high levels of both protein and fibre, improves outcome during weight loss in obese dogs.","DOI":"10.1016/j.tvjl.2008.12.004","ISSN":"1532-2971","note":"PMID: 19138868","journalAbbreviation":"Vet. J.","language":"eng","author":[{"family":"German","given":"Alexander J"},{"family":"Holden","given":"Shelley L"},{"family":"Bissot","given":"Thomas"},{"family":"Morris","given":"Penelope J"},{"family":"Biourge","given":"Vincent"}],"issued":{"date-parts":[["2010",3]]},"PMID":"19138868"}},{"id":974,"uris":["http://zotero.org/users/171999/items/ZS585JPQ"],"uri":["http://zotero.org/users/171999/items/ZS585JPQ"],"itemData":{"id":974,"type":"article-journal","title":"A High-Fiber Food Improves Weight Loss Compared to a High-Protein,   High-Fat Food in Pet Dogs in a Home Setting","container-title":"International Journal of Applied Research in Veterinary Medicine","page":"138-145","volume":"8","issue":"3","source":"ISI Web of Knowledge","abstract":"Little is known about the relative effectiveness of different weight loss foods for pet dogs in the home setting. Here, we performed a randomized, blinded, 24-week prospective study in 73 client-owned adult dogs to compare weight loss in the home setting using an energy-dense high-protein/high-fat food (HP/HF) or a lower density high-fiber food (HFIB). Investigators recommended amounts of food according to the resting energy requirement for the dog's ideal body weight and a target of 2% weight loss per week. Every 4 weeks, investigators measured body weight, and every week, owners recorded the amount of food dispensed and whether their dog consumed all that was offered. In dogs completing the study according to protocol, those fed HFIB (n=32) lost more weight (P=0.009) than those fed HP/HF (n=30). Sex, clinic, initial weight, amount of energy offered by owners, and frequency of eating all the food offered were not significant factors. According to owners' records, there was no difference in the amount of energy offered to the two groups or in the frequency of supplementary energy intake, frequency of vomiting, or stool quality. In summary, in the home setting, a high-fiber food is more effective than a high-protein/high-fat food for weight loss in obese pet dogs.","ISSN":"1542-2666","journalAbbreviation":"Int. J. Appl. Res. Vet. Med.","language":"English","author":[{"family":"Fritsch","given":"Dale A."},{"family":"Ahle","given":"Neil W."},{"family":"Jewell","given":"Dennis E."},{"family":"Allen","given":"Timothy A."},{"family":"Brejda","given":"John"},{"family":"Leventhal","given":"Phillip S."},{"family":"Hahn","given":"Kevin A."}],"issued":{"date-parts":[["2010"]]}}}],"schema":"https://github.com/citation-style-language/schema/raw/master/csl-citation.json"} </w:instrText>
      </w:r>
      <w:r>
        <w:fldChar w:fldCharType="separate"/>
      </w:r>
      <w:r w:rsidR="000A492A" w:rsidRPr="000A492A">
        <w:rPr>
          <w:vertAlign w:val="superscript"/>
        </w:rPr>
        <w:t>282,292</w:t>
      </w:r>
      <w:r>
        <w:fldChar w:fldCharType="end"/>
      </w:r>
      <w:r>
        <w:t xml:space="preserve">  In cases where switching the diet is not desirable, or where the pet’s insatiable appetite prevents energy restriction compliance, alternative methods are required.</w:t>
      </w:r>
    </w:p>
    <w:p w:rsidR="00B61560" w:rsidRDefault="00B61560" w:rsidP="00B61560">
      <w:pPr>
        <w:ind w:firstLine="720"/>
        <w:contextualSpacing/>
      </w:pPr>
      <w:r>
        <w:t>In people, a nutraceutical combining 2.25 g leucine and 30 mg pyridoxine (NuShape®, NuSirt Sciences, Nashville, TN) has shown promise as an effective aid to the management of obesity.</w:t>
      </w:r>
      <w:r>
        <w:fldChar w:fldCharType="begin"/>
      </w:r>
      <w:r w:rsidR="000A492A">
        <w:instrText xml:space="preserve"> ADDIN ZOTERO_ITEM CSL_CITATION {"citationID":"kLweRxkv","properties":{"formattedCitation":"{\\rtf \\super 347,354\\nosupersub{}}","plainCitation":"347,354"},"citationItems":[{"id":"sfRcBkgw/unGO8au1","uris":["http://zotero.org/users/local/Ry4zHLbn/items/WZP424QN"],"uri":["http://zotero.org/users/local/Ry4zHLbn/items/WZP424QN"],"itemData":{"id":"sfRcBkgw/unGO8au1","type":"article-journal","title":"Effects of a leucine and pyridoxine-containing nutraceutical on fat oxidation, and oxidative and inflammatory stress in overweight and obese subjects","container-title":"Nutrients","page":"529-541","volume":"4","issue":"6","source":"NCBI PubMed","abstract":"Leucine stimulates tissue protein synthesis and may also attenuate adiposity by increasing fatty acid oxidation and mitochondrial biogenesis in muscle and adipocytes. Accordingly, the effects of a nutraceutical containing 2.25 g leucine and 30 mg pyridoxine (Vitamin B6) (NuFit active blend) were tested in cell culture and in a clinical trial. 3T3L1 adipocytes were treated with leucine (0.25 mM or 0.5 mM) and/or Pyridoxal Phosphate (PLP) (50 nM or 100 nM) for 48 h. For the clinical trial, twenty overweight or obese subjects received the NuFit active blend or placebo three times/day for 4 weeks without energy restriction. Leucine decreased fatty acid synthase (FAS) expression and triglyceride content in adipocytes, and PLP addition significantly augmented this effect. Administration of NuFit active blend in the clinical trial increased fat oxidation by 33.6 g/day (p &lt; 0.04), decreased respiratory quotient, improved HOMA(IR), reduced oxidative and inflammatory biomarkers (plasma MDA, 8-isoprostane-F(2α), TNF-α, C-reactive protein), and increased the anti-inflammatory marker adiponectin. These data indicate that the NuFit active blend significantly increased fat oxidation and insulin sensitivity, and reduced oxidative and inflammatory stress. Therefore, the NuFit active blend appears to be a useful nutraceutical in the management of obesity and associated co-morbidities.","DOI":"10.3390/nu4060529","ISSN":"2072-6643","note":"PMID: 22822451","journalAbbreviation":"Nutrients","language":"eng","author":[{"family":"Zemel","given":"Michael B"},{"family":"Bruckbauer","given":"Antje"}],"issued":{"year":2012,"month":6},"PMID":"22822451","page-first":"529","container-title-short":"Nutrients"}},{"id":"sfRcBkgw/s6z6ObuO","uris":["http://zotero.org/users/local/Ry4zHLbn/items/GJKIQNPJ"],"uri":["http://zotero.org/users/local/Ry4zHLbn/items/GJKIQNPJ"],"itemData":{"id":"sfRcBkgw/s6z6ObuO","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B"},{"family":"Bruckbauer","given":"Antje"}],"issued":{"year":2013},"PMID":"24003309","page-first":"309","container-title-short":"Diabetes Metab Syndr Obes"}}],"schema":"https://github.com/citation-style-language/schema/raw/master/csl-citation.json"} </w:instrText>
      </w:r>
      <w:r>
        <w:fldChar w:fldCharType="separate"/>
      </w:r>
      <w:r w:rsidR="000A492A" w:rsidRPr="000A492A">
        <w:rPr>
          <w:vertAlign w:val="superscript"/>
        </w:rPr>
        <w:t>347,354</w:t>
      </w:r>
      <w:r>
        <w:fldChar w:fldCharType="end"/>
      </w:r>
      <w:r>
        <w:t xml:space="preserve">  The premise involves capitalizing on the synergistic ability of the two nutrients to encourage lipolysis while maintaining lean tissue mass.  Leucine is an essential ketogenic branched chain amino acid (BCAA), with highest concentrations (g leucine/100 g food item) in eggs, soy-derived products, and dairy products.</w:t>
      </w:r>
      <w:r>
        <w:fldChar w:fldCharType="begin"/>
      </w:r>
      <w:r w:rsidR="000A492A">
        <w:instrText xml:space="preserve"> ADDIN ZOTERO_ITEM CSL_CITATION {"citationID":"BIrBcy7k","properties":{"formattedCitation":"{\\rtf \\super 346\\nosupersub{}}","plainCitation":"346"},"citationItems":[{"id":824,"uris":["http://zotero.org/users/171999/items/QTUZIS9Q"],"uri":["http://zotero.org/users/171999/items/QTUZIS9Q"],"itemData":{"id":824,"type":"webpage","title":"USDA National Nutrient Database for Standard Reference","container-title":"USDA Agriculture Research Service Nutrient Data Laboratory","genre":"Database","URL":"http://www.nal.usda.gov/fnic/foodcomp/search/","author":[{"family":"USDA","given":""}],"accessed":{"date-parts":[["2010",8,3]]}}}],"schema":"https://github.com/citation-style-language/schema/raw/master/csl-citation.json"} </w:instrText>
      </w:r>
      <w:r>
        <w:fldChar w:fldCharType="separate"/>
      </w:r>
      <w:r w:rsidR="000A492A" w:rsidRPr="000A492A">
        <w:rPr>
          <w:vertAlign w:val="superscript"/>
        </w:rPr>
        <w:t>346</w:t>
      </w:r>
      <w:r>
        <w:fldChar w:fldCharType="end"/>
      </w:r>
      <w:r>
        <w:t xml:space="preserve">  Leucine has been shown to modulate fat oxidation and energy partitioning between adipose tissue and skeletal muscle.  The cross-talk that occurs causes diminished adipocyte lipid storage, increased net fat oxidation, and decreased overall adiposity.</w:t>
      </w:r>
      <w:r>
        <w:fldChar w:fldCharType="begin"/>
      </w:r>
      <w:r w:rsidR="000A492A">
        <w:instrText xml:space="preserve"> ADDIN ZOTERO_ITEM CSL_CITATION {"citationID":"Fxdz05Vb","properties":{"formattedCitation":"{\\rtf \\super 347\\uc0\\u8211{}352\\nosupersub{}}","plainCitation":"347–352"},"citationItems":[{"id":"OzdjOHfW/SN0Qknzb","uris":["http://zotero.org/users/local/Ry4zHLbn/items/GJKIQNPJ"],"uri":["http://zotero.org/users/local/Ry4zHLbn/items/GJKIQNPJ"],"itemData":{"id":"OzdjOHfW/SN0Qknzb","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B"},{"family":"Bruckbauer","given":"Antje"}],"issued":{"year":2013},"PMID":"24003309","page-first":"309","container-title-short":"Diabetes Metab Syndr Obes"}},{"id":1693,"uris":["http://zotero.org/users/171999/items/7S98DPBI"],"uri":["http://zotero.org/users/171999/items/7S98DPBI"],"itemData":{"id":1693,"type":"article-journal","title":"Leucine and calcium regulate fat metabolism and energy partitioning in murine adipocytes and muscle cells","container-title":"Lipids","page":"297-305","volume":"42","issue":"4","source":"NCBI PubMed","abstract":"Dietary calcium modulation of adiposity is mediated, in part, by suppression of calcitriol, while the additional effect of dairy products is mediated by additional components; these include the high concentration of leucine, a key factor in the regulation of muscle protein turnover. We investigated the effect of leucine, calcitriol and calcium on energy metabolism in murine adipocytes and muscle cells and on energy partitioning between adipocytes and skeletal muscle. Leucine induced a marked increase in fatty acid oxidation in C2C12 muscle cells (P&lt;0.001) and decreased FAS expression by 66% (P&lt;0.001) in 3T3-L1 adipocytes. Calcitriol decreased muscle cell fatty acid oxidation by 37% (P&lt;0.001) and increased adipocyte FAS gene expression by threefold (P&lt;0.05); these effects were partially reversed by either leucine or calcium channel antagonism with nifedipine. Co-culture of muscle cells with adipocytes or incubation with 48-h adipocyte conditioned medium decreased muscle fatty acid oxidation by 62% (P&lt;0.001), but treating adipocytes with leucine and/or nifedipine attenuated this effect. Leucine, nifedipine and calcitriol also modulated adiponectin production and thereby exerted additional indirect effects on fatty acid oxidation in C2C12 myotubes. Adiponectin increased IL-15 and IL-6 release by myotubes and partially reversed the inhibitory effects of calcitriol. Comparable effects of leucine, calcitriol and adiponectin were found in myotubes treated with conditioned medium derived from adipocytes or co-cultured with adipocytes. These data suggest that leucine and nifedipine promote energy partitioning from adipocytes to muscle cells, resulting in decreased energy storage in adipocytes and increasing fatty acid utilization in muscle.","DOI":"10.1007/s11745-007-3029-5","ISSN":"0024-4201","note":"PMID: 17406924","journalAbbreviation":"Lipids","language":"eng","author":[{"family":"Sun","given":"Xiaocun"},{"family":"Zemel","given":"Michael B"}],"issued":{"date-parts":[["2007",4]]},"PMID":"17406924"}},{"id":1695,"uris":["http://zotero.org/users/171999/items/RCRVB9BJ"],"uri":["http://zotero.org/users/171999/items/RCRVB9BJ"],"itemData":{"id":1695,"type":"article-journal","title":"Leucine modulation of mitochondrial mass and oxygen consumption in skeletal muscle cells and adipocytes","container-title":"Nutrition &amp; metabolism","page":"26","volume":"6","source":"NCBI PubMed","abstract":"BACKGROUND: The effects of dairy on energy metabolism appear to be mediated, in part, by leucine and calcium which regulate both adipocyte and skeletal muscle energy metabolism. We recently demonstrated that leucine and calcitriol regulate fatty acid oxidation in skeletal muscle cells in vitro, with leucine promoting and calcitriol suppressing fatty acid oxidation. Moreover, leucine coordinately regulated adipocyte lipid metabolism to promote flux of lipid to skeletal muscle and regulate metabolic flexibility. We have now investigated the role of mitochondrial biogenesis in mediating these effects.\nMETHODS: We tested the effect of leucine, calcitriol and calcium in regulation of mitochondrial mass using a fluorescence method and tested mitochondrial biogenesis regulatory genes as well mitochondrial component genes using real-time PCR. We also evaluated the effect of leucine on oxygen consumption with a modified perfusion system.\nRESULTS: Leucine (0.5 mM) increased mitochondrial mass by 30% and 53% in C2C12 myocytes and 3T3-L1 adipocytes, respectively, while calcitriol (10 nM) decreased mitochondrial abundance by 37% and 27% (p &lt; 0.02). Leucine also stimulated mitochondrial biogenesis genes SIRT-1, PGC-1alpha and NRF-1 as well as mitochondrial component genes UCP3, COX, and NADH expression by 3-5 fold in C2C12 cells (p &lt; 0.003). Adipocyte-conditioned medium reduced mitochondrial abundance (p &lt; 0.001) and decreased UCP3 but increased PGC-1alpha expression in myocytes, suggesting a feedback stimulation of mitochondrial biogenesis. Similar data were observed in C2C12 myocytes co-cultured with adipocytes, with co-culture markedly suppressing mitochondrial abundance (p &lt; 0.02). Leucine stimulated oxygen consumption in both C2C12 cells and adipocytes compared with either control or valine-treated cells. Transfection of C2C12 myocytes with SIRT-1 siRNA resulted in parallel suppression of SIRT-1 expression and leucine-induced stimulation of PGC-1alpha and NRF-1, indicating that SIRT-1 mediates leucine induced mitochondrial biogenesis in muscle cells.\nCONCLUSION: These data suggest that leucine and calcitriol modulation of muscle and adipocyte energy metabolism is mediated, in part, by mitochondrial biogenesis.","DOI":"10.1186/1743-7075-6-26","ISSN":"1743-7075","note":"PMID: 19500359","journalAbbreviation":"Nutr Metab (Lond)","language":"eng","author":[{"family":"Sun","given":"Xiaocun"},{"family":"Zemel","given":"Michael B"}],"issued":{"date-parts":[["2009"]]},"PMID":"19500359"}},{"id":1697,"uris":["http://zotero.org/users/171999/items/AK5ER7R4"],"uri":["http://zotero.org/users/171999/items/AK5ER7R4"],"itemData":{"id":1697,"type":"article-journal","title":"Dietary leucine--an environmental modifier of insulin resistance acting on multiple levels of metabolism","container-title":"PloS one","page":"e21187","volume":"6","issue":"6","source":"NCBI PubMed","abstract":"Environmental factors, such as the macronutrient composition of the diet, can have a profound impact on risk of diabetes and metabolic syndrome. In the present study we demonstrate how a single, simple dietary factor--leucine--can modify insulin resistance by acting on multiple tissues and at multiple levels of metabolism. Mice were placed on a normal or high fat diet (HFD). Dietary leucine was doubled by addition to the drinking water. mRNA, protein and complete metabolomic profiles were assessed in the major insulin sensitive tissues and serum, and correlated with changes in glucose homeostasis and insulin signaling. After 8 weeks on HFD, mice developed obesity, fatty liver, inflammatory changes in adipose tissue and insulin resistance at the level of IRS-1 phosphorylation, as well as alterations in metabolomic profile of amino acid metabolites, TCA cycle intermediates, glucose and cholesterol metabolites, and fatty acids in liver, muscle, fat and serum. Doubling dietary leucine reversed many of the metabolite abnormalities and caused a marked improvement in glucose tolerance and insulin signaling without altering food intake or weight gain. Increased dietary leucine was also associated with a decrease in hepatic steatosis and a decrease in inflammation in adipose tissue. These changes occurred despite an increase in insulin-stimulated phosphorylation of p70S6 kinase indicating enhanced activation of mTOR, a phenomenon normally associated with insulin resistance. These data indicate that modest changes in a single environmental/nutrient factor can modify multiple metabolic and signaling pathways and modify HFD induced metabolic syndrome by acting at a systemic level on multiple tissues. These data also suggest that increasing dietary leucine may provide an adjunct in the management of obesity-related insulin resistance.","DOI":"10.1371/journal.pone.0021187","ISSN":"1932-6203","note":"PMID: 21731668","journalAbbreviation":"PLoS ONE","language":"eng","author":[{"family":"Macotela","given":"Yazmin"},{"family":"Emanuelli","given":"Brice"},{"family":"Bång","given":"Anneli M"},{"family":"Espinoza","given":"Daniel O"},{"family":"Boucher","given":"Jeremie"},{"family":"Beebe","given":"Kirk"},{"family":"Gall","given":"Walter"},{"family":"Kahn","given":"C Ronald"}],"issued":{"date-parts":[["2011"]]},"PMID":"21731668"}},{"id":1701,"uris":["http://zotero.org/users/171999/items/GM59NI4T"],"uri":["http://zotero.org/users/171999/items/GM59NI4T"],"itemData":{"id":1701,"type":"article-journal","title":"Increasing dietary leucine intake reduces diet-induced obesity and improves glucose and cholesterol metabolism in mice via multimechanisms","container-title":"Diabetes","page":"1647-1654","volume":"56","issue":"6","source":"NCBI PubMed","abstract":"Leucine, as an essential amino acid and activator of mTOR (mammalian target of rapamycin), promotes protein synthesis and suppresses protein catabolism. However, the effect of leucine on overall glucose and energy metabolism remains unclear, and whether leucine has beneficial effects as a long-term dietary supplement has not been examined. In the present study, we doubled dietary leucine intake via leucine-containing drinking water in mice with free excess to either a rodent chow or a high-fat diet (HFD). While it produced no major metabolic effects in chow-fed mice, increasing leucine intake resulted in up to 32% reduction of weight gain (P &lt; 0.05) and a 25% decrease in adiposity (P &lt; 0.01) in HFD-fed mice. The reduction of adiposity resulted from increased resting energy expenditure associated with increased expression of uncoupling protein 3 in brown and white adipose tissues and in skeletal muscle, while food intake was not decreased. Increasing leucine intake also prevented HFD-induced hyperglycemia, which was associated with improved insulin sensitivity, decreased plasma concentrations of glucagon and glucogenic amino acids, and downregulation of hepatic glucose-6-phosphatase. Additionally, plasma levels of total and LDL cholesterol were decreased by 27% (P &lt; 0.001) and 53% (P &lt; 0.001), respectively, in leucine supplemented HFD-fed mice compared with the control mice fed the same diet. The reduction in cholesterol levels was largely independent of leucine-induced changes in adiposity. In conclusion, increases in dietary leucine intake substantially decrease diet-induced obesity, hyperglycemia, and hypercholesterolemia in mice with ad libitum consumption of HFD likely via multiple mechanisms.","DOI":"10.2337/db07-0123","ISSN":"1939-327X","note":"PMID: 17360978","journalAbbreviation":"Diabetes","language":"eng","author":[{"family":"Zhang","given":"Yiying"},{"family":"Guo","given":"Kaiying"},{"family":"LeBlanc","given":"Robert E"},{"family":"Loh","given":"Daniella"},{"family":"Schwartz","given":"Gary J"},{"family":"Yu","given":"Yi-Hao"}],"issued":{"date-parts":[["2007",6]]},"PMID":"17360978"}},{"id":1699,"uris":["http://zotero.org/users/171999/items/ZTVFI488"],"uri":["http://zotero.org/users/171999/items/ZTVFI488"],"itemData":{"id":1699,"type":"article-journal","title":"Effects of leucine supplementation on the body composition and protein status of rats submitted to food restriction","container-title":"Nutrition (Burbank, Los Angeles County, Calif.)","page":"520-527","volume":"22","issue":"5","source":"NCBI PubMed","abstract":"OBJECTIVE: Acute administration of leucine has been shown to stimulate certain protein synthesis related anabolic processes. However, the effect of chronic leucine administration in a catabolic situation caused by food restriction (FR) has not been established. We therefore evaluated the effect of chronic leucine supplementation on the body composition and some indicators of protein nutritional status of rats submitted to FR.\nMETHODS: Adult male Wistar rats were submitted to 50% FR for 6 weeks. The control group received the AIN-93M diet and the leucine group received the same diet supplemented with 5.91 g L-leucine/kg ration. We then determined carcass chemical composition, serum leptin, albumin and total protein concentrations, and protein, DNA and RNA concentrations in gastrocnemius muscle and liver.\nRESULTS: No difference in final body weight was observed between groups. However, the leucine group presented a lower amount of body fat (P &lt; 0.05). Leptin concentration showed a directly proportional correlation with the amount of body fat (r = 0.88, P &lt; 0.05), but no significant difference in serum leptin concentration was observed between groups (P = 0.08). Regarding protein nutritional status, liver protein concentration was higher in the leucine group (P &lt; 0.05). In the gastrocnemius muscle, a higher RNA concentration (P &lt; 0.05) and a tendency towards higher DNA concentration (P = 0.06) were observed in the leucine group.\nCONCLUSION: The results indicate that low-dose leucine supplementation increases body fat loss and improves liver protein status and the capacity of muscle protein synthesis in rats submitted to FR.","DOI":"10.1016/j.nut.2005.12.008","ISSN":"0899-9007","note":"PMID: 16600817","journalAbbreviation":"Nutrition","language":"eng","author":[{"family":"Donato","given":"Jose, Jr"},{"family":"Pedrosa","given":"Rogerio Graça"},{"family":"Cruzat","given":"Vinicius Fernandes"},{"family":"Pires","given":"Ivanir Santana de Oliveira"},{"family":"Tirapegui","given":"Julio"}],"issued":{"date-parts":[["2006",5]]},"PMID":"16600817"}}],"schema":"https://github.com/citation-style-language/schema/raw/master/csl-citation.json"} </w:instrText>
      </w:r>
      <w:r>
        <w:fldChar w:fldCharType="separate"/>
      </w:r>
      <w:r w:rsidR="000A492A" w:rsidRPr="000A492A">
        <w:rPr>
          <w:vertAlign w:val="superscript"/>
        </w:rPr>
        <w:t>347–352</w:t>
      </w:r>
      <w:r>
        <w:fldChar w:fldCharType="end"/>
      </w:r>
      <w:r>
        <w:t xml:space="preserve">  </w:t>
      </w:r>
      <w:r w:rsidR="00E502B3">
        <w:t>Leucine also can affect food intake by activating the mTOR pathway, causing the arcuate nucleus of the hypothalamus to express anorexigenic neuropeptides and decreasing food intake.</w:t>
      </w:r>
      <w:r w:rsidR="00E502B3">
        <w:fldChar w:fldCharType="begin"/>
      </w:r>
      <w:r w:rsidR="000A492A">
        <w:instrText xml:space="preserve"> ADDIN ZOTERO_ITEM CSL_CITATION {"citationID":"gVRNuUKq","properties":{"formattedCitation":"{\\rtf \\super 378,379\\nosupersub{}}","plainCitation":"378,379"},"citationItems":[{"id":586,"uris":["http://zotero.org/users/171999/items/D4HP5A8E"],"uri":["http://zotero.org/users/171999/items/D4HP5A8E"],"itemData":{"id":586,"type":"article-journal","title":"Hypothalamic mTOR signaling regulates food intake","container-title":"Science (New York, N.Y.)","page":"927-930","volume":"312","issue":"5775","source":"NCBI PubMed","abstract":"The mammalian Target of Rapamycin (mTOR) protein is a serine-threonine kinase that regulates cell-cycle progression and growth by sensing changes in energy status. We demonstrated that mTOR signaling plays a role in the brain mechanisms that respond to nutrient availability, regulating energy balance. In the rat, mTOR signaling is controlled by energy status in specific regions of the hypothalamus and colocalizes with neuropeptide Y and proopiomelanocortin neurons in the arcuate nucleus. Central administration of leucine increases hypothalamic mTOR signaling and decreases food intake and body weight. The hormone leptin increases hypothalamic mTOR activity, and the inhibition of mTOR signaling blunts leptin's anorectic effect. Thus, mTOR is a cellular fuel sensor whose hypothalamic activity is directly tied to the regulation of energy intake.","DOI":"10.1126/science.1124147","ISSN":"1095-9203","note":"PMID: 16690869","journalAbbreviation":"Science","language":"eng","author":[{"family":"Cota","given":"Daniela"},{"family":"Proulx","given":"Karine"},{"family":"Smith","given":"Kathi A Blake"},{"family":"Kozma","given":"Sara C"},{"family":"Thomas","given":"George"},{"family":"Woods","given":"Stephen C"},{"family":"Seeley","given":"Randy J"}],"issued":{"date-parts":[["2006",5,12]]},"PMID":"16690869"}},{"id":1796,"uris":["http://zotero.org/users/171999/items/AFKGQGNE"],"uri":["http://zotero.org/users/171999/items/AFKGQGNE"],"itemData":{"id":1796,"type":"article-journal","title":"Mediobasal hypothalamic leucine sensing regulates food intake through activation of a hypothalamus-brainstem circuit","container-title":"The Journal of neuroscience: the official journal of the Society for Neuroscience","page":"8302-8311","volume":"29","issue":"26","source":"NCBI PubMed","abstract":"In response to nutrient stimuli, the mediobasal hypothalamus (MBH) drives multiple neuroendocrine and behavioral mechanisms to regulate energy balance. While central leucine reduces food intake and body weight, the specific neuroanatomical sites of leucine sensing, downstream neural substrates, and neurochemical effectors involved in this regulation remain largely unknown. Here we demonstrate that MBH leucine engages a neural energy regulatory circuit by stimulating POMC (proopiomelanocortin) neurons of the MBH, oxytocin neurons of the paraventricular hypothalamus, and neurons within the brainstem nucleus of the solitary tract to acutely suppress food intake by reducing meal size. We identify central p70 S6 kinase and Erk1/2 pathways as intracellular effectors required for this response. Activation of endogenous leucine intracellular metabolism produced longer-term reductions in meal number. Our data identify a novel, specific hypothalamus-brainstem circuit that links amino acid availability and nutrient sensing to the control of food intake.","DOI":"10.1523/JNEUROSCI.1668-09.2009","ISSN":"1529-2401","note":"PMID: 19571121","journalAbbreviation":"J. Neurosci.","language":"eng","author":[{"family":"Blouet","given":"Clémence"},{"family":"Jo","given":"Young-Hwan"},{"family":"Li","given":"Xiaosong"},{"family":"Schwartz","given":"Gary J"}],"issued":{"date-parts":[["2009",7,1]]},"PMID":"19571121"}}],"schema":"https://github.com/citation-style-language/schema/raw/master/csl-citation.json"} </w:instrText>
      </w:r>
      <w:r w:rsidR="00E502B3">
        <w:fldChar w:fldCharType="separate"/>
      </w:r>
      <w:r w:rsidR="000A492A" w:rsidRPr="000A492A">
        <w:rPr>
          <w:vertAlign w:val="superscript"/>
        </w:rPr>
        <w:t>378,379</w:t>
      </w:r>
      <w:r w:rsidR="00E502B3">
        <w:fldChar w:fldCharType="end"/>
      </w:r>
      <w:r w:rsidR="00E502B3">
        <w:t xml:space="preserve">  </w:t>
      </w:r>
      <w:r>
        <w:t>Pyridoxine (vitamin B</w:t>
      </w:r>
      <w:r>
        <w:rPr>
          <w:vertAlign w:val="subscript"/>
        </w:rPr>
        <w:t>6</w:t>
      </w:r>
      <w:r>
        <w:t>) is a cofactor for various macronutrient metabolism enzymes in its active form, pyridoxal 5’phosphate (PLP).  It tends to be highest in fortified foods, but naturally occurring sources of pyridoxine with high concentrations (mg pyridoxine/100 g food item) are pistachios, wheat and rice bran, garlic, sunflower seeds, and various spices.</w:t>
      </w:r>
      <w:r>
        <w:fldChar w:fldCharType="begin"/>
      </w:r>
      <w:r w:rsidR="000A492A">
        <w:instrText xml:space="preserve"> ADDIN ZOTERO_ITEM CSL_CITATION {"citationID":"IZ2oj6s1","properties":{"formattedCitation":"{\\rtf \\super 346\\nosupersub{}}","plainCitation":"346"},"citationItems":[{"id":824,"uris":["http://zotero.org/users/171999/items/QTUZIS9Q"],"uri":["http://zotero.org/users/171999/items/QTUZIS9Q"],"itemData":{"id":824,"type":"webpage","title":"USDA National Nutrient Database for Standard Reference","container-title":"USDA Agriculture Research Service Nutrient Data Laboratory","genre":"Database","URL":"http://www.nal.usda.gov/fnic/foodcomp/search/","author":[{"family":"USDA","given":""}],"accessed":{"date-parts":[["2010",8,3]]}}}],"schema":"https://github.com/citation-style-language/schema/raw/master/csl-citation.json"} </w:instrText>
      </w:r>
      <w:r>
        <w:fldChar w:fldCharType="separate"/>
      </w:r>
      <w:r w:rsidR="000A492A" w:rsidRPr="000A492A">
        <w:rPr>
          <w:vertAlign w:val="superscript"/>
        </w:rPr>
        <w:t>346</w:t>
      </w:r>
      <w:r>
        <w:fldChar w:fldCharType="end"/>
      </w:r>
      <w:r>
        <w:t xml:space="preserve">  PLP is specifically used in this supplement for its attenuation of calcium signaling and overall decreased net lipid storage.</w:t>
      </w:r>
      <w:r>
        <w:fldChar w:fldCharType="begin"/>
      </w:r>
      <w:r w:rsidR="000A492A">
        <w:instrText xml:space="preserve"> ADDIN ZOTERO_ITEM CSL_CITATION {"citationID":"5O3ob1jW","properties":{"formattedCitation":"{\\rtf \\super 347,354\\nosupersub{}}","plainCitation":"347,354"},"citationItems":[{"id":"OzdjOHfW/SN0Qknzb","uris":["http://zotero.org/users/local/Ry4zHLbn/items/GJKIQNPJ"],"uri":["http://zotero.org/users/local/Ry4zHLbn/items/GJKIQNPJ"],"itemData":{"id":"OzdjOHfW/SN0Qknzb","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B"},{"family":"Bruckbauer","given":"Antje"}],"issued":{"year":2013},"PMID":"24003309","page-first":"309","container-title-short":"Diabetes Metab Syndr Obes"}},{"id":"OzdjOHfW/8Cff0d1I","uris":["http://zotero.org/users/local/Ry4zHLbn/items/WZP424QN"],"uri":["http://zotero.org/users/local/Ry4zHLbn/items/WZP424QN"],"itemData":{"id":"OzdjOHfW/8Cff0d1I","type":"article-journal","title":"Effects of a leucine and pyridoxine-containing nutraceutical on fat oxidation, and oxidative and inflammatory stress in overweight and obese subjects","container-title":"Nutrients","page":"529-541","volume":"4","issue":"6","source":"NCBI PubMed","abstract":"Leucine stimulates tissue protein synthesis and may also attenuate adiposity by increasing fatty acid oxidation and mitochondrial biogenesis in muscle and adipocytes. Accordingly, the effects of a nutraceutical containing 2.25 g leucine and 30 mg pyridoxine (Vitamin B6) (NuFit active blend) were tested in cell culture and in a clinical trial. 3T3L1 adipocytes were treated with leucine (0.25 mM or 0.5 mM) and/or Pyridoxal Phosphate (PLP) (50 nM or 100 nM) for 48 h. For the clinical trial, twenty overweight or obese subjects received the NuFit active blend or placebo three times/day for 4 weeks without energy restriction. Leucine decreased fatty acid synthase (FAS) expression and triglyceride content in adipocytes, and PLP addition significantly augmented this effect. Administration of NuFit active blend in the clinical trial increased fat oxidation by 33.6 g/day (p &lt; 0.04), decreased respiratory quotient, improved HOMA(IR), reduced oxidative and inflammatory biomarkers (plasma MDA, 8-isoprostane-F(2α), TNF-α, C-reactive protein), and increased the anti-inflammatory marker adiponectin. These data indicate that the NuFit active blend significantly increased fat oxidation and insulin sensitivity, and reduced oxidative and inflammatory stress. Therefore, the NuFit active blend appears to be a useful nutraceutical in the management of obesity and associated co-morbidities.","DOI":"10.3390/nu4060529","ISSN":"2072-6643","note":"PMID: 22822451","journalAbbreviation":"Nutrients","language":"eng","author":[{"family":"Zemel","given":"Michael B"},{"family":"Bruckbauer","given":"Antje"}],"issued":{"year":2012,"month":6},"PMID":"22822451","page-first":"529","container-title-short":"Nutrients"}}],"schema":"https://github.com/citation-style-language/schema/raw/master/csl-citation.json"} </w:instrText>
      </w:r>
      <w:r>
        <w:fldChar w:fldCharType="separate"/>
      </w:r>
      <w:r w:rsidR="000A492A" w:rsidRPr="000A492A">
        <w:rPr>
          <w:vertAlign w:val="superscript"/>
        </w:rPr>
        <w:t>347,354</w:t>
      </w:r>
      <w:r>
        <w:fldChar w:fldCharType="end"/>
      </w:r>
    </w:p>
    <w:p w:rsidR="00B61560" w:rsidRPr="00BC0423" w:rsidRDefault="00B61560" w:rsidP="00B61560">
      <w:pPr>
        <w:ind w:firstLine="720"/>
        <w:contextualSpacing/>
        <w:rPr>
          <w:rFonts w:cs="Times New Roman"/>
        </w:rPr>
      </w:pPr>
      <w:r>
        <w:t>The central aim of the study undertaken here was to determine if a leucine/pyridoxine supplement in a dose modified for dogs would prevent or minimize weight gain in lean dogs consuming excess calories compared to a negative placebo control.  We hypothesize the nutraceutical will prevent or minimize weight gain</w:t>
      </w:r>
      <w:r w:rsidR="005375AD">
        <w:t xml:space="preserve"> compared to gains achieved by the placebo control.</w:t>
      </w:r>
    </w:p>
    <w:p w:rsidR="00927570" w:rsidRDefault="00927570" w:rsidP="00927570">
      <w:pPr>
        <w:pStyle w:val="Heading2"/>
      </w:pPr>
      <w:bookmarkStart w:id="122" w:name="_Toc376465793"/>
      <w:r>
        <w:t>Materials and methods</w:t>
      </w:r>
      <w:bookmarkEnd w:id="122"/>
    </w:p>
    <w:p w:rsidR="00777070" w:rsidRDefault="00777070" w:rsidP="00777070">
      <w:pPr>
        <w:pStyle w:val="Heading3"/>
      </w:pPr>
      <w:bookmarkStart w:id="123" w:name="_Toc376465794"/>
      <w:r>
        <w:t>Animals</w:t>
      </w:r>
      <w:bookmarkEnd w:id="123"/>
    </w:p>
    <w:p w:rsidR="00611813" w:rsidRDefault="00611813" w:rsidP="00611813">
      <w:r>
        <w:t>Eighteen</w:t>
      </w:r>
      <w:r w:rsidR="00777070">
        <w:t xml:space="preserve"> healthy </w:t>
      </w:r>
      <w:r w:rsidR="00866AC0">
        <w:t>two-year-old male castrated Beagle</w:t>
      </w:r>
      <w:r w:rsidR="00E502B3">
        <w:t xml:space="preserve">s were used for this </w:t>
      </w:r>
      <w:r w:rsidR="00866AC0">
        <w:t xml:space="preserve">negatively controlled study.  </w:t>
      </w:r>
      <w:r>
        <w:t>A random number table was used to assign dogs to three groups.  Individual groups were maintained in the same room and all dogs were individually housed</w:t>
      </w:r>
      <w:r>
        <w:rPr>
          <w:color w:val="FF0000"/>
        </w:rPr>
        <w:t xml:space="preserve"> </w:t>
      </w:r>
      <w:r>
        <w:t xml:space="preserve">in runs within the laboratory animal facilities of the University </w:t>
      </w:r>
      <w:proofErr w:type="gramStart"/>
      <w:r>
        <w:t>of Tennessee College of</w:t>
      </w:r>
      <w:proofErr w:type="gramEnd"/>
      <w:r>
        <w:t xml:space="preserve"> Veterinary Medicine.  Dogs were deemed healthy prior to inclusion based on physical examination, complete blood counts, plasma biochemical analysis, and urinalysis.  The study protocol was reviewed and approved by The University of Tennessee Institutional Animal Care and Use Committee.</w:t>
      </w:r>
    </w:p>
    <w:p w:rsidR="00611813" w:rsidRDefault="00611813" w:rsidP="00611813">
      <w:pPr>
        <w:pStyle w:val="Heading3"/>
      </w:pPr>
      <w:bookmarkStart w:id="124" w:name="_Toc376465795"/>
      <w:r>
        <w:t>Diet and group assignments</w:t>
      </w:r>
      <w:bookmarkEnd w:id="124"/>
    </w:p>
    <w:p w:rsidR="00611813" w:rsidRDefault="00611813" w:rsidP="00611813">
      <w:r>
        <w:t xml:space="preserve">Dogs were fed based on group assignments (excess calorie nutraceutical group, ExN; excess calorie placebo group, ExP; ideal body weight group, IBW; </w:t>
      </w:r>
      <w:r w:rsidRPr="00126839">
        <w:rPr>
          <w:color w:val="FF0000"/>
        </w:rPr>
        <w:t xml:space="preserve">Figure </w:t>
      </w:r>
      <w:r w:rsidR="00D9305C">
        <w:rPr>
          <w:color w:val="FF0000"/>
        </w:rPr>
        <w:t>26</w:t>
      </w:r>
      <w:r>
        <w:t>).</w:t>
      </w:r>
    </w:p>
    <w:p w:rsidR="00E502B3" w:rsidRPr="007E3FB3" w:rsidRDefault="00E502B3" w:rsidP="00E502B3">
      <w:pPr>
        <w:pStyle w:val="Heading4"/>
      </w:pPr>
      <w:r>
        <w:t>Establish ideal BW and MER: 18 dogs</w:t>
      </w:r>
    </w:p>
    <w:p w:rsidR="00E502B3" w:rsidRDefault="00E502B3" w:rsidP="00E502B3">
      <w:r>
        <w:t>Resting energy requirement (RER; 70 x BW</w:t>
      </w:r>
      <w:r>
        <w:rPr>
          <w:vertAlign w:val="subscript"/>
        </w:rPr>
        <w:t>kg</w:t>
      </w:r>
      <w:r>
        <w:rPr>
          <w:vertAlign w:val="superscript"/>
        </w:rPr>
        <w:t>0.75</w:t>
      </w:r>
      <w:r>
        <w:t>) was calculated for each dog based on calculated ideal body weight.  Ideal body weight [(current weight x current % lean) / ideal % lean] was calculated using the percent body fat (% BF) correlating to each dog’s current body condition score (BCS) based on the 9-point scale.  E</w:t>
      </w:r>
      <w:r w:rsidRPr="00770CD7">
        <w:rPr>
          <w:rFonts w:cstheme="minorHAnsi"/>
        </w:rPr>
        <w:t>ach unit increase on the scale is associated with a change of approximately 5 percent body fat (%BF) where an ideal score of 5/9 equates to 20 – 25 %BF and 9/9 equals 40 – 45 %BF.</w:t>
      </w:r>
      <w:r w:rsidRPr="00770CD7">
        <w:rPr>
          <w:rFonts w:cstheme="minorHAnsi"/>
        </w:rPr>
        <w:fldChar w:fldCharType="begin"/>
      </w:r>
      <w:r>
        <w:rPr>
          <w:rFonts w:cstheme="minorHAnsi"/>
        </w:rPr>
        <w:instrText xml:space="preserve"> ADDIN ZOTERO_ITEM CSL_CITATION {"citationID":"ed0Nn74C","properties":{"formattedCitation":"{\\rtf \\super 46,401\\nosupersub{}}","plainCitation":"46,401"},"citationItems":[{"id":84,"uris":["http://zotero.org/users/171999/items/Z6U72FNJ"],"uri":["http://zotero.org/users/171999/items/Z6U72FNJ"],"itemData":{"id":84,"type":"article-journal","title":"Development and validation of a body condition score system for dogs","container-title":"Canine Practice","page":"10-15","volume":"1997","issue":"22","author":[{"family":"Laflamme","given":"D P"}],"issued":{"date-parts":[["1997"]]}}},{"id":891,"uris":["http://zotero.org/users/171999/items/U8EMP2FT"],"uri":["http://zotero.org/users/171999/items/U8EMP2FT"],"itemData":{"id":891,"type":"article-journal","title":"Development and validation of a body condition score system for cats: a   clinical tool.","container-title":"Feline Practice","volume":"25","issue":"5/6","source":"ISI Web of Knowledge","abstract":"A 9-point body condition score system is described which is simple in   design, requiring only an intellectual addition to a routine physical   examination. It is shown to be repeatable both within scorers and   between scorers and may be useful as a tool in obesity management.","shortTitle":"Development and validation of a body condition score system for cats","language":"English","author":[{"family":"Laflamme","given":"D."}],"issued":{"date-parts":[["1997"]]}}}],"schema":"https://github.com/citation-style-language/schema/raw/master/csl-citation.json"} </w:instrText>
      </w:r>
      <w:r w:rsidRPr="00770CD7">
        <w:rPr>
          <w:rFonts w:cstheme="minorHAnsi"/>
        </w:rPr>
        <w:fldChar w:fldCharType="separate"/>
      </w:r>
      <w:r w:rsidRPr="00491675">
        <w:rPr>
          <w:vertAlign w:val="superscript"/>
        </w:rPr>
        <w:t>46,401</w:t>
      </w:r>
      <w:r w:rsidRPr="00770CD7">
        <w:rPr>
          <w:rFonts w:cstheme="minorHAnsi"/>
        </w:rPr>
        <w:fldChar w:fldCharType="end"/>
      </w:r>
      <w:r>
        <w:t xml:space="preserve">  Current % lean was determined by subtracting the current % BF from 100 and 20% was used as the ideal lean value.  Maintenance energy requirement (MER; RER x lifestage factor) was calculated using a lifestage factor of 1.6, corresponding to the recommendation for a castrated adult dog.</w:t>
      </w:r>
      <w:r>
        <w:fldChar w:fldCharType="begin"/>
      </w:r>
      <w:r>
        <w:instrText xml:space="preserve"> ADDIN ZOTERO_ITEM CSL_CITATION {"citationID":"l9Ra8DHx","properties":{"formattedCitation":"{\\rtf \\super 49\\nosupersub{}}","plainCitation":"49"},"citationItems":[{"id":89,"uris":["http://zotero.org/users/171999/items/3C5TNVXD"],"uri":["http://zotero.org/users/171999/items/3C5TNVXD"],"itemData":{"id":89,"type":"chapter","title":"Small Animal Clinical Nutrition: An Iterative Process","container-title":"Small animal clinical nutrition","publisher":"Mark Morris Institute","publisher-place":"Topeka, Kan","page":"3-21","edition":"5th ed..","source":"Primo","event-place":"Topeka, Kan","ISBN":"0615297013","call-number":"SF427.4","language":"eng","author":[{"family":"Thatcher","given":"C D"},{"family":"Hand","given":"Michael S"},{"family":"Remillard","given":"R L"}],"issued":{"date-parts":[["2010"]]}}}],"schema":"https://github.com/citation-style-language/schema/raw/master/csl-citation.json"} </w:instrText>
      </w:r>
      <w:r>
        <w:fldChar w:fldCharType="separate"/>
      </w:r>
      <w:r w:rsidRPr="00CC106C">
        <w:rPr>
          <w:vertAlign w:val="superscript"/>
        </w:rPr>
        <w:t>49</w:t>
      </w:r>
      <w:r>
        <w:fldChar w:fldCharType="end"/>
      </w:r>
    </w:p>
    <w:p w:rsidR="00E502B3" w:rsidRDefault="00E502B3" w:rsidP="00E502B3"/>
    <w:p w:rsidR="00E502B3" w:rsidRDefault="00E502B3" w:rsidP="00E502B3">
      <w:r>
        <w:t>Dogs were fed a canned adult diet (CAD</w:t>
      </w:r>
      <w:r w:rsidR="000F3921">
        <w:t xml:space="preserve">; </w:t>
      </w:r>
      <w:r w:rsidR="000F3921">
        <w:rPr>
          <w:color w:val="FF0000"/>
        </w:rPr>
        <w:t xml:space="preserve">Table </w:t>
      </w:r>
      <w:r w:rsidR="00D9305C">
        <w:rPr>
          <w:color w:val="FF0000"/>
        </w:rPr>
        <w:t>16</w:t>
      </w:r>
      <w:r>
        <w:t>) at MER divided into two dai</w:t>
      </w:r>
      <w:r w:rsidR="000F3921">
        <w:t>ly meals (8AM and 4PM) for four</w:t>
      </w:r>
      <w:r>
        <w:t xml:space="preserve"> weeks and had access to food for 45 minutes at each feeding.  Food was weighed before and after meal access five days a week (Monday – Friday).  Weekend meals (Saturday and Sunday) were prepared Friday afternoon by the research staff, placed in Ziploc bags labeled for each dog, and refrigerated until fed.  Weekday meals were prepared and fed by the investigators while weekend food was fed by the animal care staff.  Body weight and BCS were recorded Monday, Wednesday, Friday and feeding amount was adjusted to establish the individual’s ideal MER (MER</w:t>
      </w:r>
      <w:r>
        <w:rPr>
          <w:vertAlign w:val="subscript"/>
        </w:rPr>
        <w:t>ideal</w:t>
      </w:r>
      <w:r>
        <w:t>) based on achieving or maintaining lean body weight and BCS.</w:t>
      </w:r>
    </w:p>
    <w:p w:rsidR="00611813" w:rsidRDefault="00611813" w:rsidP="00611813"/>
    <w:p w:rsidR="002A23F7" w:rsidRDefault="002A23F7" w:rsidP="00611813">
      <w:pPr>
        <w:keepNext/>
        <w:sectPr w:rsidR="002A23F7" w:rsidSect="00F92278">
          <w:pgSz w:w="12240" w:h="15840" w:code="1"/>
          <w:pgMar w:top="1440" w:right="1800" w:bottom="1872" w:left="1800" w:header="720" w:footer="1440" w:gutter="0"/>
          <w:cols w:space="720"/>
          <w:noEndnote/>
          <w:docGrid w:linePitch="360"/>
        </w:sectPr>
      </w:pPr>
    </w:p>
    <w:p w:rsidR="002A23F7" w:rsidRDefault="00611813" w:rsidP="002A23F7">
      <w:pPr>
        <w:keepNext/>
      </w:pPr>
      <w:r w:rsidRPr="00310BAF">
        <w:rPr>
          <w:noProof/>
        </w:rPr>
        <w:drawing>
          <wp:inline distT="0" distB="0" distL="0" distR="0" wp14:anchorId="342C55D7" wp14:editId="23E5F0B3">
            <wp:extent cx="7950835" cy="4432300"/>
            <wp:effectExtent l="0" t="0" r="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2A23F7" w:rsidRDefault="002A23F7" w:rsidP="002A23F7">
      <w:pPr>
        <w:pStyle w:val="Caption"/>
      </w:pPr>
      <w:bookmarkStart w:id="125" w:name="_Toc376465883"/>
      <w:r>
        <w:t xml:space="preserve">Figure </w:t>
      </w:r>
      <w:fldSimple w:instr=" SEQ Figure \* ARABIC ">
        <w:r w:rsidR="007F0498">
          <w:rPr>
            <w:noProof/>
          </w:rPr>
          <w:t>23</w:t>
        </w:r>
      </w:fldSimple>
      <w:r>
        <w:t xml:space="preserve"> Group assignments</w:t>
      </w:r>
      <w:bookmarkEnd w:id="125"/>
    </w:p>
    <w:p w:rsidR="002A23F7" w:rsidRPr="002A23F7" w:rsidRDefault="002A23F7" w:rsidP="002A23F7">
      <w:pPr>
        <w:sectPr w:rsidR="002A23F7" w:rsidRPr="002A23F7" w:rsidSect="002A23F7">
          <w:pgSz w:w="15840" w:h="12240" w:orient="landscape" w:code="1"/>
          <w:pgMar w:top="1800" w:right="1440" w:bottom="1800" w:left="1872" w:header="720" w:footer="1440" w:gutter="0"/>
          <w:cols w:space="720"/>
          <w:noEndnote/>
          <w:docGrid w:linePitch="360"/>
        </w:sectPr>
      </w:pPr>
      <w:r>
        <w:t>BW, body weight; MER, maintenance energy requirement; DXA, dual energy x-ray absorptiometry; % BF, percent body fat; BCS, body condition score; IBW, ideal body weight; ExN, excess calorie nutraceutical; ExP, excess calories placebo; CAD, canned adult diet.</w:t>
      </w:r>
    </w:p>
    <w:p w:rsidR="00D9305C" w:rsidRPr="00006F84" w:rsidRDefault="00D9305C" w:rsidP="00D9305C">
      <w:pPr>
        <w:pStyle w:val="Caption"/>
      </w:pPr>
      <w:bookmarkStart w:id="126" w:name="_Toc376465838"/>
      <w:r>
        <w:t xml:space="preserve">Table </w:t>
      </w:r>
      <w:fldSimple w:instr=" SEQ Table \* ARABIC ">
        <w:r w:rsidR="00736DB0">
          <w:rPr>
            <w:noProof/>
          </w:rPr>
          <w:t>16</w:t>
        </w:r>
      </w:fldSimple>
      <w:r>
        <w:rPr>
          <w:noProof/>
        </w:rPr>
        <w:t xml:space="preserve"> </w:t>
      </w:r>
      <w:r w:rsidRPr="00C4290D">
        <w:t>Diet nutrient profile</w:t>
      </w:r>
      <w:bookmarkEnd w:id="126"/>
    </w:p>
    <w:tbl>
      <w:tblPr>
        <w:tblStyle w:val="TableClassic1"/>
        <w:tblW w:w="0" w:type="auto"/>
        <w:tblLayout w:type="fixed"/>
        <w:tblLook w:val="04A0" w:firstRow="1" w:lastRow="0" w:firstColumn="1" w:lastColumn="0" w:noHBand="0" w:noVBand="1"/>
      </w:tblPr>
      <w:tblGrid>
        <w:gridCol w:w="6461"/>
        <w:gridCol w:w="2395"/>
      </w:tblGrid>
      <w:tr w:rsidR="00D9305C" w:rsidRPr="00A23850" w:rsidTr="00235F42">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461" w:type="dxa"/>
          </w:tcPr>
          <w:p w:rsidR="00D9305C" w:rsidRPr="00A3463E" w:rsidRDefault="00D9305C" w:rsidP="00235F42">
            <w:pPr>
              <w:rPr>
                <w:b/>
              </w:rPr>
            </w:pPr>
            <w:r w:rsidRPr="00A3463E">
              <w:rPr>
                <w:b/>
              </w:rPr>
              <w:t>Nutrients</w:t>
            </w:r>
            <w:r>
              <w:rPr>
                <w:b/>
              </w:rPr>
              <w:t xml:space="preserve"> </w:t>
            </w:r>
            <w:r w:rsidRPr="00A3463E">
              <w:rPr>
                <w:b/>
              </w:rPr>
              <w:t>(</w:t>
            </w:r>
            <w:r>
              <w:rPr>
                <w:b/>
              </w:rPr>
              <w:t xml:space="preserve">per </w:t>
            </w:r>
            <w:r w:rsidRPr="00A3463E">
              <w:rPr>
                <w:b/>
              </w:rPr>
              <w:t>1000 kcal)</w:t>
            </w:r>
          </w:p>
        </w:tc>
        <w:tc>
          <w:tcPr>
            <w:tcW w:w="2395" w:type="dxa"/>
          </w:tcPr>
          <w:p w:rsidR="00D9305C" w:rsidRPr="00407E1F" w:rsidRDefault="00D9305C" w:rsidP="00235F42">
            <w:pPr>
              <w:cnfStyle w:val="100000000000" w:firstRow="1" w:lastRow="0" w:firstColumn="0" w:lastColumn="0" w:oddVBand="0" w:evenVBand="0" w:oddHBand="0" w:evenHBand="0" w:firstRowFirstColumn="0" w:firstRowLastColumn="0" w:lastRowFirstColumn="0" w:lastRowLastColumn="0"/>
              <w:rPr>
                <w:b/>
                <w:vertAlign w:val="superscript"/>
              </w:rPr>
            </w:pPr>
            <w:r>
              <w:rPr>
                <w:b/>
              </w:rPr>
              <w:t>CAD</w:t>
            </w:r>
            <w:r w:rsidRPr="00A3463E">
              <w:rPr>
                <w:b/>
              </w:rPr>
              <w:t xml:space="preserve"> diet</w:t>
            </w:r>
          </w:p>
        </w:tc>
      </w:tr>
      <w:tr w:rsidR="00D9305C" w:rsidRPr="00A23850" w:rsidTr="00235F42">
        <w:trPr>
          <w:trHeight w:val="432"/>
        </w:trPr>
        <w:tc>
          <w:tcPr>
            <w:cnfStyle w:val="001000000000" w:firstRow="0" w:lastRow="0" w:firstColumn="1" w:lastColumn="0" w:oddVBand="0" w:evenVBand="0" w:oddHBand="0" w:evenHBand="0" w:firstRowFirstColumn="0" w:firstRowLastColumn="0" w:lastRowFirstColumn="0" w:lastRowLastColumn="0"/>
            <w:tcW w:w="6461" w:type="dxa"/>
          </w:tcPr>
          <w:p w:rsidR="00D9305C" w:rsidRPr="00A23850" w:rsidRDefault="00D9305C" w:rsidP="00235F42">
            <w:r w:rsidRPr="00A23850">
              <w:t>Protein</w:t>
            </w:r>
            <w:r>
              <w:t xml:space="preserve"> (g)</w:t>
            </w:r>
          </w:p>
        </w:tc>
        <w:tc>
          <w:tcPr>
            <w:tcW w:w="2395" w:type="dxa"/>
          </w:tcPr>
          <w:p w:rsidR="00D9305C" w:rsidRPr="00A23850" w:rsidRDefault="00D9305C" w:rsidP="00235F42">
            <w:pPr>
              <w:cnfStyle w:val="000000000000" w:firstRow="0" w:lastRow="0" w:firstColumn="0" w:lastColumn="0" w:oddVBand="0" w:evenVBand="0" w:oddHBand="0" w:evenHBand="0" w:firstRowFirstColumn="0" w:firstRowLastColumn="0" w:lastRowFirstColumn="0" w:lastRowLastColumn="0"/>
            </w:pPr>
            <w:r>
              <w:t>56</w:t>
            </w:r>
          </w:p>
        </w:tc>
      </w:tr>
      <w:tr w:rsidR="00D9305C" w:rsidRPr="00A23850" w:rsidTr="00235F42">
        <w:trPr>
          <w:trHeight w:val="432"/>
        </w:trPr>
        <w:tc>
          <w:tcPr>
            <w:cnfStyle w:val="001000000000" w:firstRow="0" w:lastRow="0" w:firstColumn="1" w:lastColumn="0" w:oddVBand="0" w:evenVBand="0" w:oddHBand="0" w:evenHBand="0" w:firstRowFirstColumn="0" w:firstRowLastColumn="0" w:lastRowFirstColumn="0" w:lastRowLastColumn="0"/>
            <w:tcW w:w="6461" w:type="dxa"/>
          </w:tcPr>
          <w:p w:rsidR="00D9305C" w:rsidRPr="00A23850" w:rsidRDefault="00D9305C" w:rsidP="00235F42">
            <w:r w:rsidRPr="00A23850">
              <w:t>Fat</w:t>
            </w:r>
            <w:r>
              <w:t xml:space="preserve"> (g)</w:t>
            </w:r>
          </w:p>
        </w:tc>
        <w:tc>
          <w:tcPr>
            <w:tcW w:w="2395" w:type="dxa"/>
          </w:tcPr>
          <w:p w:rsidR="00D9305C" w:rsidRPr="00A23850" w:rsidRDefault="00D9305C" w:rsidP="00235F42">
            <w:pPr>
              <w:cnfStyle w:val="000000000000" w:firstRow="0" w:lastRow="0" w:firstColumn="0" w:lastColumn="0" w:oddVBand="0" w:evenVBand="0" w:oddHBand="0" w:evenHBand="0" w:firstRowFirstColumn="0" w:firstRowLastColumn="0" w:lastRowFirstColumn="0" w:lastRowLastColumn="0"/>
            </w:pPr>
            <w:r>
              <w:t>38</w:t>
            </w:r>
          </w:p>
        </w:tc>
      </w:tr>
      <w:tr w:rsidR="00D9305C" w:rsidRPr="00A23850" w:rsidTr="00235F42">
        <w:trPr>
          <w:trHeight w:val="432"/>
        </w:trPr>
        <w:tc>
          <w:tcPr>
            <w:cnfStyle w:val="001000000000" w:firstRow="0" w:lastRow="0" w:firstColumn="1" w:lastColumn="0" w:oddVBand="0" w:evenVBand="0" w:oddHBand="0" w:evenHBand="0" w:firstRowFirstColumn="0" w:firstRowLastColumn="0" w:lastRowFirstColumn="0" w:lastRowLastColumn="0"/>
            <w:tcW w:w="6461" w:type="dxa"/>
          </w:tcPr>
          <w:p w:rsidR="00D9305C" w:rsidRPr="00A23850" w:rsidRDefault="00D9305C" w:rsidP="00235F42">
            <w:r w:rsidRPr="00A23850">
              <w:t>Carbohydrate</w:t>
            </w:r>
            <w:r>
              <w:t xml:space="preserve"> (g)</w:t>
            </w:r>
          </w:p>
        </w:tc>
        <w:tc>
          <w:tcPr>
            <w:tcW w:w="2395" w:type="dxa"/>
          </w:tcPr>
          <w:p w:rsidR="00D9305C" w:rsidRPr="00A23850" w:rsidRDefault="00D9305C" w:rsidP="00235F42">
            <w:pPr>
              <w:cnfStyle w:val="000000000000" w:firstRow="0" w:lastRow="0" w:firstColumn="0" w:lastColumn="0" w:oddVBand="0" w:evenVBand="0" w:oddHBand="0" w:evenHBand="0" w:firstRowFirstColumn="0" w:firstRowLastColumn="0" w:lastRowFirstColumn="0" w:lastRowLastColumn="0"/>
            </w:pPr>
            <w:r>
              <w:t>129</w:t>
            </w:r>
          </w:p>
        </w:tc>
      </w:tr>
      <w:tr w:rsidR="00D9305C" w:rsidRPr="00A23850" w:rsidTr="00235F42">
        <w:trPr>
          <w:trHeight w:val="432"/>
        </w:trPr>
        <w:tc>
          <w:tcPr>
            <w:cnfStyle w:val="001000000000" w:firstRow="0" w:lastRow="0" w:firstColumn="1" w:lastColumn="0" w:oddVBand="0" w:evenVBand="0" w:oddHBand="0" w:evenHBand="0" w:firstRowFirstColumn="0" w:firstRowLastColumn="0" w:lastRowFirstColumn="0" w:lastRowLastColumn="0"/>
            <w:tcW w:w="6461" w:type="dxa"/>
          </w:tcPr>
          <w:p w:rsidR="00D9305C" w:rsidRPr="00A23850" w:rsidRDefault="00D9305C" w:rsidP="00235F42">
            <w:r w:rsidRPr="00A23850">
              <w:t>Crude fiber</w:t>
            </w:r>
            <w:r>
              <w:t xml:space="preserve"> (g)</w:t>
            </w:r>
          </w:p>
        </w:tc>
        <w:tc>
          <w:tcPr>
            <w:tcW w:w="2395" w:type="dxa"/>
          </w:tcPr>
          <w:p w:rsidR="00D9305C" w:rsidRPr="00A23850" w:rsidRDefault="00D9305C" w:rsidP="00235F42">
            <w:pPr>
              <w:cnfStyle w:val="000000000000" w:firstRow="0" w:lastRow="0" w:firstColumn="0" w:lastColumn="0" w:oddVBand="0" w:evenVBand="0" w:oddHBand="0" w:evenHBand="0" w:firstRowFirstColumn="0" w:firstRowLastColumn="0" w:lastRowFirstColumn="0" w:lastRowLastColumn="0"/>
            </w:pPr>
            <w:r>
              <w:t>2</w:t>
            </w:r>
          </w:p>
        </w:tc>
      </w:tr>
      <w:tr w:rsidR="00D9305C" w:rsidRPr="00A23850" w:rsidTr="00235F42">
        <w:trPr>
          <w:trHeight w:val="432"/>
        </w:trPr>
        <w:tc>
          <w:tcPr>
            <w:cnfStyle w:val="001000000000" w:firstRow="0" w:lastRow="0" w:firstColumn="1" w:lastColumn="0" w:oddVBand="0" w:evenVBand="0" w:oddHBand="0" w:evenHBand="0" w:firstRowFirstColumn="0" w:firstRowLastColumn="0" w:lastRowFirstColumn="0" w:lastRowLastColumn="0"/>
            <w:tcW w:w="6461" w:type="dxa"/>
          </w:tcPr>
          <w:p w:rsidR="00D9305C" w:rsidRPr="00A23850" w:rsidRDefault="00D9305C" w:rsidP="00235F42">
            <w:r w:rsidRPr="00A23850">
              <w:t>Leucine</w:t>
            </w:r>
            <w:r>
              <w:t xml:space="preserve"> (mg)</w:t>
            </w:r>
          </w:p>
        </w:tc>
        <w:tc>
          <w:tcPr>
            <w:tcW w:w="2395" w:type="dxa"/>
          </w:tcPr>
          <w:p w:rsidR="00D9305C" w:rsidRPr="00A23850" w:rsidRDefault="00D9305C" w:rsidP="00235F42">
            <w:pPr>
              <w:cnfStyle w:val="000000000000" w:firstRow="0" w:lastRow="0" w:firstColumn="0" w:lastColumn="0" w:oddVBand="0" w:evenVBand="0" w:oddHBand="0" w:evenHBand="0" w:firstRowFirstColumn="0" w:firstRowLastColumn="0" w:lastRowFirstColumn="0" w:lastRowLastColumn="0"/>
            </w:pPr>
            <w:r>
              <w:t>5,000</w:t>
            </w:r>
          </w:p>
        </w:tc>
      </w:tr>
      <w:tr w:rsidR="00D9305C" w:rsidRPr="00A23850" w:rsidTr="00235F42">
        <w:trPr>
          <w:trHeight w:val="432"/>
        </w:trPr>
        <w:tc>
          <w:tcPr>
            <w:cnfStyle w:val="001000000000" w:firstRow="0" w:lastRow="0" w:firstColumn="1" w:lastColumn="0" w:oddVBand="0" w:evenVBand="0" w:oddHBand="0" w:evenHBand="0" w:firstRowFirstColumn="0" w:firstRowLastColumn="0" w:lastRowFirstColumn="0" w:lastRowLastColumn="0"/>
            <w:tcW w:w="6461" w:type="dxa"/>
          </w:tcPr>
          <w:p w:rsidR="00D9305C" w:rsidRPr="00A23850" w:rsidRDefault="00D9305C" w:rsidP="00235F42">
            <w:r w:rsidRPr="00A23850">
              <w:t>Isoleucine</w:t>
            </w:r>
            <w:r>
              <w:t xml:space="preserve"> (mg)</w:t>
            </w:r>
          </w:p>
        </w:tc>
        <w:tc>
          <w:tcPr>
            <w:tcW w:w="2395" w:type="dxa"/>
          </w:tcPr>
          <w:p w:rsidR="00D9305C" w:rsidRPr="00A23850" w:rsidRDefault="00D9305C" w:rsidP="00235F42">
            <w:pPr>
              <w:cnfStyle w:val="000000000000" w:firstRow="0" w:lastRow="0" w:firstColumn="0" w:lastColumn="0" w:oddVBand="0" w:evenVBand="0" w:oddHBand="0" w:evenHBand="0" w:firstRowFirstColumn="0" w:firstRowLastColumn="0" w:lastRowFirstColumn="0" w:lastRowLastColumn="0"/>
            </w:pPr>
            <w:r>
              <w:t>1,960</w:t>
            </w:r>
          </w:p>
        </w:tc>
      </w:tr>
      <w:tr w:rsidR="00D9305C" w:rsidRPr="00A23850" w:rsidTr="00235F42">
        <w:trPr>
          <w:trHeight w:val="432"/>
        </w:trPr>
        <w:tc>
          <w:tcPr>
            <w:cnfStyle w:val="001000000000" w:firstRow="0" w:lastRow="0" w:firstColumn="1" w:lastColumn="0" w:oddVBand="0" w:evenVBand="0" w:oddHBand="0" w:evenHBand="0" w:firstRowFirstColumn="0" w:firstRowLastColumn="0" w:lastRowFirstColumn="0" w:lastRowLastColumn="0"/>
            <w:tcW w:w="6461" w:type="dxa"/>
          </w:tcPr>
          <w:p w:rsidR="00D9305C" w:rsidRPr="00A23850" w:rsidRDefault="00D9305C" w:rsidP="00235F42">
            <w:r w:rsidRPr="00A23850">
              <w:t>Valine</w:t>
            </w:r>
            <w:r>
              <w:t xml:space="preserve"> (mg)</w:t>
            </w:r>
          </w:p>
        </w:tc>
        <w:tc>
          <w:tcPr>
            <w:tcW w:w="2395" w:type="dxa"/>
          </w:tcPr>
          <w:p w:rsidR="00D9305C" w:rsidRPr="00A23850" w:rsidRDefault="00D9305C" w:rsidP="00235F42">
            <w:pPr>
              <w:cnfStyle w:val="000000000000" w:firstRow="0" w:lastRow="0" w:firstColumn="0" w:lastColumn="0" w:oddVBand="0" w:evenVBand="0" w:oddHBand="0" w:evenHBand="0" w:firstRowFirstColumn="0" w:firstRowLastColumn="0" w:lastRowFirstColumn="0" w:lastRowLastColumn="0"/>
            </w:pPr>
            <w:r>
              <w:t>2,550</w:t>
            </w:r>
          </w:p>
        </w:tc>
      </w:tr>
      <w:tr w:rsidR="00D9305C" w:rsidRPr="00A23850" w:rsidTr="00235F42">
        <w:trPr>
          <w:trHeight w:val="432"/>
        </w:trPr>
        <w:tc>
          <w:tcPr>
            <w:cnfStyle w:val="001000000000" w:firstRow="0" w:lastRow="0" w:firstColumn="1" w:lastColumn="0" w:oddVBand="0" w:evenVBand="0" w:oddHBand="0" w:evenHBand="0" w:firstRowFirstColumn="0" w:firstRowLastColumn="0" w:lastRowFirstColumn="0" w:lastRowLastColumn="0"/>
            <w:tcW w:w="6461" w:type="dxa"/>
          </w:tcPr>
          <w:p w:rsidR="00D9305C" w:rsidRPr="00A23850" w:rsidRDefault="00D9305C" w:rsidP="00235F42">
            <w:r w:rsidRPr="00A23850">
              <w:t>Pyridoxine</w:t>
            </w:r>
            <w:r>
              <w:t xml:space="preserve"> (mg)</w:t>
            </w:r>
          </w:p>
        </w:tc>
        <w:tc>
          <w:tcPr>
            <w:tcW w:w="2395" w:type="dxa"/>
          </w:tcPr>
          <w:p w:rsidR="00D9305C" w:rsidRPr="00A23850" w:rsidRDefault="00D9305C" w:rsidP="00235F42">
            <w:pPr>
              <w:cnfStyle w:val="000000000000" w:firstRow="0" w:lastRow="0" w:firstColumn="0" w:lastColumn="0" w:oddVBand="0" w:evenVBand="0" w:oddHBand="0" w:evenHBand="0" w:firstRowFirstColumn="0" w:firstRowLastColumn="0" w:lastRowFirstColumn="0" w:lastRowLastColumn="0"/>
            </w:pPr>
            <w:r>
              <w:t>2.4</w:t>
            </w:r>
          </w:p>
        </w:tc>
      </w:tr>
      <w:tr w:rsidR="00D9305C" w:rsidRPr="00A23850" w:rsidTr="00235F42">
        <w:trPr>
          <w:trHeight w:val="432"/>
        </w:trPr>
        <w:tc>
          <w:tcPr>
            <w:cnfStyle w:val="001000000000" w:firstRow="0" w:lastRow="0" w:firstColumn="1" w:lastColumn="0" w:oddVBand="0" w:evenVBand="0" w:oddHBand="0" w:evenHBand="0" w:firstRowFirstColumn="0" w:firstRowLastColumn="0" w:lastRowFirstColumn="0" w:lastRowLastColumn="0"/>
            <w:tcW w:w="6461" w:type="dxa"/>
            <w:tcBorders>
              <w:bottom w:val="single" w:sz="12" w:space="0" w:color="000000"/>
            </w:tcBorders>
          </w:tcPr>
          <w:p w:rsidR="00D9305C" w:rsidRPr="00A23850" w:rsidRDefault="00D9305C" w:rsidP="00235F42">
            <w:r w:rsidRPr="00A23850">
              <w:t>Metabolizable energy</w:t>
            </w:r>
            <w:r>
              <w:t xml:space="preserve"> (kcal/kg)</w:t>
            </w:r>
            <w:r w:rsidRPr="00A23850">
              <w:t xml:space="preserve"> </w:t>
            </w:r>
          </w:p>
        </w:tc>
        <w:tc>
          <w:tcPr>
            <w:tcW w:w="2395" w:type="dxa"/>
            <w:tcBorders>
              <w:bottom w:val="single" w:sz="12" w:space="0" w:color="000000"/>
            </w:tcBorders>
          </w:tcPr>
          <w:p w:rsidR="00D9305C" w:rsidRPr="00A23850" w:rsidRDefault="00D9305C" w:rsidP="00235F42">
            <w:pPr>
              <w:cnfStyle w:val="000000000000" w:firstRow="0" w:lastRow="0" w:firstColumn="0" w:lastColumn="0" w:oddVBand="0" w:evenVBand="0" w:oddHBand="0" w:evenHBand="0" w:firstRowFirstColumn="0" w:firstRowLastColumn="0" w:lastRowFirstColumn="0" w:lastRowLastColumn="0"/>
            </w:pPr>
            <w:r>
              <w:t>1021</w:t>
            </w:r>
          </w:p>
        </w:tc>
      </w:tr>
      <w:tr w:rsidR="00D9305C" w:rsidRPr="00A23850" w:rsidTr="00235F42">
        <w:trPr>
          <w:trHeight w:val="432"/>
        </w:trPr>
        <w:tc>
          <w:tcPr>
            <w:cnfStyle w:val="001000000000" w:firstRow="0" w:lastRow="0" w:firstColumn="1" w:lastColumn="0" w:oddVBand="0" w:evenVBand="0" w:oddHBand="0" w:evenHBand="0" w:firstRowFirstColumn="0" w:firstRowLastColumn="0" w:lastRowFirstColumn="0" w:lastRowLastColumn="0"/>
            <w:tcW w:w="8856" w:type="dxa"/>
            <w:gridSpan w:val="2"/>
            <w:tcBorders>
              <w:top w:val="single" w:sz="12" w:space="0" w:color="000000"/>
              <w:bottom w:val="nil"/>
              <w:right w:val="nil"/>
            </w:tcBorders>
          </w:tcPr>
          <w:p w:rsidR="00D9305C" w:rsidRPr="00B375D2" w:rsidRDefault="00D9305C" w:rsidP="00235F42">
            <w:pPr>
              <w:rPr>
                <w:sz w:val="18"/>
                <w:szCs w:val="18"/>
              </w:rPr>
            </w:pPr>
            <w:r w:rsidRPr="00B375D2">
              <w:rPr>
                <w:sz w:val="18"/>
                <w:szCs w:val="18"/>
              </w:rPr>
              <w:t>Information provided by manufacturer product guide average nutrient analysis.  Values not listed in product guide were obtained directly from manufacturer.</w:t>
            </w:r>
          </w:p>
          <w:p w:rsidR="00D9305C" w:rsidRPr="00A5434E" w:rsidRDefault="00D9305C" w:rsidP="00235F42">
            <w:r w:rsidRPr="00B375D2">
              <w:rPr>
                <w:sz w:val="18"/>
                <w:szCs w:val="18"/>
              </w:rPr>
              <w:t>CAD, canned adult diet (Science Diet Adult Gourmet Beef Entrée, Hill’s); WLD, weight loss diet (Prescription Diet r/d, Hill’s); kitten diet (Science Diet Kitten Healthy Development, Hill’s).</w:t>
            </w:r>
          </w:p>
        </w:tc>
      </w:tr>
    </w:tbl>
    <w:p w:rsidR="00D9305C" w:rsidRDefault="00D9305C" w:rsidP="00D9305C"/>
    <w:p w:rsidR="00D9305C" w:rsidRDefault="00D9305C" w:rsidP="00D9305C"/>
    <w:p w:rsidR="00D9305C" w:rsidRDefault="00D9305C" w:rsidP="00D9305C"/>
    <w:p w:rsidR="00E502B3" w:rsidRDefault="00E502B3" w:rsidP="00E502B3">
      <w:pPr>
        <w:pStyle w:val="Heading4"/>
      </w:pPr>
      <w:r>
        <w:t>Maintain ideal weight: 6 dogs</w:t>
      </w:r>
    </w:p>
    <w:p w:rsidR="00E502B3" w:rsidRDefault="00E502B3" w:rsidP="00E502B3">
      <w:r>
        <w:t xml:space="preserve">IBW dogs were maintained on CAD at established </w:t>
      </w:r>
      <w:r w:rsidRPr="00CA7492">
        <w:t>MER</w:t>
      </w:r>
      <w:r w:rsidRPr="00CA7492">
        <w:softHyphen/>
      </w:r>
      <w:r>
        <w:rPr>
          <w:vertAlign w:val="subscript"/>
        </w:rPr>
        <w:t>Ideal</w:t>
      </w:r>
      <w:r>
        <w:t xml:space="preserve"> as a negative control for an additional 12 weeks.  Body weight and BCS were determined once a week (Monday).  Feeding amount was adjusted in ¼ can increments as needed to maintain ideal body weight and condition.</w:t>
      </w:r>
    </w:p>
    <w:p w:rsidR="00777070" w:rsidRDefault="00777070" w:rsidP="00777070">
      <w:pPr>
        <w:pStyle w:val="Heading4"/>
      </w:pPr>
      <w:r>
        <w:t>Treatment</w:t>
      </w:r>
      <w:r w:rsidR="00451EC9">
        <w:t>: 12 dogs</w:t>
      </w:r>
    </w:p>
    <w:p w:rsidR="00451EC9" w:rsidRDefault="005D6DC6" w:rsidP="00451EC9">
      <w:r>
        <w:t>Dogs were fed</w:t>
      </w:r>
      <w:r w:rsidR="00777070">
        <w:t xml:space="preserve"> CAD</w:t>
      </w:r>
      <w:r>
        <w:t xml:space="preserve"> in excess of what they were able to consume in one meal</w:t>
      </w:r>
      <w:r w:rsidR="00777070">
        <w:t xml:space="preserve">.  </w:t>
      </w:r>
      <w:r w:rsidR="005450CF">
        <w:t>To avoid excessive food wastage, the amount fed was adjusted after each feeding to ensure all dogs were offered a</w:t>
      </w:r>
      <w:r w:rsidR="00451EC9">
        <w:t>t least</w:t>
      </w:r>
      <w:r w:rsidR="005450CF">
        <w:t xml:space="preserve"> ½ can more than they consumed in the previous meal.  </w:t>
      </w:r>
      <w:r w:rsidR="00451EC9" w:rsidRPr="00451EC9">
        <w:t>Ex</w:t>
      </w:r>
      <w:r w:rsidR="00451EC9">
        <w:t xml:space="preserve">N dogs received two nutraceutical capsules (1 g leucine + 13 mg pyridoxine total dose) and ExP dogs received two placebo capsules (corn starch) in a CAD meatball before getting access to their morning meal.  The weight (g) of the capsule meatball was recorded as part of the morning meal weight.  In the event a dog split open its capsules rather than swallowing them, capsule contents were rubbed into the meatball and fed to the dog until eaten, and before the </w:t>
      </w:r>
      <w:r w:rsidR="00FC311C">
        <w:t>morning</w:t>
      </w:r>
      <w:r w:rsidR="00451EC9">
        <w:t xml:space="preserve"> meal was fed.</w:t>
      </w:r>
    </w:p>
    <w:p w:rsidR="00777070" w:rsidRDefault="00777070" w:rsidP="00777070"/>
    <w:p w:rsidR="00C560DE" w:rsidRDefault="00C560DE" w:rsidP="00C560DE">
      <w:r>
        <w:t xml:space="preserve">Body weight and BCS determination was decreased to once a week.  Treatment was continued for 12 weeks or until individual dogs reached &gt; 45 %BF.  For dogs reaching extreme obesity before twelve weeks, body fat level as estimated by BCS was confirmed using dual energy X-ray </w:t>
      </w:r>
      <w:r w:rsidRPr="00EE3F68">
        <w:t>absorptiometry</w:t>
      </w:r>
      <w:r>
        <w:t xml:space="preserve"> (DXA) prior to treatment termination.</w:t>
      </w:r>
    </w:p>
    <w:p w:rsidR="00C560DE" w:rsidRDefault="00C560DE" w:rsidP="00C560DE">
      <w:pPr>
        <w:pStyle w:val="Heading3"/>
      </w:pPr>
      <w:bookmarkStart w:id="127" w:name="_Toc376465796"/>
      <w:r>
        <w:t>Food consumption</w:t>
      </w:r>
      <w:bookmarkEnd w:id="127"/>
    </w:p>
    <w:p w:rsidR="00C560DE" w:rsidRDefault="00C560DE" w:rsidP="00C560DE">
      <w:r>
        <w:t>To avoid confounding changes in food consumption due to fasting prior to DXA, food intake calculations were based on average food consumption over four days at</w:t>
      </w:r>
      <w:r w:rsidR="00FA7D09">
        <w:t xml:space="preserve"> baseline, one, four, eight, and twelve weeks into treatment.  </w:t>
      </w:r>
      <w:r>
        <w:t>The fifth day of food recording was dropped to account for morning meal loss and poor afternoon meal consumption post anesthesia on DXA days.</w:t>
      </w:r>
    </w:p>
    <w:p w:rsidR="00A1362C" w:rsidRDefault="00A1362C" w:rsidP="00A1362C">
      <w:pPr>
        <w:pStyle w:val="Heading3"/>
      </w:pPr>
      <w:bookmarkStart w:id="128" w:name="_Toc376465797"/>
      <w:r>
        <w:t>Intrusion meal consumption</w:t>
      </w:r>
      <w:bookmarkEnd w:id="128"/>
    </w:p>
    <w:p w:rsidR="00A1362C" w:rsidRDefault="00A1362C" w:rsidP="00A1362C">
      <w:r>
        <w:t>Medium term satiety based on food intake was determined at baseline, one week, and twelve weeks into treatment, or when end of treatment limits were achieved.  On sample days, dogs were fed their standard 8AM meal in a random order as previously described.  Each dog was provided with its meal in a two minute delay staggered pattern.  Three hours later (12PM) a second intrusion meal was fed, also following the two minute staggered pattern.  This meal provided more calories than each dog would consume in a single meal and was provided in the same random order as the 8AM meal from that day.  Meals were weighed before and after feeding and intrusion meal calories consumed was calculated.  CAD was used for all intrusion meals, including dogs being fed WLD because both diets share a similar palatability profile and would therefore not be expected to trigger hedonic tendencies in relation to novel diet exposure (Jewell, DE; personal communication).</w:t>
      </w:r>
    </w:p>
    <w:p w:rsidR="00C560DE" w:rsidRDefault="00C560DE" w:rsidP="00C560DE">
      <w:pPr>
        <w:pStyle w:val="Heading3"/>
      </w:pPr>
      <w:bookmarkStart w:id="129" w:name="_Toc376465798"/>
      <w:r>
        <w:t>Body composition</w:t>
      </w:r>
      <w:bookmarkEnd w:id="129"/>
    </w:p>
    <w:p w:rsidR="00C560DE" w:rsidRDefault="00C560DE" w:rsidP="00C560DE">
      <w:r>
        <w:t xml:space="preserve">Body composition was determined using HOLOGIC® fan-beam QDR 4500A DXA </w:t>
      </w:r>
      <w:r w:rsidRPr="00C24A9B">
        <w:t>(Hologic, Inc., Bedford, MA)</w:t>
      </w:r>
      <w:r>
        <w:t xml:space="preserve"> before starting treatment, serving as the baseline measurement.  Dogs were fed their standard evening meal the day prior and then fasted the morning of analysis.  An intravenous or intramuscular injection of butorphanol (0.2 mg/kg) and acepromazine (0.05 mg/kg) was given as premedication 10-20 minutes prior to induction.  Propofol (2-8 mg/kg, to effect) was given intravenously and dogs were immediately placed in ventral recumbency on the DXA table.  Scans were performed using the whole body fan beam setting and analyzed using APEX </w:t>
      </w:r>
      <w:r w:rsidRPr="00EC524A">
        <w:t>System Software version 2.3 (Hologic, Inc., Bedford, MA) by the sa</w:t>
      </w:r>
      <w:r>
        <w:t xml:space="preserve">me operator. </w:t>
      </w:r>
      <w:r w:rsidRPr="001F3202">
        <w:t xml:space="preserve"> </w:t>
      </w:r>
      <w:r>
        <w:t>DXA was performed under general anesthesia one, four, eight, and twelve weeks into treatment.  Additional scans were performed as needed during treatment to confirm study termination in those dogs reaching extreme obesity body condition prior to twelve weeks.</w:t>
      </w:r>
    </w:p>
    <w:p w:rsidR="00A1362C" w:rsidRDefault="00A1362C" w:rsidP="00A1362C">
      <w:pPr>
        <w:pStyle w:val="Heading3"/>
      </w:pPr>
      <w:bookmarkStart w:id="130" w:name="_Toc376465799"/>
      <w:r>
        <w:t>Behavioral observations</w:t>
      </w:r>
      <w:bookmarkEnd w:id="130"/>
    </w:p>
    <w:p w:rsidR="00A1362C" w:rsidRDefault="00A1362C" w:rsidP="00A1362C">
      <w:r>
        <w:t>Behavioral observations were obtained at baseline, one week, and twelve weeks into treatment, or when end of treatment limits were achieved.  Six volunteers recorded behavior observations while dogs were consuming the intrusion meal.  One group of dogs was observed per day and volunteers were randomly assigned to individual dogs prior to each session for which they volunteered.  Each dog was fed in the same random order as the 8AM meal from that day.  The general procedure was for all volunteers to quietly enter the room together.  As the first dog was provided with its meal, the volunteer assigned to observe that dog sat down in front of the run and recorded specific behaviors for the next 46 minutes.  Two minutes after this first dog was fed, the second dog was fed and the volunteer assigned to this dog sat down in front of the cage to record behaviors.  This process continued every two minutes until all volunteers were sitting and recording behavior.</w:t>
      </w:r>
    </w:p>
    <w:p w:rsidR="00A1362C" w:rsidRDefault="00A1362C" w:rsidP="00A1362C"/>
    <w:p w:rsidR="00A1362C" w:rsidRDefault="00A1362C" w:rsidP="00A1362C">
      <w:r>
        <w:t>Observations were made every two minutes and all volunteers avoided communicating with the dogs or with other volunteers during this time.  Recorded behaviors were eating meal/head in bowl, drinking, corprophagia, urinating/defecating, stretching, yawning/panting, body shaking, playing with toys, grooming, resting (head down), lying (head up), sitting, standing, walking/running/jumping, cage position (front, middle, back), and vocalizing.  Due to the two minute staggered feeding pattern, the volunteers completed 46 minutes of observation in the same staggered pattern.  They were instructed to remain quiet and as still as possible until the final volunteer finished recording.  Once this final volunteer stood up, all other volunteers would stand and remove their dog’s food bowl from the room.</w:t>
      </w:r>
    </w:p>
    <w:p w:rsidR="00A1362C" w:rsidRDefault="00A1362C" w:rsidP="00A1362C"/>
    <w:p w:rsidR="00A1362C" w:rsidRDefault="00A1362C" w:rsidP="00A1362C">
      <w:r>
        <w:t>To avoid reactions to novel situations, each volunteer trained at least once prior to observation days by observing the dogs during a standard morning or evening meal.  This allowed the volunteer to become familiar with the behavior scoring sheet</w:t>
      </w:r>
      <w:r>
        <w:rPr>
          <w:color w:val="FF0000"/>
        </w:rPr>
        <w:t xml:space="preserve"> </w:t>
      </w:r>
      <w:r>
        <w:t>and also habituated the dogs to having personnel near their cages while eating.  Volunteers were only allowed to have a cage liner to sit on, pen, paper, clipboard, and a timer.  All cell phones and any other items capable of making noise or being distracting, were left in a staging room.</w:t>
      </w:r>
    </w:p>
    <w:p w:rsidR="00A1362C" w:rsidRDefault="00A1362C" w:rsidP="00A1362C"/>
    <w:p w:rsidR="00A1362C" w:rsidRDefault="00A1362C" w:rsidP="00A1362C">
      <w:r>
        <w:t>On observation days, signs were hung within the animal facility warning people that noise sensitive research was underway.  Anyone approaching within close proximity to the room being observed was asked to make as little noise as possible.</w:t>
      </w:r>
    </w:p>
    <w:p w:rsidR="00A1362C" w:rsidRDefault="00A1362C" w:rsidP="00A1362C">
      <w:pPr>
        <w:pStyle w:val="Heading3"/>
      </w:pPr>
      <w:bookmarkStart w:id="131" w:name="_Toc376465800"/>
      <w:r>
        <w:t>Blood samples</w:t>
      </w:r>
      <w:bookmarkEnd w:id="131"/>
    </w:p>
    <w:p w:rsidR="00A1362C" w:rsidRDefault="00A1362C" w:rsidP="00A1362C">
      <w:r>
        <w:t>Blood samples were obtained at baseline, one week, and twelve weeks into treatment, or when end of treatment limits were achieved.  On sample days, dogs were fed their standard 8AM meal in a random order as previously described.  Each dog was provided with its meal in a two minute delay staggered pattern.  Just prior to being offered an intrusion meal three hours later (12PM), blood samples were collected (time 0) via jugular venipuncture and placed in BD Vacutainer® EDTA tubes</w:t>
      </w:r>
      <w:r w:rsidRPr="00F6062B">
        <w:t xml:space="preserve"> (4ml, Becton, Dickinson and Company, Franklin Lakes, NJ).</w:t>
      </w:r>
      <w:r>
        <w:t xml:space="preserve">  Additional samples were collected 60, 90, 120, 180, 420 minutes after the intrusion meal.  Each dog’s sample was collected in two minute increments, following the same random order as the morning feeding, in order to allow time for sample collection.  The same two research personnel were responsible for all blood sample collections.  The afternoon meal was not fed until after all 420 minute samples were collected.</w:t>
      </w:r>
    </w:p>
    <w:p w:rsidR="00A1362C" w:rsidRDefault="00A1362C" w:rsidP="00A1362C"/>
    <w:p w:rsidR="00A1362C" w:rsidRDefault="00A1362C" w:rsidP="00A1362C">
      <w:r>
        <w:t>Blood glucose was immediately determined after each collection with the AlphaTRAK® Blood Glucose Monitoring System companion animal specific glucometer</w:t>
      </w:r>
      <w:r w:rsidRPr="00F6062B">
        <w:t xml:space="preserve"> (Abbott Laboratories, Abbott Park, IL).</w:t>
      </w:r>
      <w:r w:rsidRPr="00D226EC">
        <w:t xml:space="preserve">  Samples were centrifuged </w:t>
      </w:r>
      <w:r>
        <w:t>at 3</w:t>
      </w:r>
      <w:r w:rsidRPr="00EC524A">
        <w:t>,500 x RPM for 10 minutes a</w:t>
      </w:r>
      <w:r>
        <w:t xml:space="preserve">t room temperature.  Serum was removed and frozen in Corning® polypropylene cryogenic vials (Corning, Inc., Amsterdam, </w:t>
      </w:r>
      <w:proofErr w:type="gramStart"/>
      <w:r>
        <w:t>The</w:t>
      </w:r>
      <w:proofErr w:type="gramEnd"/>
      <w:r>
        <w:t xml:space="preserve"> Netherlands) at </w:t>
      </w:r>
      <w:r w:rsidRPr="003C482E">
        <w:t>-80</w:t>
      </w:r>
      <w:r w:rsidRPr="003C482E">
        <w:rPr>
          <w:vertAlign w:val="superscript"/>
        </w:rPr>
        <w:t>◦</w:t>
      </w:r>
      <w:r w:rsidRPr="003C482E">
        <w:t>C for later analysis.</w:t>
      </w:r>
    </w:p>
    <w:p w:rsidR="00A1362C" w:rsidRDefault="00A1362C" w:rsidP="00A1362C">
      <w:pPr>
        <w:pStyle w:val="Heading3"/>
      </w:pPr>
      <w:bookmarkStart w:id="132" w:name="_Toc376465801"/>
      <w:r>
        <w:t>Biopsies, RNA extraction</w:t>
      </w:r>
      <w:bookmarkEnd w:id="132"/>
    </w:p>
    <w:p w:rsidR="00A1362C" w:rsidRPr="003C482E" w:rsidRDefault="00A1362C" w:rsidP="00A1362C">
      <w:r>
        <w:t>Biopsies of subcutaneous adipose tissue and semitendinosus or semimembranosus muscle tissue were obtained under general anesthesia at baseline, one week, and end of treatment time periods for all dogs.  Approximately 1</w:t>
      </w:r>
      <w:r w:rsidRPr="00A4336B">
        <w:t>00mg samples were collected, placed in RNAlater® (AMBION, Inc., Austin, TX),</w:t>
      </w:r>
      <w:r>
        <w:t xml:space="preserve"> and f</w:t>
      </w:r>
      <w:r w:rsidRPr="003C482E">
        <w:t>rozen at -80</w:t>
      </w:r>
      <w:r w:rsidRPr="003C482E">
        <w:rPr>
          <w:vertAlign w:val="superscript"/>
        </w:rPr>
        <w:t>◦</w:t>
      </w:r>
      <w:r w:rsidRPr="003C482E">
        <w:t>C for later analysis.</w:t>
      </w:r>
    </w:p>
    <w:p w:rsidR="00A1362C" w:rsidRPr="003C482E" w:rsidRDefault="00A1362C" w:rsidP="00A1362C"/>
    <w:p w:rsidR="00A1362C" w:rsidRPr="00FB6007" w:rsidRDefault="00A1362C" w:rsidP="00A1362C">
      <w:r>
        <w:t>In preparation of RNA extraction, groupings of up to eight tissue samples were thawed to room temperature.  Muscle samples were disrupted and homogenized using 20G sterile Monoject</w:t>
      </w:r>
      <w:r>
        <w:rPr>
          <w:vertAlign w:val="superscript"/>
        </w:rPr>
        <w:t>TM</w:t>
      </w:r>
      <w:r>
        <w:t xml:space="preserve"> needles (Covidien</w:t>
      </w:r>
      <w:r>
        <w:rPr>
          <w:vertAlign w:val="superscript"/>
        </w:rPr>
        <w:t>TM</w:t>
      </w:r>
      <w:r>
        <w:t>, Mansfield, MA</w:t>
      </w:r>
      <w:r w:rsidRPr="00B4029B">
        <w:t>)</w:t>
      </w:r>
      <w:r>
        <w:t xml:space="preserve"> and the QIAGEN QIAshredder</w:t>
      </w:r>
      <w:r>
        <w:rPr>
          <w:vertAlign w:val="superscript"/>
        </w:rPr>
        <w:t>TM</w:t>
      </w:r>
      <w:r>
        <w:t xml:space="preserve"> kit (QIAGEN, Valencia, CA). Fat samples were disrupted and homogenized using TRIzol® reagent (</w:t>
      </w:r>
      <w:r w:rsidRPr="00921E8E">
        <w:t>invitrogen</w:t>
      </w:r>
      <w:r>
        <w:rPr>
          <w:vertAlign w:val="superscript"/>
        </w:rPr>
        <w:t>TM</w:t>
      </w:r>
      <w:r>
        <w:t xml:space="preserve">, Carlsbad, CA) </w:t>
      </w:r>
      <w:r w:rsidRPr="00921E8E">
        <w:t>and</w:t>
      </w:r>
      <w:r>
        <w:t xml:space="preserve"> a tissue homogenizer.  </w:t>
      </w:r>
      <w:r w:rsidRPr="003C482E">
        <w:t>Tot</w:t>
      </w:r>
      <w:r>
        <w:t>al RNA was extracted from homogenized sampl</w:t>
      </w:r>
      <w:r w:rsidRPr="00CD7D57">
        <w:t>es using the RN</w:t>
      </w:r>
      <w:r>
        <w:t xml:space="preserve">easy® Mini Kit (muscle) and RNeasy® Lipid Tissue Mini Kit (adipose; QIAGEN, Valencia, CA).  Total RNA concentration, purity, and quality were assessed for initial samples by measuring the 260/280 ratio (1.8-2.0) using the </w:t>
      </w:r>
      <w:r>
        <w:rPr>
          <w:color w:val="FF0000"/>
        </w:rPr>
        <w:t>ND-1000 Spectrophotometer (NanoDrop Technologies Inc., Wilmington, DE).</w:t>
      </w:r>
      <w:r>
        <w:t xml:space="preserve"> </w:t>
      </w:r>
    </w:p>
    <w:p w:rsidR="00A1362C" w:rsidRDefault="00A1362C" w:rsidP="00A1362C">
      <w:pPr>
        <w:pStyle w:val="Heading3"/>
      </w:pPr>
      <w:bookmarkStart w:id="133" w:name="_Toc376465802"/>
      <w:r>
        <w:t>Reverse transcription and real-time PCR</w:t>
      </w:r>
      <w:bookmarkEnd w:id="133"/>
    </w:p>
    <w:p w:rsidR="00A1362C" w:rsidRDefault="00A1362C" w:rsidP="00A1362C">
      <w:r>
        <w:t>Reverse transcription and real-time PCR of muscle tissue sam</w:t>
      </w:r>
      <w:r w:rsidRPr="00EE104F">
        <w:t>ples were carried out in a single reaction on the AB StepOne</w:t>
      </w:r>
      <w:r w:rsidRPr="00EE104F">
        <w:rPr>
          <w:vertAlign w:val="superscript"/>
        </w:rPr>
        <w:t>TM</w:t>
      </w:r>
      <w:r w:rsidRPr="00EE104F">
        <w:t xml:space="preserve"> Real-Time PCR System (Applied Biosystems, Foster City, CA) in a 10 µl mixture containing 3 µl total RNA, 5.25 µl TaqMan® RNA-to-C</w:t>
      </w:r>
      <w:r w:rsidRPr="00EE104F">
        <w:rPr>
          <w:vertAlign w:val="subscript"/>
        </w:rPr>
        <w:t>T</w:t>
      </w:r>
      <w:r w:rsidRPr="00EE104F">
        <w:rPr>
          <w:vertAlign w:val="superscript"/>
        </w:rPr>
        <w:t>TM</w:t>
      </w:r>
      <w:r w:rsidRPr="00EE104F">
        <w:t xml:space="preserve"> 1-Step Kit (5 µl Taq, 0.25 µl enzyme; Applied Biosystems, Foster City, CA)</w:t>
      </w:r>
      <w:r>
        <w:t xml:space="preserve">, 0.5 µl of each primer/probe mixture, and 1.25 µl RNAse free water.  The SIRT3 reaction varied slightly, with </w:t>
      </w:r>
      <w:r w:rsidRPr="00EE104F">
        <w:t xml:space="preserve">a 10 µl mixture containing </w:t>
      </w:r>
      <w:r>
        <w:t>5</w:t>
      </w:r>
      <w:r w:rsidRPr="00EE104F">
        <w:t xml:space="preserve"> µl total RNA, </w:t>
      </w:r>
      <w:r>
        <w:t>3</w:t>
      </w:r>
      <w:r w:rsidRPr="00EE104F">
        <w:t>.25 µl TaqMan® RNA-to-C</w:t>
      </w:r>
      <w:r w:rsidRPr="00EE104F">
        <w:rPr>
          <w:vertAlign w:val="subscript"/>
        </w:rPr>
        <w:t>T</w:t>
      </w:r>
      <w:r w:rsidRPr="00EE104F">
        <w:rPr>
          <w:vertAlign w:val="superscript"/>
        </w:rPr>
        <w:t>TM</w:t>
      </w:r>
      <w:r w:rsidRPr="00EE104F">
        <w:t xml:space="preserve"> 1-Step Kit  (</w:t>
      </w:r>
      <w:r>
        <w:t>3</w:t>
      </w:r>
      <w:r w:rsidRPr="00EE104F">
        <w:t xml:space="preserve"> µl Taq, 0.25 µl</w:t>
      </w:r>
      <w:r>
        <w:t xml:space="preserve"> enzyme), 0.5 µl primer/probe mixture, and 1.25 µl RNAse free water.  </w:t>
      </w:r>
    </w:p>
    <w:p w:rsidR="00A1362C" w:rsidRDefault="00A1362C" w:rsidP="00A1362C">
      <w:r>
        <w:t>Reverse transcription and real-time PCR of fat tissue sam</w:t>
      </w:r>
      <w:r w:rsidRPr="00EE104F">
        <w:t xml:space="preserve">ples were carried out in a </w:t>
      </w:r>
      <w:r>
        <w:t xml:space="preserve">similar </w:t>
      </w:r>
      <w:r w:rsidRPr="00EE104F">
        <w:t>single reaction in a 10 µl mixture contain</w:t>
      </w:r>
      <w:r w:rsidRPr="00A3463E">
        <w:t>ing 3 µl total RNA, 5.25 µl TaqMan® RNA-to-C</w:t>
      </w:r>
      <w:r w:rsidRPr="00A3463E">
        <w:rPr>
          <w:vertAlign w:val="subscript"/>
        </w:rPr>
        <w:t>T</w:t>
      </w:r>
      <w:r w:rsidRPr="00A3463E">
        <w:rPr>
          <w:vertAlign w:val="superscript"/>
        </w:rPr>
        <w:t>TM</w:t>
      </w:r>
      <w:r w:rsidRPr="00A3463E">
        <w:t xml:space="preserve"> 1-Step Kit  (5 µl Taq, 0.25 µl enzyme;), 0.5 µl of each primer/probe mixture, and 1.25 µl RNAse free wat</w:t>
      </w:r>
      <w:r>
        <w:t xml:space="preserve">er.  GAPDH reactions also contained </w:t>
      </w:r>
      <w:r w:rsidRPr="00793332">
        <w:t xml:space="preserve">0.2 µl ROX Reference Dye (Clontech Laboratories, Inc.; Mountain View, CA) </w:t>
      </w:r>
      <w:r>
        <w:t>and corresponding reduced 1.05 µl RNAse free water.</w:t>
      </w:r>
    </w:p>
    <w:p w:rsidR="00A1362C" w:rsidRDefault="00A1362C" w:rsidP="00A1362C"/>
    <w:p w:rsidR="00A1362C" w:rsidRPr="00155C01" w:rsidRDefault="00A1362C" w:rsidP="00A1362C">
      <w:r w:rsidRPr="00C53EB4">
        <w:t>The real-time PCR conditions were</w:t>
      </w:r>
      <w:r w:rsidRPr="00B871D4">
        <w:t xml:space="preserve"> 48</w:t>
      </w:r>
      <w:r w:rsidRPr="00B871D4">
        <w:rPr>
          <w:vertAlign w:val="superscript"/>
        </w:rPr>
        <w:t>◦</w:t>
      </w:r>
      <w:r w:rsidRPr="00B871D4">
        <w:t>C for 30 minutes and 95</w:t>
      </w:r>
      <w:r w:rsidRPr="00B871D4">
        <w:rPr>
          <w:vertAlign w:val="superscript"/>
        </w:rPr>
        <w:t>◦</w:t>
      </w:r>
      <w:r w:rsidRPr="00B871D4">
        <w:t>C for 10 minutes, followed by 45 cycles of 95</w:t>
      </w:r>
      <w:r w:rsidRPr="00B871D4">
        <w:rPr>
          <w:vertAlign w:val="superscript"/>
        </w:rPr>
        <w:t>◦</w:t>
      </w:r>
      <w:r w:rsidRPr="00B871D4">
        <w:t>C for 15 seconds and 60</w:t>
      </w:r>
      <w:r w:rsidRPr="00B871D4">
        <w:rPr>
          <w:vertAlign w:val="superscript"/>
        </w:rPr>
        <w:t>◦</w:t>
      </w:r>
      <w:r w:rsidRPr="00B871D4">
        <w:t>C for 1 minute.  The relative amount of gene expression was ob</w:t>
      </w:r>
      <w:r>
        <w:t>tained from the fluorescence cycle threshold (CT).  Relative transcript levels were calculated by the 2</w:t>
      </w:r>
      <w:r>
        <w:rPr>
          <w:vertAlign w:val="superscript"/>
        </w:rPr>
        <w:t>-ΔΔCT</w:t>
      </w:r>
      <w:r>
        <w:t xml:space="preserve"> method, and samples were normalized to the B2M (m</w:t>
      </w:r>
      <w:r w:rsidRPr="00C53EB4">
        <w:t>uscle) or GAPDH (fat) reference gene expression.</w:t>
      </w:r>
      <w:r>
        <w:fldChar w:fldCharType="begin"/>
      </w:r>
      <w:r w:rsidR="000A492A">
        <w:instrText xml:space="preserve"> ADDIN ZOTERO_ITEM CSL_CITATION {"citationID":"1PfhnXmH","properties":{"formattedCitation":"{\\rtf \\super 403\\nosupersub{}}","plainCitation":"403"},"citationItems":[{"id":1596,"uris":["http://zotero.org/users/171999/items/KVPTBTIF"],"uri":["http://zotero.org/users/171999/items/KVPTBTIF"],"itemData":{"id":1596,"type":"article-journal","title":"Analysis of relative gene expression data using real-time quantitative PCR and the 2(-Delta Delta C(T)) Method","container-title":"Methods (San Diego, Calif.)","page":"402-408","volume":"25","issue":"4","source":"NCBI PubMed","abstract":"The two most commonly used methods to analyze data from real-time, quantitative PCR experiments are absolute quantification and relative quantification. Absolute quantification determines the input copy number, usually by relating the PCR signal to a standard curve. Relative quantification relates the PCR signal of the target transcript in a treatment group to that of another sample such as an untreated control. The 2(-Delta Delta C(T)) method is a convenient way to analyze the relative changes in gene expression from real-time quantitative PCR experiments. The purpose of this report is to present the derivation, assumptions, and applications of the 2(-Delta Delta C(T)) method. In addition, we present the derivation and applications of two variations of the 2(-Delta Delta C(T)) method that may be useful in the analysis of real-time, quantitative PCR data.","DOI":"10.1006/meth.2001.1262","ISSN":"1046-2023","note":"PMID: 11846609","journalAbbreviation":"Methods","language":"eng","author":[{"family":"Livak","given":"K J"},{"family":"Schmittgen","given":"T D"}],"issued":{"date-parts":[["2001",12]]},"PMID":"11846609"}}],"schema":"https://github.com/citation-style-language/schema/raw/master/csl-citation.json"} </w:instrText>
      </w:r>
      <w:r>
        <w:fldChar w:fldCharType="separate"/>
      </w:r>
      <w:r w:rsidR="000A492A" w:rsidRPr="000A492A">
        <w:rPr>
          <w:vertAlign w:val="superscript"/>
        </w:rPr>
        <w:t>403</w:t>
      </w:r>
      <w:r>
        <w:fldChar w:fldCharType="end"/>
      </w:r>
    </w:p>
    <w:p w:rsidR="00A1362C" w:rsidRDefault="00A1362C" w:rsidP="00A1362C"/>
    <w:p w:rsidR="00A1362C" w:rsidRPr="00401ED5" w:rsidRDefault="00A1362C" w:rsidP="00A1362C">
      <w:r>
        <w:t>Most primers and probes were obtained from Applied Biosystems TaqMan® Assays-on-Demand</w:t>
      </w:r>
      <w:r>
        <w:rPr>
          <w:vertAlign w:val="superscript"/>
        </w:rPr>
        <w:t>TM</w:t>
      </w:r>
      <w:r>
        <w:t xml:space="preserve"> Gene Expression primers and probe set collection </w:t>
      </w:r>
      <w:r w:rsidRPr="00EE104F">
        <w:t>(</w:t>
      </w:r>
      <w:r>
        <w:t xml:space="preserve">Catalogue #4351372; </w:t>
      </w:r>
      <w:r w:rsidRPr="00EE104F">
        <w:t>Applied Biosystems, Foster City, CA</w:t>
      </w:r>
      <w:r>
        <w:t xml:space="preserve">; </w:t>
      </w:r>
      <w:r w:rsidRPr="00126839">
        <w:rPr>
          <w:color w:val="FF0000"/>
        </w:rPr>
        <w:t>Table 1</w:t>
      </w:r>
      <w:r w:rsidR="00D9305C">
        <w:rPr>
          <w:color w:val="FF0000"/>
        </w:rPr>
        <w:t>7</w:t>
      </w:r>
      <w:r w:rsidRPr="00EE104F">
        <w:t>)</w:t>
      </w:r>
      <w:r>
        <w:t>. GAPDH was designed using Integrated DNA Technologies PrimeTime® Std qPCR Assay (Integrated DNA Technologies, Coralville, IA) based on previously published sequences.</w:t>
      </w:r>
      <w:r>
        <w:fldChar w:fldCharType="begin"/>
      </w:r>
      <w:r w:rsidR="000A492A">
        <w:instrText xml:space="preserve"> ADDIN ZOTERO_ITEM CSL_CITATION {"citationID":"Mob7k6Et","properties":{"formattedCitation":"{\\rtf \\super 404\\nosupersub{}}","plainCitation":"404"},"citationItems":[{"id":1598,"uris":["http://zotero.org/users/171999/items/G83PPHE3"],"uri":["http://zotero.org/users/171999/items/G83PPHE3"],"itemData":{"id":1598,"type":"article-journal","title":"Expression stability of commonly used reference genes in canine articular connective tissues","container-title":"BMC veterinary research","page":"7","volume":"3","source":"NCBI PubMed","abstract":"BACKGROUND: The quantification of gene expression in tissue samples requires the use of reference genes to normalise transcript numbers between different samples. Reference gene stability may vary between different tissues, and between the same tissue in different disease states. We evaluated the stability of 9 reference genes commonly used in human gene expression studies. Real-time reverse transcription PCR and a mathematical algorithm were used to establish which reference genes were most stably expressed in normal and diseased canine articular tissues and two canine cell lines stimulated with lipolysaccaride (LPS).\nRESULTS: The optimal reference genes for comparing gene expression data between normal and diseased infrapatella fat pad were RPL13A and YWHAZ (M = 0.56). The ideal reference genes for comparing normal and osteoarthritic (OA) cartilage were RPL13A and SDHA (M = 0.57). The best reference genes for comparing normal and ruptured canine cranial cruciate ligament were B2M and TBP (M = 0.59). The best reference genes for normalising gene expression data from normal and LPS stimulated cell lines were SDHA and YWHAZ (K6) or SDHA and HMBS (DH82), which had expression stability (M) values of 0.05 (K6) and 0.07 (DH82) respectively. The number of reference genes required to reduce pairwise variation (V) to &lt;0.20 was 4 for cell lines, 5 for cartilage, 7 for cranial cruciate ligament and 8 for fat tissue. Reference gene stability was not related to the level of gene expression.\nCONCLUSION: The reference genes demonstrating the most stable expression within each different canine articular tissue were identified, but no single reference gene was identified as having stable expression in all different tissue types. This study underlines the necessity to select reference genes on the basis of tissue and disease specific expression profile evaluation and highlights the requirement for the identification of new reference genes with greater expression stability for use in canine articular tissue gene expression studies.","DOI":"10.1186/1746-6148-3-7","ISSN":"1746-6148","note":"PMID: 17484782","journalAbbreviation":"BMC Vet. Res.","language":"eng","author":[{"family":"Ayers","given":"Duncan"},{"family":"Clements","given":"Dylan N"},{"family":"Salway","given":"Fiona"},{"family":"Day","given":"Philip J R"}],"issued":{"date-parts":[["2007"]]},"PMID":"17484782"}}],"schema":"https://github.com/citation-style-language/schema/raw/master/csl-citation.json"} </w:instrText>
      </w:r>
      <w:r>
        <w:fldChar w:fldCharType="separate"/>
      </w:r>
      <w:r w:rsidR="000A492A" w:rsidRPr="000A492A">
        <w:rPr>
          <w:vertAlign w:val="superscript"/>
        </w:rPr>
        <w:t>404</w:t>
      </w:r>
      <w:r>
        <w:fldChar w:fldCharType="end"/>
      </w:r>
      <w:r>
        <w:t xml:space="preserve">  The sequence information for GAPDH was as follows: 72-</w:t>
      </w:r>
      <w:r w:rsidRPr="00401ED5">
        <w:t>bp</w:t>
      </w:r>
      <w:r>
        <w:t xml:space="preserve"> product sense, </w:t>
      </w:r>
      <w:r w:rsidRPr="00401ED5">
        <w:t>5’</w:t>
      </w:r>
      <w:r>
        <w:t>-</w:t>
      </w:r>
      <w:r w:rsidRPr="00401ED5">
        <w:t>CTG</w:t>
      </w:r>
      <w:r>
        <w:t xml:space="preserve"> </w:t>
      </w:r>
      <w:r w:rsidRPr="00401ED5">
        <w:t>GGG</w:t>
      </w:r>
      <w:r>
        <w:t xml:space="preserve"> </w:t>
      </w:r>
      <w:r w:rsidRPr="00401ED5">
        <w:t>CTC</w:t>
      </w:r>
      <w:r>
        <w:t xml:space="preserve"> </w:t>
      </w:r>
      <w:r w:rsidRPr="00401ED5">
        <w:t>ACT</w:t>
      </w:r>
      <w:r>
        <w:t xml:space="preserve"> </w:t>
      </w:r>
      <w:r w:rsidRPr="00401ED5">
        <w:t>TGA</w:t>
      </w:r>
      <w:r>
        <w:t xml:space="preserve"> </w:t>
      </w:r>
      <w:r w:rsidRPr="00401ED5">
        <w:t>AAG</w:t>
      </w:r>
      <w:r>
        <w:t xml:space="preserve"> </w:t>
      </w:r>
      <w:r w:rsidRPr="00401ED5">
        <w:t>G-3’, and antisense, 5’</w:t>
      </w:r>
      <w:r>
        <w:t>-</w:t>
      </w:r>
      <w:r w:rsidRPr="00401ED5">
        <w:t>CAA</w:t>
      </w:r>
      <w:r>
        <w:t xml:space="preserve"> </w:t>
      </w:r>
      <w:r w:rsidRPr="00401ED5">
        <w:t>ACA</w:t>
      </w:r>
      <w:r>
        <w:t xml:space="preserve"> </w:t>
      </w:r>
      <w:r w:rsidRPr="00401ED5">
        <w:t>TGG</w:t>
      </w:r>
      <w:r>
        <w:t xml:space="preserve"> </w:t>
      </w:r>
      <w:r w:rsidRPr="00401ED5">
        <w:t>GGG</w:t>
      </w:r>
      <w:r>
        <w:t xml:space="preserve"> </w:t>
      </w:r>
      <w:r w:rsidRPr="00401ED5">
        <w:t>CAT</w:t>
      </w:r>
      <w:r>
        <w:t xml:space="preserve"> </w:t>
      </w:r>
      <w:r w:rsidRPr="00401ED5">
        <w:t>CAG-3’</w:t>
      </w:r>
      <w:r>
        <w:t>; and Taqman pro</w:t>
      </w:r>
      <w:r w:rsidRPr="00401ED5">
        <w:t>be, 5’-AGC</w:t>
      </w:r>
      <w:r>
        <w:t xml:space="preserve"> </w:t>
      </w:r>
      <w:r w:rsidRPr="00401ED5">
        <w:t>AGA</w:t>
      </w:r>
      <w:r>
        <w:t xml:space="preserve"> </w:t>
      </w:r>
      <w:r w:rsidRPr="00401ED5">
        <w:t>GAT</w:t>
      </w:r>
      <w:r>
        <w:t xml:space="preserve"> </w:t>
      </w:r>
      <w:r w:rsidRPr="00401ED5">
        <w:t>GAT</w:t>
      </w:r>
      <w:r>
        <w:t xml:space="preserve"> </w:t>
      </w:r>
      <w:r w:rsidRPr="00401ED5">
        <w:t>GAC</w:t>
      </w:r>
      <w:r>
        <w:t xml:space="preserve"> </w:t>
      </w:r>
      <w:r w:rsidRPr="00401ED5">
        <w:t>CCT</w:t>
      </w:r>
      <w:r>
        <w:t xml:space="preserve"> </w:t>
      </w:r>
      <w:r w:rsidRPr="00401ED5">
        <w:t>CTT</w:t>
      </w:r>
      <w:r>
        <w:t xml:space="preserve"> </w:t>
      </w:r>
      <w:r w:rsidRPr="00401ED5">
        <w:t>GGC</w:t>
      </w:r>
      <w:r>
        <w:t>-</w:t>
      </w:r>
      <w:r w:rsidRPr="00401ED5">
        <w:t>3’</w:t>
      </w:r>
      <w:r w:rsidRPr="00126839">
        <w:rPr>
          <w:color w:val="FF0000"/>
        </w:rPr>
        <w:t xml:space="preserve">(Figure </w:t>
      </w:r>
      <w:r>
        <w:rPr>
          <w:color w:val="FF0000"/>
        </w:rPr>
        <w:t>2</w:t>
      </w:r>
      <w:r w:rsidR="00D9305C">
        <w:rPr>
          <w:color w:val="FF0000"/>
        </w:rPr>
        <w:t>7</w:t>
      </w:r>
      <w:r>
        <w:t>).</w:t>
      </w:r>
      <w:r w:rsidRPr="00401ED5">
        <w:t xml:space="preserve"> </w:t>
      </w:r>
    </w:p>
    <w:p w:rsidR="00A1362C" w:rsidRDefault="00A1362C" w:rsidP="00A1362C"/>
    <w:p w:rsidR="00A1362C" w:rsidRPr="00D226EC" w:rsidRDefault="00A1362C" w:rsidP="00A1362C">
      <w:r>
        <w:t xml:space="preserve">All samples were run in triplicate for each gene.  Triplicates were averaged and analyzed together if the difference between CT values was &lt;1.  If the difference between CT values was &gt;1, duplicate differences were calculated.  If a duplicate had a difference between CT values &lt;1, that pairing was kept and the outlier was dropped from analysis.  If two or more duplicates had differences between CT values &gt;1, a new analysis of that gene was performed.  If the reference gene needed a new analysis based on these criteria, PCR was repeated for all genes corresponding to that RNA sample.  If &gt; </w:t>
      </w:r>
      <w:r>
        <w:rPr>
          <w:color w:val="FF0000"/>
        </w:rPr>
        <w:t>5 genes</w:t>
      </w:r>
      <w:r>
        <w:t xml:space="preserve"> on a single reaction plate needed to be repeated, the entire reaction was performed again.</w:t>
      </w:r>
      <w:r w:rsidRPr="000A65B0">
        <w:t xml:space="preserve"> </w:t>
      </w:r>
    </w:p>
    <w:p w:rsidR="00A1362C" w:rsidRDefault="00A1362C" w:rsidP="00A1362C">
      <w:pPr>
        <w:pStyle w:val="Heading3"/>
      </w:pPr>
      <w:bookmarkStart w:id="134" w:name="_Toc376465803"/>
      <w:r>
        <w:t>ELISA</w:t>
      </w:r>
      <w:bookmarkEnd w:id="134"/>
    </w:p>
    <w:p w:rsidR="00A1362C" w:rsidRDefault="00A1362C" w:rsidP="00A1362C">
      <w:r>
        <w:t xml:space="preserve">Previously frozen serum samples were thawed to room temperature prior to use.  Canine adiponectin was analyzed at three time points (0, 120, 420 minutes) from three sample dates (baseline, one week, twelve </w:t>
      </w:r>
      <w:r w:rsidR="00D9305C">
        <w:t>weeks into treatment) for all 18</w:t>
      </w:r>
      <w:r>
        <w:t xml:space="preserve"> dogs.  Canine adiponectin sandwich ELISA kits were obtained from EMD Millipore (St. Charles, MO) and anal</w:t>
      </w:r>
      <w:r w:rsidR="00D9305C">
        <w:t xml:space="preserve">ysis was performed according to </w:t>
      </w:r>
      <w:r>
        <w:t>manufacturer instructions.  All samples, controls, and standards were run in duplicate and no samples from the same collection date for a single dog were run on the same plate.  Absorbance was read at 450 nm on an E</w:t>
      </w:r>
      <w:r w:rsidRPr="00B871D4">
        <w:t>L x 800 Universal Microplate Reader (Bio-Tek Instruments; Winooski, VT) and analyzed using Gen5 2.01.14 software (Bio-Tek Instruments; Winooski, VT).</w:t>
      </w:r>
      <w:r>
        <w:t xml:space="preserve">  </w:t>
      </w:r>
    </w:p>
    <w:p w:rsidR="00D9305C" w:rsidRDefault="00D9305C" w:rsidP="00D9305C">
      <w:pPr>
        <w:pStyle w:val="Caption"/>
        <w:sectPr w:rsidR="00D9305C" w:rsidSect="00F92278">
          <w:pgSz w:w="12240" w:h="15840" w:code="1"/>
          <w:pgMar w:top="1440" w:right="1800" w:bottom="1872" w:left="1800" w:header="720" w:footer="1440" w:gutter="0"/>
          <w:cols w:space="720"/>
          <w:noEndnote/>
          <w:docGrid w:linePitch="360"/>
        </w:sectPr>
      </w:pPr>
    </w:p>
    <w:p w:rsidR="00D9305C" w:rsidRDefault="00D9305C" w:rsidP="00D9305C">
      <w:pPr>
        <w:pStyle w:val="Caption"/>
      </w:pPr>
      <w:bookmarkStart w:id="135" w:name="_Toc376465839"/>
      <w:r>
        <w:t xml:space="preserve">Table </w:t>
      </w:r>
      <w:fldSimple w:instr=" SEQ Table \* ARABIC ">
        <w:r w:rsidR="00736DB0">
          <w:rPr>
            <w:noProof/>
          </w:rPr>
          <w:t>17</w:t>
        </w:r>
      </w:fldSimple>
      <w:r>
        <w:t xml:space="preserve"> </w:t>
      </w:r>
      <w:r w:rsidRPr="00C4542D">
        <w:t>Sequences for primers and probes</w:t>
      </w:r>
      <w:bookmarkEnd w:id="135"/>
    </w:p>
    <w:tbl>
      <w:tblPr>
        <w:tblStyle w:val="TableClassic1"/>
        <w:tblW w:w="0" w:type="auto"/>
        <w:tblLook w:val="04A0" w:firstRow="1" w:lastRow="0" w:firstColumn="1" w:lastColumn="0" w:noHBand="0" w:noVBand="1"/>
      </w:tblPr>
      <w:tblGrid>
        <w:gridCol w:w="1030"/>
        <w:gridCol w:w="5070"/>
        <w:gridCol w:w="2723"/>
        <w:gridCol w:w="1870"/>
      </w:tblGrid>
      <w:tr w:rsidR="00D9305C" w:rsidRPr="00A3463E" w:rsidTr="00235F42">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tcPr>
          <w:p w:rsidR="00D9305C" w:rsidRPr="00A3463E" w:rsidRDefault="00D9305C" w:rsidP="00235F42">
            <w:pPr>
              <w:rPr>
                <w:b/>
              </w:rPr>
            </w:pPr>
            <w:r w:rsidRPr="00A3463E">
              <w:rPr>
                <w:b/>
              </w:rPr>
              <w:t>Gene</w:t>
            </w:r>
          </w:p>
        </w:tc>
        <w:tc>
          <w:tcPr>
            <w:tcW w:w="0" w:type="auto"/>
          </w:tcPr>
          <w:p w:rsidR="00D9305C" w:rsidRPr="00A3463E" w:rsidRDefault="00D9305C" w:rsidP="00235F42">
            <w:pPr>
              <w:cnfStyle w:val="100000000000" w:firstRow="1" w:lastRow="0" w:firstColumn="0" w:lastColumn="0" w:oddVBand="0" w:evenVBand="0" w:oddHBand="0" w:evenHBand="0" w:firstRowFirstColumn="0" w:firstRowLastColumn="0" w:lastRowFirstColumn="0" w:lastRowLastColumn="0"/>
              <w:rPr>
                <w:b/>
              </w:rPr>
            </w:pPr>
            <w:r w:rsidRPr="00A3463E">
              <w:rPr>
                <w:b/>
              </w:rPr>
              <w:t>Primers context (sense) sequence</w:t>
            </w:r>
          </w:p>
        </w:tc>
        <w:tc>
          <w:tcPr>
            <w:tcW w:w="0" w:type="auto"/>
          </w:tcPr>
          <w:p w:rsidR="00D9305C" w:rsidRPr="00A3463E" w:rsidRDefault="00D9305C" w:rsidP="00235F42">
            <w:pPr>
              <w:cnfStyle w:val="100000000000" w:firstRow="1" w:lastRow="0" w:firstColumn="0" w:lastColumn="0" w:oddVBand="0" w:evenVBand="0" w:oddHBand="0" w:evenHBand="0" w:firstRowFirstColumn="0" w:firstRowLastColumn="0" w:lastRowFirstColumn="0" w:lastRowLastColumn="0"/>
              <w:rPr>
                <w:b/>
              </w:rPr>
            </w:pPr>
            <w:r w:rsidRPr="00A3463E">
              <w:rPr>
                <w:b/>
              </w:rPr>
              <w:t>Amplicon Length (Bp)</w:t>
            </w:r>
          </w:p>
        </w:tc>
        <w:tc>
          <w:tcPr>
            <w:tcW w:w="0" w:type="auto"/>
          </w:tcPr>
          <w:p w:rsidR="00D9305C" w:rsidRPr="00A3463E" w:rsidRDefault="00D9305C" w:rsidP="00235F42">
            <w:pPr>
              <w:cnfStyle w:val="100000000000" w:firstRow="1" w:lastRow="0" w:firstColumn="0" w:lastColumn="0" w:oddVBand="0" w:evenVBand="0" w:oddHBand="0" w:evenHBand="0" w:firstRowFirstColumn="0" w:firstRowLastColumn="0" w:lastRowFirstColumn="0" w:lastRowLastColumn="0"/>
              <w:rPr>
                <w:b/>
              </w:rPr>
            </w:pPr>
            <w:r w:rsidRPr="00A3463E">
              <w:rPr>
                <w:b/>
              </w:rPr>
              <w:t>Assay number</w:t>
            </w:r>
          </w:p>
        </w:tc>
      </w:tr>
      <w:tr w:rsidR="00D9305C" w:rsidRPr="00A3463E" w:rsidTr="00235F42">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9305C" w:rsidRPr="00A3463E" w:rsidRDefault="00D9305C" w:rsidP="00235F42">
            <w:r w:rsidRPr="00A3463E">
              <w:t>B2M</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5’GATCGTTAAGTGGGACCGAGACAAC-3’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59</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Cf02659078</w:t>
            </w:r>
          </w:p>
        </w:tc>
      </w:tr>
      <w:tr w:rsidR="00D9305C" w:rsidRPr="00A3463E" w:rsidTr="00235F42">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9305C" w:rsidRPr="00A3463E" w:rsidRDefault="00D9305C" w:rsidP="00235F42">
            <w:r w:rsidRPr="00A3463E">
              <w:t>FASN</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5’CCACTTACTGGGCATGGCCGTCTTC-3’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86</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Cf02649409</w:t>
            </w:r>
          </w:p>
        </w:tc>
      </w:tr>
      <w:tr w:rsidR="00D9305C" w:rsidRPr="00A3463E" w:rsidTr="00235F42">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9305C" w:rsidRPr="00A3463E" w:rsidRDefault="00D9305C" w:rsidP="00235F42">
            <w:r w:rsidRPr="00A3463E">
              <w:t>NRF1</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5’GCAGTGGCTGATGGAGAGGTGGAAC-3’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96</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Cf02703906</w:t>
            </w:r>
          </w:p>
        </w:tc>
      </w:tr>
      <w:tr w:rsidR="00D9305C" w:rsidRPr="00A3463E" w:rsidTr="00235F42">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9305C" w:rsidRPr="00A3463E" w:rsidRDefault="00D9305C" w:rsidP="00235F42">
            <w:r w:rsidRPr="00A3463E">
              <w:t>PGC1A</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5’AGAGGCAGAGGCAGAAGGCAATTGA-3’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93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Cf02707650</w:t>
            </w:r>
          </w:p>
        </w:tc>
      </w:tr>
      <w:tr w:rsidR="00D9305C" w:rsidRPr="00A3463E" w:rsidTr="00235F42">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9305C" w:rsidRPr="00A3463E" w:rsidRDefault="00D9305C" w:rsidP="00235F42">
            <w:r w:rsidRPr="00A3463E">
              <w:t>SIRT1</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5’AAACGGCTTGATGGTAACCAGTATC-3’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84</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Cf02666196</w:t>
            </w:r>
          </w:p>
        </w:tc>
      </w:tr>
      <w:tr w:rsidR="00D9305C" w:rsidRPr="00A3463E" w:rsidTr="00235F42">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9305C" w:rsidRPr="00A3463E" w:rsidRDefault="00D9305C" w:rsidP="00235F42">
            <w:r w:rsidRPr="00A3463E">
              <w:t>SIRT3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5’CTGGGGCCCGGCAGGGTGGAGGAGT-3’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139</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Cf02664398</w:t>
            </w:r>
          </w:p>
        </w:tc>
      </w:tr>
      <w:tr w:rsidR="00D9305C" w:rsidRPr="00A3463E" w:rsidTr="00235F42">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9305C" w:rsidRPr="00A3463E" w:rsidRDefault="00D9305C" w:rsidP="00235F42">
            <w:r w:rsidRPr="00A3463E">
              <w:t>UCP2</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5’ TCATGACAGATGACCTCCCTTGCCA-3’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93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Cf02730413</w:t>
            </w:r>
          </w:p>
        </w:tc>
      </w:tr>
      <w:tr w:rsidR="00D9305C" w:rsidRPr="00A3463E" w:rsidTr="00235F42">
        <w:trPr>
          <w:trHeight w:val="432"/>
        </w:trPr>
        <w:tc>
          <w:tcPr>
            <w:cnfStyle w:val="001000000000" w:firstRow="0" w:lastRow="0" w:firstColumn="1" w:lastColumn="0" w:oddVBand="0" w:evenVBand="0" w:oddHBand="0" w:evenHBand="0" w:firstRowFirstColumn="0" w:firstRowLastColumn="0" w:lastRowFirstColumn="0" w:lastRowLastColumn="0"/>
            <w:tcW w:w="0" w:type="auto"/>
          </w:tcPr>
          <w:p w:rsidR="00D9305C" w:rsidRPr="00A3463E" w:rsidRDefault="00D9305C" w:rsidP="00235F42">
            <w:r w:rsidRPr="00A3463E">
              <w:t>UCP3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5’-GGATCAGACCACTCCAGCATCACTA-3’</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91</w:t>
            </w:r>
          </w:p>
        </w:tc>
        <w:tc>
          <w:tcPr>
            <w:tcW w:w="0" w:type="auto"/>
          </w:tcPr>
          <w:p w:rsidR="00D9305C" w:rsidRPr="00A3463E" w:rsidRDefault="00D9305C" w:rsidP="00235F42">
            <w:pPr>
              <w:cnfStyle w:val="000000000000" w:firstRow="0" w:lastRow="0" w:firstColumn="0" w:lastColumn="0" w:oddVBand="0" w:evenVBand="0" w:oddHBand="0" w:evenHBand="0" w:firstRowFirstColumn="0" w:firstRowLastColumn="0" w:lastRowFirstColumn="0" w:lastRowLastColumn="0"/>
            </w:pPr>
            <w:r w:rsidRPr="00A3463E">
              <w:t>Cf02621970</w:t>
            </w:r>
          </w:p>
        </w:tc>
      </w:tr>
    </w:tbl>
    <w:p w:rsidR="00D9305C" w:rsidRDefault="00D9305C" w:rsidP="00A1362C">
      <w:pPr>
        <w:sectPr w:rsidR="00D9305C" w:rsidSect="00D9305C">
          <w:pgSz w:w="15840" w:h="12240" w:orient="landscape" w:code="1"/>
          <w:pgMar w:top="1800" w:right="1440" w:bottom="1800" w:left="1872" w:header="720" w:footer="1440" w:gutter="0"/>
          <w:cols w:space="720"/>
          <w:noEndnote/>
          <w:docGrid w:linePitch="360"/>
        </w:sectPr>
      </w:pPr>
    </w:p>
    <w:p w:rsidR="00D9305C" w:rsidRPr="00CC21E8" w:rsidRDefault="00D9305C" w:rsidP="00D9305C">
      <w:pPr>
        <w:shd w:val="clear" w:color="auto" w:fill="FFFFFF"/>
        <w:textAlignment w:val="top"/>
        <w:rPr>
          <w:b/>
          <w:bCs/>
          <w:color w:val="0E3A79"/>
        </w:rPr>
      </w:pPr>
      <w:r w:rsidRPr="00CC21E8">
        <w:rPr>
          <w:b/>
          <w:bCs/>
          <w:color w:val="0E3A79"/>
        </w:rPr>
        <w:t xml:space="preserve">Parameter Set: </w:t>
      </w:r>
    </w:p>
    <w:p w:rsidR="00D9305C" w:rsidRPr="00065E7F" w:rsidRDefault="00D9305C" w:rsidP="00D9305C">
      <w:pPr>
        <w:shd w:val="clear" w:color="auto" w:fill="FFFFFF"/>
        <w:textAlignment w:val="top"/>
        <w:rPr>
          <w:color w:val="232323"/>
        </w:rPr>
      </w:pPr>
      <w:r w:rsidRPr="00CC21E8">
        <w:rPr>
          <w:color w:val="232323"/>
        </w:rPr>
        <w:t>RT-qPCR (Primers with Probe</w:t>
      </w:r>
      <w:proofErr w:type="gramStart"/>
      <w:r w:rsidRPr="00CC21E8">
        <w:rPr>
          <w:color w:val="232323"/>
        </w:rPr>
        <w:t>)  Amplicon</w:t>
      </w:r>
      <w:proofErr w:type="gramEnd"/>
      <w:r w:rsidRPr="00CC21E8">
        <w:rPr>
          <w:color w:val="232323"/>
        </w:rPr>
        <w:t xml:space="preserve"> length = 72</w:t>
      </w:r>
      <w:r w:rsidRPr="00CC21E8">
        <w:rPr>
          <w:color w:val="232323"/>
        </w:rPr>
        <w:object w:dxaOrig="0" w:dyaOrig="0">
          <v:shape id="_x0000_i1833" type="#_x0000_t75" style="width:1in;height:18pt" o:ole="">
            <v:imagedata r:id="rId62" o:title=""/>
          </v:shape>
          <w:control r:id="rId63" w:name="DefaultOcxName2" w:shapeid="_x0000_i1833"/>
        </w:object>
      </w:r>
      <w:r w:rsidRPr="00CC21E8">
        <w:rPr>
          <w:color w:val="232323"/>
        </w:rPr>
        <w:object w:dxaOrig="0" w:dyaOrig="0">
          <v:shape id="_x0000_i1832" type="#_x0000_t75" style="width:1in;height:18pt" o:ole="">
            <v:imagedata r:id="rId64" o:title=""/>
          </v:shape>
          <w:control r:id="rId65" w:name="DefaultOcxName11" w:shapeid="_x0000_i1832"/>
        </w:object>
      </w:r>
    </w:p>
    <w:tbl>
      <w:tblPr>
        <w:tblW w:w="0" w:type="auto"/>
        <w:tblCellSpacing w:w="15" w:type="dxa"/>
        <w:tblCellMar>
          <w:top w:w="225" w:type="dxa"/>
          <w:left w:w="15" w:type="dxa"/>
          <w:bottom w:w="15" w:type="dxa"/>
          <w:right w:w="15" w:type="dxa"/>
        </w:tblCellMar>
        <w:tblLook w:val="04A0" w:firstRow="1" w:lastRow="0" w:firstColumn="1" w:lastColumn="0" w:noHBand="0" w:noVBand="1"/>
      </w:tblPr>
      <w:tblGrid>
        <w:gridCol w:w="5278"/>
        <w:gridCol w:w="687"/>
        <w:gridCol w:w="674"/>
        <w:gridCol w:w="915"/>
        <w:gridCol w:w="527"/>
        <w:gridCol w:w="769"/>
      </w:tblGrid>
      <w:tr w:rsidR="00D9305C" w:rsidRPr="00CC21E8" w:rsidTr="00235F42">
        <w:trPr>
          <w:tblCellSpacing w:w="15" w:type="dxa"/>
        </w:trPr>
        <w:tc>
          <w:tcPr>
            <w:tcW w:w="0" w:type="auto"/>
            <w:shd w:val="clear" w:color="auto" w:fill="auto"/>
            <w:tcMar>
              <w:top w:w="30" w:type="dxa"/>
              <w:left w:w="75" w:type="dxa"/>
              <w:bottom w:w="30" w:type="dxa"/>
              <w:right w:w="75" w:type="dxa"/>
            </w:tcMar>
            <w:vAlign w:val="center"/>
            <w:hideMark/>
          </w:tcPr>
          <w:p w:rsidR="00D9305C" w:rsidRPr="00CC21E8" w:rsidRDefault="00D9305C" w:rsidP="00235F42"/>
        </w:tc>
        <w:tc>
          <w:tcPr>
            <w:tcW w:w="0" w:type="auto"/>
            <w:shd w:val="clear" w:color="auto" w:fill="auto"/>
            <w:tcMar>
              <w:top w:w="30" w:type="dxa"/>
              <w:left w:w="75" w:type="dxa"/>
              <w:bottom w:w="30" w:type="dxa"/>
              <w:right w:w="75" w:type="dxa"/>
            </w:tcMar>
            <w:vAlign w:val="center"/>
            <w:hideMark/>
          </w:tcPr>
          <w:p w:rsidR="00D9305C" w:rsidRPr="00CC21E8" w:rsidRDefault="00D9305C" w:rsidP="00235F42">
            <w:r w:rsidRPr="00CC21E8">
              <w:t>Start</w:t>
            </w:r>
          </w:p>
        </w:tc>
        <w:tc>
          <w:tcPr>
            <w:tcW w:w="0" w:type="auto"/>
            <w:shd w:val="clear" w:color="auto" w:fill="auto"/>
            <w:tcMar>
              <w:top w:w="30" w:type="dxa"/>
              <w:left w:w="75" w:type="dxa"/>
              <w:bottom w:w="30" w:type="dxa"/>
              <w:right w:w="75" w:type="dxa"/>
            </w:tcMar>
            <w:vAlign w:val="center"/>
            <w:hideMark/>
          </w:tcPr>
          <w:p w:rsidR="00D9305C" w:rsidRPr="00CC21E8" w:rsidRDefault="00D9305C" w:rsidP="00235F42">
            <w:r w:rsidRPr="00CC21E8">
              <w:t>Stop</w:t>
            </w:r>
          </w:p>
        </w:tc>
        <w:tc>
          <w:tcPr>
            <w:tcW w:w="0" w:type="auto"/>
            <w:shd w:val="clear" w:color="auto" w:fill="auto"/>
            <w:tcMar>
              <w:top w:w="30" w:type="dxa"/>
              <w:left w:w="75" w:type="dxa"/>
              <w:bottom w:w="30" w:type="dxa"/>
              <w:right w:w="75" w:type="dxa"/>
            </w:tcMar>
            <w:vAlign w:val="center"/>
            <w:hideMark/>
          </w:tcPr>
          <w:p w:rsidR="00D9305C" w:rsidRPr="00CC21E8" w:rsidRDefault="00D9305C" w:rsidP="00235F42">
            <w:r w:rsidRPr="00CC21E8">
              <w:t>Length</w:t>
            </w:r>
          </w:p>
        </w:tc>
        <w:tc>
          <w:tcPr>
            <w:tcW w:w="0" w:type="auto"/>
            <w:shd w:val="clear" w:color="auto" w:fill="auto"/>
            <w:tcMar>
              <w:top w:w="30" w:type="dxa"/>
              <w:left w:w="75" w:type="dxa"/>
              <w:bottom w:w="30" w:type="dxa"/>
              <w:right w:w="75" w:type="dxa"/>
            </w:tcMar>
            <w:vAlign w:val="center"/>
            <w:hideMark/>
          </w:tcPr>
          <w:p w:rsidR="00D9305C" w:rsidRPr="00CC21E8" w:rsidRDefault="00D9305C" w:rsidP="00235F42">
            <w:r w:rsidRPr="00CC21E8">
              <w:t>Tm</w:t>
            </w:r>
          </w:p>
        </w:tc>
        <w:tc>
          <w:tcPr>
            <w:tcW w:w="0" w:type="auto"/>
            <w:shd w:val="clear" w:color="auto" w:fill="auto"/>
            <w:tcMar>
              <w:top w:w="30" w:type="dxa"/>
              <w:left w:w="75" w:type="dxa"/>
              <w:bottom w:w="30" w:type="dxa"/>
              <w:right w:w="75" w:type="dxa"/>
            </w:tcMar>
            <w:vAlign w:val="center"/>
            <w:hideMark/>
          </w:tcPr>
          <w:p w:rsidR="00D9305C" w:rsidRPr="00CC21E8" w:rsidRDefault="00D9305C" w:rsidP="00235F42">
            <w:r w:rsidRPr="00CC21E8">
              <w:t>GC%</w:t>
            </w:r>
          </w:p>
        </w:tc>
      </w:tr>
      <w:tr w:rsidR="00D9305C" w:rsidRPr="00CC21E8" w:rsidTr="00235F42">
        <w:trPr>
          <w:tblCellSpacing w:w="15" w:type="dxa"/>
        </w:trPr>
        <w:tc>
          <w:tcPr>
            <w:tcW w:w="0" w:type="auto"/>
            <w:shd w:val="clear" w:color="auto" w:fill="EEEEEE"/>
            <w:tcMar>
              <w:top w:w="30" w:type="dxa"/>
              <w:left w:w="75" w:type="dxa"/>
              <w:bottom w:w="30" w:type="dxa"/>
              <w:right w:w="75" w:type="dxa"/>
            </w:tcMar>
            <w:hideMark/>
          </w:tcPr>
          <w:p w:rsidR="00D9305C" w:rsidRPr="00CC21E8" w:rsidRDefault="00D9305C" w:rsidP="00235F42">
            <w:r w:rsidRPr="00CC21E8">
              <w:rPr>
                <w:highlight w:val="yellow"/>
              </w:rPr>
              <w:t>Forward</w:t>
            </w:r>
          </w:p>
          <w:p w:rsidR="00D9305C" w:rsidRPr="00CC21E8" w:rsidRDefault="00D9305C" w:rsidP="00235F42">
            <w:r w:rsidRPr="00CC21E8">
              <w:rPr>
                <w:color w:val="008000"/>
                <w:u w:val="single"/>
              </w:rPr>
              <w:t>CTGGGGCTCACTTGAAAGG (Sense)</w:t>
            </w:r>
            <w:r w:rsidRPr="00CC21E8">
              <w:t xml:space="preserve"> </w:t>
            </w:r>
            <w:r w:rsidRPr="00CC21E8">
              <w:rPr>
                <w:vanish/>
              </w:rPr>
              <w:t>Hairpin</w:t>
            </w:r>
            <w:r w:rsidRPr="00CC21E8">
              <w:t xml:space="preserve"> </w:t>
            </w:r>
            <w:r w:rsidRPr="00CC21E8">
              <w:rPr>
                <w:vanish/>
              </w:rPr>
              <w:t>Blast</w:t>
            </w:r>
            <w:r w:rsidRPr="00CC21E8">
              <w:t xml:space="preserve"> </w:t>
            </w:r>
          </w:p>
        </w:tc>
        <w:tc>
          <w:tcPr>
            <w:tcW w:w="0" w:type="auto"/>
            <w:shd w:val="clear" w:color="auto" w:fill="EEEEEE"/>
            <w:tcMar>
              <w:top w:w="30" w:type="dxa"/>
              <w:left w:w="75" w:type="dxa"/>
              <w:bottom w:w="30" w:type="dxa"/>
              <w:right w:w="75" w:type="dxa"/>
            </w:tcMar>
            <w:hideMark/>
          </w:tcPr>
          <w:p w:rsidR="00D9305C" w:rsidRPr="00CC21E8" w:rsidRDefault="00D9305C" w:rsidP="00235F42">
            <w:r w:rsidRPr="00CC21E8">
              <w:t>372</w:t>
            </w:r>
          </w:p>
        </w:tc>
        <w:tc>
          <w:tcPr>
            <w:tcW w:w="0" w:type="auto"/>
            <w:shd w:val="clear" w:color="auto" w:fill="EEEEEE"/>
            <w:tcMar>
              <w:top w:w="30" w:type="dxa"/>
              <w:left w:w="75" w:type="dxa"/>
              <w:bottom w:w="30" w:type="dxa"/>
              <w:right w:w="75" w:type="dxa"/>
            </w:tcMar>
            <w:hideMark/>
          </w:tcPr>
          <w:p w:rsidR="00D9305C" w:rsidRPr="00CC21E8" w:rsidRDefault="00D9305C" w:rsidP="00235F42">
            <w:r w:rsidRPr="00CC21E8">
              <w:t>391</w:t>
            </w:r>
          </w:p>
        </w:tc>
        <w:tc>
          <w:tcPr>
            <w:tcW w:w="0" w:type="auto"/>
            <w:shd w:val="clear" w:color="auto" w:fill="EEEEEE"/>
            <w:tcMar>
              <w:top w:w="30" w:type="dxa"/>
              <w:left w:w="75" w:type="dxa"/>
              <w:bottom w:w="30" w:type="dxa"/>
              <w:right w:w="75" w:type="dxa"/>
            </w:tcMar>
            <w:hideMark/>
          </w:tcPr>
          <w:p w:rsidR="00D9305C" w:rsidRPr="00CC21E8" w:rsidRDefault="00D9305C" w:rsidP="00235F42">
            <w:r w:rsidRPr="00CC21E8">
              <w:t>19</w:t>
            </w:r>
          </w:p>
        </w:tc>
        <w:tc>
          <w:tcPr>
            <w:tcW w:w="0" w:type="auto"/>
            <w:shd w:val="clear" w:color="auto" w:fill="EEEEEE"/>
            <w:tcMar>
              <w:top w:w="30" w:type="dxa"/>
              <w:left w:w="75" w:type="dxa"/>
              <w:bottom w:w="30" w:type="dxa"/>
              <w:right w:w="75" w:type="dxa"/>
            </w:tcMar>
            <w:hideMark/>
          </w:tcPr>
          <w:p w:rsidR="00D9305C" w:rsidRPr="00CC21E8" w:rsidRDefault="00D9305C" w:rsidP="00235F42">
            <w:r w:rsidRPr="00CC21E8">
              <w:t>62</w:t>
            </w:r>
          </w:p>
        </w:tc>
        <w:tc>
          <w:tcPr>
            <w:tcW w:w="0" w:type="auto"/>
            <w:shd w:val="clear" w:color="auto" w:fill="EEEEEE"/>
            <w:tcMar>
              <w:top w:w="30" w:type="dxa"/>
              <w:left w:w="75" w:type="dxa"/>
              <w:bottom w:w="30" w:type="dxa"/>
              <w:right w:w="75" w:type="dxa"/>
            </w:tcMar>
            <w:hideMark/>
          </w:tcPr>
          <w:p w:rsidR="00D9305C" w:rsidRPr="00CC21E8" w:rsidRDefault="00D9305C" w:rsidP="00235F42">
            <w:r w:rsidRPr="00CC21E8">
              <w:t>57.9</w:t>
            </w:r>
          </w:p>
        </w:tc>
      </w:tr>
      <w:tr w:rsidR="00D9305C" w:rsidRPr="00CC21E8" w:rsidTr="00235F42">
        <w:trPr>
          <w:tblCellSpacing w:w="15" w:type="dxa"/>
        </w:trPr>
        <w:tc>
          <w:tcPr>
            <w:tcW w:w="0" w:type="auto"/>
            <w:shd w:val="clear" w:color="auto" w:fill="auto"/>
            <w:tcMar>
              <w:top w:w="30" w:type="dxa"/>
              <w:left w:w="75" w:type="dxa"/>
              <w:bottom w:w="30" w:type="dxa"/>
              <w:right w:w="75" w:type="dxa"/>
            </w:tcMar>
            <w:hideMark/>
          </w:tcPr>
          <w:p w:rsidR="00D9305C" w:rsidRPr="00CC21E8" w:rsidRDefault="00D9305C" w:rsidP="00235F42">
            <w:r w:rsidRPr="00CC21E8">
              <w:rPr>
                <w:highlight w:val="cyan"/>
              </w:rPr>
              <w:t>Probe</w:t>
            </w:r>
          </w:p>
          <w:p w:rsidR="00D9305C" w:rsidRPr="00CC21E8" w:rsidRDefault="00D9305C" w:rsidP="00235F42">
            <w:r w:rsidRPr="00CC21E8">
              <w:rPr>
                <w:color w:val="FF6900"/>
                <w:u w:val="single"/>
              </w:rPr>
              <w:t>AGCAGAGATGATGACCCTCTTGGC (AntiSense)</w:t>
            </w:r>
            <w:r w:rsidRPr="00CC21E8">
              <w:t xml:space="preserve"> </w:t>
            </w:r>
            <w:r w:rsidRPr="00CC21E8">
              <w:rPr>
                <w:vanish/>
              </w:rPr>
              <w:t>Hairpin</w:t>
            </w:r>
            <w:r w:rsidRPr="00CC21E8">
              <w:t xml:space="preserve"> </w:t>
            </w:r>
            <w:r w:rsidRPr="00CC21E8">
              <w:rPr>
                <w:vanish/>
              </w:rPr>
              <w:t>Blast</w:t>
            </w:r>
            <w:r w:rsidRPr="00CC21E8">
              <w:t xml:space="preserve"> </w:t>
            </w:r>
          </w:p>
        </w:tc>
        <w:tc>
          <w:tcPr>
            <w:tcW w:w="0" w:type="auto"/>
            <w:shd w:val="clear" w:color="auto" w:fill="auto"/>
            <w:tcMar>
              <w:top w:w="30" w:type="dxa"/>
              <w:left w:w="75" w:type="dxa"/>
              <w:bottom w:w="30" w:type="dxa"/>
              <w:right w:w="75" w:type="dxa"/>
            </w:tcMar>
            <w:hideMark/>
          </w:tcPr>
          <w:p w:rsidR="00D9305C" w:rsidRPr="00CC21E8" w:rsidRDefault="00D9305C" w:rsidP="00235F42">
            <w:r w:rsidRPr="00CC21E8">
              <w:t>395</w:t>
            </w:r>
          </w:p>
        </w:tc>
        <w:tc>
          <w:tcPr>
            <w:tcW w:w="0" w:type="auto"/>
            <w:shd w:val="clear" w:color="auto" w:fill="auto"/>
            <w:tcMar>
              <w:top w:w="30" w:type="dxa"/>
              <w:left w:w="75" w:type="dxa"/>
              <w:bottom w:w="30" w:type="dxa"/>
              <w:right w:w="75" w:type="dxa"/>
            </w:tcMar>
            <w:hideMark/>
          </w:tcPr>
          <w:p w:rsidR="00D9305C" w:rsidRPr="00CC21E8" w:rsidRDefault="00D9305C" w:rsidP="00235F42">
            <w:r w:rsidRPr="00CC21E8">
              <w:t>419</w:t>
            </w:r>
          </w:p>
        </w:tc>
        <w:tc>
          <w:tcPr>
            <w:tcW w:w="0" w:type="auto"/>
            <w:shd w:val="clear" w:color="auto" w:fill="auto"/>
            <w:tcMar>
              <w:top w:w="30" w:type="dxa"/>
              <w:left w:w="75" w:type="dxa"/>
              <w:bottom w:w="30" w:type="dxa"/>
              <w:right w:w="75" w:type="dxa"/>
            </w:tcMar>
            <w:hideMark/>
          </w:tcPr>
          <w:p w:rsidR="00D9305C" w:rsidRPr="00CC21E8" w:rsidRDefault="00D9305C" w:rsidP="00235F42">
            <w:r w:rsidRPr="00CC21E8">
              <w:t>24</w:t>
            </w:r>
          </w:p>
        </w:tc>
        <w:tc>
          <w:tcPr>
            <w:tcW w:w="0" w:type="auto"/>
            <w:shd w:val="clear" w:color="auto" w:fill="auto"/>
            <w:tcMar>
              <w:top w:w="30" w:type="dxa"/>
              <w:left w:w="75" w:type="dxa"/>
              <w:bottom w:w="30" w:type="dxa"/>
              <w:right w:w="75" w:type="dxa"/>
            </w:tcMar>
            <w:hideMark/>
          </w:tcPr>
          <w:p w:rsidR="00D9305C" w:rsidRPr="00CC21E8" w:rsidRDefault="00D9305C" w:rsidP="00235F42">
            <w:r w:rsidRPr="00CC21E8">
              <w:t>68</w:t>
            </w:r>
          </w:p>
        </w:tc>
        <w:tc>
          <w:tcPr>
            <w:tcW w:w="0" w:type="auto"/>
            <w:shd w:val="clear" w:color="auto" w:fill="auto"/>
            <w:tcMar>
              <w:top w:w="30" w:type="dxa"/>
              <w:left w:w="75" w:type="dxa"/>
              <w:bottom w:w="30" w:type="dxa"/>
              <w:right w:w="75" w:type="dxa"/>
            </w:tcMar>
            <w:hideMark/>
          </w:tcPr>
          <w:p w:rsidR="00D9305C" w:rsidRPr="00CC21E8" w:rsidRDefault="00D9305C" w:rsidP="00235F42">
            <w:r w:rsidRPr="00CC21E8">
              <w:t>54</w:t>
            </w:r>
          </w:p>
        </w:tc>
      </w:tr>
      <w:tr w:rsidR="00D9305C" w:rsidRPr="00CC21E8" w:rsidTr="00235F42">
        <w:trPr>
          <w:tblCellSpacing w:w="15" w:type="dxa"/>
        </w:trPr>
        <w:tc>
          <w:tcPr>
            <w:tcW w:w="0" w:type="auto"/>
            <w:shd w:val="clear" w:color="auto" w:fill="EEEEEE"/>
            <w:tcMar>
              <w:top w:w="30" w:type="dxa"/>
              <w:left w:w="75" w:type="dxa"/>
              <w:bottom w:w="30" w:type="dxa"/>
              <w:right w:w="75" w:type="dxa"/>
            </w:tcMar>
            <w:hideMark/>
          </w:tcPr>
          <w:p w:rsidR="00D9305C" w:rsidRPr="00CC21E8" w:rsidRDefault="00D9305C" w:rsidP="00235F42">
            <w:r w:rsidRPr="00CC21E8">
              <w:rPr>
                <w:highlight w:val="green"/>
              </w:rPr>
              <w:t>Reverse</w:t>
            </w:r>
          </w:p>
          <w:p w:rsidR="00D9305C" w:rsidRPr="00CC21E8" w:rsidRDefault="00D9305C" w:rsidP="00235F42">
            <w:r w:rsidRPr="00CC21E8">
              <w:rPr>
                <w:color w:val="FF0000"/>
                <w:u w:val="single"/>
              </w:rPr>
              <w:t>CAAACATGGGGGCATCAG (AntiSense)</w:t>
            </w:r>
            <w:r w:rsidRPr="00CC21E8">
              <w:t xml:space="preserve"> </w:t>
            </w:r>
          </w:p>
        </w:tc>
        <w:tc>
          <w:tcPr>
            <w:tcW w:w="0" w:type="auto"/>
            <w:shd w:val="clear" w:color="auto" w:fill="EEEEEE"/>
            <w:tcMar>
              <w:top w:w="30" w:type="dxa"/>
              <w:left w:w="75" w:type="dxa"/>
              <w:bottom w:w="30" w:type="dxa"/>
              <w:right w:w="75" w:type="dxa"/>
            </w:tcMar>
            <w:hideMark/>
          </w:tcPr>
          <w:p w:rsidR="00D9305C" w:rsidRPr="00CC21E8" w:rsidRDefault="00D9305C" w:rsidP="00235F42">
            <w:r w:rsidRPr="00CC21E8">
              <w:t>426</w:t>
            </w:r>
          </w:p>
        </w:tc>
        <w:tc>
          <w:tcPr>
            <w:tcW w:w="0" w:type="auto"/>
            <w:shd w:val="clear" w:color="auto" w:fill="EEEEEE"/>
            <w:tcMar>
              <w:top w:w="30" w:type="dxa"/>
              <w:left w:w="75" w:type="dxa"/>
              <w:bottom w:w="30" w:type="dxa"/>
              <w:right w:w="75" w:type="dxa"/>
            </w:tcMar>
            <w:hideMark/>
          </w:tcPr>
          <w:p w:rsidR="00D9305C" w:rsidRPr="00CC21E8" w:rsidRDefault="00D9305C" w:rsidP="00235F42">
            <w:r w:rsidRPr="00CC21E8">
              <w:t>444</w:t>
            </w:r>
          </w:p>
        </w:tc>
        <w:tc>
          <w:tcPr>
            <w:tcW w:w="0" w:type="auto"/>
            <w:shd w:val="clear" w:color="auto" w:fill="EEEEEE"/>
            <w:tcMar>
              <w:top w:w="30" w:type="dxa"/>
              <w:left w:w="75" w:type="dxa"/>
              <w:bottom w:w="30" w:type="dxa"/>
              <w:right w:w="75" w:type="dxa"/>
            </w:tcMar>
            <w:hideMark/>
          </w:tcPr>
          <w:p w:rsidR="00D9305C" w:rsidRPr="00CC21E8" w:rsidRDefault="00D9305C" w:rsidP="00235F42">
            <w:r w:rsidRPr="00CC21E8">
              <w:t>18</w:t>
            </w:r>
          </w:p>
        </w:tc>
        <w:tc>
          <w:tcPr>
            <w:tcW w:w="0" w:type="auto"/>
            <w:shd w:val="clear" w:color="auto" w:fill="EEEEEE"/>
            <w:tcMar>
              <w:top w:w="30" w:type="dxa"/>
              <w:left w:w="75" w:type="dxa"/>
              <w:bottom w:w="30" w:type="dxa"/>
              <w:right w:w="75" w:type="dxa"/>
            </w:tcMar>
            <w:hideMark/>
          </w:tcPr>
          <w:p w:rsidR="00D9305C" w:rsidRPr="00CC21E8" w:rsidRDefault="00D9305C" w:rsidP="00235F42">
            <w:r w:rsidRPr="00CC21E8">
              <w:t>61</w:t>
            </w:r>
          </w:p>
        </w:tc>
        <w:tc>
          <w:tcPr>
            <w:tcW w:w="0" w:type="auto"/>
            <w:shd w:val="clear" w:color="auto" w:fill="EEEEEE"/>
            <w:tcMar>
              <w:top w:w="30" w:type="dxa"/>
              <w:left w:w="75" w:type="dxa"/>
              <w:bottom w:w="30" w:type="dxa"/>
              <w:right w:w="75" w:type="dxa"/>
            </w:tcMar>
            <w:hideMark/>
          </w:tcPr>
          <w:p w:rsidR="00D9305C" w:rsidRPr="00CC21E8" w:rsidRDefault="00D9305C" w:rsidP="00235F42">
            <w:r w:rsidRPr="00CC21E8">
              <w:t>55.6</w:t>
            </w:r>
          </w:p>
        </w:tc>
      </w:tr>
    </w:tbl>
    <w:p w:rsidR="00D9305C" w:rsidRDefault="00D9305C" w:rsidP="00D930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pPr>
    </w:p>
    <w:p w:rsidR="00D9305C" w:rsidRPr="00CC21E8" w:rsidRDefault="00D9305C" w:rsidP="00D930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sz w:val="20"/>
          <w:szCs w:val="20"/>
        </w:rPr>
      </w:pPr>
      <w:r w:rsidRPr="00CC21E8">
        <w:rPr>
          <w:sz w:val="20"/>
          <w:szCs w:val="20"/>
        </w:rPr>
        <w:t>&gt;</w:t>
      </w:r>
      <w:r w:rsidRPr="00CC21E8">
        <w:rPr>
          <w:rFonts w:eastAsiaTheme="minorHAnsi"/>
          <w:sz w:val="20"/>
          <w:szCs w:val="20"/>
        </w:rPr>
        <w:t>XM_003435649_2</w:t>
      </w:r>
    </w:p>
    <w:p w:rsidR="00D9305C" w:rsidRPr="00065E7F" w:rsidRDefault="00D9305C" w:rsidP="00D930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sz w:val="20"/>
          <w:szCs w:val="20"/>
        </w:rPr>
      </w:pPr>
      <w:r w:rsidRPr="00CC21E8">
        <w:rPr>
          <w:sz w:val="20"/>
          <w:szCs w:val="20"/>
        </w:rPr>
        <w:t>GCCCGACAGACAGCCGCGTCTTCTGGTGCTGCGCCAGGCGCGTCCCCGAGGCACGATGGTGAAGGTCGGAGTGAACGGATTTGGCCATATTGGGCGCCTGGTCACCAGGGCTGCTTTTAACTCTGGCAAAGTGGATATTGTCGCCATCAATGACCCCTTCATTGATCTCAACTACATGGTGTACATGTTCCAGTATGATTCTACCCACAGCAAATTCCACGGCACAGTCAAGGCTGAGAACGGGAAACTTGTCATCAACGGGAAGTCCATCTCCATCTTCCAGGAGCGAGATCCTGCCAACGTCAAATGGGGTGATGCTGGTGCTGAGTATGTTGTGGAGTCCACTGGGGTCTTCACCACCATGGAGAAGG</w:t>
      </w:r>
      <w:r w:rsidRPr="00CC21E8">
        <w:rPr>
          <w:sz w:val="20"/>
          <w:szCs w:val="20"/>
          <w:highlight w:val="yellow"/>
        </w:rPr>
        <w:t>CTGGGGCTCACTTGAAAGG</w:t>
      </w:r>
      <w:r w:rsidRPr="00CC21E8">
        <w:rPr>
          <w:sz w:val="20"/>
          <w:szCs w:val="20"/>
        </w:rPr>
        <w:t>CGTG</w:t>
      </w:r>
      <w:r w:rsidRPr="00CC21E8">
        <w:rPr>
          <w:sz w:val="20"/>
          <w:szCs w:val="20"/>
          <w:highlight w:val="cyan"/>
        </w:rPr>
        <w:t>GCCAAGAGGGTCATCATCTCTGCT</w:t>
      </w:r>
      <w:r w:rsidRPr="00CC21E8">
        <w:rPr>
          <w:sz w:val="20"/>
          <w:szCs w:val="20"/>
        </w:rPr>
        <w:t>CCTTCTG</w:t>
      </w:r>
      <w:r w:rsidRPr="00CC21E8">
        <w:rPr>
          <w:sz w:val="20"/>
          <w:szCs w:val="20"/>
          <w:highlight w:val="green"/>
        </w:rPr>
        <w:t>CTGATGCCCCCATGTTTG</w:t>
      </w:r>
      <w:r w:rsidRPr="00CC21E8">
        <w:rPr>
          <w:sz w:val="20"/>
          <w:szCs w:val="20"/>
        </w:rPr>
        <w:t>TGATGGGCGTGAACCATGAGAAGTATGACAACTCCCTCAAGATTGTCAGCAATGCCTCCTGCACCACCAACTGCTTGGCTCCTCTAGCCAAAGTCATCCATGACCACTTCGGCATCGTGGAGGGCCTCATGACCACCGTCCATGCCATCACTGCCACCCAGAAGACCGTGGAGGGTCCCTCTGGGAAGCTGTGGCGTGACGGCCGAGGGGCTGCCCAGAACATCATCCCTGCTTCCACTGGCGCCGCCAAGGCTGTGGGCAAGGTCATCCCTGAGCTGAACGGGAAGCTCACTGGCATGGCCTTCCGTGTCCCCACCCCCAATGTATCAGTTGTGGATCTGACCTGCCGCCTGGAGAAAGCTGCCAAATATGACGACATCAAGAAGGTAGTGAAGCAGGCATCGGAGGGACCCCTCAAGGGCATCCTGGGCTACACTGAGGACCAGGTGGTCTCCTGTGACTTCAACAGTGACACCCACTCTTCCACCTTCGACGCCGGGGCTGGCATTGCCCTCAATGACCACTTTGTCAAGCTCATTTCCTGGTATGACAATGAATTCGGCTACAGCAACCGGGTGGTGGACCTCATGGTCCACATGGCCTCCAAGGAGTAAGAGCCTCCTGGACCACCAGCCCCAGCAAGAACAAGAGGAAGAGAGAGGCCCTCAGCTGCTGGGGAGTCCCTGCCCCAACTTAATCCCCCAACACACTGAGAATCTCCTGACCTCCAATTTACATCCTAGACCCCAAGGAAGGGGAGGGGCTTGGGGAGCCCTACCTTGTCATGTACCATCAATAAAGTATACTGTACCCAGCCAAAA</w:t>
      </w:r>
    </w:p>
    <w:p w:rsidR="00D9305C" w:rsidRPr="00CC21E8" w:rsidRDefault="00D9305C" w:rsidP="00D9305C">
      <w:pPr>
        <w:pStyle w:val="Caption"/>
        <w:rPr>
          <w:rFonts w:eastAsiaTheme="minorHAnsi"/>
        </w:rPr>
      </w:pPr>
      <w:bookmarkStart w:id="136" w:name="_Toc376465884"/>
      <w:r>
        <w:t xml:space="preserve">Figure </w:t>
      </w:r>
      <w:r>
        <w:fldChar w:fldCharType="begin"/>
      </w:r>
      <w:r>
        <w:instrText xml:space="preserve"> SEQ Figure \* ARABIC </w:instrText>
      </w:r>
      <w:r>
        <w:fldChar w:fldCharType="separate"/>
      </w:r>
      <w:proofErr w:type="gramStart"/>
      <w:r w:rsidR="007F0498">
        <w:rPr>
          <w:noProof/>
        </w:rPr>
        <w:t>24</w:t>
      </w:r>
      <w:r>
        <w:rPr>
          <w:noProof/>
        </w:rPr>
        <w:fldChar w:fldCharType="end"/>
      </w:r>
      <w:r>
        <w:t xml:space="preserve"> GAPDH primer/probe information</w:t>
      </w:r>
      <w:proofErr w:type="gramEnd"/>
      <w:r>
        <w:t>.</w:t>
      </w:r>
      <w:bookmarkEnd w:id="136"/>
    </w:p>
    <w:p w:rsidR="00D9305C" w:rsidRDefault="00D9305C" w:rsidP="00A1362C"/>
    <w:p w:rsidR="00D9305C" w:rsidRDefault="00D9305C" w:rsidP="00A1362C"/>
    <w:p w:rsidR="00D9305C" w:rsidRDefault="00D9305C" w:rsidP="00A1362C"/>
    <w:p w:rsidR="00D9305C" w:rsidRDefault="00D9305C" w:rsidP="00A1362C"/>
    <w:p w:rsidR="00A1362C" w:rsidRPr="00334400" w:rsidRDefault="00A1362C" w:rsidP="00A1362C">
      <w:pPr>
        <w:pStyle w:val="Heading3"/>
      </w:pPr>
      <w:bookmarkStart w:id="137" w:name="_Toc376465804"/>
      <w:r>
        <w:t>Multiplex ELISA</w:t>
      </w:r>
      <w:bookmarkEnd w:id="137"/>
    </w:p>
    <w:p w:rsidR="00A1362C" w:rsidRDefault="00A1362C" w:rsidP="00A1362C">
      <w:pPr>
        <w:rPr>
          <w:color w:val="FF0000"/>
        </w:rPr>
      </w:pPr>
      <w:r>
        <w:t>Previously frozen serum samples were thawed to room temperature prior to use.  Select canine gut hormones were analyzed at three time points (0, 120, 420 minutes).  Select canine cytokines were analyzed at two time points (0, 420 minutes).  Three sample dates (baseline, one week, twelve weeks into tre</w:t>
      </w:r>
      <w:r w:rsidR="00D9305C">
        <w:t>atment) were analyzed for all 18</w:t>
      </w:r>
      <w:r>
        <w:t xml:space="preserve"> dogs.  Multiple gut hormone (active ghrelin, active GLP1, insulin, leptin, total PYY) and cytokine (IL-6, IL-15) kits were obtained from EMD Millipore (St. Charles, MO) and analysis was performed according to manufacturer instructions.  All samples, controls, and standards were run in duplicate and no samples from the same collection date for a single dog were run on the same plate.  Kits were read using the </w:t>
      </w:r>
      <w:r>
        <w:rPr>
          <w:color w:val="FF0000"/>
        </w:rPr>
        <w:t xml:space="preserve">Luminex reader </w:t>
      </w:r>
      <w:proofErr w:type="gramStart"/>
      <w:r>
        <w:rPr>
          <w:color w:val="FF0000"/>
        </w:rPr>
        <w:t>version ??</w:t>
      </w:r>
      <w:proofErr w:type="gramEnd"/>
      <w:r>
        <w:rPr>
          <w:color w:val="FF0000"/>
        </w:rPr>
        <w:t xml:space="preserve"> (</w:t>
      </w:r>
      <w:proofErr w:type="gramStart"/>
      <w:r>
        <w:rPr>
          <w:color w:val="FF0000"/>
        </w:rPr>
        <w:t>location</w:t>
      </w:r>
      <w:proofErr w:type="gramEnd"/>
      <w:r>
        <w:rPr>
          <w:color w:val="FF0000"/>
        </w:rPr>
        <w:t>)</w:t>
      </w:r>
      <w:r>
        <w:t xml:space="preserve"> and analyzed using </w:t>
      </w:r>
      <w:r>
        <w:rPr>
          <w:color w:val="FF0000"/>
        </w:rPr>
        <w:t>Millipore analysis package (location).</w:t>
      </w:r>
    </w:p>
    <w:p w:rsidR="00A1362C" w:rsidRDefault="00A1362C" w:rsidP="00A1362C">
      <w:pPr>
        <w:pStyle w:val="Heading3"/>
      </w:pPr>
      <w:bookmarkStart w:id="138" w:name="_Toc376465805"/>
      <w:r>
        <w:t>Insulin</w:t>
      </w:r>
      <w:proofErr w:type="gramStart"/>
      <w:r>
        <w:t>:glucose</w:t>
      </w:r>
      <w:proofErr w:type="gramEnd"/>
      <w:r>
        <w:t xml:space="preserve"> ratio</w:t>
      </w:r>
      <w:bookmarkEnd w:id="138"/>
    </w:p>
    <w:p w:rsidR="00A1362C" w:rsidRDefault="00A1362C" w:rsidP="00A1362C">
      <w:r>
        <w:t>The insulin</w:t>
      </w:r>
      <w:proofErr w:type="gramStart"/>
      <w:r>
        <w:t>:glucose</w:t>
      </w:r>
      <w:proofErr w:type="gramEnd"/>
      <w:r>
        <w:t xml:space="preserve"> ratio was calculated using the average of the 420 minute duplicate insulin results and the 420 minute glucose value.  Unit conversion calculations were performed using the molecular weight of insulin (5808 g/mol) and a fixed conversion factor (1 µU/ml insulin = 6 nmol/L) as follows:</w:t>
      </w:r>
      <w:r>
        <w:fldChar w:fldCharType="begin"/>
      </w:r>
      <w:r w:rsidR="000A492A">
        <w:instrText xml:space="preserve"> ADDIN ZOTERO_ITEM CSL_CITATION {"citationID":"jkNe0qxj","properties":{"formattedCitation":"{\\rtf \\super 145,405\\nosupersub{}}","plainCitation":"145,405"},"citationItems":[{"id":550,"uris":["http://zotero.org/users/171999/items/USCF44KE"],"uri":["http://zotero.org/users/171999/items/USCF44KE"],"itemData":{"id":550,"type":"article-journal","title":"Insulin Assay Standardization: Leading to Measures of Insulin Sensitivity and Secretion for Practical Clinical Care Response to Staten et al.","container-title":"Diabetes Care","page":"e83-e83","volume":"33","issue":"6","source":"care.diabetesjournals.org","DOI":"10.2337/dc10-0034","ISSN":"0149-5992, 1935-5548","note":"PMID: 20508228","shortTitle":"Insulin Assay Standardization","journalAbbreviation":"Dia Care","language":"en","author":[{"family":"Heinemann","given":"Lutz"}],"issued":{"date-parts":[["2010",6,1]]},"accessed":{"date-parts":[["2013",11,22]]},"PMID":"20508228"}},{"id":"Gpwq8jj7/QN4EDEKg","uris":["http://zotero.org/users/local/Ry4zHLbn/items/T3HJ3BEN"],"uri":["http://zotero.org/users/local/Ry4zHLbn/items/T3HJ3BEN"],"itemData":{"id":"Gpwq8jj7/QN4EDEKg","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Endocrinol."}}],"schema":"https://github.com/citation-style-language/schema/raw/master/csl-citation.json"} </w:instrText>
      </w:r>
      <w:r>
        <w:fldChar w:fldCharType="separate"/>
      </w:r>
      <w:r w:rsidR="000A492A" w:rsidRPr="000A492A">
        <w:rPr>
          <w:vertAlign w:val="superscript"/>
        </w:rPr>
        <w:t>145,405</w:t>
      </w:r>
      <w:r>
        <w:fldChar w:fldCharType="end"/>
      </w:r>
    </w:p>
    <w:p w:rsidR="00A1362C" w:rsidRDefault="00A1362C" w:rsidP="00A1362C"/>
    <w:p w:rsidR="00A1362C" w:rsidRPr="00474A7D" w:rsidRDefault="00A1362C" w:rsidP="00A1362C">
      <w:pPr>
        <w:rPr>
          <w:rFonts w:ascii="Cambria Math" w:hAnsi="Cambria Math"/>
          <w:oMath/>
        </w:rPr>
      </w:pPr>
      <m:oMathPara>
        <m:oMath>
          <m:r>
            <w:rPr>
              <w:rFonts w:ascii="Cambria Math" w:hAnsi="Cambria Math"/>
            </w:rPr>
            <m:t xml:space="preserve">Insulin </m:t>
          </m:r>
          <m:d>
            <m:dPr>
              <m:ctrlPr>
                <w:rPr>
                  <w:rFonts w:ascii="Cambria Math" w:hAnsi="Cambria Math"/>
                  <w:i/>
                </w:rPr>
              </m:ctrlPr>
            </m:dPr>
            <m:e>
              <m:f>
                <m:fPr>
                  <m:ctrlPr>
                    <w:rPr>
                      <w:rFonts w:ascii="Cambria Math" w:hAnsi="Cambria Math"/>
                      <w:i/>
                    </w:rPr>
                  </m:ctrlPr>
                </m:fPr>
                <m:num>
                  <m:r>
                    <w:rPr>
                      <w:rFonts w:ascii="Cambria Math" w:hAnsi="Cambria Math"/>
                    </w:rPr>
                    <m:t>pmol</m:t>
                  </m:r>
                </m:num>
                <m:den>
                  <m:r>
                    <w:rPr>
                      <w:rFonts w:ascii="Cambria Math" w:hAnsi="Cambria Math"/>
                    </w:rPr>
                    <m:t>L</m:t>
                  </m:r>
                </m:den>
              </m:f>
            </m:e>
          </m:d>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 xml:space="preserve">Insulin </m:t>
                  </m:r>
                  <m:d>
                    <m:dPr>
                      <m:ctrlPr>
                        <w:rPr>
                          <w:rFonts w:ascii="Cambria Math" w:hAnsi="Cambria Math"/>
                          <w:i/>
                        </w:rPr>
                      </m:ctrlPr>
                    </m:dPr>
                    <m:e>
                      <m:f>
                        <m:fPr>
                          <m:ctrlPr>
                            <w:rPr>
                              <w:rFonts w:ascii="Cambria Math" w:hAnsi="Cambria Math"/>
                              <w:i/>
                            </w:rPr>
                          </m:ctrlPr>
                        </m:fPr>
                        <m:num>
                          <m:r>
                            <w:rPr>
                              <w:rFonts w:ascii="Cambria Math" w:hAnsi="Cambria Math"/>
                            </w:rPr>
                            <m:t>pg</m:t>
                          </m:r>
                        </m:num>
                        <m:den>
                          <m:r>
                            <w:rPr>
                              <w:rFonts w:ascii="Cambria Math" w:hAnsi="Cambria Math"/>
                            </w:rPr>
                            <m:t>ml</m:t>
                          </m:r>
                        </m:den>
                      </m:f>
                    </m:e>
                  </m:d>
                </m:e>
              </m:d>
            </m:num>
            <m:den>
              <m:d>
                <m:dPr>
                  <m:begChr m:val="["/>
                  <m:endChr m:val="]"/>
                  <m:ctrlPr>
                    <w:rPr>
                      <w:rFonts w:ascii="Cambria Math" w:hAnsi="Cambria Math"/>
                      <w:i/>
                    </w:rPr>
                  </m:ctrlPr>
                </m:dPr>
                <m:e>
                  <m:r>
                    <w:rPr>
                      <w:rFonts w:ascii="Cambria Math" w:hAnsi="Cambria Math"/>
                    </w:rPr>
                    <m:t>5808</m:t>
                  </m:r>
                  <m:f>
                    <m:fPr>
                      <m:ctrlPr>
                        <w:rPr>
                          <w:rFonts w:ascii="Cambria Math" w:hAnsi="Cambria Math"/>
                          <w:i/>
                        </w:rPr>
                      </m:ctrlPr>
                    </m:fPr>
                    <m:num>
                      <m:r>
                        <w:rPr>
                          <w:rFonts w:ascii="Cambria Math" w:hAnsi="Cambria Math"/>
                        </w:rPr>
                        <m:t>g</m:t>
                      </m:r>
                    </m:num>
                    <m:den>
                      <m:r>
                        <w:rPr>
                          <w:rFonts w:ascii="Cambria Math" w:hAnsi="Cambria Math"/>
                        </w:rPr>
                        <m:t>mol</m:t>
                      </m:r>
                    </m:den>
                  </m:f>
                </m:e>
              </m:d>
            </m:den>
          </m:f>
        </m:oMath>
      </m:oMathPara>
    </w:p>
    <w:p w:rsidR="00A1362C" w:rsidRDefault="00A1362C" w:rsidP="00A1362C"/>
    <w:p w:rsidR="00A1362C" w:rsidRPr="00C430C6" w:rsidRDefault="00A1362C" w:rsidP="00A1362C">
      <w:pPr>
        <w:rPr>
          <w:rFonts w:ascii="Cambria Math" w:hAnsi="Cambria Math"/>
          <w:oMath/>
        </w:rPr>
      </w:pPr>
      <m:oMathPara>
        <m:oMath>
          <m:r>
            <w:rPr>
              <w:rFonts w:ascii="Cambria Math" w:hAnsi="Cambria Math"/>
            </w:rPr>
            <m:t xml:space="preserve">Insulin </m:t>
          </m:r>
          <m:d>
            <m:dPr>
              <m:ctrlPr>
                <w:rPr>
                  <w:rFonts w:ascii="Cambria Math" w:hAnsi="Cambria Math"/>
                  <w:i/>
                </w:rPr>
              </m:ctrlPr>
            </m:dPr>
            <m:e>
              <m:f>
                <m:fPr>
                  <m:ctrlPr>
                    <w:rPr>
                      <w:rFonts w:ascii="Cambria Math" w:hAnsi="Cambria Math"/>
                      <w:i/>
                    </w:rPr>
                  </m:ctrlPr>
                </m:fPr>
                <m:num>
                  <m:r>
                    <w:rPr>
                      <w:rFonts w:ascii="Cambria Math" w:hAnsi="Cambria Math"/>
                    </w:rPr>
                    <m:t>µU</m:t>
                  </m:r>
                </m:num>
                <m:den>
                  <m:r>
                    <w:rPr>
                      <w:rFonts w:ascii="Cambria Math" w:hAnsi="Cambria Math"/>
                    </w:rPr>
                    <m:t>ml</m:t>
                  </m:r>
                </m:den>
              </m:f>
            </m:e>
          </m:d>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insulin</m:t>
                  </m:r>
                  <m:d>
                    <m:dPr>
                      <m:ctrlPr>
                        <w:rPr>
                          <w:rFonts w:ascii="Cambria Math" w:hAnsi="Cambria Math"/>
                          <w:i/>
                        </w:rPr>
                      </m:ctrlPr>
                    </m:dPr>
                    <m:e>
                      <m:f>
                        <m:fPr>
                          <m:ctrlPr>
                            <w:rPr>
                              <w:rFonts w:ascii="Cambria Math" w:hAnsi="Cambria Math"/>
                              <w:i/>
                            </w:rPr>
                          </m:ctrlPr>
                        </m:fPr>
                        <m:num>
                          <m:r>
                            <w:rPr>
                              <w:rFonts w:ascii="Cambria Math" w:hAnsi="Cambria Math"/>
                            </w:rPr>
                            <m:t>pmol</m:t>
                          </m:r>
                        </m:num>
                        <m:den>
                          <m:r>
                            <w:rPr>
                              <w:rFonts w:ascii="Cambria Math" w:hAnsi="Cambria Math"/>
                            </w:rPr>
                            <m:t>L</m:t>
                          </m:r>
                        </m:den>
                      </m:f>
                    </m:e>
                  </m:d>
                </m:e>
              </m:d>
            </m:num>
            <m:den>
              <m:d>
                <m:dPr>
                  <m:begChr m:val="["/>
                  <m:endChr m:val="]"/>
                  <m:ctrlPr>
                    <w:rPr>
                      <w:rFonts w:ascii="Cambria Math" w:hAnsi="Cambria Math"/>
                      <w:i/>
                    </w:rPr>
                  </m:ctrlPr>
                </m:dPr>
                <m:e>
                  <m:r>
                    <w:rPr>
                      <w:rFonts w:ascii="Cambria Math" w:hAnsi="Cambria Math"/>
                    </w:rPr>
                    <m:t>6</m:t>
                  </m:r>
                  <m:d>
                    <m:dPr>
                      <m:ctrlPr>
                        <w:rPr>
                          <w:rFonts w:ascii="Cambria Math" w:hAnsi="Cambria Math"/>
                          <w:i/>
                        </w:rPr>
                      </m:ctrlPr>
                    </m:dPr>
                    <m:e>
                      <m:f>
                        <m:fPr>
                          <m:ctrlPr>
                            <w:rPr>
                              <w:rFonts w:ascii="Cambria Math" w:hAnsi="Cambria Math"/>
                              <w:i/>
                            </w:rPr>
                          </m:ctrlPr>
                        </m:fPr>
                        <m:num>
                          <m:r>
                            <w:rPr>
                              <w:rFonts w:ascii="Cambria Math" w:hAnsi="Cambria Math"/>
                            </w:rPr>
                            <m:t>nmol</m:t>
                          </m:r>
                        </m:num>
                        <m:den>
                          <m:r>
                            <w:rPr>
                              <w:rFonts w:ascii="Cambria Math" w:hAnsi="Cambria Math"/>
                            </w:rPr>
                            <m:t>L</m:t>
                          </m:r>
                        </m:den>
                      </m:f>
                    </m:e>
                  </m:d>
                </m:e>
              </m:d>
            </m:den>
          </m:f>
        </m:oMath>
      </m:oMathPara>
    </w:p>
    <w:p w:rsidR="00A1362C" w:rsidRDefault="00A1362C" w:rsidP="00A1362C"/>
    <w:p w:rsidR="00A1362C" w:rsidRPr="00C123DB" w:rsidRDefault="00A1362C" w:rsidP="00A1362C">
      <m:oMathPara>
        <m:oMath>
          <m:r>
            <w:rPr>
              <w:rFonts w:ascii="Cambria Math" w:hAnsi="Cambria Math"/>
            </w:rPr>
            <m:t>I:G=</m:t>
          </m:r>
          <m:f>
            <m:fPr>
              <m:ctrlPr>
                <w:rPr>
                  <w:rFonts w:ascii="Cambria Math" w:hAnsi="Cambria Math"/>
                  <w:i/>
                </w:rPr>
              </m:ctrlPr>
            </m:fPr>
            <m:num>
              <m:d>
                <m:dPr>
                  <m:begChr m:val="["/>
                  <m:endChr m:val="]"/>
                  <m:ctrlPr>
                    <w:rPr>
                      <w:rFonts w:ascii="Cambria Math" w:hAnsi="Cambria Math"/>
                      <w:i/>
                    </w:rPr>
                  </m:ctrlPr>
                </m:dPr>
                <m:e>
                  <m:r>
                    <w:rPr>
                      <w:rFonts w:ascii="Cambria Math" w:hAnsi="Cambria Math"/>
                    </w:rPr>
                    <m:t xml:space="preserve">Insulin </m:t>
                  </m:r>
                  <m:d>
                    <m:dPr>
                      <m:ctrlPr>
                        <w:rPr>
                          <w:rFonts w:ascii="Cambria Math" w:hAnsi="Cambria Math"/>
                          <w:i/>
                        </w:rPr>
                      </m:ctrlPr>
                    </m:dPr>
                    <m:e>
                      <m:f>
                        <m:fPr>
                          <m:ctrlPr>
                            <w:rPr>
                              <w:rFonts w:ascii="Cambria Math" w:hAnsi="Cambria Math"/>
                              <w:i/>
                            </w:rPr>
                          </m:ctrlPr>
                        </m:fPr>
                        <m:num>
                          <m:r>
                            <w:rPr>
                              <w:rFonts w:ascii="Cambria Math" w:hAnsi="Cambria Math"/>
                            </w:rPr>
                            <m:t>µU</m:t>
                          </m:r>
                        </m:num>
                        <m:den>
                          <m:r>
                            <w:rPr>
                              <w:rFonts w:ascii="Cambria Math" w:hAnsi="Cambria Math"/>
                            </w:rPr>
                            <m:t>ml</m:t>
                          </m:r>
                        </m:den>
                      </m:f>
                    </m:e>
                  </m:d>
                  <m:r>
                    <w:rPr>
                      <w:rFonts w:ascii="Cambria Math" w:hAnsi="Cambria Math"/>
                    </w:rPr>
                    <m:t>x 100</m:t>
                  </m:r>
                </m:e>
              </m:d>
            </m:num>
            <m:den>
              <m:r>
                <w:rPr>
                  <w:rFonts w:ascii="Cambria Math" w:hAnsi="Cambria Math"/>
                </w:rPr>
                <m:t xml:space="preserve">Fasting glucose </m:t>
              </m:r>
              <m:d>
                <m:dPr>
                  <m:ctrlPr>
                    <w:rPr>
                      <w:rFonts w:ascii="Cambria Math" w:hAnsi="Cambria Math"/>
                      <w:i/>
                    </w:rPr>
                  </m:ctrlPr>
                </m:dPr>
                <m:e>
                  <m:f>
                    <m:fPr>
                      <m:ctrlPr>
                        <w:rPr>
                          <w:rFonts w:ascii="Cambria Math" w:hAnsi="Cambria Math"/>
                          <w:i/>
                        </w:rPr>
                      </m:ctrlPr>
                    </m:fPr>
                    <m:num>
                      <m:r>
                        <w:rPr>
                          <w:rFonts w:ascii="Cambria Math" w:hAnsi="Cambria Math"/>
                        </w:rPr>
                        <m:t>mg</m:t>
                      </m:r>
                    </m:num>
                    <m:den>
                      <m:r>
                        <w:rPr>
                          <w:rFonts w:ascii="Cambria Math" w:hAnsi="Cambria Math"/>
                        </w:rPr>
                        <m:t>dl</m:t>
                      </m:r>
                    </m:den>
                  </m:f>
                </m:e>
              </m:d>
            </m:den>
          </m:f>
        </m:oMath>
      </m:oMathPara>
    </w:p>
    <w:p w:rsidR="00A1362C" w:rsidRDefault="00A1362C" w:rsidP="00A1362C">
      <w:pPr>
        <w:pStyle w:val="Heading3"/>
      </w:pPr>
      <w:bookmarkStart w:id="139" w:name="_Toc376465806"/>
      <w:r>
        <w:t>Statistical analysis</w:t>
      </w:r>
      <w:bookmarkEnd w:id="139"/>
    </w:p>
    <w:p w:rsidR="00A1362C" w:rsidRDefault="00A1362C" w:rsidP="00A1362C">
      <w:r>
        <w:t xml:space="preserve">Based on a power calculation, six dogs per group </w:t>
      </w:r>
      <w:proofErr w:type="gramStart"/>
      <w:r>
        <w:t>was</w:t>
      </w:r>
      <w:proofErr w:type="gramEnd"/>
      <w:r>
        <w:t xml:space="preserve"> considered sufficient to demonstrate significant differences.  The calculation utilized assumptions of a difference in m</w:t>
      </w:r>
      <w:r w:rsidR="00D9305C">
        <w:t>ean body fat between treated (ExN) and untreated (Ex</w:t>
      </w:r>
      <w:r>
        <w:t>P) dogs of 15% (increase in body fat from 15 to 25% in treated and 15 to 40% in untreated dogs), a within standard deviation of 25% in body fat, an alpha of 0.05, and a beta of 0.9.</w:t>
      </w:r>
    </w:p>
    <w:p w:rsidR="00A1362C" w:rsidRDefault="00A1362C" w:rsidP="00A1362C"/>
    <w:p w:rsidR="00A1362C" w:rsidRDefault="00A1362C" w:rsidP="00A1362C">
      <w:r>
        <w:t>Data was analyzed using MANOVA for repeated measures with SAS® version 9.4 (SAS Institute, Inc., Cary, NC).  Multiple comparisons within group, time and their interaction effects were corrected with Tukey's HSD.  P values less than 0.05 were reported as statistically significant.</w:t>
      </w:r>
    </w:p>
    <w:p w:rsidR="00A1362C" w:rsidRDefault="00A1362C" w:rsidP="00A1362C"/>
    <w:p w:rsidR="00A1362C" w:rsidRDefault="00A1362C" w:rsidP="00A1362C">
      <w:r>
        <w:t>Positive behavioral observations were counted and analyzed based on count number for all behaviors except cage position.  Since one of three possible cage positions was recorded at all observation times, distribution of position was analyzed.</w:t>
      </w:r>
    </w:p>
    <w:p w:rsidR="00A1362C" w:rsidRDefault="00A1362C" w:rsidP="00A1362C"/>
    <w:p w:rsidR="00A1362C" w:rsidRDefault="00A1362C" w:rsidP="00A1362C">
      <w:r>
        <w:t>Gut hormone and endocrine factor plasma samples were further analyzed for 420-minute subgroup.  The si</w:t>
      </w:r>
      <w:r w:rsidR="00BE1BEE">
        <w:t>gnificant p value was adjusted </w:t>
      </w:r>
      <w:r>
        <w:t>using the Bonferroni procedure to control for the risk of type I error.</w:t>
      </w:r>
    </w:p>
    <w:p w:rsidR="00927570" w:rsidRDefault="00927570" w:rsidP="00927570">
      <w:pPr>
        <w:pStyle w:val="Heading2"/>
      </w:pPr>
      <w:bookmarkStart w:id="140" w:name="_Toc376465807"/>
      <w:r>
        <w:t>Results</w:t>
      </w:r>
      <w:bookmarkEnd w:id="140"/>
    </w:p>
    <w:p w:rsidR="0056709A" w:rsidRPr="00741663" w:rsidRDefault="0056709A" w:rsidP="0056709A">
      <w:r w:rsidRPr="00741663">
        <w:t>Eighteen dogs started the study and were in</w:t>
      </w:r>
      <w:r w:rsidR="00741663" w:rsidRPr="00741663">
        <w:t xml:space="preserve">cluded in final data analysis. </w:t>
      </w:r>
      <w:r w:rsidR="001E438A">
        <w:t xml:space="preserve"> All dogs completed 12 weeks of their respective treatments.</w:t>
      </w:r>
    </w:p>
    <w:p w:rsidR="0056709A" w:rsidRPr="00611813" w:rsidRDefault="0056709A" w:rsidP="00377BDD">
      <w:pPr>
        <w:pStyle w:val="Heading3"/>
      </w:pPr>
      <w:bookmarkStart w:id="141" w:name="_Toc376465808"/>
      <w:r w:rsidRPr="00611813">
        <w:t>Scale weight and BCS</w:t>
      </w:r>
      <w:r w:rsidR="00E074DC">
        <w:t xml:space="preserve"> (Groups ExN, ExP)</w:t>
      </w:r>
      <w:bookmarkEnd w:id="141"/>
    </w:p>
    <w:p w:rsidR="0056709A" w:rsidRPr="00377BDD" w:rsidRDefault="0056709A" w:rsidP="0056709A">
      <w:r w:rsidRPr="00377BDD">
        <w:t>There were no differences</w:t>
      </w:r>
      <w:r w:rsidR="00377BDD" w:rsidRPr="00377BDD">
        <w:t xml:space="preserve"> in body weight (BW) and BCS </w:t>
      </w:r>
      <w:r w:rsidRPr="00377BDD">
        <w:t>between groups</w:t>
      </w:r>
      <w:r w:rsidR="00377BDD" w:rsidRPr="00377BDD">
        <w:t xml:space="preserve"> over time</w:t>
      </w:r>
      <w:r w:rsidRPr="00377BDD">
        <w:t xml:space="preserve">.  </w:t>
      </w:r>
      <w:r w:rsidR="00F35870">
        <w:t>ExN and ExP gained BW and increased BCS over the twelve weeks (</w:t>
      </w:r>
      <w:r w:rsidR="00F35870" w:rsidRPr="00F35870">
        <w:rPr>
          <w:i/>
        </w:rPr>
        <w:t>p</w:t>
      </w:r>
      <w:r w:rsidR="00F35870">
        <w:t xml:space="preserve"> &lt; 0.0001</w:t>
      </w:r>
      <w:r w:rsidR="006804AF">
        <w:t xml:space="preserve">, </w:t>
      </w:r>
      <w:r w:rsidR="006804AF">
        <w:rPr>
          <w:color w:val="FF0000"/>
        </w:rPr>
        <w:t xml:space="preserve">Table </w:t>
      </w:r>
      <w:r w:rsidR="00235F42">
        <w:rPr>
          <w:color w:val="FF0000"/>
        </w:rPr>
        <w:t>1</w:t>
      </w:r>
      <w:r w:rsidR="008770B0">
        <w:rPr>
          <w:color w:val="FF0000"/>
        </w:rPr>
        <w:t>8</w:t>
      </w:r>
      <w:r w:rsidR="00F35870">
        <w:t>).</w:t>
      </w:r>
    </w:p>
    <w:p w:rsidR="0056709A" w:rsidRPr="005F07B0" w:rsidRDefault="0056709A" w:rsidP="005F07B0">
      <w:pPr>
        <w:pStyle w:val="Heading3"/>
      </w:pPr>
      <w:bookmarkStart w:id="142" w:name="_Toc376465809"/>
      <w:r w:rsidRPr="005F07B0">
        <w:t>Food consumption</w:t>
      </w:r>
      <w:r w:rsidR="00E074DC">
        <w:t xml:space="preserve"> (Groups ExN, ExP)</w:t>
      </w:r>
      <w:bookmarkEnd w:id="142"/>
    </w:p>
    <w:p w:rsidR="00E4760C" w:rsidRPr="00DE322F" w:rsidRDefault="00E4760C" w:rsidP="00E4760C">
      <w:r>
        <w:t>Consumption followed a similar significance pattern when analyzed as kcal, kcal/</w:t>
      </w:r>
      <w:r w:rsidRPr="003E7D46">
        <w:t>BW</w:t>
      </w:r>
      <w:r w:rsidRPr="003E7D46">
        <w:rPr>
          <w:vertAlign w:val="subscript"/>
        </w:rPr>
        <w:t>kg</w:t>
      </w:r>
      <w:r>
        <w:t>, and kcal/BW</w:t>
      </w:r>
      <w:r>
        <w:rPr>
          <w:vertAlign w:val="subscript"/>
        </w:rPr>
        <w:t>kg</w:t>
      </w:r>
      <w:r>
        <w:rPr>
          <w:vertAlign w:val="superscript"/>
        </w:rPr>
        <w:t>0.75</w:t>
      </w:r>
      <w:r>
        <w:t>.  As the metabolic body weight (BW</w:t>
      </w:r>
      <w:r>
        <w:rPr>
          <w:vertAlign w:val="subscript"/>
        </w:rPr>
        <w:t>kg</w:t>
      </w:r>
      <w:r>
        <w:rPr>
          <w:vertAlign w:val="superscript"/>
        </w:rPr>
        <w:t>0.75</w:t>
      </w:r>
      <w:r>
        <w:t>) is considered a more suitable way to describe the relationship between mass and energy in dogs, it will be used in reference to caloric intake discussions.</w:t>
      </w:r>
      <w:r>
        <w:fldChar w:fldCharType="begin"/>
      </w:r>
      <w:r w:rsidR="00C91454">
        <w:instrText xml:space="preserve"> ADDIN ZOTERO_ITEM CSL_CITATION {"citationID":"p1r8Nu7C","properties":{"formattedCitation":"{\\rtf \\super 67\\nosupersub{}}","plainCitation":"67"},"citationItems":[{"id":"Gpwq8jj7/vTXSqUDi","uris":["http://zotero.org/users/local/Ry4zHLbn/items/BB5Q46C6"],"uri":["http://zotero.org/users/local/Ry4zHLbn/items/BB5Q46C6"],"itemData":{"id":"Gpwq8jj7/vTXSqUDi","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fldChar w:fldCharType="separate"/>
      </w:r>
      <w:r w:rsidRPr="003E7D46">
        <w:rPr>
          <w:vertAlign w:val="superscript"/>
        </w:rPr>
        <w:t>67</w:t>
      </w:r>
      <w:r>
        <w:fldChar w:fldCharType="end"/>
      </w:r>
      <w:r>
        <w:t xml:space="preserve">  Kcal and kcal/BW</w:t>
      </w:r>
      <w:r>
        <w:rPr>
          <w:vertAlign w:val="subscript"/>
        </w:rPr>
        <w:t>kg</w:t>
      </w:r>
      <w:r>
        <w:t xml:space="preserve"> values are also provided in </w:t>
      </w:r>
      <w:r w:rsidRPr="003E7D46">
        <w:rPr>
          <w:color w:val="FF0000"/>
        </w:rPr>
        <w:t xml:space="preserve">Table </w:t>
      </w:r>
      <w:r w:rsidR="00235F42">
        <w:rPr>
          <w:color w:val="FF0000"/>
        </w:rPr>
        <w:t>1</w:t>
      </w:r>
      <w:r w:rsidR="008770B0">
        <w:rPr>
          <w:color w:val="FF0000"/>
        </w:rPr>
        <w:t>8</w:t>
      </w:r>
      <w:r>
        <w:t xml:space="preserve"> for additional reference.</w:t>
      </w:r>
    </w:p>
    <w:p w:rsidR="0056709A" w:rsidRPr="005F07B0" w:rsidRDefault="0056709A" w:rsidP="005F07B0">
      <w:pPr>
        <w:pStyle w:val="Heading4"/>
      </w:pPr>
      <w:r w:rsidRPr="005F07B0">
        <w:t>Food</w:t>
      </w:r>
      <w:r w:rsidR="006804AF">
        <w:t xml:space="preserve"> offered</w:t>
      </w:r>
    </w:p>
    <w:p w:rsidR="00443CBC" w:rsidRPr="00443CBC" w:rsidRDefault="0008222C" w:rsidP="0056709A">
      <w:r>
        <w:t>A</w:t>
      </w:r>
      <w:r w:rsidR="00443CBC">
        <w:t>mounts</w:t>
      </w:r>
      <w:r w:rsidR="00443CBC" w:rsidRPr="00443CBC">
        <w:t xml:space="preserve"> offered to ExN were significantly greater than </w:t>
      </w:r>
      <w:r w:rsidR="00443CBC">
        <w:t xml:space="preserve">the amounts </w:t>
      </w:r>
      <w:r w:rsidR="00443CBC" w:rsidRPr="00443CBC">
        <w:t>offered to ExP during baseline</w:t>
      </w:r>
      <w:r>
        <w:t xml:space="preserve"> (</w:t>
      </w:r>
      <w:r>
        <w:rPr>
          <w:i/>
        </w:rPr>
        <w:t>p</w:t>
      </w:r>
      <w:r>
        <w:t xml:space="preserve"> &lt; 0.0001)</w:t>
      </w:r>
      <w:r w:rsidR="00443CBC" w:rsidRPr="00443CBC">
        <w:t xml:space="preserve">.  </w:t>
      </w:r>
      <w:r w:rsidR="00485E49">
        <w:t>W</w:t>
      </w:r>
      <w:r w:rsidR="00443CBC">
        <w:t>ithin</w:t>
      </w:r>
      <w:r w:rsidR="00485E49">
        <w:t xml:space="preserve"> </w:t>
      </w:r>
      <w:r w:rsidR="00443CBC">
        <w:t>groups, amounts offered increase</w:t>
      </w:r>
      <w:r>
        <w:t xml:space="preserve">d </w:t>
      </w:r>
      <w:r w:rsidR="00443CBC">
        <w:t>from baseline to one week into treatment</w:t>
      </w:r>
      <w:r>
        <w:t xml:space="preserve"> (</w:t>
      </w:r>
      <w:r>
        <w:rPr>
          <w:i/>
        </w:rPr>
        <w:t>p</w:t>
      </w:r>
      <w:r>
        <w:t xml:space="preserve"> &lt; 0.0001)</w:t>
      </w:r>
      <w:r w:rsidR="00443CBC">
        <w:t xml:space="preserve">.  </w:t>
      </w:r>
      <w:r>
        <w:t>All other kcal/BW</w:t>
      </w:r>
      <w:r>
        <w:rPr>
          <w:vertAlign w:val="subscript"/>
        </w:rPr>
        <w:t>kg</w:t>
      </w:r>
      <w:r>
        <w:rPr>
          <w:vertAlign w:val="superscript"/>
        </w:rPr>
        <w:t xml:space="preserve">0.75 </w:t>
      </w:r>
      <w:r>
        <w:t>amounts offered showed no difference between groups.  Amounts offered at week 12 were higher than those offered at baseline within groups (</w:t>
      </w:r>
      <w:r>
        <w:rPr>
          <w:i/>
        </w:rPr>
        <w:t>p</w:t>
      </w:r>
      <w:r>
        <w:t xml:space="preserve"> &lt; 0.0001). </w:t>
      </w:r>
    </w:p>
    <w:p w:rsidR="0056709A" w:rsidRPr="00443CBC" w:rsidRDefault="006804AF" w:rsidP="00443CBC">
      <w:pPr>
        <w:pStyle w:val="Heading4"/>
      </w:pPr>
      <w:r>
        <w:t>Food not consumed</w:t>
      </w:r>
    </w:p>
    <w:p w:rsidR="0056709A" w:rsidRPr="001D26F2" w:rsidRDefault="0008222C" w:rsidP="0056709A">
      <w:r>
        <w:t>The amount of food left behind</w:t>
      </w:r>
      <w:r w:rsidR="00443CBC" w:rsidRPr="00485E49">
        <w:t xml:space="preserve"> by ExN and ExP was similar between groups at all time points.  The value </w:t>
      </w:r>
      <w:r w:rsidR="001D26F2">
        <w:t>not consumed</w:t>
      </w:r>
      <w:r w:rsidR="00443CBC" w:rsidRPr="00485E49">
        <w:t xml:space="preserve"> increased within groups when switched from MER</w:t>
      </w:r>
      <w:r w:rsidR="00443CBC" w:rsidRPr="00485E49">
        <w:rPr>
          <w:vertAlign w:val="subscript"/>
        </w:rPr>
        <w:t>ideal</w:t>
      </w:r>
      <w:r w:rsidR="00443CBC" w:rsidRPr="00485E49">
        <w:t xml:space="preserve"> to excess calorie meals</w:t>
      </w:r>
      <w:r w:rsidR="001D26F2">
        <w:t xml:space="preserve"> and remained consistent through end of treatment (</w:t>
      </w:r>
      <w:r w:rsidR="001D26F2">
        <w:rPr>
          <w:i/>
        </w:rPr>
        <w:t>p</w:t>
      </w:r>
      <w:r w:rsidR="001D26F2">
        <w:t xml:space="preserve"> &lt;0.0001).</w:t>
      </w:r>
    </w:p>
    <w:p w:rsidR="0056709A" w:rsidRPr="00485E49" w:rsidRDefault="0056709A" w:rsidP="00485E49">
      <w:pPr>
        <w:pStyle w:val="Heading4"/>
      </w:pPr>
      <w:r w:rsidRPr="00485E49">
        <w:t xml:space="preserve">Food </w:t>
      </w:r>
      <w:r w:rsidR="006804AF">
        <w:t>consumed</w:t>
      </w:r>
    </w:p>
    <w:p w:rsidR="00235F42" w:rsidRDefault="00AF54F5" w:rsidP="00485E49">
      <w:r>
        <w:t>A</w:t>
      </w:r>
      <w:r w:rsidR="00485E49">
        <w:t>mounts consumed by</w:t>
      </w:r>
      <w:r>
        <w:t xml:space="preserve"> ExN were</w:t>
      </w:r>
      <w:r w:rsidR="00485E49" w:rsidRPr="00443CBC">
        <w:t xml:space="preserve"> greater than </w:t>
      </w:r>
      <w:r w:rsidR="00485E49">
        <w:t>the amounts consumed by</w:t>
      </w:r>
      <w:r w:rsidR="00485E49" w:rsidRPr="00443CBC">
        <w:t xml:space="preserve"> ExP during baseline</w:t>
      </w:r>
      <w:r>
        <w:t xml:space="preserve"> (</w:t>
      </w:r>
      <w:r>
        <w:rPr>
          <w:i/>
        </w:rPr>
        <w:t>p</w:t>
      </w:r>
      <w:r>
        <w:t xml:space="preserve"> &lt;0.0001)</w:t>
      </w:r>
      <w:r w:rsidR="00485E49" w:rsidRPr="00443CBC">
        <w:t xml:space="preserve">.  </w:t>
      </w:r>
      <w:r w:rsidR="00485E49">
        <w:t>One week into treatment, wi</w:t>
      </w:r>
      <w:r>
        <w:t xml:space="preserve">thin group intake </w:t>
      </w:r>
      <w:r w:rsidR="00485E49">
        <w:t>increased</w:t>
      </w:r>
      <w:r>
        <w:t xml:space="preserve"> (</w:t>
      </w:r>
      <w:r>
        <w:rPr>
          <w:i/>
        </w:rPr>
        <w:t xml:space="preserve">p </w:t>
      </w:r>
      <w:r>
        <w:t>&lt;0.0001)</w:t>
      </w:r>
      <w:r w:rsidR="00485E49">
        <w:t xml:space="preserve">.  Within group </w:t>
      </w:r>
      <w:r w:rsidR="00393ACE">
        <w:t>kcal/BW</w:t>
      </w:r>
      <w:r w:rsidR="00393ACE">
        <w:rPr>
          <w:vertAlign w:val="subscript"/>
        </w:rPr>
        <w:t>kg</w:t>
      </w:r>
      <w:r>
        <w:rPr>
          <w:vertAlign w:val="superscript"/>
        </w:rPr>
        <w:t>0.75</w:t>
      </w:r>
      <w:r w:rsidR="00393ACE">
        <w:t xml:space="preserve"> </w:t>
      </w:r>
      <w:r w:rsidR="00485E49">
        <w:t>intake dec</w:t>
      </w:r>
      <w:r w:rsidR="00DB329F">
        <w:t>lined back to baseline levels by</w:t>
      </w:r>
      <w:r w:rsidR="00485E49">
        <w:t xml:space="preserve"> end of treatment for ExN</w:t>
      </w:r>
      <w:r w:rsidR="002A6F3E">
        <w:t>.  ExP consumption was still elevated at 12 weeks compared to baseline (</w:t>
      </w:r>
      <w:r w:rsidR="002A6F3E">
        <w:rPr>
          <w:i/>
        </w:rPr>
        <w:t xml:space="preserve">p </w:t>
      </w:r>
      <w:r w:rsidR="002A6F3E">
        <w:t>&lt; 0.0001), but did not differ from ExN</w:t>
      </w:r>
      <w:r w:rsidR="00DB329F">
        <w:t xml:space="preserve">. </w:t>
      </w:r>
      <w:r w:rsidR="002A6F3E">
        <w:t xml:space="preserve"> </w:t>
      </w:r>
      <w:r w:rsidR="00DB329F">
        <w:t>On</w:t>
      </w:r>
    </w:p>
    <w:p w:rsidR="00235F42" w:rsidRDefault="00235F42" w:rsidP="00485E49">
      <w:pPr>
        <w:sectPr w:rsidR="00235F42" w:rsidSect="00F92278">
          <w:pgSz w:w="12240" w:h="15840" w:code="1"/>
          <w:pgMar w:top="1440" w:right="1800" w:bottom="1872" w:left="1800" w:header="720" w:footer="1440" w:gutter="0"/>
          <w:cols w:space="720"/>
          <w:noEndnote/>
          <w:docGrid w:linePitch="360"/>
        </w:sectPr>
      </w:pPr>
    </w:p>
    <w:p w:rsidR="00235F42" w:rsidRDefault="00235F42" w:rsidP="00235F42">
      <w:pPr>
        <w:pStyle w:val="Caption"/>
      </w:pPr>
      <w:bookmarkStart w:id="143" w:name="_Toc376465840"/>
      <w:r>
        <w:t xml:space="preserve">Table </w:t>
      </w:r>
      <w:fldSimple w:instr=" SEQ Table \* ARABIC ">
        <w:r w:rsidR="00736DB0">
          <w:rPr>
            <w:noProof/>
          </w:rPr>
          <w:t>18</w:t>
        </w:r>
      </w:fldSimple>
      <w:r>
        <w:t xml:space="preserve"> </w:t>
      </w:r>
      <w:r w:rsidRPr="00D329AE">
        <w:t>Body weight, BCS, and f</w:t>
      </w:r>
      <w:r>
        <w:t>ood consumption by excess calorie</w:t>
      </w:r>
      <w:r w:rsidRPr="00D329AE">
        <w:t xml:space="preserve"> group and time point</w:t>
      </w:r>
      <w:r>
        <w:t>.</w:t>
      </w:r>
      <w:bookmarkEnd w:id="143"/>
    </w:p>
    <w:tbl>
      <w:tblPr>
        <w:tblStyle w:val="TableClassic1"/>
        <w:tblW w:w="12798" w:type="dxa"/>
        <w:tblLayout w:type="fixed"/>
        <w:tblLook w:val="04A0" w:firstRow="1" w:lastRow="0" w:firstColumn="1" w:lastColumn="0" w:noHBand="0" w:noVBand="1"/>
      </w:tblPr>
      <w:tblGrid>
        <w:gridCol w:w="1998"/>
        <w:gridCol w:w="2120"/>
        <w:gridCol w:w="2170"/>
        <w:gridCol w:w="2170"/>
        <w:gridCol w:w="2170"/>
        <w:gridCol w:w="2170"/>
      </w:tblGrid>
      <w:tr w:rsidR="00235F42" w:rsidTr="00235F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r>
              <w:t>Group</w:t>
            </w:r>
          </w:p>
        </w:tc>
        <w:tc>
          <w:tcPr>
            <w:tcW w:w="2120" w:type="dxa"/>
          </w:tcPr>
          <w:p w:rsidR="00235F42" w:rsidRDefault="00235F42" w:rsidP="00235F42">
            <w:pPr>
              <w:cnfStyle w:val="100000000000" w:firstRow="1" w:lastRow="0" w:firstColumn="0" w:lastColumn="0" w:oddVBand="0" w:evenVBand="0" w:oddHBand="0" w:evenHBand="0" w:firstRowFirstColumn="0" w:firstRowLastColumn="0" w:lastRowFirstColumn="0" w:lastRowLastColumn="0"/>
            </w:pPr>
            <w:r>
              <w:t>Baseline</w:t>
            </w:r>
          </w:p>
        </w:tc>
        <w:tc>
          <w:tcPr>
            <w:tcW w:w="2170" w:type="dxa"/>
          </w:tcPr>
          <w:p w:rsidR="00235F42" w:rsidRDefault="00235F42" w:rsidP="00235F42">
            <w:pPr>
              <w:cnfStyle w:val="100000000000" w:firstRow="1" w:lastRow="0" w:firstColumn="0" w:lastColumn="0" w:oddVBand="0" w:evenVBand="0" w:oddHBand="0" w:evenHBand="0" w:firstRowFirstColumn="0" w:firstRowLastColumn="0" w:lastRowFirstColumn="0" w:lastRowLastColumn="0"/>
            </w:pPr>
            <w:r>
              <w:t>One week</w:t>
            </w:r>
          </w:p>
        </w:tc>
        <w:tc>
          <w:tcPr>
            <w:tcW w:w="2170" w:type="dxa"/>
          </w:tcPr>
          <w:p w:rsidR="00235F42" w:rsidRDefault="00235F42" w:rsidP="00235F42">
            <w:pPr>
              <w:cnfStyle w:val="100000000000" w:firstRow="1" w:lastRow="0" w:firstColumn="0" w:lastColumn="0" w:oddVBand="0" w:evenVBand="0" w:oddHBand="0" w:evenHBand="0" w:firstRowFirstColumn="0" w:firstRowLastColumn="0" w:lastRowFirstColumn="0" w:lastRowLastColumn="0"/>
            </w:pPr>
            <w:r>
              <w:t>Four weeks</w:t>
            </w:r>
          </w:p>
        </w:tc>
        <w:tc>
          <w:tcPr>
            <w:tcW w:w="2170" w:type="dxa"/>
          </w:tcPr>
          <w:p w:rsidR="00235F42" w:rsidRDefault="00235F42" w:rsidP="00235F42">
            <w:pPr>
              <w:cnfStyle w:val="100000000000" w:firstRow="1" w:lastRow="0" w:firstColumn="0" w:lastColumn="0" w:oddVBand="0" w:evenVBand="0" w:oddHBand="0" w:evenHBand="0" w:firstRowFirstColumn="0" w:firstRowLastColumn="0" w:lastRowFirstColumn="0" w:lastRowLastColumn="0"/>
            </w:pPr>
            <w:r>
              <w:t>Eight weeks</w:t>
            </w:r>
          </w:p>
        </w:tc>
        <w:tc>
          <w:tcPr>
            <w:tcW w:w="2170" w:type="dxa"/>
          </w:tcPr>
          <w:p w:rsidR="00235F42" w:rsidRDefault="00235F42" w:rsidP="00235F42">
            <w:pPr>
              <w:cnfStyle w:val="100000000000" w:firstRow="1" w:lastRow="0" w:firstColumn="0" w:lastColumn="0" w:oddVBand="0" w:evenVBand="0" w:oddHBand="0" w:evenHBand="0" w:firstRowFirstColumn="0" w:firstRowLastColumn="0" w:lastRowFirstColumn="0" w:lastRowLastColumn="0"/>
            </w:pPr>
            <w:r>
              <w:t>Twelve weeks</w:t>
            </w: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r>
              <w:t>Scale weight (kg)</w:t>
            </w:r>
          </w:p>
        </w:tc>
        <w:tc>
          <w:tcPr>
            <w:tcW w:w="212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Pr="00C55791" w:rsidRDefault="00235F42" w:rsidP="00235F42">
            <w:pPr>
              <w:jc w:val="center"/>
              <w:rPr>
                <w:vertAlign w:val="superscript"/>
              </w:rPr>
            </w:pPr>
            <w:r>
              <w:t>ExN</w:t>
            </w:r>
            <w:r>
              <w:rPr>
                <w:vertAlign w:val="superscript"/>
              </w:rPr>
              <w:t>*</w:t>
            </w:r>
          </w:p>
        </w:tc>
        <w:tc>
          <w:tcPr>
            <w:tcW w:w="2120" w:type="dxa"/>
          </w:tcPr>
          <w:p w:rsidR="00235F42" w:rsidRPr="00C62000"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11.8 ± 1.0</w:t>
            </w:r>
            <w:r>
              <w:rPr>
                <w:vertAlign w:val="superscript"/>
              </w:rPr>
              <w:t>a,#</w:t>
            </w:r>
          </w:p>
        </w:tc>
        <w:tc>
          <w:tcPr>
            <w:tcW w:w="2170" w:type="dxa"/>
          </w:tcPr>
          <w:p w:rsidR="00235F42" w:rsidRPr="00C62000"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13.0 ± 1.0</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14.0 ± 1.6</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14.9 ± 1.6</w:t>
            </w:r>
            <w:r>
              <w:rPr>
                <w:vertAlign w:val="superscript"/>
              </w:rPr>
              <w:t>a,%,^</w:t>
            </w:r>
          </w:p>
        </w:tc>
        <w:tc>
          <w:tcPr>
            <w:tcW w:w="2170" w:type="dxa"/>
          </w:tcPr>
          <w:p w:rsidR="00235F42" w:rsidRPr="00C62000"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16.0 ± 1.8</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Pr="00C55791" w:rsidRDefault="00235F42" w:rsidP="00235F42">
            <w:pPr>
              <w:jc w:val="center"/>
              <w:rPr>
                <w:vertAlign w:val="superscript"/>
              </w:rPr>
            </w:pPr>
            <w:r>
              <w:t>ExP</w:t>
            </w:r>
            <w:r>
              <w:rPr>
                <w:vertAlign w:val="superscript"/>
              </w:rPr>
              <w:t>*</w:t>
            </w:r>
          </w:p>
        </w:tc>
        <w:tc>
          <w:tcPr>
            <w:tcW w:w="2120" w:type="dxa"/>
          </w:tcPr>
          <w:p w:rsidR="00235F42" w:rsidRPr="00C62000"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11.9 ± 0.5</w:t>
            </w:r>
            <w:r>
              <w:rPr>
                <w:vertAlign w:val="superscript"/>
              </w:rPr>
              <w:t>a,#</w:t>
            </w:r>
          </w:p>
        </w:tc>
        <w:tc>
          <w:tcPr>
            <w:tcW w:w="2170" w:type="dxa"/>
          </w:tcPr>
          <w:p w:rsidR="00235F42" w:rsidRPr="00C62000"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13.6 ± 0.8</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13.8 ± 0.8</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15.3 ± 1.4</w:t>
            </w:r>
            <w:r>
              <w:rPr>
                <w:vertAlign w:val="superscript"/>
              </w:rPr>
              <w:t>a,%</w:t>
            </w:r>
          </w:p>
        </w:tc>
        <w:tc>
          <w:tcPr>
            <w:tcW w:w="2170" w:type="dxa"/>
          </w:tcPr>
          <w:p w:rsidR="00235F42" w:rsidRPr="00C62000"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15.8 ± 1.9</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r>
              <w:t>BCS (9-point)</w:t>
            </w:r>
          </w:p>
        </w:tc>
        <w:tc>
          <w:tcPr>
            <w:tcW w:w="212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pPr>
              <w:jc w:val="center"/>
            </w:pPr>
            <w:r>
              <w:t>ExN</w:t>
            </w:r>
          </w:p>
        </w:tc>
        <w:tc>
          <w:tcPr>
            <w:tcW w:w="2120" w:type="dxa"/>
          </w:tcPr>
          <w:p w:rsidR="00235F42" w:rsidRPr="003A2742"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4.7 ± 0.5</w:t>
            </w:r>
            <w:r>
              <w:rPr>
                <w:vertAlign w:val="superscript"/>
              </w:rPr>
              <w:t>a,#</w:t>
            </w:r>
          </w:p>
        </w:tc>
        <w:tc>
          <w:tcPr>
            <w:tcW w:w="2170" w:type="dxa"/>
          </w:tcPr>
          <w:p w:rsidR="00235F42" w:rsidRPr="003A2742"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4.2 ± 0.8</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4.8 ± 0.4</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6.2 ± 0.4</w:t>
            </w:r>
            <w:r>
              <w:rPr>
                <w:vertAlign w:val="superscript"/>
              </w:rPr>
              <w:t>a,$</w:t>
            </w:r>
          </w:p>
        </w:tc>
        <w:tc>
          <w:tcPr>
            <w:tcW w:w="2170" w:type="dxa"/>
          </w:tcPr>
          <w:p w:rsidR="00235F42" w:rsidRPr="003A2742"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7.0 ± 0.6</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pPr>
              <w:jc w:val="center"/>
            </w:pPr>
            <w:r>
              <w:t>ExP</w:t>
            </w:r>
          </w:p>
        </w:tc>
        <w:tc>
          <w:tcPr>
            <w:tcW w:w="2120" w:type="dxa"/>
          </w:tcPr>
          <w:p w:rsidR="00235F42" w:rsidRPr="003A2742"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5.3 ± 0.5</w:t>
            </w:r>
            <w:r>
              <w:rPr>
                <w:vertAlign w:val="superscript"/>
              </w:rPr>
              <w:t>a,#</w:t>
            </w:r>
          </w:p>
        </w:tc>
        <w:tc>
          <w:tcPr>
            <w:tcW w:w="2170" w:type="dxa"/>
          </w:tcPr>
          <w:p w:rsidR="00235F42" w:rsidRPr="003A2742"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5.3 ± 0.5</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6.0 ± 1.1</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7.2 ± 1.6</w:t>
            </w:r>
            <w:r>
              <w:rPr>
                <w:vertAlign w:val="superscript"/>
              </w:rPr>
              <w:t>a,$,%</w:t>
            </w:r>
          </w:p>
        </w:tc>
        <w:tc>
          <w:tcPr>
            <w:tcW w:w="2170" w:type="dxa"/>
          </w:tcPr>
          <w:p w:rsidR="00235F42" w:rsidRPr="003A2742"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8.2 ± 1.6</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r>
              <w:t>Food offered (kcal)</w:t>
            </w:r>
          </w:p>
        </w:tc>
        <w:tc>
          <w:tcPr>
            <w:tcW w:w="212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pPr>
              <w:jc w:val="center"/>
            </w:pPr>
            <w:r>
              <w:t>ExN</w:t>
            </w:r>
          </w:p>
        </w:tc>
        <w:tc>
          <w:tcPr>
            <w:tcW w:w="2120" w:type="dxa"/>
          </w:tcPr>
          <w:p w:rsidR="00235F42" w:rsidRPr="00202AE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1225.0 ± 102.8</w:t>
            </w:r>
            <w:r>
              <w:rPr>
                <w:vertAlign w:val="superscript"/>
              </w:rPr>
              <w:t>a,#</w:t>
            </w:r>
          </w:p>
        </w:tc>
        <w:tc>
          <w:tcPr>
            <w:tcW w:w="2170" w:type="dxa"/>
          </w:tcPr>
          <w:p w:rsidR="00235F42" w:rsidRPr="00202AE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3932.2 ± 79.1</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3171.2 ± 191.6</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3487.7 ±427.7</w:t>
            </w:r>
            <w:r>
              <w:rPr>
                <w:vertAlign w:val="superscript"/>
              </w:rPr>
              <w:t>a,$,%</w:t>
            </w:r>
          </w:p>
        </w:tc>
        <w:tc>
          <w:tcPr>
            <w:tcW w:w="2170" w:type="dxa"/>
          </w:tcPr>
          <w:p w:rsidR="00235F42" w:rsidRPr="00202AE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3536.4 ±455.0</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pPr>
              <w:jc w:val="center"/>
            </w:pPr>
            <w:r>
              <w:t>ExP</w:t>
            </w:r>
          </w:p>
        </w:tc>
        <w:tc>
          <w:tcPr>
            <w:tcW w:w="2120" w:type="dxa"/>
          </w:tcPr>
          <w:p w:rsidR="00235F42" w:rsidRPr="00202AE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876.1 ± 266.0</w:t>
            </w:r>
            <w:r>
              <w:rPr>
                <w:vertAlign w:val="superscript"/>
              </w:rPr>
              <w:t>b,#</w:t>
            </w:r>
          </w:p>
        </w:tc>
        <w:tc>
          <w:tcPr>
            <w:tcW w:w="2170" w:type="dxa"/>
          </w:tcPr>
          <w:p w:rsidR="00235F42" w:rsidRPr="00202AE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3430.1 ± 455.7</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3076.0 ± 569.4</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3206.2 ± 401.3</w:t>
            </w:r>
            <w:r>
              <w:rPr>
                <w:vertAlign w:val="superscript"/>
              </w:rPr>
              <w:t>a,$</w:t>
            </w:r>
          </w:p>
        </w:tc>
        <w:tc>
          <w:tcPr>
            <w:tcW w:w="2170" w:type="dxa"/>
          </w:tcPr>
          <w:p w:rsidR="00235F42" w:rsidRPr="00202AE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3223.4 ± 392.2</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r>
              <w:t>Food intake (kcal)</w:t>
            </w:r>
          </w:p>
        </w:tc>
        <w:tc>
          <w:tcPr>
            <w:tcW w:w="212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pPr>
              <w:jc w:val="center"/>
            </w:pPr>
            <w:r>
              <w:t>ExN</w:t>
            </w:r>
          </w:p>
        </w:tc>
        <w:tc>
          <w:tcPr>
            <w:tcW w:w="2120" w:type="dxa"/>
          </w:tcPr>
          <w:p w:rsidR="00235F42" w:rsidRPr="00684DE9"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1224.9 ± 103.0</w:t>
            </w:r>
            <w:r>
              <w:rPr>
                <w:vertAlign w:val="superscript"/>
              </w:rPr>
              <w:t>a,#</w:t>
            </w:r>
          </w:p>
        </w:tc>
        <w:tc>
          <w:tcPr>
            <w:tcW w:w="2170" w:type="dxa"/>
          </w:tcPr>
          <w:p w:rsidR="00235F42" w:rsidRPr="00684DE9"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2063.7 ± 377.1</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1816.9 ± 146.7</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1614.7 ± 159.3</w:t>
            </w:r>
            <w:r>
              <w:rPr>
                <w:vertAlign w:val="superscript"/>
              </w:rPr>
              <w:t>a,$</w:t>
            </w:r>
          </w:p>
        </w:tc>
        <w:tc>
          <w:tcPr>
            <w:tcW w:w="2170" w:type="dxa"/>
          </w:tcPr>
          <w:p w:rsidR="00235F42" w:rsidRPr="00684DE9"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1644.7 ± 175.4</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pPr>
              <w:jc w:val="center"/>
            </w:pPr>
            <w:r>
              <w:t>ExP</w:t>
            </w:r>
          </w:p>
        </w:tc>
        <w:tc>
          <w:tcPr>
            <w:tcW w:w="2120" w:type="dxa"/>
          </w:tcPr>
          <w:p w:rsidR="00235F42" w:rsidRPr="00684DE9"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876.2 ± 282.0</w:t>
            </w:r>
            <w:r>
              <w:rPr>
                <w:vertAlign w:val="superscript"/>
              </w:rPr>
              <w:t>b,#</w:t>
            </w:r>
          </w:p>
        </w:tc>
        <w:tc>
          <w:tcPr>
            <w:tcW w:w="2170" w:type="dxa"/>
          </w:tcPr>
          <w:p w:rsidR="00235F42" w:rsidRPr="00684DE9"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2075.0 ± 457.2</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1814.9 ± 309.8</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1557.1 ± 322.4</w:t>
            </w:r>
            <w:r>
              <w:rPr>
                <w:vertAlign w:val="superscript"/>
              </w:rPr>
              <w:t>a,$</w:t>
            </w:r>
          </w:p>
        </w:tc>
        <w:tc>
          <w:tcPr>
            <w:tcW w:w="2170" w:type="dxa"/>
          </w:tcPr>
          <w:p w:rsidR="00235F42" w:rsidRPr="00684DE9"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1585.4 ± 373.2</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r>
              <w:t>Food not eaten (kcal)</w:t>
            </w:r>
          </w:p>
        </w:tc>
        <w:tc>
          <w:tcPr>
            <w:tcW w:w="212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pPr>
              <w:jc w:val="center"/>
            </w:pPr>
            <w:r>
              <w:t>ExN</w:t>
            </w:r>
          </w:p>
        </w:tc>
        <w:tc>
          <w:tcPr>
            <w:tcW w:w="2120" w:type="dxa"/>
          </w:tcPr>
          <w:p w:rsidR="00235F42" w:rsidRPr="00BC1EA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0.1 ± 0.4</w:t>
            </w:r>
            <w:r>
              <w:rPr>
                <w:vertAlign w:val="superscript"/>
              </w:rPr>
              <w:t>a,#</w:t>
            </w:r>
          </w:p>
        </w:tc>
        <w:tc>
          <w:tcPr>
            <w:tcW w:w="2170" w:type="dxa"/>
          </w:tcPr>
          <w:p w:rsidR="00235F42" w:rsidRPr="00BC1EA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1868.5 ± 362.0</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1354.4 ± 279.8</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1872.9 ± 444.0</w:t>
            </w:r>
            <w:r>
              <w:rPr>
                <w:vertAlign w:val="superscript"/>
              </w:rPr>
              <w:t>a,$</w:t>
            </w:r>
          </w:p>
        </w:tc>
        <w:tc>
          <w:tcPr>
            <w:tcW w:w="2170" w:type="dxa"/>
          </w:tcPr>
          <w:p w:rsidR="00235F42" w:rsidRPr="00BC1EA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1891.8 ± 300.9</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98" w:type="dxa"/>
          </w:tcPr>
          <w:p w:rsidR="00235F42" w:rsidRDefault="00235F42" w:rsidP="00235F42">
            <w:pPr>
              <w:jc w:val="center"/>
            </w:pPr>
            <w:r>
              <w:t>ExP</w:t>
            </w:r>
          </w:p>
        </w:tc>
        <w:tc>
          <w:tcPr>
            <w:tcW w:w="2120" w:type="dxa"/>
          </w:tcPr>
          <w:p w:rsidR="00235F42" w:rsidRPr="00BC1EA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-0.1 ± 0.4</w:t>
            </w:r>
            <w:r>
              <w:rPr>
                <w:vertAlign w:val="superscript"/>
              </w:rPr>
              <w:t>a,#</w:t>
            </w:r>
          </w:p>
        </w:tc>
        <w:tc>
          <w:tcPr>
            <w:tcW w:w="2170" w:type="dxa"/>
          </w:tcPr>
          <w:p w:rsidR="00235F42" w:rsidRPr="00BC1EA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1355.0 ± 155.3</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1261.1 ± 391.1</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1649.0 ± 204.9</w:t>
            </w:r>
            <w:r>
              <w:rPr>
                <w:vertAlign w:val="superscript"/>
              </w:rPr>
              <w:t>a,$</w:t>
            </w:r>
          </w:p>
        </w:tc>
        <w:tc>
          <w:tcPr>
            <w:tcW w:w="2170" w:type="dxa"/>
          </w:tcPr>
          <w:p w:rsidR="00235F42" w:rsidRPr="00BC1EA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1638.0 ± 191.5</w:t>
            </w:r>
            <w:r>
              <w:rPr>
                <w:vertAlign w:val="superscript"/>
              </w:rPr>
              <w:t>a,$</w:t>
            </w:r>
          </w:p>
        </w:tc>
      </w:tr>
    </w:tbl>
    <w:p w:rsidR="00235F42" w:rsidRDefault="00235F42" w:rsidP="00235F42">
      <w:pPr>
        <w:sectPr w:rsidR="00235F42" w:rsidSect="002A23F7">
          <w:pgSz w:w="15840" w:h="12240" w:orient="landscape" w:code="1"/>
          <w:pgMar w:top="1800" w:right="1440" w:bottom="1800" w:left="1872" w:header="720" w:footer="1440" w:gutter="0"/>
          <w:cols w:space="720"/>
          <w:noEndnote/>
          <w:docGrid w:linePitch="360"/>
        </w:sectPr>
      </w:pPr>
    </w:p>
    <w:p w:rsidR="00235F42" w:rsidRDefault="00235F42" w:rsidP="00235F42">
      <w:pPr>
        <w:pStyle w:val="Caption"/>
      </w:pPr>
      <w:r>
        <w:t xml:space="preserve">Table </w:t>
      </w:r>
      <w:r w:rsidRPr="00235F42">
        <w:rPr>
          <w:color w:val="FF0000"/>
        </w:rPr>
        <w:t>18</w:t>
      </w:r>
      <w:r>
        <w:t xml:space="preserve"> (Continued) </w:t>
      </w:r>
      <w:r w:rsidRPr="00D329AE">
        <w:t>Body weight, BCS, and f</w:t>
      </w:r>
      <w:r>
        <w:t>ood consumption by excess calorie</w:t>
      </w:r>
      <w:r w:rsidRPr="00D329AE">
        <w:t xml:space="preserve"> group and time point</w:t>
      </w:r>
      <w:r>
        <w:t>.</w:t>
      </w:r>
    </w:p>
    <w:tbl>
      <w:tblPr>
        <w:tblStyle w:val="TableClassic1"/>
        <w:tblW w:w="12798" w:type="dxa"/>
        <w:tblLayout w:type="fixed"/>
        <w:tblLook w:val="04A0" w:firstRow="1" w:lastRow="0" w:firstColumn="1" w:lastColumn="0" w:noHBand="0" w:noVBand="1"/>
      </w:tblPr>
      <w:tblGrid>
        <w:gridCol w:w="1948"/>
        <w:gridCol w:w="2170"/>
        <w:gridCol w:w="2170"/>
        <w:gridCol w:w="2170"/>
        <w:gridCol w:w="2170"/>
        <w:gridCol w:w="2170"/>
      </w:tblGrid>
      <w:tr w:rsidR="00235F42" w:rsidTr="00235F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rsidR="00235F42" w:rsidRDefault="00235F42" w:rsidP="00235F42">
            <w:r>
              <w:t>Group</w:t>
            </w:r>
          </w:p>
        </w:tc>
        <w:tc>
          <w:tcPr>
            <w:tcW w:w="2170" w:type="dxa"/>
          </w:tcPr>
          <w:p w:rsidR="00235F42" w:rsidRDefault="00235F42" w:rsidP="00235F42">
            <w:pPr>
              <w:cnfStyle w:val="100000000000" w:firstRow="1" w:lastRow="0" w:firstColumn="0" w:lastColumn="0" w:oddVBand="0" w:evenVBand="0" w:oddHBand="0" w:evenHBand="0" w:firstRowFirstColumn="0" w:firstRowLastColumn="0" w:lastRowFirstColumn="0" w:lastRowLastColumn="0"/>
            </w:pPr>
            <w:r>
              <w:t>Baseline</w:t>
            </w:r>
          </w:p>
        </w:tc>
        <w:tc>
          <w:tcPr>
            <w:tcW w:w="2170" w:type="dxa"/>
          </w:tcPr>
          <w:p w:rsidR="00235F42" w:rsidRDefault="00235F42" w:rsidP="00235F42">
            <w:pPr>
              <w:cnfStyle w:val="100000000000" w:firstRow="1" w:lastRow="0" w:firstColumn="0" w:lastColumn="0" w:oddVBand="0" w:evenVBand="0" w:oddHBand="0" w:evenHBand="0" w:firstRowFirstColumn="0" w:firstRowLastColumn="0" w:lastRowFirstColumn="0" w:lastRowLastColumn="0"/>
            </w:pPr>
            <w:r>
              <w:t>One week</w:t>
            </w:r>
          </w:p>
        </w:tc>
        <w:tc>
          <w:tcPr>
            <w:tcW w:w="2170" w:type="dxa"/>
          </w:tcPr>
          <w:p w:rsidR="00235F42" w:rsidRDefault="00235F42" w:rsidP="00235F42">
            <w:pPr>
              <w:cnfStyle w:val="100000000000" w:firstRow="1" w:lastRow="0" w:firstColumn="0" w:lastColumn="0" w:oddVBand="0" w:evenVBand="0" w:oddHBand="0" w:evenHBand="0" w:firstRowFirstColumn="0" w:firstRowLastColumn="0" w:lastRowFirstColumn="0" w:lastRowLastColumn="0"/>
            </w:pPr>
            <w:r>
              <w:t>Four weeks</w:t>
            </w:r>
          </w:p>
        </w:tc>
        <w:tc>
          <w:tcPr>
            <w:tcW w:w="2170" w:type="dxa"/>
          </w:tcPr>
          <w:p w:rsidR="00235F42" w:rsidRDefault="00235F42" w:rsidP="00235F42">
            <w:pPr>
              <w:cnfStyle w:val="100000000000" w:firstRow="1" w:lastRow="0" w:firstColumn="0" w:lastColumn="0" w:oddVBand="0" w:evenVBand="0" w:oddHBand="0" w:evenHBand="0" w:firstRowFirstColumn="0" w:firstRowLastColumn="0" w:lastRowFirstColumn="0" w:lastRowLastColumn="0"/>
            </w:pPr>
            <w:r>
              <w:t>Eight weeks</w:t>
            </w:r>
          </w:p>
        </w:tc>
        <w:tc>
          <w:tcPr>
            <w:tcW w:w="2170" w:type="dxa"/>
          </w:tcPr>
          <w:p w:rsidR="00235F42" w:rsidRDefault="00235F42" w:rsidP="00235F42">
            <w:pPr>
              <w:cnfStyle w:val="100000000000" w:firstRow="1" w:lastRow="0" w:firstColumn="0" w:lastColumn="0" w:oddVBand="0" w:evenVBand="0" w:oddHBand="0" w:evenHBand="0" w:firstRowFirstColumn="0" w:firstRowLastColumn="0" w:lastRowFirstColumn="0" w:lastRowLastColumn="0"/>
            </w:pPr>
            <w:r>
              <w:t>Twelve weeks</w:t>
            </w: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Pr="000D197C" w:rsidRDefault="00235F42" w:rsidP="00235F42">
            <w:r>
              <w:t>Food offered (kcal/BW</w:t>
            </w:r>
            <w:r>
              <w:rPr>
                <w:vertAlign w:val="subscript"/>
              </w:rPr>
              <w:t>kg</w:t>
            </w:r>
            <w:r>
              <w:t>)</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Default="00235F42" w:rsidP="00235F42">
            <w:pPr>
              <w:jc w:val="center"/>
            </w:pPr>
            <w:r>
              <w:t>ExN</w:t>
            </w:r>
          </w:p>
        </w:tc>
        <w:tc>
          <w:tcPr>
            <w:tcW w:w="2170" w:type="dxa"/>
          </w:tcPr>
          <w:p w:rsidR="00235F42" w:rsidRPr="005450C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104.0 ± 10.8</w:t>
            </w:r>
            <w:r>
              <w:rPr>
                <w:vertAlign w:val="superscript"/>
              </w:rPr>
              <w:t>a,#</w:t>
            </w:r>
          </w:p>
        </w:tc>
        <w:tc>
          <w:tcPr>
            <w:tcW w:w="2170" w:type="dxa"/>
          </w:tcPr>
          <w:p w:rsidR="00235F42" w:rsidRPr="005450C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303.6 ± 18.1</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228.9 ± 28.9</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235.6 ± 33.7</w:t>
            </w:r>
            <w:r>
              <w:rPr>
                <w:vertAlign w:val="superscript"/>
              </w:rPr>
              <w:t>a,$,%</w:t>
            </w:r>
          </w:p>
        </w:tc>
        <w:tc>
          <w:tcPr>
            <w:tcW w:w="2170" w:type="dxa"/>
          </w:tcPr>
          <w:p w:rsidR="00235F42" w:rsidRPr="005450C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221.1 ± 21.5</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Default="00235F42" w:rsidP="00235F42">
            <w:pPr>
              <w:jc w:val="center"/>
            </w:pPr>
            <w:r>
              <w:t>ExP</w:t>
            </w:r>
          </w:p>
        </w:tc>
        <w:tc>
          <w:tcPr>
            <w:tcW w:w="2170" w:type="dxa"/>
          </w:tcPr>
          <w:p w:rsidR="00235F42" w:rsidRPr="005450C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73.8 ± 23.0</w:t>
            </w:r>
            <w:r>
              <w:rPr>
                <w:vertAlign w:val="superscript"/>
              </w:rPr>
              <w:t>b,#</w:t>
            </w:r>
          </w:p>
        </w:tc>
        <w:tc>
          <w:tcPr>
            <w:tcW w:w="2170" w:type="dxa"/>
          </w:tcPr>
          <w:p w:rsidR="00235F42" w:rsidRPr="005450C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251.6 ± 23.2</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222.1 ± 29.5</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208.7 ± 10.7</w:t>
            </w:r>
            <w:r>
              <w:rPr>
                <w:vertAlign w:val="superscript"/>
              </w:rPr>
              <w:t>a,$,%</w:t>
            </w:r>
          </w:p>
        </w:tc>
        <w:tc>
          <w:tcPr>
            <w:tcW w:w="2170" w:type="dxa"/>
          </w:tcPr>
          <w:p w:rsidR="00235F42" w:rsidRPr="005450CF"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204.7 ± 11.3</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Pr="00C55791" w:rsidRDefault="00235F42" w:rsidP="00235F42">
            <w:r>
              <w:t>Food intake (kcal/BW</w:t>
            </w:r>
            <w:r>
              <w:rPr>
                <w:vertAlign w:val="subscript"/>
              </w:rPr>
              <w:t>kg</w:t>
            </w:r>
            <w:r>
              <w:t>)</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Default="00235F42" w:rsidP="00235F42">
            <w:pPr>
              <w:jc w:val="center"/>
            </w:pPr>
            <w:r>
              <w:t>ExN</w:t>
            </w:r>
          </w:p>
        </w:tc>
        <w:tc>
          <w:tcPr>
            <w:tcW w:w="2170" w:type="dxa"/>
          </w:tcPr>
          <w:p w:rsidR="00235F42" w:rsidRPr="00684DE9"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104.0 ± 10.8</w:t>
            </w:r>
            <w:r>
              <w:rPr>
                <w:vertAlign w:val="superscript"/>
              </w:rPr>
              <w:t>a,#</w:t>
            </w:r>
          </w:p>
        </w:tc>
        <w:tc>
          <w:tcPr>
            <w:tcW w:w="2170" w:type="dxa"/>
          </w:tcPr>
          <w:p w:rsidR="00235F42" w:rsidRPr="0088576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159.0 ± 28.0</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130.6 ± 13.1</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108.8 ± 10.3</w:t>
            </w:r>
            <w:r>
              <w:rPr>
                <w:vertAlign w:val="superscript"/>
              </w:rPr>
              <w:t>a,#,%</w:t>
            </w:r>
          </w:p>
        </w:tc>
        <w:tc>
          <w:tcPr>
            <w:tcW w:w="2170" w:type="dxa"/>
          </w:tcPr>
          <w:p w:rsidR="00235F42" w:rsidRPr="0088576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103.2 ± 11.3</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Default="00235F42" w:rsidP="00235F42">
            <w:pPr>
              <w:jc w:val="center"/>
            </w:pPr>
            <w:r>
              <w:t>ExP</w:t>
            </w:r>
          </w:p>
        </w:tc>
        <w:tc>
          <w:tcPr>
            <w:tcW w:w="2170" w:type="dxa"/>
          </w:tcPr>
          <w:p w:rsidR="00235F42" w:rsidRPr="0088576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73.8 ± 23.0</w:t>
            </w:r>
            <w:r>
              <w:rPr>
                <w:vertAlign w:val="superscript"/>
              </w:rPr>
              <w:t>b,#</w:t>
            </w:r>
          </w:p>
        </w:tc>
        <w:tc>
          <w:tcPr>
            <w:tcW w:w="2170" w:type="dxa"/>
          </w:tcPr>
          <w:p w:rsidR="00235F42" w:rsidRPr="0088576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151.7 ± 27.1</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131.2 ± 16.5</w:t>
            </w:r>
            <w:r>
              <w:rPr>
                <w:vertAlign w:val="superscript"/>
              </w:rPr>
              <w:t>a,$</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r>
              <w:t>100.7 ± 13.9</w:t>
            </w:r>
            <w:r>
              <w:rPr>
                <w:vertAlign w:val="superscript"/>
              </w:rPr>
              <w:t>a,%</w:t>
            </w:r>
          </w:p>
        </w:tc>
        <w:tc>
          <w:tcPr>
            <w:tcW w:w="2170" w:type="dxa"/>
          </w:tcPr>
          <w:p w:rsidR="00235F42" w:rsidRPr="0088576A" w:rsidRDefault="00235F42" w:rsidP="00235F42">
            <w:pPr>
              <w:cnfStyle w:val="000000000000" w:firstRow="0" w:lastRow="0" w:firstColumn="0" w:lastColumn="0" w:oddVBand="0" w:evenVBand="0" w:oddHBand="0" w:evenHBand="0" w:firstRowFirstColumn="0" w:firstRowLastColumn="0" w:lastRowFirstColumn="0" w:lastRowLastColumn="0"/>
              <w:rPr>
                <w:vertAlign w:val="superscript"/>
              </w:rPr>
            </w:pPr>
            <w:r>
              <w:t>99.6 ± 12.7</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Pr="000D197C" w:rsidRDefault="00235F42" w:rsidP="00235F42">
            <w:r>
              <w:t>Food offered (kcal/BW</w:t>
            </w:r>
            <w:r>
              <w:rPr>
                <w:vertAlign w:val="subscript"/>
              </w:rPr>
              <w:t>kg</w:t>
            </w:r>
            <w:r>
              <w:rPr>
                <w:vertAlign w:val="superscript"/>
              </w:rPr>
              <w:t>0.75</w:t>
            </w:r>
            <w:r>
              <w:t>)</w:t>
            </w: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Default="00235F42" w:rsidP="00235F42">
            <w:pPr>
              <w:cnfStyle w:val="000000000000" w:firstRow="0" w:lastRow="0" w:firstColumn="0" w:lastColumn="0" w:oddVBand="0" w:evenVBand="0" w:oddHBand="0" w:evenHBand="0" w:firstRowFirstColumn="0" w:firstRowLastColumn="0" w:lastRowFirstColumn="0" w:lastRowLastColumn="0"/>
            </w:pP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Default="00235F42" w:rsidP="00235F42">
            <w:pPr>
              <w:jc w:val="center"/>
            </w:pPr>
            <w:r>
              <w:t>ExN</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192.5 ± 17.8</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575.7 ± 24.7</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441.2 ± 46.1</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461.8 ± 60.8</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441.7 ± 41.6</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Default="00235F42" w:rsidP="00235F42">
            <w:pPr>
              <w:jc w:val="center"/>
            </w:pPr>
            <w:r>
              <w:t>ExP</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137.0 ± 43.0</w:t>
            </w:r>
            <w:r>
              <w:rPr>
                <w:vertAlign w:val="superscript"/>
              </w:rPr>
              <w:t>b,#</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483.3 ± 48.8</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428.3 ± 62.5</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412.9 ± 27.5</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407.3 ± 22.9</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Pr="00C55791" w:rsidRDefault="00235F42" w:rsidP="00235F42">
            <w:r>
              <w:t>Food intake (kcal/BW</w:t>
            </w:r>
            <w:r>
              <w:rPr>
                <w:vertAlign w:val="subscript"/>
              </w:rPr>
              <w:t>kg</w:t>
            </w:r>
            <w:r>
              <w:rPr>
                <w:vertAlign w:val="superscript"/>
              </w:rPr>
              <w:t>0.75</w:t>
            </w:r>
            <w:r>
              <w:t>)</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Pr>
          <w:p w:rsidR="00235F42" w:rsidRDefault="00235F42" w:rsidP="00235F42">
            <w:pPr>
              <w:jc w:val="center"/>
            </w:pPr>
            <w:r>
              <w:t>ExN</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192.5 ± 17.8</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301.7 ± 53.0</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252.0 ± 21.1</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213.4 ± 17.8</w:t>
            </w:r>
            <w:r>
              <w:rPr>
                <w:vertAlign w:val="superscript"/>
              </w:rPr>
              <w:t>a,#,%</w:t>
            </w:r>
          </w:p>
        </w:tc>
        <w:tc>
          <w:tcPr>
            <w:tcW w:w="2170" w:type="dxa"/>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206.0 ± 20.2</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948" w:type="dxa"/>
            <w:tcBorders>
              <w:bottom w:val="single" w:sz="12" w:space="0" w:color="000000"/>
            </w:tcBorders>
          </w:tcPr>
          <w:p w:rsidR="00235F42" w:rsidRDefault="00235F42" w:rsidP="00235F42">
            <w:pPr>
              <w:jc w:val="center"/>
            </w:pPr>
            <w:r>
              <w:t>ExP</w:t>
            </w:r>
          </w:p>
        </w:tc>
        <w:tc>
          <w:tcPr>
            <w:tcW w:w="2170" w:type="dxa"/>
            <w:tcBorders>
              <w:bottom w:val="single" w:sz="12" w:space="0" w:color="000000"/>
            </w:tcBorders>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137.0 ± 43.0</w:t>
            </w:r>
            <w:r>
              <w:rPr>
                <w:vertAlign w:val="superscript"/>
              </w:rPr>
              <w:t>b,#</w:t>
            </w:r>
          </w:p>
        </w:tc>
        <w:tc>
          <w:tcPr>
            <w:tcW w:w="2170" w:type="dxa"/>
            <w:tcBorders>
              <w:bottom w:val="single" w:sz="12" w:space="0" w:color="000000"/>
            </w:tcBorders>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291.6 ± 55.1</w:t>
            </w:r>
            <w:r>
              <w:rPr>
                <w:vertAlign w:val="superscript"/>
              </w:rPr>
              <w:t>a,$</w:t>
            </w:r>
          </w:p>
        </w:tc>
        <w:tc>
          <w:tcPr>
            <w:tcW w:w="2170" w:type="dxa"/>
            <w:tcBorders>
              <w:bottom w:val="single" w:sz="12" w:space="0" w:color="000000"/>
            </w:tcBorders>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252.9 ± 34.6</w:t>
            </w:r>
            <w:r>
              <w:rPr>
                <w:vertAlign w:val="superscript"/>
              </w:rPr>
              <w:t>a,$</w:t>
            </w:r>
          </w:p>
        </w:tc>
        <w:tc>
          <w:tcPr>
            <w:tcW w:w="2170" w:type="dxa"/>
            <w:tcBorders>
              <w:bottom w:val="single" w:sz="12" w:space="0" w:color="000000"/>
            </w:tcBorders>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199.6 ± 30.9</w:t>
            </w:r>
            <w:r>
              <w:rPr>
                <w:vertAlign w:val="superscript"/>
              </w:rPr>
              <w:t>a,%</w:t>
            </w:r>
          </w:p>
        </w:tc>
        <w:tc>
          <w:tcPr>
            <w:tcW w:w="2170" w:type="dxa"/>
            <w:tcBorders>
              <w:bottom w:val="single" w:sz="12" w:space="0" w:color="000000"/>
            </w:tcBorders>
          </w:tcPr>
          <w:p w:rsidR="00235F42" w:rsidRPr="001C031C" w:rsidRDefault="00235F42" w:rsidP="00235F42">
            <w:pPr>
              <w:cnfStyle w:val="000000000000" w:firstRow="0" w:lastRow="0" w:firstColumn="0" w:lastColumn="0" w:oddVBand="0" w:evenVBand="0" w:oddHBand="0" w:evenHBand="0" w:firstRowFirstColumn="0" w:firstRowLastColumn="0" w:lastRowFirstColumn="0" w:lastRowLastColumn="0"/>
            </w:pPr>
            <w:r>
              <w:t>198.7 ± 30.4</w:t>
            </w:r>
            <w:r>
              <w:rPr>
                <w:vertAlign w:val="superscript"/>
              </w:rPr>
              <w:t>a,%</w:t>
            </w:r>
          </w:p>
        </w:tc>
      </w:tr>
      <w:tr w:rsidR="00235F42" w:rsidTr="00235F42">
        <w:tc>
          <w:tcPr>
            <w:cnfStyle w:val="001000000000" w:firstRow="0" w:lastRow="0" w:firstColumn="1" w:lastColumn="0" w:oddVBand="0" w:evenVBand="0" w:oddHBand="0" w:evenHBand="0" w:firstRowFirstColumn="0" w:firstRowLastColumn="0" w:lastRowFirstColumn="0" w:lastRowLastColumn="0"/>
            <w:tcW w:w="12798" w:type="dxa"/>
            <w:gridSpan w:val="6"/>
            <w:tcBorders>
              <w:top w:val="single" w:sz="12" w:space="0" w:color="000000"/>
              <w:bottom w:val="nil"/>
              <w:right w:val="nil"/>
            </w:tcBorders>
          </w:tcPr>
          <w:p w:rsidR="00235F42" w:rsidRPr="00B375D2" w:rsidRDefault="00235F42" w:rsidP="00235F42">
            <w:pPr>
              <w:rPr>
                <w:sz w:val="18"/>
                <w:szCs w:val="18"/>
              </w:rPr>
            </w:pPr>
            <w:r w:rsidRPr="00B375D2">
              <w:rPr>
                <w:sz w:val="18"/>
                <w:szCs w:val="18"/>
              </w:rPr>
              <w:t>Numerical data are expressed as mean ± standard deviation</w:t>
            </w:r>
          </w:p>
          <w:p w:rsidR="00235F42" w:rsidRPr="00B375D2" w:rsidRDefault="00235F42" w:rsidP="00235F42">
            <w:pPr>
              <w:rPr>
                <w:sz w:val="18"/>
                <w:szCs w:val="18"/>
              </w:rPr>
            </w:pPr>
            <w:r w:rsidRPr="00B375D2">
              <w:rPr>
                <w:sz w:val="18"/>
                <w:szCs w:val="18"/>
                <w:vertAlign w:val="superscript"/>
              </w:rPr>
              <w:t>*</w:t>
            </w:r>
            <w:r w:rsidRPr="00B375D2">
              <w:rPr>
                <w:sz w:val="18"/>
                <w:szCs w:val="18"/>
              </w:rPr>
              <w:t>ExN, excess calorie nutraceutical group; ExP, excess calorie placebo group.</w:t>
            </w:r>
          </w:p>
          <w:p w:rsidR="00235F42" w:rsidRPr="00B375D2" w:rsidRDefault="00235F42" w:rsidP="00235F42">
            <w:pPr>
              <w:rPr>
                <w:sz w:val="18"/>
                <w:szCs w:val="18"/>
              </w:rPr>
            </w:pPr>
            <w:proofErr w:type="gramStart"/>
            <w:r w:rsidRPr="00B375D2">
              <w:rPr>
                <w:sz w:val="18"/>
                <w:szCs w:val="18"/>
                <w:vertAlign w:val="superscript"/>
              </w:rPr>
              <w:t>a,</w:t>
            </w:r>
            <w:proofErr w:type="gramEnd"/>
            <w:r w:rsidRPr="00B375D2">
              <w:rPr>
                <w:sz w:val="18"/>
                <w:szCs w:val="18"/>
                <w:vertAlign w:val="superscript"/>
              </w:rPr>
              <w:t>b</w:t>
            </w:r>
            <w:r w:rsidRPr="00B375D2">
              <w:rPr>
                <w:sz w:val="18"/>
                <w:szCs w:val="18"/>
              </w:rPr>
              <w:t>Within a column, values with different superscript letters differ significantly (</w:t>
            </w:r>
            <w:r w:rsidRPr="00B375D2">
              <w:rPr>
                <w:i/>
                <w:sz w:val="18"/>
                <w:szCs w:val="18"/>
              </w:rPr>
              <w:t>p</w:t>
            </w:r>
            <w:r w:rsidRPr="00B375D2">
              <w:rPr>
                <w:sz w:val="18"/>
                <w:szCs w:val="18"/>
              </w:rPr>
              <w:t>&lt; 0.05).</w:t>
            </w:r>
          </w:p>
          <w:p w:rsidR="00235F42" w:rsidRDefault="00235F42" w:rsidP="00235F42">
            <w:r w:rsidRPr="00B375D2">
              <w:rPr>
                <w:sz w:val="18"/>
                <w:szCs w:val="18"/>
                <w:vertAlign w:val="superscript"/>
              </w:rPr>
              <w:t>#</w:t>
            </w:r>
            <w:proofErr w:type="gramStart"/>
            <w:r w:rsidRPr="00B375D2">
              <w:rPr>
                <w:sz w:val="18"/>
                <w:szCs w:val="18"/>
                <w:vertAlign w:val="superscript"/>
              </w:rPr>
              <w:t>,$</w:t>
            </w:r>
            <w:proofErr w:type="gramEnd"/>
            <w:r w:rsidRPr="00B375D2">
              <w:rPr>
                <w:sz w:val="18"/>
                <w:szCs w:val="18"/>
                <w:vertAlign w:val="superscript"/>
              </w:rPr>
              <w:t>,%</w:t>
            </w:r>
            <w:r w:rsidR="007B64B6">
              <w:rPr>
                <w:sz w:val="18"/>
                <w:szCs w:val="18"/>
                <w:vertAlign w:val="superscript"/>
              </w:rPr>
              <w:t>,^</w:t>
            </w:r>
            <w:r w:rsidRPr="00B375D2">
              <w:rPr>
                <w:sz w:val="18"/>
                <w:szCs w:val="18"/>
              </w:rPr>
              <w:t>Across columns, values with different superscript symbols differ significantly (</w:t>
            </w:r>
            <w:r w:rsidRPr="00B375D2">
              <w:rPr>
                <w:i/>
                <w:sz w:val="18"/>
                <w:szCs w:val="18"/>
              </w:rPr>
              <w:t>p</w:t>
            </w:r>
            <w:r w:rsidRPr="00B375D2">
              <w:rPr>
                <w:sz w:val="18"/>
                <w:szCs w:val="18"/>
              </w:rPr>
              <w:t>&lt; 0.05).</w:t>
            </w:r>
          </w:p>
        </w:tc>
      </w:tr>
    </w:tbl>
    <w:p w:rsidR="00235F42" w:rsidRDefault="00235F42" w:rsidP="00485E49">
      <w:pPr>
        <w:sectPr w:rsidR="00235F42" w:rsidSect="00235F42">
          <w:pgSz w:w="15840" w:h="12240" w:orient="landscape" w:code="1"/>
          <w:pgMar w:top="1800" w:right="1440" w:bottom="1800" w:left="1872" w:header="720" w:footer="1440" w:gutter="0"/>
          <w:cols w:space="720"/>
          <w:noEndnote/>
          <w:docGrid w:linePitch="360"/>
        </w:sectPr>
      </w:pPr>
    </w:p>
    <w:p w:rsidR="00485E49" w:rsidRPr="00443CBC" w:rsidRDefault="00DB329F" w:rsidP="00485E49">
      <w:proofErr w:type="gramStart"/>
      <w:r>
        <w:t>a</w:t>
      </w:r>
      <w:proofErr w:type="gramEnd"/>
      <w:r>
        <w:t xml:space="preserve"> calorie basis, however, fo</w:t>
      </w:r>
      <w:r w:rsidR="00520222">
        <w:t>od intake remained</w:t>
      </w:r>
      <w:r>
        <w:t xml:space="preserve"> similar from one week to end of treatment</w:t>
      </w:r>
      <w:r w:rsidR="002A6F3E">
        <w:t>,</w:t>
      </w:r>
      <w:r>
        <w:t xml:space="preserve"> </w:t>
      </w:r>
      <w:r w:rsidR="002A6F3E">
        <w:t xml:space="preserve">between and within groups, </w:t>
      </w:r>
      <w:r>
        <w:t xml:space="preserve">despite the decline of </w:t>
      </w:r>
      <w:r w:rsidR="002A6F3E">
        <w:t>kcal/BW</w:t>
      </w:r>
      <w:r w:rsidR="002A6F3E">
        <w:rPr>
          <w:vertAlign w:val="subscript"/>
        </w:rPr>
        <w:t>kg</w:t>
      </w:r>
      <w:r w:rsidR="002A6F3E">
        <w:rPr>
          <w:vertAlign w:val="superscript"/>
        </w:rPr>
        <w:t>0.75</w:t>
      </w:r>
      <w:r>
        <w:t xml:space="preserve"> consumption values.</w:t>
      </w:r>
    </w:p>
    <w:p w:rsidR="0056709A" w:rsidRDefault="0056709A" w:rsidP="00B93020">
      <w:pPr>
        <w:pStyle w:val="Heading3"/>
      </w:pPr>
      <w:bookmarkStart w:id="144" w:name="_Toc376465810"/>
      <w:r w:rsidRPr="00B93020">
        <w:t>Body composition</w:t>
      </w:r>
      <w:r w:rsidR="00520222">
        <w:t xml:space="preserve"> (Groups ExN, ExP)</w:t>
      </w:r>
      <w:bookmarkEnd w:id="144"/>
    </w:p>
    <w:p w:rsidR="00AB6AB9" w:rsidRPr="00857418" w:rsidRDefault="00AB6AB9" w:rsidP="00AB6AB9">
      <w:pPr>
        <w:rPr>
          <w:color w:val="FF0000"/>
        </w:rPr>
      </w:pPr>
      <w:r>
        <w:t xml:space="preserve">Body composition data for obesification groups is listed in </w:t>
      </w:r>
      <w:r>
        <w:rPr>
          <w:color w:val="FF0000"/>
        </w:rPr>
        <w:t xml:space="preserve">Table </w:t>
      </w:r>
      <w:r w:rsidR="00235F42">
        <w:rPr>
          <w:color w:val="FF0000"/>
        </w:rPr>
        <w:t>1</w:t>
      </w:r>
      <w:r w:rsidR="008770B0">
        <w:rPr>
          <w:color w:val="FF0000"/>
        </w:rPr>
        <w:t>9</w:t>
      </w:r>
      <w:r>
        <w:rPr>
          <w:color w:val="FF0000"/>
        </w:rPr>
        <w:t>.</w:t>
      </w:r>
    </w:p>
    <w:p w:rsidR="0056709A" w:rsidRPr="00B93020" w:rsidRDefault="0056709A" w:rsidP="00B93020">
      <w:pPr>
        <w:pStyle w:val="Heading4"/>
      </w:pPr>
      <w:r w:rsidRPr="00B93020">
        <w:t>Fat mass</w:t>
      </w:r>
    </w:p>
    <w:p w:rsidR="0056709A" w:rsidRPr="008E47F6" w:rsidRDefault="008E47F6" w:rsidP="0056709A">
      <w:r w:rsidRPr="008E47F6">
        <w:t xml:space="preserve">Between groups, fat mass </w:t>
      </w:r>
      <w:r w:rsidR="00520222">
        <w:t xml:space="preserve">(absolute and % body fat) </w:t>
      </w:r>
      <w:r w:rsidRPr="008E47F6">
        <w:t xml:space="preserve">did not differ for the duration of the study.  Within groups, baseline and one week values were similar, while end of treatment levels were significantly higher </w:t>
      </w:r>
      <w:r w:rsidR="008770B0">
        <w:t xml:space="preserve">that baseline </w:t>
      </w:r>
      <w:r w:rsidRPr="008E47F6">
        <w:t>on both a mass and percentage basis</w:t>
      </w:r>
      <w:r w:rsidR="00520222">
        <w:t xml:space="preserve"> (</w:t>
      </w:r>
      <w:r w:rsidR="00520222">
        <w:rPr>
          <w:i/>
        </w:rPr>
        <w:t>p</w:t>
      </w:r>
      <w:r w:rsidR="00520222">
        <w:t xml:space="preserve"> </w:t>
      </w:r>
      <w:r w:rsidR="00AB6AB9">
        <w:t>&lt; 0.0001)</w:t>
      </w:r>
      <w:r w:rsidRPr="008E47F6">
        <w:t>.</w:t>
      </w:r>
    </w:p>
    <w:p w:rsidR="0056709A" w:rsidRPr="00B93020" w:rsidRDefault="0056709A" w:rsidP="00B93020">
      <w:pPr>
        <w:pStyle w:val="Heading4"/>
      </w:pPr>
      <w:r w:rsidRPr="00B93020">
        <w:t>Lean mass</w:t>
      </w:r>
    </w:p>
    <w:p w:rsidR="0056709A" w:rsidRPr="008E47F6" w:rsidRDefault="008E47F6" w:rsidP="0056709A">
      <w:r w:rsidRPr="008E47F6">
        <w:t xml:space="preserve">Lean body mass did not differ between groups for the duration </w:t>
      </w:r>
      <w:r w:rsidR="00AB6AB9">
        <w:t>of the study.  Absolute lean mass within both groups</w:t>
      </w:r>
      <w:r w:rsidRPr="008E47F6">
        <w:t xml:space="preserve"> also remained static at all time points.  Based on the percentage of lean mass, ExN and ExP had lower</w:t>
      </w:r>
      <w:r w:rsidR="00AB6AB9">
        <w:t xml:space="preserve"> within group</w:t>
      </w:r>
      <w:r w:rsidRPr="008E47F6">
        <w:t xml:space="preserve"> proportions of lean tissue </w:t>
      </w:r>
      <w:r w:rsidR="00AB6AB9">
        <w:t xml:space="preserve">at week 12 </w:t>
      </w:r>
      <w:r w:rsidRPr="008E47F6">
        <w:t>than they d</w:t>
      </w:r>
      <w:r w:rsidR="00AB6AB9">
        <w:t>id at baseline (</w:t>
      </w:r>
      <w:r w:rsidR="00AB6AB9">
        <w:rPr>
          <w:i/>
        </w:rPr>
        <w:t>p</w:t>
      </w:r>
      <w:r w:rsidR="00AB6AB9">
        <w:t xml:space="preserve"> &lt; 0.0001)</w:t>
      </w:r>
      <w:r w:rsidRPr="008E47F6">
        <w:t>.</w:t>
      </w:r>
    </w:p>
    <w:p w:rsidR="0056709A" w:rsidRPr="00B93020" w:rsidRDefault="0056709A" w:rsidP="00B93020">
      <w:pPr>
        <w:pStyle w:val="Heading4"/>
      </w:pPr>
      <w:r w:rsidRPr="00B93020">
        <w:t>Total mass</w:t>
      </w:r>
    </w:p>
    <w:p w:rsidR="0056709A" w:rsidRPr="008E47F6" w:rsidRDefault="0056709A" w:rsidP="0056709A">
      <w:r w:rsidRPr="008E47F6">
        <w:t xml:space="preserve">Total mass determined by </w:t>
      </w:r>
      <w:commentRangeStart w:id="145"/>
      <w:r w:rsidRPr="008E47F6">
        <w:t xml:space="preserve">DXA did not differ </w:t>
      </w:r>
      <w:commentRangeEnd w:id="145"/>
      <w:r w:rsidRPr="008E47F6">
        <w:rPr>
          <w:rStyle w:val="CommentReference"/>
        </w:rPr>
        <w:commentReference w:id="145"/>
      </w:r>
      <w:r w:rsidRPr="008E47F6">
        <w:t>from BW recorded from digital scales.  Group differences by BW are outlined above.</w:t>
      </w:r>
    </w:p>
    <w:p w:rsidR="0056709A" w:rsidRPr="00B93020" w:rsidRDefault="0056709A" w:rsidP="00B93020">
      <w:pPr>
        <w:pStyle w:val="Heading3"/>
      </w:pPr>
      <w:bookmarkStart w:id="146" w:name="_Toc376465811"/>
      <w:r w:rsidRPr="00B93020">
        <w:t>Negative control</w:t>
      </w:r>
      <w:r w:rsidR="00AB6AB9">
        <w:t xml:space="preserve"> (Group IBW)</w:t>
      </w:r>
      <w:bookmarkEnd w:id="146"/>
    </w:p>
    <w:p w:rsidR="000847C1" w:rsidRDefault="00AB6AB9" w:rsidP="00AB6AB9">
      <w:r>
        <w:t>BW, AF, and %BF increased at eight weeks compared to baseline (</w:t>
      </w:r>
      <w:r>
        <w:rPr>
          <w:i/>
        </w:rPr>
        <w:t>p</w:t>
      </w:r>
      <w:r>
        <w:t xml:space="preserve"> &lt; 0.008</w:t>
      </w:r>
      <w:r w:rsidRPr="00E27EA6">
        <w:t>)</w:t>
      </w:r>
      <w:r>
        <w:t xml:space="preserve"> and decreased back to baseline levels at week 12.  BCS, food not eaten, LM, and DXA total mass were consistent for the duration of the study.  %LM decreased over time, although the twelve week level did not differ from baseline.  Over time, food offered (and subsequent food intake; </w:t>
      </w:r>
      <w:r>
        <w:rPr>
          <w:i/>
        </w:rPr>
        <w:t>p</w:t>
      </w:r>
      <w:r>
        <w:t xml:space="preserve"> &lt; 0.0001) was significantly decreased to maintain ideal BW (</w:t>
      </w:r>
      <w:r w:rsidR="00235F42">
        <w:rPr>
          <w:color w:val="FF0000"/>
        </w:rPr>
        <w:t>Table 2</w:t>
      </w:r>
      <w:r w:rsidR="000847C1">
        <w:rPr>
          <w:color w:val="FF0000"/>
        </w:rPr>
        <w:t>0</w:t>
      </w:r>
      <w:r>
        <w:rPr>
          <w:color w:val="FF0000"/>
        </w:rPr>
        <w:t>)</w:t>
      </w:r>
      <w:r>
        <w:t>.  Compared to baseline, food offered (kcal/BW</w:t>
      </w:r>
      <w:r>
        <w:rPr>
          <w:vertAlign w:val="subscript"/>
        </w:rPr>
        <w:t>kg</w:t>
      </w:r>
      <w:r>
        <w:rPr>
          <w:vertAlign w:val="superscript"/>
        </w:rPr>
        <w:t>0.75</w:t>
      </w:r>
      <w:r>
        <w:t>) was decreased by approximately 35% at study termination in order to maintain ideal BW.  This end of study value (139.8 ± 38.9kcal/BW</w:t>
      </w:r>
      <w:r>
        <w:rPr>
          <w:vertAlign w:val="subscript"/>
        </w:rPr>
        <w:t>kg</w:t>
      </w:r>
      <w:r>
        <w:rPr>
          <w:vertAlign w:val="superscript"/>
        </w:rPr>
        <w:t>0.75</w:t>
      </w:r>
      <w:r>
        <w:t>) was lower than voluntary food intake for ExN (206.0 ± 20.2 kcal/BW</w:t>
      </w:r>
      <w:r>
        <w:rPr>
          <w:vertAlign w:val="subscript"/>
        </w:rPr>
        <w:t>kg</w:t>
      </w:r>
      <w:r>
        <w:rPr>
          <w:vertAlign w:val="superscript"/>
        </w:rPr>
        <w:t>0.75</w:t>
      </w:r>
      <w:r>
        <w:t>) and ExP (198.7 ± 30.4 kcal/BW</w:t>
      </w:r>
      <w:r>
        <w:rPr>
          <w:vertAlign w:val="subscript"/>
        </w:rPr>
        <w:t>kg</w:t>
      </w:r>
      <w:r>
        <w:rPr>
          <w:vertAlign w:val="superscript"/>
        </w:rPr>
        <w:t>0.75</w:t>
      </w:r>
      <w:r>
        <w:t xml:space="preserve">; </w:t>
      </w:r>
      <w:r>
        <w:rPr>
          <w:i/>
        </w:rPr>
        <w:t>p</w:t>
      </w:r>
      <w:r>
        <w:t xml:space="preserve"> &lt; 0.0001).</w:t>
      </w:r>
      <w:r w:rsidR="000847C1">
        <w:t xml:space="preserve">  It was also lower than baseline values for ExN (</w:t>
      </w:r>
      <w:r w:rsidR="007279A8">
        <w:t>192.5</w:t>
      </w:r>
      <w:r w:rsidR="000847C1">
        <w:t xml:space="preserve"> ± </w:t>
      </w:r>
      <w:r w:rsidR="007279A8">
        <w:t>17.8</w:t>
      </w:r>
      <w:r w:rsidR="000847C1">
        <w:t xml:space="preserve"> kcal/BW</w:t>
      </w:r>
      <w:r w:rsidR="000847C1">
        <w:rPr>
          <w:vertAlign w:val="subscript"/>
        </w:rPr>
        <w:t>kg</w:t>
      </w:r>
      <w:r w:rsidR="000847C1">
        <w:rPr>
          <w:vertAlign w:val="superscript"/>
        </w:rPr>
        <w:t>0.75</w:t>
      </w:r>
      <w:r w:rsidR="007279A8">
        <w:t xml:space="preserve">, </w:t>
      </w:r>
      <w:r w:rsidR="007279A8">
        <w:rPr>
          <w:i/>
        </w:rPr>
        <w:t>p</w:t>
      </w:r>
      <w:r w:rsidR="007279A8">
        <w:t xml:space="preserve"> &lt; 0.0001</w:t>
      </w:r>
      <w:r w:rsidR="000847C1">
        <w:t>)</w:t>
      </w:r>
      <w:r w:rsidR="00235F42">
        <w:t xml:space="preserve">, but </w:t>
      </w:r>
      <w:r w:rsidR="007279A8">
        <w:t>did not differ from baseline ExP (137.0 ± 43.0 kcal/BW</w:t>
      </w:r>
      <w:r w:rsidR="007279A8">
        <w:rPr>
          <w:vertAlign w:val="subscript"/>
        </w:rPr>
        <w:t>kg</w:t>
      </w:r>
      <w:r w:rsidR="007279A8">
        <w:rPr>
          <w:vertAlign w:val="superscript"/>
        </w:rPr>
        <w:t>0.75</w:t>
      </w:r>
      <w:r w:rsidR="007279A8">
        <w:t>) consumption</w:t>
      </w:r>
      <w:r w:rsidR="00235F42">
        <w:t>.</w:t>
      </w:r>
    </w:p>
    <w:p w:rsidR="00235F42" w:rsidRDefault="00235F42" w:rsidP="00235F42">
      <w:pPr>
        <w:pStyle w:val="Heading3"/>
      </w:pPr>
      <w:bookmarkStart w:id="147" w:name="_Toc376465812"/>
      <w:r>
        <w:t>Intrusion meal consumption</w:t>
      </w:r>
      <w:bookmarkEnd w:id="147"/>
    </w:p>
    <w:p w:rsidR="00235F42" w:rsidRDefault="00235F42" w:rsidP="00235F42">
      <w:r>
        <w:t>There were no kcal/BW</w:t>
      </w:r>
      <w:r>
        <w:rPr>
          <w:vertAlign w:val="subscript"/>
        </w:rPr>
        <w:t>kg</w:t>
      </w:r>
      <w:r>
        <w:rPr>
          <w:vertAlign w:val="superscript"/>
        </w:rPr>
        <w:t xml:space="preserve">0.75 </w:t>
      </w:r>
      <w:r>
        <w:t>consumption differences between group ExP and ExN at any time point.  Within group baseline consumption was significantly greater than one week and end of study levels (</w:t>
      </w:r>
      <w:r>
        <w:rPr>
          <w:i/>
        </w:rPr>
        <w:t>p</w:t>
      </w:r>
      <w:r>
        <w:t xml:space="preserve"> &lt; 0.0003), which did not differ.  Group IBW maintained intrusion food consumption levels fo</w:t>
      </w:r>
      <w:r w:rsidRPr="008E47F6">
        <w:t>r the duration of the study.</w:t>
      </w:r>
      <w:r>
        <w:t xml:space="preserve">  At baseline, IBW consumption was similar to ExN and ExP, but was greater than ExN and ExP one week into treatment (</w:t>
      </w:r>
      <w:r>
        <w:rPr>
          <w:i/>
        </w:rPr>
        <w:t xml:space="preserve">p &lt; </w:t>
      </w:r>
      <w:r>
        <w:t>0.0068) and at study termination (</w:t>
      </w:r>
      <w:r>
        <w:rPr>
          <w:i/>
        </w:rPr>
        <w:t>p</w:t>
      </w:r>
      <w:r>
        <w:t xml:space="preserve"> &lt; 0.003; </w:t>
      </w:r>
      <w:r>
        <w:rPr>
          <w:color w:val="FF0000"/>
        </w:rPr>
        <w:t>Table</w:t>
      </w:r>
      <w:r w:rsidR="00016A52">
        <w:rPr>
          <w:color w:val="FF0000"/>
        </w:rPr>
        <w:t xml:space="preserve"> 21</w:t>
      </w:r>
      <w:r>
        <w:t>).</w:t>
      </w:r>
    </w:p>
    <w:p w:rsidR="00235F42" w:rsidRPr="00C676ED" w:rsidRDefault="00235F42" w:rsidP="00AB6AB9">
      <w:pPr>
        <w:sectPr w:rsidR="00235F42" w:rsidRPr="00C676ED" w:rsidSect="00F92278">
          <w:pgSz w:w="12240" w:h="15840" w:code="1"/>
          <w:pgMar w:top="1440" w:right="1800" w:bottom="1872" w:left="1800" w:header="720" w:footer="1440" w:gutter="0"/>
          <w:cols w:space="720"/>
          <w:noEndnote/>
          <w:docGrid w:linePitch="360"/>
        </w:sectPr>
      </w:pPr>
    </w:p>
    <w:p w:rsidR="001E438A" w:rsidRDefault="001E438A" w:rsidP="001E438A">
      <w:pPr>
        <w:pStyle w:val="Caption"/>
      </w:pPr>
      <w:bookmarkStart w:id="148" w:name="_Toc376465841"/>
      <w:r>
        <w:t xml:space="preserve">Table </w:t>
      </w:r>
      <w:r w:rsidR="00D060CC">
        <w:fldChar w:fldCharType="begin"/>
      </w:r>
      <w:r w:rsidR="00D060CC">
        <w:instrText xml:space="preserve"> SEQ Table \* ARABIC </w:instrText>
      </w:r>
      <w:r w:rsidR="00D060CC">
        <w:fldChar w:fldCharType="separate"/>
      </w:r>
      <w:proofErr w:type="gramStart"/>
      <w:r w:rsidR="00736DB0">
        <w:rPr>
          <w:noProof/>
        </w:rPr>
        <w:t>19</w:t>
      </w:r>
      <w:r w:rsidR="00D060CC">
        <w:rPr>
          <w:noProof/>
        </w:rPr>
        <w:fldChar w:fldCharType="end"/>
      </w:r>
      <w:r>
        <w:t xml:space="preserve"> </w:t>
      </w:r>
      <w:r w:rsidR="009A4B28">
        <w:t>Body composition</w:t>
      </w:r>
      <w:proofErr w:type="gramEnd"/>
      <w:r>
        <w:t xml:space="preserve"> by excess calorie</w:t>
      </w:r>
      <w:r w:rsidRPr="00D329AE">
        <w:t xml:space="preserve"> group and time point</w:t>
      </w:r>
      <w:r w:rsidR="00235F42">
        <w:t>.</w:t>
      </w:r>
      <w:bookmarkEnd w:id="148"/>
    </w:p>
    <w:tbl>
      <w:tblPr>
        <w:tblStyle w:val="TableClassic1"/>
        <w:tblW w:w="12798" w:type="dxa"/>
        <w:tblLayout w:type="fixed"/>
        <w:tblLook w:val="04A0" w:firstRow="1" w:lastRow="0" w:firstColumn="1" w:lastColumn="0" w:noHBand="0" w:noVBand="1"/>
      </w:tblPr>
      <w:tblGrid>
        <w:gridCol w:w="1948"/>
        <w:gridCol w:w="2170"/>
        <w:gridCol w:w="2170"/>
        <w:gridCol w:w="2170"/>
        <w:gridCol w:w="2170"/>
        <w:gridCol w:w="2170"/>
      </w:tblGrid>
      <w:tr w:rsidR="001E438A" w:rsidTr="00B375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r>
              <w:t>Group</w:t>
            </w:r>
          </w:p>
        </w:tc>
        <w:tc>
          <w:tcPr>
            <w:tcW w:w="2170" w:type="dxa"/>
          </w:tcPr>
          <w:p w:rsidR="001E438A" w:rsidRDefault="001E438A" w:rsidP="001E438A">
            <w:pPr>
              <w:cnfStyle w:val="100000000000" w:firstRow="1" w:lastRow="0" w:firstColumn="0" w:lastColumn="0" w:oddVBand="0" w:evenVBand="0" w:oddHBand="0" w:evenHBand="0" w:firstRowFirstColumn="0" w:firstRowLastColumn="0" w:lastRowFirstColumn="0" w:lastRowLastColumn="0"/>
            </w:pPr>
            <w:r>
              <w:t>Baseline</w:t>
            </w:r>
          </w:p>
        </w:tc>
        <w:tc>
          <w:tcPr>
            <w:tcW w:w="2170" w:type="dxa"/>
          </w:tcPr>
          <w:p w:rsidR="001E438A" w:rsidRDefault="001E438A" w:rsidP="001E438A">
            <w:pPr>
              <w:cnfStyle w:val="100000000000" w:firstRow="1" w:lastRow="0" w:firstColumn="0" w:lastColumn="0" w:oddVBand="0" w:evenVBand="0" w:oddHBand="0" w:evenHBand="0" w:firstRowFirstColumn="0" w:firstRowLastColumn="0" w:lastRowFirstColumn="0" w:lastRowLastColumn="0"/>
            </w:pPr>
            <w:r>
              <w:t>One week</w:t>
            </w:r>
          </w:p>
        </w:tc>
        <w:tc>
          <w:tcPr>
            <w:tcW w:w="2170" w:type="dxa"/>
          </w:tcPr>
          <w:p w:rsidR="001E438A" w:rsidRDefault="001E438A" w:rsidP="001E438A">
            <w:pPr>
              <w:cnfStyle w:val="100000000000" w:firstRow="1" w:lastRow="0" w:firstColumn="0" w:lastColumn="0" w:oddVBand="0" w:evenVBand="0" w:oddHBand="0" w:evenHBand="0" w:firstRowFirstColumn="0" w:firstRowLastColumn="0" w:lastRowFirstColumn="0" w:lastRowLastColumn="0"/>
            </w:pPr>
            <w:r>
              <w:t>Four weeks</w:t>
            </w:r>
          </w:p>
        </w:tc>
        <w:tc>
          <w:tcPr>
            <w:tcW w:w="2170" w:type="dxa"/>
          </w:tcPr>
          <w:p w:rsidR="001E438A" w:rsidRDefault="001E438A" w:rsidP="001E438A">
            <w:pPr>
              <w:cnfStyle w:val="100000000000" w:firstRow="1" w:lastRow="0" w:firstColumn="0" w:lastColumn="0" w:oddVBand="0" w:evenVBand="0" w:oddHBand="0" w:evenHBand="0" w:firstRowFirstColumn="0" w:firstRowLastColumn="0" w:lastRowFirstColumn="0" w:lastRowLastColumn="0"/>
            </w:pPr>
            <w:r>
              <w:t>Eight weeks</w:t>
            </w:r>
          </w:p>
        </w:tc>
        <w:tc>
          <w:tcPr>
            <w:tcW w:w="2170" w:type="dxa"/>
          </w:tcPr>
          <w:p w:rsidR="001E438A" w:rsidRDefault="007279A8" w:rsidP="001E438A">
            <w:pPr>
              <w:cnfStyle w:val="100000000000" w:firstRow="1" w:lastRow="0" w:firstColumn="0" w:lastColumn="0" w:oddVBand="0" w:evenVBand="0" w:oddHBand="0" w:evenHBand="0" w:firstRowFirstColumn="0" w:firstRowLastColumn="0" w:lastRowFirstColumn="0" w:lastRowLastColumn="0"/>
            </w:pPr>
            <w:r>
              <w:t>Twelve weeks</w:t>
            </w: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r>
              <w:t>Fat mass (kg)</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pPr>
              <w:jc w:val="center"/>
            </w:pPr>
            <w:r>
              <w:t>ExN</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1.9 ± 0.4</w:t>
            </w:r>
            <w:r>
              <w:rPr>
                <w:vertAlign w:val="superscript"/>
              </w:rPr>
              <w:t>a,#</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2.4 ± 0.4</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3.5 ± 0.6</w:t>
            </w:r>
            <w:r>
              <w:rPr>
                <w:vertAlign w:val="superscript"/>
              </w:rPr>
              <w:t>a,$</w:t>
            </w:r>
          </w:p>
        </w:tc>
        <w:tc>
          <w:tcPr>
            <w:tcW w:w="2170" w:type="dxa"/>
          </w:tcPr>
          <w:p w:rsidR="001E438A" w:rsidRPr="00CD6B30"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4.8 ± 0.8</w:t>
            </w:r>
            <w:r>
              <w:rPr>
                <w:vertAlign w:val="superscript"/>
              </w:rPr>
              <w:t>a,$,%</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5.5 ± 0.7</w:t>
            </w:r>
            <w:r>
              <w:rPr>
                <w:vertAlign w:val="superscript"/>
              </w:rPr>
              <w:t>a,%</w:t>
            </w: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pPr>
              <w:jc w:val="center"/>
            </w:pPr>
            <w:r>
              <w:t>ExP</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2.3 ± 0.5</w:t>
            </w:r>
            <w:r>
              <w:rPr>
                <w:vertAlign w:val="superscript"/>
              </w:rPr>
              <w:t>a,#</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3.0 ± 0.5</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4.0 ± 0.7</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5.3 ± 1.3</w:t>
            </w:r>
            <w:r>
              <w:rPr>
                <w:vertAlign w:val="superscript"/>
              </w:rPr>
              <w:t>a,%</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5.9 ± 1.7</w:t>
            </w:r>
            <w:r>
              <w:rPr>
                <w:vertAlign w:val="superscript"/>
              </w:rPr>
              <w:t>a,%</w:t>
            </w: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r>
              <w:t>Body fat (%)</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pPr>
              <w:jc w:val="center"/>
            </w:pPr>
            <w:r>
              <w:t>ExN</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16.7 ± 3.2</w:t>
            </w:r>
            <w:r>
              <w:rPr>
                <w:vertAlign w:val="superscript"/>
              </w:rPr>
              <w:t>a,#</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19.3 ± 2.8</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25.8 ± 3.4</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32.5 ± 3.3</w:t>
            </w:r>
            <w:r>
              <w:rPr>
                <w:vertAlign w:val="superscript"/>
              </w:rPr>
              <w:t>a,%</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35.4 ± 2.6</w:t>
            </w:r>
            <w:r>
              <w:rPr>
                <w:vertAlign w:val="superscript"/>
              </w:rPr>
              <w:t>a,%</w:t>
            </w: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pPr>
              <w:jc w:val="center"/>
            </w:pPr>
            <w:r>
              <w:t>ExP</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19.9 ± 3.6</w:t>
            </w:r>
            <w:r>
              <w:rPr>
                <w:vertAlign w:val="superscript"/>
              </w:rPr>
              <w:t>a,#</w:t>
            </w:r>
          </w:p>
        </w:tc>
        <w:tc>
          <w:tcPr>
            <w:tcW w:w="2170" w:type="dxa"/>
          </w:tcPr>
          <w:p w:rsidR="001E438A" w:rsidRPr="00EC1D34"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23.3 ± 3.4</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28.7 ± 3.9</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35.7 ± 6.3</w:t>
            </w:r>
            <w:r>
              <w:rPr>
                <w:vertAlign w:val="superscript"/>
              </w:rPr>
              <w:t>a,%</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37.3 ± 7.7</w:t>
            </w:r>
            <w:r>
              <w:rPr>
                <w:vertAlign w:val="superscript"/>
              </w:rPr>
              <w:t>a,%</w:t>
            </w: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r>
              <w:t>Lean mass (kg)</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pPr>
              <w:jc w:val="center"/>
            </w:pPr>
            <w:r>
              <w:t>ExN</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9.2 ± 0.8</w:t>
            </w:r>
            <w:r>
              <w:rPr>
                <w:vertAlign w:val="superscript"/>
              </w:rPr>
              <w:t>a,#</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9.6 ± 0.9</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9.8 ± 0.9</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9.4 ± 0.9</w:t>
            </w:r>
            <w:r>
              <w:rPr>
                <w:vertAlign w:val="superscript"/>
              </w:rPr>
              <w:t>a,#</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9.5 ± 1.0</w:t>
            </w:r>
            <w:r>
              <w:rPr>
                <w:vertAlign w:val="superscript"/>
              </w:rPr>
              <w:t>a,#</w:t>
            </w: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pPr>
              <w:jc w:val="center"/>
            </w:pPr>
            <w:r>
              <w:t>ExP</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8.9 ± 0.5</w:t>
            </w:r>
            <w:r>
              <w:rPr>
                <w:vertAlign w:val="superscript"/>
              </w:rPr>
              <w:t>a,#</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9.4 ± 0.5</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9.4 ± 0.6</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9.0 ± 0.5</w:t>
            </w:r>
            <w:r>
              <w:rPr>
                <w:vertAlign w:val="superscript"/>
              </w:rPr>
              <w:t>a,#</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9.2 ± 0.7</w:t>
            </w:r>
            <w:r>
              <w:rPr>
                <w:vertAlign w:val="superscript"/>
              </w:rPr>
              <w:t>a,#</w:t>
            </w: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r>
              <w:t>Lean (%)</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pPr>
              <w:jc w:val="center"/>
            </w:pPr>
            <w:r>
              <w:t>ExN</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79.5 ± 3.2</w:t>
            </w:r>
            <w:r>
              <w:rPr>
                <w:vertAlign w:val="superscript"/>
              </w:rPr>
              <w:t>a,#</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77.2 ± 2.8</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71.1 ± 3.4</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64.4 ± 3.2</w:t>
            </w:r>
            <w:r>
              <w:rPr>
                <w:vertAlign w:val="superscript"/>
              </w:rPr>
              <w:t>a,%</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61.7 ± 2.6</w:t>
            </w:r>
            <w:r>
              <w:rPr>
                <w:vertAlign w:val="superscript"/>
              </w:rPr>
              <w:t>a,%</w:t>
            </w: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pPr>
              <w:jc w:val="center"/>
            </w:pPr>
            <w:r>
              <w:t>ExP</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76.5 ± 3.4</w:t>
            </w:r>
            <w:r>
              <w:rPr>
                <w:vertAlign w:val="superscript"/>
              </w:rPr>
              <w:t>a,#</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73.3 ± 3.3</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68.2 ± 3.7</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61.3 ± 6.2</w:t>
            </w:r>
            <w:r>
              <w:rPr>
                <w:vertAlign w:val="superscript"/>
              </w:rPr>
              <w:t>a,%</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59.9 ± 7.4</w:t>
            </w:r>
            <w:r>
              <w:rPr>
                <w:vertAlign w:val="superscript"/>
              </w:rPr>
              <w:t>a,%</w:t>
            </w: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r>
              <w:t>DXA total mass (kg)</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Pr>
          <w:p w:rsidR="001E438A" w:rsidRDefault="001E438A" w:rsidP="001E438A">
            <w:pPr>
              <w:jc w:val="center"/>
            </w:pPr>
            <w:r>
              <w:t>ExN</w:t>
            </w:r>
          </w:p>
        </w:tc>
        <w:tc>
          <w:tcPr>
            <w:tcW w:w="2170" w:type="dxa"/>
          </w:tcPr>
          <w:p w:rsidR="001E438A" w:rsidRPr="00B92D52"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11.5 ± 1.0</w:t>
            </w:r>
            <w:r>
              <w:rPr>
                <w:vertAlign w:val="superscript"/>
              </w:rPr>
              <w:t>a,#</w:t>
            </w:r>
          </w:p>
        </w:tc>
        <w:tc>
          <w:tcPr>
            <w:tcW w:w="2170" w:type="dxa"/>
          </w:tcPr>
          <w:p w:rsidR="001E438A" w:rsidRPr="00840DB5"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12.5 ± 1.0</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13.7 ± 1.3</w:t>
            </w:r>
            <w:r>
              <w:rPr>
                <w:vertAlign w:val="superscript"/>
              </w:rPr>
              <w:t>a,$</w:t>
            </w:r>
          </w:p>
        </w:tc>
        <w:tc>
          <w:tcPr>
            <w:tcW w:w="2170" w:type="dxa"/>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14.6 ± 1.5</w:t>
            </w:r>
            <w:r>
              <w:rPr>
                <w:vertAlign w:val="superscript"/>
              </w:rPr>
              <w:t>a,$,%</w:t>
            </w:r>
          </w:p>
        </w:tc>
        <w:tc>
          <w:tcPr>
            <w:tcW w:w="2170" w:type="dxa"/>
          </w:tcPr>
          <w:p w:rsidR="001E438A" w:rsidRPr="00840DB5"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15.5 ± 1.6</w:t>
            </w:r>
            <w:r>
              <w:rPr>
                <w:vertAlign w:val="superscript"/>
              </w:rPr>
              <w:t>a,%</w:t>
            </w:r>
          </w:p>
        </w:tc>
      </w:tr>
      <w:tr w:rsidR="001E438A" w:rsidTr="00B375D2">
        <w:tc>
          <w:tcPr>
            <w:cnfStyle w:val="001000000000" w:firstRow="0" w:lastRow="0" w:firstColumn="1" w:lastColumn="0" w:oddVBand="0" w:evenVBand="0" w:oddHBand="0" w:evenHBand="0" w:firstRowFirstColumn="0" w:firstRowLastColumn="0" w:lastRowFirstColumn="0" w:lastRowLastColumn="0"/>
            <w:tcW w:w="1948" w:type="dxa"/>
            <w:tcBorders>
              <w:bottom w:val="single" w:sz="12" w:space="0" w:color="000000"/>
            </w:tcBorders>
          </w:tcPr>
          <w:p w:rsidR="001E438A" w:rsidRDefault="001E438A" w:rsidP="001E438A">
            <w:pPr>
              <w:jc w:val="center"/>
            </w:pPr>
            <w:r>
              <w:t>ExP</w:t>
            </w:r>
          </w:p>
        </w:tc>
        <w:tc>
          <w:tcPr>
            <w:tcW w:w="2170" w:type="dxa"/>
            <w:tcBorders>
              <w:bottom w:val="single" w:sz="12" w:space="0" w:color="000000"/>
            </w:tcBorders>
          </w:tcPr>
          <w:p w:rsidR="001E438A" w:rsidRPr="00840DB5"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11.7 ± 0.6</w:t>
            </w:r>
            <w:r>
              <w:rPr>
                <w:vertAlign w:val="superscript"/>
              </w:rPr>
              <w:t>a,#</w:t>
            </w:r>
          </w:p>
        </w:tc>
        <w:tc>
          <w:tcPr>
            <w:tcW w:w="2170" w:type="dxa"/>
            <w:tcBorders>
              <w:bottom w:val="single" w:sz="12" w:space="0" w:color="000000"/>
            </w:tcBorders>
          </w:tcPr>
          <w:p w:rsidR="001E438A" w:rsidRPr="00840DB5"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12.8 ± 0.8</w:t>
            </w:r>
            <w:r>
              <w:rPr>
                <w:vertAlign w:val="superscript"/>
              </w:rPr>
              <w:t>a,#</w:t>
            </w:r>
          </w:p>
        </w:tc>
        <w:tc>
          <w:tcPr>
            <w:tcW w:w="2170" w:type="dxa"/>
            <w:tcBorders>
              <w:bottom w:val="single" w:sz="12" w:space="0" w:color="000000"/>
            </w:tcBorders>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13.8 ± 1.0</w:t>
            </w:r>
            <w:r>
              <w:rPr>
                <w:vertAlign w:val="superscript"/>
              </w:rPr>
              <w:t>a,#</w:t>
            </w:r>
          </w:p>
        </w:tc>
        <w:tc>
          <w:tcPr>
            <w:tcW w:w="2170" w:type="dxa"/>
            <w:tcBorders>
              <w:bottom w:val="single" w:sz="12" w:space="0" w:color="000000"/>
            </w:tcBorders>
          </w:tcPr>
          <w:p w:rsidR="001E438A" w:rsidRDefault="001E438A" w:rsidP="001E438A">
            <w:pPr>
              <w:cnfStyle w:val="000000000000" w:firstRow="0" w:lastRow="0" w:firstColumn="0" w:lastColumn="0" w:oddVBand="0" w:evenVBand="0" w:oddHBand="0" w:evenHBand="0" w:firstRowFirstColumn="0" w:firstRowLastColumn="0" w:lastRowFirstColumn="0" w:lastRowLastColumn="0"/>
            </w:pPr>
            <w:r>
              <w:t>14.7 ± 1.4</w:t>
            </w:r>
            <w:r>
              <w:rPr>
                <w:vertAlign w:val="superscript"/>
              </w:rPr>
              <w:t>a,#</w:t>
            </w:r>
          </w:p>
        </w:tc>
        <w:tc>
          <w:tcPr>
            <w:tcW w:w="2170" w:type="dxa"/>
            <w:tcBorders>
              <w:bottom w:val="single" w:sz="12" w:space="0" w:color="000000"/>
            </w:tcBorders>
          </w:tcPr>
          <w:p w:rsidR="001E438A" w:rsidRPr="00840DB5" w:rsidRDefault="001E438A" w:rsidP="001E438A">
            <w:pPr>
              <w:cnfStyle w:val="000000000000" w:firstRow="0" w:lastRow="0" w:firstColumn="0" w:lastColumn="0" w:oddVBand="0" w:evenVBand="0" w:oddHBand="0" w:evenHBand="0" w:firstRowFirstColumn="0" w:firstRowLastColumn="0" w:lastRowFirstColumn="0" w:lastRowLastColumn="0"/>
              <w:rPr>
                <w:vertAlign w:val="superscript"/>
              </w:rPr>
            </w:pPr>
            <w:r>
              <w:t>15.6 ± 2.0</w:t>
            </w:r>
            <w:r>
              <w:rPr>
                <w:vertAlign w:val="superscript"/>
              </w:rPr>
              <w:t>a,$</w:t>
            </w:r>
          </w:p>
        </w:tc>
      </w:tr>
      <w:tr w:rsidR="001E438A" w:rsidTr="00B375D2">
        <w:tc>
          <w:tcPr>
            <w:cnfStyle w:val="001000000000" w:firstRow="0" w:lastRow="0" w:firstColumn="1" w:lastColumn="0" w:oddVBand="0" w:evenVBand="0" w:oddHBand="0" w:evenHBand="0" w:firstRowFirstColumn="0" w:firstRowLastColumn="0" w:lastRowFirstColumn="0" w:lastRowLastColumn="0"/>
            <w:tcW w:w="12798" w:type="dxa"/>
            <w:gridSpan w:val="6"/>
            <w:tcBorders>
              <w:top w:val="single" w:sz="12" w:space="0" w:color="000000"/>
              <w:bottom w:val="nil"/>
              <w:right w:val="nil"/>
            </w:tcBorders>
          </w:tcPr>
          <w:p w:rsidR="001E438A" w:rsidRPr="00B375D2" w:rsidRDefault="001E438A" w:rsidP="001E438A">
            <w:pPr>
              <w:rPr>
                <w:sz w:val="18"/>
                <w:szCs w:val="18"/>
              </w:rPr>
            </w:pPr>
            <w:r w:rsidRPr="00B375D2">
              <w:rPr>
                <w:sz w:val="18"/>
                <w:szCs w:val="18"/>
              </w:rPr>
              <w:t>Numerical data are expressed as mean ± standard deviation</w:t>
            </w:r>
          </w:p>
          <w:p w:rsidR="001E438A" w:rsidRPr="00B375D2" w:rsidRDefault="001E438A" w:rsidP="001E438A">
            <w:pPr>
              <w:rPr>
                <w:sz w:val="18"/>
                <w:szCs w:val="18"/>
              </w:rPr>
            </w:pPr>
            <w:r w:rsidRPr="00B375D2">
              <w:rPr>
                <w:sz w:val="18"/>
                <w:szCs w:val="18"/>
                <w:vertAlign w:val="superscript"/>
              </w:rPr>
              <w:t>*</w:t>
            </w:r>
            <w:r w:rsidRPr="00B375D2">
              <w:rPr>
                <w:sz w:val="18"/>
                <w:szCs w:val="18"/>
              </w:rPr>
              <w:t>ExN, excess calorie nutraceutical group; ExP, excess calorie placebo group.</w:t>
            </w:r>
          </w:p>
          <w:p w:rsidR="001E438A" w:rsidRPr="00B375D2" w:rsidRDefault="001E438A" w:rsidP="001E438A">
            <w:pPr>
              <w:rPr>
                <w:sz w:val="18"/>
                <w:szCs w:val="18"/>
              </w:rPr>
            </w:pPr>
            <w:proofErr w:type="gramStart"/>
            <w:r w:rsidRPr="00B375D2">
              <w:rPr>
                <w:sz w:val="18"/>
                <w:szCs w:val="18"/>
                <w:vertAlign w:val="superscript"/>
              </w:rPr>
              <w:t>a</w:t>
            </w:r>
            <w:r w:rsidRPr="00B375D2">
              <w:rPr>
                <w:sz w:val="18"/>
                <w:szCs w:val="18"/>
              </w:rPr>
              <w:t>Within</w:t>
            </w:r>
            <w:proofErr w:type="gramEnd"/>
            <w:r w:rsidRPr="00B375D2">
              <w:rPr>
                <w:sz w:val="18"/>
                <w:szCs w:val="18"/>
              </w:rPr>
              <w:t xml:space="preserve"> a column, values with different superscript letters differ significantly (</w:t>
            </w:r>
            <w:r w:rsidRPr="00B375D2">
              <w:rPr>
                <w:i/>
                <w:sz w:val="18"/>
                <w:szCs w:val="18"/>
              </w:rPr>
              <w:t>p</w:t>
            </w:r>
            <w:r w:rsidRPr="00B375D2">
              <w:rPr>
                <w:sz w:val="18"/>
                <w:szCs w:val="18"/>
              </w:rPr>
              <w:t>&lt; 0.05).</w:t>
            </w:r>
          </w:p>
          <w:p w:rsidR="001E438A" w:rsidRDefault="001E438A" w:rsidP="001E438A">
            <w:r w:rsidRPr="00B375D2">
              <w:rPr>
                <w:sz w:val="18"/>
                <w:szCs w:val="18"/>
                <w:vertAlign w:val="superscript"/>
              </w:rPr>
              <w:t>#</w:t>
            </w:r>
            <w:proofErr w:type="gramStart"/>
            <w:r w:rsidRPr="00B375D2">
              <w:rPr>
                <w:sz w:val="18"/>
                <w:szCs w:val="18"/>
                <w:vertAlign w:val="superscript"/>
              </w:rPr>
              <w:t>,$</w:t>
            </w:r>
            <w:proofErr w:type="gramEnd"/>
            <w:r w:rsidRPr="00B375D2">
              <w:rPr>
                <w:sz w:val="18"/>
                <w:szCs w:val="18"/>
                <w:vertAlign w:val="superscript"/>
              </w:rPr>
              <w:t>,%</w:t>
            </w:r>
            <w:r w:rsidRPr="00B375D2">
              <w:rPr>
                <w:sz w:val="18"/>
                <w:szCs w:val="18"/>
              </w:rPr>
              <w:t>Across columns, values with different superscript symbols differ significantly (</w:t>
            </w:r>
            <w:r w:rsidRPr="00B375D2">
              <w:rPr>
                <w:i/>
                <w:sz w:val="18"/>
                <w:szCs w:val="18"/>
              </w:rPr>
              <w:t>p</w:t>
            </w:r>
            <w:r w:rsidRPr="00B375D2">
              <w:rPr>
                <w:sz w:val="18"/>
                <w:szCs w:val="18"/>
              </w:rPr>
              <w:t>&lt; 0.05).</w:t>
            </w:r>
          </w:p>
        </w:tc>
      </w:tr>
    </w:tbl>
    <w:p w:rsidR="001E438A" w:rsidRDefault="001E438A" w:rsidP="002F1CE3"/>
    <w:p w:rsidR="001E438A" w:rsidRDefault="001E438A" w:rsidP="002F1CE3"/>
    <w:p w:rsidR="001E438A" w:rsidRDefault="001E438A" w:rsidP="002F1CE3"/>
    <w:p w:rsidR="008E47F6" w:rsidRDefault="008E47F6" w:rsidP="002F1CE3"/>
    <w:p w:rsidR="00B375D2" w:rsidRDefault="00B375D2" w:rsidP="002F1CE3"/>
    <w:p w:rsidR="00744942" w:rsidRDefault="00744942" w:rsidP="002F1CE3"/>
    <w:p w:rsidR="00744942" w:rsidRDefault="00744942" w:rsidP="002F1CE3"/>
    <w:p w:rsidR="00744942" w:rsidRDefault="00744942" w:rsidP="002F1CE3"/>
    <w:p w:rsidR="00956A90" w:rsidRDefault="00956A90" w:rsidP="00956A90">
      <w:pPr>
        <w:pStyle w:val="Caption"/>
      </w:pPr>
      <w:bookmarkStart w:id="149" w:name="_Toc376465842"/>
      <w:r>
        <w:t xml:space="preserve">Table </w:t>
      </w:r>
      <w:fldSimple w:instr=" SEQ Table \* ARABIC ">
        <w:r w:rsidR="00736DB0">
          <w:rPr>
            <w:noProof/>
          </w:rPr>
          <w:t>20</w:t>
        </w:r>
      </w:fldSimple>
      <w:r>
        <w:t xml:space="preserve"> </w:t>
      </w:r>
      <w:r w:rsidR="007279A8">
        <w:t>F</w:t>
      </w:r>
      <w:r w:rsidR="007279A8" w:rsidRPr="00D329AE">
        <w:t>ood consumption</w:t>
      </w:r>
      <w:r w:rsidR="007279A8">
        <w:t xml:space="preserve"> and body composition</w:t>
      </w:r>
      <w:r w:rsidR="007279A8" w:rsidRPr="00D329AE">
        <w:t xml:space="preserve"> by </w:t>
      </w:r>
      <w:r w:rsidR="007279A8">
        <w:t>ideal body weight group</w:t>
      </w:r>
      <w:r w:rsidR="007279A8" w:rsidRPr="00D329AE">
        <w:t xml:space="preserve"> time point</w:t>
      </w:r>
      <w:r w:rsidR="00235F42">
        <w:t>.</w:t>
      </w:r>
      <w:bookmarkEnd w:id="149"/>
    </w:p>
    <w:tbl>
      <w:tblPr>
        <w:tblStyle w:val="TableClassic1"/>
        <w:tblW w:w="12818" w:type="dxa"/>
        <w:tblLayout w:type="fixed"/>
        <w:tblLook w:val="04A0" w:firstRow="1" w:lastRow="0" w:firstColumn="1" w:lastColumn="0" w:noHBand="0" w:noVBand="1"/>
      </w:tblPr>
      <w:tblGrid>
        <w:gridCol w:w="2507"/>
        <w:gridCol w:w="2062"/>
        <w:gridCol w:w="2062"/>
        <w:gridCol w:w="2062"/>
        <w:gridCol w:w="2062"/>
        <w:gridCol w:w="2063"/>
      </w:tblGrid>
      <w:tr w:rsidR="00956A90" w:rsidTr="00B375D2">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tc>
        <w:tc>
          <w:tcPr>
            <w:tcW w:w="2062" w:type="dxa"/>
          </w:tcPr>
          <w:p w:rsidR="00956A90" w:rsidRDefault="00956A90" w:rsidP="003E187B">
            <w:pPr>
              <w:cnfStyle w:val="100000000000" w:firstRow="1" w:lastRow="0" w:firstColumn="0" w:lastColumn="0" w:oddVBand="0" w:evenVBand="0" w:oddHBand="0" w:evenHBand="0" w:firstRowFirstColumn="0" w:firstRowLastColumn="0" w:lastRowFirstColumn="0" w:lastRowLastColumn="0"/>
            </w:pPr>
            <w:r>
              <w:t>Baseline</w:t>
            </w:r>
          </w:p>
        </w:tc>
        <w:tc>
          <w:tcPr>
            <w:tcW w:w="2062" w:type="dxa"/>
          </w:tcPr>
          <w:p w:rsidR="00956A90" w:rsidRDefault="00956A90" w:rsidP="003E187B">
            <w:pPr>
              <w:cnfStyle w:val="100000000000" w:firstRow="1" w:lastRow="0" w:firstColumn="0" w:lastColumn="0" w:oddVBand="0" w:evenVBand="0" w:oddHBand="0" w:evenHBand="0" w:firstRowFirstColumn="0" w:firstRowLastColumn="0" w:lastRowFirstColumn="0" w:lastRowLastColumn="0"/>
            </w:pPr>
            <w:r>
              <w:t>One week</w:t>
            </w:r>
          </w:p>
        </w:tc>
        <w:tc>
          <w:tcPr>
            <w:tcW w:w="2062" w:type="dxa"/>
          </w:tcPr>
          <w:p w:rsidR="00956A90" w:rsidRDefault="00956A90" w:rsidP="003E187B">
            <w:pPr>
              <w:cnfStyle w:val="100000000000" w:firstRow="1" w:lastRow="0" w:firstColumn="0" w:lastColumn="0" w:oddVBand="0" w:evenVBand="0" w:oddHBand="0" w:evenHBand="0" w:firstRowFirstColumn="0" w:firstRowLastColumn="0" w:lastRowFirstColumn="0" w:lastRowLastColumn="0"/>
            </w:pPr>
            <w:r>
              <w:t>Four weeks</w:t>
            </w:r>
          </w:p>
        </w:tc>
        <w:tc>
          <w:tcPr>
            <w:tcW w:w="2062" w:type="dxa"/>
          </w:tcPr>
          <w:p w:rsidR="00956A90" w:rsidRDefault="00956A90" w:rsidP="003E187B">
            <w:pPr>
              <w:cnfStyle w:val="100000000000" w:firstRow="1" w:lastRow="0" w:firstColumn="0" w:lastColumn="0" w:oddVBand="0" w:evenVBand="0" w:oddHBand="0" w:evenHBand="0" w:firstRowFirstColumn="0" w:firstRowLastColumn="0" w:lastRowFirstColumn="0" w:lastRowLastColumn="0"/>
            </w:pPr>
            <w:r>
              <w:t>Eight weeks</w:t>
            </w:r>
          </w:p>
        </w:tc>
        <w:tc>
          <w:tcPr>
            <w:tcW w:w="2062" w:type="dxa"/>
          </w:tcPr>
          <w:p w:rsidR="00956A90" w:rsidRDefault="007279A8" w:rsidP="003E187B">
            <w:pPr>
              <w:cnfStyle w:val="100000000000" w:firstRow="1" w:lastRow="0" w:firstColumn="0" w:lastColumn="0" w:oddVBand="0" w:evenVBand="0" w:oddHBand="0" w:evenHBand="0" w:firstRowFirstColumn="0" w:firstRowLastColumn="0" w:lastRowFirstColumn="0" w:lastRowLastColumn="0"/>
            </w:pPr>
            <w:r>
              <w:t>Twelve weeks</w:t>
            </w:r>
          </w:p>
        </w:tc>
      </w:tr>
      <w:tr w:rsidR="00956A90" w:rsidTr="00B375D2">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956A90" w:rsidRPr="00566860" w:rsidRDefault="00956A90" w:rsidP="003E187B">
            <w:pPr>
              <w:rPr>
                <w:vertAlign w:val="superscript"/>
              </w:rPr>
            </w:pPr>
            <w:r>
              <w:t>Scale weight (kg)</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11.2 ± 0.8</w:t>
            </w:r>
            <w:r>
              <w:rPr>
                <w:vertAlign w:val="superscript"/>
              </w:rP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11.3 ± 0.7</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12.2 ± 0.7</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12.5 ± 0.8</w:t>
            </w:r>
            <w:r>
              <w:rPr>
                <w:vertAlign w:val="superscript"/>
              </w:rP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11.8 ± 0.9</w:t>
            </w:r>
            <w:r>
              <w:rPr>
                <w:vertAlign w:val="superscript"/>
              </w:rPr>
              <w:t>#,$</w:t>
            </w:r>
          </w:p>
        </w:tc>
      </w:tr>
      <w:tr w:rsidR="00956A90" w:rsidTr="00B375D2">
        <w:trPr>
          <w:trHeight w:val="263"/>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BCS (9-point)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4.3 ± 0.8</w:t>
            </w:r>
            <w:r>
              <w:rPr>
                <w:vertAlign w:val="superscript"/>
              </w:rP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4.5 ± 0.5</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5.0 ± 0</w:t>
            </w:r>
            <w:r>
              <w:rPr>
                <w:vertAlign w:val="superscript"/>
              </w:rPr>
              <w:t xml:space="preserve"> a,#</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5.0 ± 0</w:t>
            </w:r>
            <w:r>
              <w:rPr>
                <w:vertAlign w:val="superscript"/>
              </w:rPr>
              <w:t xml:space="preserve"> #</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4.2 ± 0.4</w:t>
            </w:r>
            <w:r>
              <w:rPr>
                <w:vertAlign w:val="superscript"/>
              </w:rPr>
              <w:t>#</w:t>
            </w:r>
          </w:p>
        </w:tc>
      </w:tr>
      <w:tr w:rsidR="00956A90" w:rsidTr="00B375D2">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Food offered (kcal)</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1301.7 ± 200.9</w:t>
            </w:r>
            <w:r>
              <w:rPr>
                <w:vertAlign w:val="superscript"/>
              </w:rP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1274.6 ± 208.4</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1171.1 ± 221.3</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1037.1 ±213.1</w:t>
            </w:r>
            <w:r>
              <w:rPr>
                <w:vertAlign w:val="superscript"/>
              </w:rP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887.6 ± 255.3</w:t>
            </w:r>
            <w:r>
              <w:rPr>
                <w:vertAlign w:val="superscript"/>
              </w:rPr>
              <w:t>%</w:t>
            </w:r>
          </w:p>
        </w:tc>
      </w:tr>
      <w:tr w:rsidR="00956A90" w:rsidTr="00B375D2">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Food intake (kcal)</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1301.5 ± 201.1</w:t>
            </w:r>
            <w:r>
              <w:rPr>
                <w:vertAlign w:val="superscript"/>
              </w:rP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1274.6 ± 208.4</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1171.1 ± 221.3</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1037.1 ± 213.1</w:t>
            </w:r>
            <w:r>
              <w:rPr>
                <w:vertAlign w:val="superscript"/>
              </w:rP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887.5 ± 255.3</w:t>
            </w:r>
            <w:r>
              <w:rPr>
                <w:vertAlign w:val="superscript"/>
              </w:rPr>
              <w:t>$</w:t>
            </w:r>
          </w:p>
        </w:tc>
      </w:tr>
      <w:tr w:rsidR="00956A90" w:rsidTr="00B375D2">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Food not eaten (kcal)</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0.2 ± 0.3</w:t>
            </w:r>
            <w:r>
              <w:rPr>
                <w:vertAlign w:val="superscript"/>
              </w:rP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0 ± 0</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0 ± 0</w:t>
            </w:r>
            <w:r>
              <w:rPr>
                <w:vertAlign w:val="superscript"/>
              </w:rPr>
              <w:t xml:space="preserve"> a,#</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0 ± 0</w:t>
            </w:r>
            <w:r>
              <w:rPr>
                <w:vertAlign w:val="superscript"/>
              </w:rPr>
              <w:t xml:space="preserve"> a,#</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0.1 ± 0.1</w:t>
            </w:r>
            <w:r>
              <w:rPr>
                <w:vertAlign w:val="superscript"/>
              </w:rPr>
              <w:t>#</w:t>
            </w:r>
          </w:p>
        </w:tc>
      </w:tr>
      <w:tr w:rsidR="00956A90" w:rsidTr="00B375D2">
        <w:trPr>
          <w:trHeight w:val="546"/>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Food offered (kcal/BW</w:t>
            </w:r>
            <w:r>
              <w:rPr>
                <w:vertAlign w:val="subscript"/>
              </w:rPr>
              <w:t>kg</w:t>
            </w:r>
            <w:r>
              <w:t>)</w:t>
            </w:r>
          </w:p>
        </w:tc>
        <w:tc>
          <w:tcPr>
            <w:tcW w:w="2062" w:type="dxa"/>
          </w:tcPr>
          <w:p w:rsidR="00956A90" w:rsidRPr="0093629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118.2 ± 25.3</w:t>
            </w:r>
            <w:r>
              <w:rPr>
                <w:vertAlign w:val="superscript"/>
              </w:rPr>
              <w:t>#</w:t>
            </w:r>
          </w:p>
        </w:tc>
        <w:tc>
          <w:tcPr>
            <w:tcW w:w="2062" w:type="dxa"/>
          </w:tcPr>
          <w:p w:rsidR="00956A90" w:rsidRPr="0093629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113.4 ± 23.3</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96.2 ± 17.6</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83.4 ± 17.0</w:t>
            </w:r>
            <w:r>
              <w:rPr>
                <w:vertAlign w:val="superscript"/>
              </w:rPr>
              <w:t>$,%</w:t>
            </w:r>
          </w:p>
        </w:tc>
        <w:tc>
          <w:tcPr>
            <w:tcW w:w="2062" w:type="dxa"/>
          </w:tcPr>
          <w:p w:rsidR="00956A90" w:rsidRPr="0093629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75.5 ± 21.0</w:t>
            </w:r>
            <w:r>
              <w:rPr>
                <w:vertAlign w:val="superscript"/>
              </w:rPr>
              <w:t>%</w:t>
            </w:r>
          </w:p>
        </w:tc>
      </w:tr>
      <w:tr w:rsidR="00956A90" w:rsidTr="00B375D2">
        <w:trPr>
          <w:trHeight w:val="566"/>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Food intake (kcal/BW</w:t>
            </w:r>
            <w:r>
              <w:rPr>
                <w:vertAlign w:val="subscript"/>
              </w:rPr>
              <w:t>kg</w:t>
            </w:r>
            <w: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118.1 ± 25.3</w:t>
            </w:r>
            <w:r>
              <w:rPr>
                <w:vertAlign w:val="superscript"/>
              </w:rP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113.4 ± 23.3</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96.2 ± 17.6</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83.4 ± 17.0</w:t>
            </w:r>
            <w:r>
              <w:rPr>
                <w:vertAlign w:val="superscript"/>
              </w:rPr>
              <w:t>$,%</w:t>
            </w:r>
          </w:p>
        </w:tc>
        <w:tc>
          <w:tcPr>
            <w:tcW w:w="2062" w:type="dxa"/>
          </w:tcPr>
          <w:p w:rsidR="00956A90" w:rsidRPr="00BC1EAF"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75.5 ± 21.0</w:t>
            </w:r>
            <w:r>
              <w:rPr>
                <w:vertAlign w:val="superscript"/>
              </w:rPr>
              <w:t>%</w:t>
            </w:r>
          </w:p>
        </w:tc>
      </w:tr>
      <w:tr w:rsidR="00956A90" w:rsidTr="00B375D2">
        <w:trPr>
          <w:trHeight w:val="566"/>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Food offered (kcal/BW</w:t>
            </w:r>
            <w:r>
              <w:rPr>
                <w:vertAlign w:val="subscript"/>
              </w:rPr>
              <w:t>kg</w:t>
            </w:r>
            <w:r>
              <w:rPr>
                <w:vertAlign w:val="superscript"/>
              </w:rPr>
              <w:t>0.75</w:t>
            </w:r>
            <w: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215.2 ± 42.6</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207.6 ± 40.2</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179.7 ± 32.7</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156.5 ± 31.6</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139.8 ± 38.9</w:t>
            </w:r>
            <w:r>
              <w:rPr>
                <w:vertAlign w:val="superscript"/>
              </w:rPr>
              <w:t>%</w:t>
            </w:r>
          </w:p>
        </w:tc>
      </w:tr>
      <w:tr w:rsidR="00956A90" w:rsidTr="00B375D2">
        <w:trPr>
          <w:trHeight w:val="546"/>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Food intake (kcal/BW</w:t>
            </w:r>
            <w:r>
              <w:rPr>
                <w:vertAlign w:val="subscript"/>
              </w:rPr>
              <w:t>kg</w:t>
            </w:r>
            <w:r>
              <w:rPr>
                <w:vertAlign w:val="superscript"/>
              </w:rPr>
              <w:t>0.75</w:t>
            </w:r>
            <w: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215.1 ± 42.6</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207.6 ± 40.2</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179.7 ± 32.7</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156.5 ± 31.6</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139.7 ± 38.9</w:t>
            </w:r>
            <w:r>
              <w:rPr>
                <w:vertAlign w:val="superscript"/>
              </w:rPr>
              <w:t>%</w:t>
            </w:r>
          </w:p>
        </w:tc>
      </w:tr>
      <w:tr w:rsidR="00956A90" w:rsidTr="00B375D2">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Fat mass (kg)</w:t>
            </w:r>
          </w:p>
        </w:tc>
        <w:tc>
          <w:tcPr>
            <w:tcW w:w="2062" w:type="dxa"/>
          </w:tcPr>
          <w:p w:rsidR="00956A90" w:rsidRPr="00EC1D34"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2.1 ± 0.5</w:t>
            </w:r>
            <w:r>
              <w:rPr>
                <w:vertAlign w:val="superscript"/>
              </w:rPr>
              <w:t>#</w:t>
            </w:r>
          </w:p>
        </w:tc>
        <w:tc>
          <w:tcPr>
            <w:tcW w:w="2062" w:type="dxa"/>
          </w:tcPr>
          <w:p w:rsidR="00956A90" w:rsidRPr="00EC1D34"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2.2 ± 0.4</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2.8 ± 0.4</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3.0 ± 0.4</w:t>
            </w:r>
            <w:r>
              <w:rPr>
                <w:vertAlign w:val="superscript"/>
              </w:rPr>
              <w:t>$</w:t>
            </w:r>
          </w:p>
        </w:tc>
        <w:tc>
          <w:tcPr>
            <w:tcW w:w="2062" w:type="dxa"/>
          </w:tcPr>
          <w:p w:rsidR="00956A90" w:rsidRPr="00EC1D34"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2.8 ± 0.3</w:t>
            </w:r>
            <w:r>
              <w:rPr>
                <w:vertAlign w:val="superscript"/>
              </w:rPr>
              <w:t>#,$</w:t>
            </w:r>
          </w:p>
        </w:tc>
      </w:tr>
      <w:tr w:rsidR="00956A90" w:rsidTr="00B375D2">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Body fat (%)</w:t>
            </w:r>
          </w:p>
        </w:tc>
        <w:tc>
          <w:tcPr>
            <w:tcW w:w="2062" w:type="dxa"/>
          </w:tcPr>
          <w:p w:rsidR="00956A90" w:rsidRPr="00EC1D34"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18.7 ± 4.0</w:t>
            </w:r>
            <w:r>
              <w:rPr>
                <w:vertAlign w:val="superscript"/>
              </w:rPr>
              <w:t>#</w:t>
            </w:r>
          </w:p>
        </w:tc>
        <w:tc>
          <w:tcPr>
            <w:tcW w:w="2062" w:type="dxa"/>
          </w:tcPr>
          <w:p w:rsidR="00956A90" w:rsidRPr="00EC1D34"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19.4 ± 3.0</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23.1 ± 2.7</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25.3 ± 2.5</w:t>
            </w:r>
            <w:r>
              <w:rPr>
                <w:vertAlign w:val="superscript"/>
              </w:rPr>
              <w:t>$</w:t>
            </w:r>
          </w:p>
        </w:tc>
        <w:tc>
          <w:tcPr>
            <w:tcW w:w="2062" w:type="dxa"/>
          </w:tcPr>
          <w:p w:rsidR="00956A90" w:rsidRPr="00EC1D34"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23.7 ± 2.2</w:t>
            </w:r>
            <w:r>
              <w:rPr>
                <w:vertAlign w:val="superscript"/>
              </w:rPr>
              <w:t>#,$</w:t>
            </w:r>
          </w:p>
        </w:tc>
      </w:tr>
      <w:tr w:rsidR="00956A90" w:rsidTr="00B375D2">
        <w:trPr>
          <w:trHeight w:val="283"/>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Lean mass (kg)</w:t>
            </w:r>
          </w:p>
        </w:tc>
        <w:tc>
          <w:tcPr>
            <w:tcW w:w="2062" w:type="dxa"/>
          </w:tcPr>
          <w:p w:rsidR="00956A90" w:rsidRPr="00B92D52"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8.6 ± 0.8</w:t>
            </w:r>
            <w:r>
              <w:rPr>
                <w:vertAlign w:val="superscript"/>
              </w:rPr>
              <w:t>#</w:t>
            </w:r>
          </w:p>
        </w:tc>
        <w:tc>
          <w:tcPr>
            <w:tcW w:w="2062" w:type="dxa"/>
          </w:tcPr>
          <w:p w:rsidR="00956A90" w:rsidRPr="00B92D52"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8.7 ± 0.6</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8.7 ± 0.6</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8.6 ± 0.6</w:t>
            </w:r>
            <w:r>
              <w:rPr>
                <w:vertAlign w:val="superscript"/>
              </w:rPr>
              <w:t>#</w:t>
            </w:r>
          </w:p>
        </w:tc>
        <w:tc>
          <w:tcPr>
            <w:tcW w:w="2062" w:type="dxa"/>
          </w:tcPr>
          <w:p w:rsidR="00956A90" w:rsidRPr="00B92D52"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8.6 ± 0.5</w:t>
            </w:r>
            <w:r>
              <w:rPr>
                <w:vertAlign w:val="superscript"/>
              </w:rPr>
              <w:t>#</w:t>
            </w:r>
          </w:p>
        </w:tc>
      </w:tr>
      <w:tr w:rsidR="00956A90" w:rsidTr="00B375D2">
        <w:trPr>
          <w:trHeight w:val="263"/>
        </w:trPr>
        <w:tc>
          <w:tcPr>
            <w:cnfStyle w:val="001000000000" w:firstRow="0" w:lastRow="0" w:firstColumn="1" w:lastColumn="0" w:oddVBand="0" w:evenVBand="0" w:oddHBand="0" w:evenHBand="0" w:firstRowFirstColumn="0" w:firstRowLastColumn="0" w:lastRowFirstColumn="0" w:lastRowLastColumn="0"/>
            <w:tcW w:w="2507" w:type="dxa"/>
          </w:tcPr>
          <w:p w:rsidR="00956A90" w:rsidRDefault="00956A90" w:rsidP="003E187B">
            <w:r>
              <w:t>Lean (%)</w:t>
            </w:r>
          </w:p>
        </w:tc>
        <w:tc>
          <w:tcPr>
            <w:tcW w:w="2062" w:type="dxa"/>
          </w:tcPr>
          <w:p w:rsidR="00956A90" w:rsidRPr="00B92D52"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77.6 ± 4.0</w:t>
            </w:r>
            <w:r>
              <w:rPr>
                <w:vertAlign w:val="superscript"/>
              </w:rPr>
              <w:t>#</w:t>
            </w:r>
          </w:p>
        </w:tc>
        <w:tc>
          <w:tcPr>
            <w:tcW w:w="2062" w:type="dxa"/>
          </w:tcPr>
          <w:p w:rsidR="00956A90" w:rsidRPr="00B92D52"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76.9 ± 2.9</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73.4 ± 2.8</w:t>
            </w:r>
            <w:r>
              <w:rPr>
                <w:vertAlign w:val="superscript"/>
              </w:rPr>
              <w:t>#,$</w:t>
            </w:r>
          </w:p>
        </w:tc>
        <w:tc>
          <w:tcPr>
            <w:tcW w:w="2062" w:type="dxa"/>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71.3 ± 2.5</w:t>
            </w:r>
            <w:r>
              <w:rPr>
                <w:vertAlign w:val="superscript"/>
              </w:rPr>
              <w:t>$</w:t>
            </w:r>
          </w:p>
        </w:tc>
        <w:tc>
          <w:tcPr>
            <w:tcW w:w="2062" w:type="dxa"/>
          </w:tcPr>
          <w:p w:rsidR="00956A90" w:rsidRPr="00B92D52"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72.7 ± 2.3</w:t>
            </w:r>
            <w:r>
              <w:rPr>
                <w:vertAlign w:val="superscript"/>
              </w:rPr>
              <w:t>#,$</w:t>
            </w:r>
          </w:p>
        </w:tc>
      </w:tr>
      <w:tr w:rsidR="00956A90" w:rsidTr="00B375D2">
        <w:trPr>
          <w:trHeight w:val="283"/>
        </w:trPr>
        <w:tc>
          <w:tcPr>
            <w:cnfStyle w:val="001000000000" w:firstRow="0" w:lastRow="0" w:firstColumn="1" w:lastColumn="0" w:oddVBand="0" w:evenVBand="0" w:oddHBand="0" w:evenHBand="0" w:firstRowFirstColumn="0" w:firstRowLastColumn="0" w:lastRowFirstColumn="0" w:lastRowLastColumn="0"/>
            <w:tcW w:w="2507" w:type="dxa"/>
            <w:tcBorders>
              <w:bottom w:val="single" w:sz="12" w:space="0" w:color="000000"/>
            </w:tcBorders>
          </w:tcPr>
          <w:p w:rsidR="00956A90" w:rsidRDefault="00956A90" w:rsidP="003E187B">
            <w:r>
              <w:t>DXA total mass (kg)</w:t>
            </w:r>
          </w:p>
        </w:tc>
        <w:tc>
          <w:tcPr>
            <w:tcW w:w="2062" w:type="dxa"/>
            <w:tcBorders>
              <w:bottom w:val="single" w:sz="12" w:space="0" w:color="000000"/>
            </w:tcBorders>
          </w:tcPr>
          <w:p w:rsidR="00956A90" w:rsidRPr="00840DB5"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11.1 ± 0.8</w:t>
            </w:r>
            <w:r>
              <w:rPr>
                <w:vertAlign w:val="superscript"/>
              </w:rPr>
              <w:t>#</w:t>
            </w:r>
          </w:p>
        </w:tc>
        <w:tc>
          <w:tcPr>
            <w:tcW w:w="2062" w:type="dxa"/>
            <w:tcBorders>
              <w:bottom w:val="single" w:sz="12" w:space="0" w:color="000000"/>
            </w:tcBorders>
          </w:tcPr>
          <w:p w:rsidR="00956A90" w:rsidRPr="00840DB5"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11.3 ± 0.7</w:t>
            </w:r>
            <w:r>
              <w:rPr>
                <w:vertAlign w:val="superscript"/>
              </w:rPr>
              <w:t>#</w:t>
            </w:r>
          </w:p>
        </w:tc>
        <w:tc>
          <w:tcPr>
            <w:tcW w:w="2062" w:type="dxa"/>
            <w:tcBorders>
              <w:bottom w:val="single" w:sz="12" w:space="0" w:color="000000"/>
            </w:tcBorders>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11.9 ± 0.7</w:t>
            </w:r>
            <w:r>
              <w:rPr>
                <w:vertAlign w:val="superscript"/>
              </w:rPr>
              <w:t>#</w:t>
            </w:r>
          </w:p>
        </w:tc>
        <w:tc>
          <w:tcPr>
            <w:tcW w:w="2062" w:type="dxa"/>
            <w:tcBorders>
              <w:bottom w:val="single" w:sz="12" w:space="0" w:color="000000"/>
            </w:tcBorders>
          </w:tcPr>
          <w:p w:rsidR="00956A90" w:rsidRDefault="00956A90" w:rsidP="003E187B">
            <w:pPr>
              <w:cnfStyle w:val="000000000000" w:firstRow="0" w:lastRow="0" w:firstColumn="0" w:lastColumn="0" w:oddVBand="0" w:evenVBand="0" w:oddHBand="0" w:evenHBand="0" w:firstRowFirstColumn="0" w:firstRowLastColumn="0" w:lastRowFirstColumn="0" w:lastRowLastColumn="0"/>
            </w:pPr>
            <w:r>
              <w:t>12.0 ± 0.7</w:t>
            </w:r>
            <w:r>
              <w:rPr>
                <w:vertAlign w:val="superscript"/>
              </w:rPr>
              <w:t>#</w:t>
            </w:r>
          </w:p>
        </w:tc>
        <w:tc>
          <w:tcPr>
            <w:tcW w:w="2062" w:type="dxa"/>
            <w:tcBorders>
              <w:bottom w:val="single" w:sz="12" w:space="0" w:color="000000"/>
            </w:tcBorders>
          </w:tcPr>
          <w:p w:rsidR="00956A90" w:rsidRPr="00840DB5" w:rsidRDefault="00956A90" w:rsidP="003E187B">
            <w:pPr>
              <w:cnfStyle w:val="000000000000" w:firstRow="0" w:lastRow="0" w:firstColumn="0" w:lastColumn="0" w:oddVBand="0" w:evenVBand="0" w:oddHBand="0" w:evenHBand="0" w:firstRowFirstColumn="0" w:firstRowLastColumn="0" w:lastRowFirstColumn="0" w:lastRowLastColumn="0"/>
              <w:rPr>
                <w:vertAlign w:val="superscript"/>
              </w:rPr>
            </w:pPr>
            <w:r>
              <w:t>11.8 ± 0.7</w:t>
            </w:r>
            <w:r>
              <w:rPr>
                <w:vertAlign w:val="superscript"/>
              </w:rPr>
              <w:t>#</w:t>
            </w:r>
          </w:p>
        </w:tc>
      </w:tr>
      <w:tr w:rsidR="00956A90" w:rsidTr="00B375D2">
        <w:trPr>
          <w:trHeight w:val="546"/>
        </w:trPr>
        <w:tc>
          <w:tcPr>
            <w:cnfStyle w:val="001000000000" w:firstRow="0" w:lastRow="0" w:firstColumn="1" w:lastColumn="0" w:oddVBand="0" w:evenVBand="0" w:oddHBand="0" w:evenHBand="0" w:firstRowFirstColumn="0" w:firstRowLastColumn="0" w:lastRowFirstColumn="0" w:lastRowLastColumn="0"/>
            <w:tcW w:w="12818" w:type="dxa"/>
            <w:gridSpan w:val="6"/>
            <w:tcBorders>
              <w:top w:val="single" w:sz="12" w:space="0" w:color="000000"/>
              <w:bottom w:val="nil"/>
              <w:right w:val="nil"/>
            </w:tcBorders>
          </w:tcPr>
          <w:p w:rsidR="00956A90" w:rsidRPr="00B375D2" w:rsidRDefault="00956A90" w:rsidP="003E187B">
            <w:pPr>
              <w:rPr>
                <w:sz w:val="18"/>
                <w:szCs w:val="18"/>
              </w:rPr>
            </w:pPr>
            <w:r w:rsidRPr="00B375D2">
              <w:rPr>
                <w:sz w:val="18"/>
                <w:szCs w:val="18"/>
              </w:rPr>
              <w:t>Numerical data presented as mean ± standard deviation.</w:t>
            </w:r>
          </w:p>
          <w:p w:rsidR="00956A90" w:rsidRPr="006E1409" w:rsidRDefault="00956A90" w:rsidP="003E187B">
            <w:r w:rsidRPr="00B375D2">
              <w:rPr>
                <w:sz w:val="18"/>
                <w:szCs w:val="18"/>
                <w:vertAlign w:val="superscript"/>
              </w:rPr>
              <w:t>#</w:t>
            </w:r>
            <w:proofErr w:type="gramStart"/>
            <w:r w:rsidRPr="00B375D2">
              <w:rPr>
                <w:sz w:val="18"/>
                <w:szCs w:val="18"/>
                <w:vertAlign w:val="superscript"/>
              </w:rPr>
              <w:t>,$</w:t>
            </w:r>
            <w:proofErr w:type="gramEnd"/>
            <w:r w:rsidRPr="00B375D2">
              <w:rPr>
                <w:sz w:val="18"/>
                <w:szCs w:val="18"/>
                <w:vertAlign w:val="superscript"/>
              </w:rPr>
              <w:t>,%</w:t>
            </w:r>
            <w:r w:rsidRPr="00B375D2">
              <w:rPr>
                <w:sz w:val="18"/>
                <w:szCs w:val="18"/>
              </w:rPr>
              <w:t>Across columns, values with different superscript symbols differ significantly (</w:t>
            </w:r>
            <w:r w:rsidRPr="00B375D2">
              <w:rPr>
                <w:i/>
                <w:sz w:val="18"/>
                <w:szCs w:val="18"/>
              </w:rPr>
              <w:t>p</w:t>
            </w:r>
            <w:r w:rsidRPr="00B375D2">
              <w:rPr>
                <w:sz w:val="18"/>
                <w:szCs w:val="18"/>
              </w:rPr>
              <w:t>&lt; 0.05).</w:t>
            </w:r>
          </w:p>
        </w:tc>
      </w:tr>
    </w:tbl>
    <w:p w:rsidR="00AE2520" w:rsidRDefault="00AE2520" w:rsidP="002F1CE3"/>
    <w:p w:rsidR="00016A52" w:rsidRDefault="00016A52" w:rsidP="002F1CE3"/>
    <w:p w:rsidR="00016A52" w:rsidRDefault="00016A52" w:rsidP="002F1CE3"/>
    <w:p w:rsidR="00016A52" w:rsidRDefault="00016A52" w:rsidP="002F1CE3"/>
    <w:p w:rsidR="00016A52" w:rsidRDefault="00016A52" w:rsidP="002F1CE3"/>
    <w:p w:rsidR="00016A52" w:rsidRDefault="00016A52" w:rsidP="002F1CE3"/>
    <w:p w:rsidR="00016A52" w:rsidRDefault="00016A52" w:rsidP="002F1CE3"/>
    <w:p w:rsidR="00016A52" w:rsidRDefault="00016A52" w:rsidP="00016A52">
      <w:pPr>
        <w:pStyle w:val="Caption"/>
        <w:sectPr w:rsidR="00016A52" w:rsidSect="00AE2520">
          <w:pgSz w:w="15840" w:h="12240" w:orient="landscape" w:code="1"/>
          <w:pgMar w:top="1800" w:right="1440" w:bottom="1800" w:left="1872" w:header="720" w:footer="1440" w:gutter="0"/>
          <w:cols w:space="720"/>
          <w:noEndnote/>
          <w:docGrid w:linePitch="360"/>
        </w:sectPr>
      </w:pPr>
    </w:p>
    <w:p w:rsidR="00016A52" w:rsidRDefault="00016A52" w:rsidP="00016A52">
      <w:pPr>
        <w:pStyle w:val="Caption"/>
      </w:pPr>
      <w:bookmarkStart w:id="150" w:name="_Toc376465843"/>
      <w:r>
        <w:t xml:space="preserve">Table </w:t>
      </w:r>
      <w:fldSimple w:instr=" SEQ Table \* ARABIC ">
        <w:r w:rsidR="00736DB0">
          <w:rPr>
            <w:noProof/>
          </w:rPr>
          <w:t>21</w:t>
        </w:r>
      </w:fldSimple>
      <w:r>
        <w:rPr>
          <w:noProof/>
        </w:rPr>
        <w:t xml:space="preserve"> Body weight, BCS, and intrusion meal intake by group and point.</w:t>
      </w:r>
      <w:bookmarkEnd w:id="150"/>
    </w:p>
    <w:tbl>
      <w:tblPr>
        <w:tblStyle w:val="TableClassic1"/>
        <w:tblW w:w="0" w:type="auto"/>
        <w:tblLook w:val="04A0" w:firstRow="1" w:lastRow="0" w:firstColumn="1" w:lastColumn="0" w:noHBand="0" w:noVBand="1"/>
      </w:tblPr>
      <w:tblGrid>
        <w:gridCol w:w="2178"/>
        <w:gridCol w:w="2136"/>
        <w:gridCol w:w="2273"/>
        <w:gridCol w:w="2269"/>
      </w:tblGrid>
      <w:tr w:rsidR="00016A52" w:rsidTr="007B64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r>
              <w:t>Group</w:t>
            </w:r>
          </w:p>
        </w:tc>
        <w:tc>
          <w:tcPr>
            <w:tcW w:w="2136" w:type="dxa"/>
          </w:tcPr>
          <w:p w:rsidR="00016A52" w:rsidRDefault="00016A52" w:rsidP="00F55FEE">
            <w:pPr>
              <w:cnfStyle w:val="100000000000" w:firstRow="1" w:lastRow="0" w:firstColumn="0" w:lastColumn="0" w:oddVBand="0" w:evenVBand="0" w:oddHBand="0" w:evenHBand="0" w:firstRowFirstColumn="0" w:firstRowLastColumn="0" w:lastRowFirstColumn="0" w:lastRowLastColumn="0"/>
            </w:pPr>
            <w:r>
              <w:t>Baseline</w:t>
            </w:r>
          </w:p>
        </w:tc>
        <w:tc>
          <w:tcPr>
            <w:tcW w:w="2273" w:type="dxa"/>
          </w:tcPr>
          <w:p w:rsidR="00016A52" w:rsidRDefault="00016A52" w:rsidP="00F55FEE">
            <w:pPr>
              <w:cnfStyle w:val="100000000000" w:firstRow="1" w:lastRow="0" w:firstColumn="0" w:lastColumn="0" w:oddVBand="0" w:evenVBand="0" w:oddHBand="0" w:evenHBand="0" w:firstRowFirstColumn="0" w:firstRowLastColumn="0" w:lastRowFirstColumn="0" w:lastRowLastColumn="0"/>
            </w:pPr>
            <w:r>
              <w:t>One week</w:t>
            </w:r>
          </w:p>
        </w:tc>
        <w:tc>
          <w:tcPr>
            <w:tcW w:w="2269" w:type="dxa"/>
          </w:tcPr>
          <w:p w:rsidR="00016A52" w:rsidRDefault="00016A52" w:rsidP="00F55FEE">
            <w:pPr>
              <w:cnfStyle w:val="100000000000" w:firstRow="1" w:lastRow="0" w:firstColumn="0" w:lastColumn="0" w:oddVBand="0" w:evenVBand="0" w:oddHBand="0" w:evenHBand="0" w:firstRowFirstColumn="0" w:firstRowLastColumn="0" w:lastRowFirstColumn="0" w:lastRowLastColumn="0"/>
            </w:pPr>
            <w:r>
              <w:t>End of study</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r>
              <w:t>Scale weight (kg)</w:t>
            </w:r>
          </w:p>
        </w:tc>
        <w:tc>
          <w:tcPr>
            <w:tcW w:w="2136" w:type="dxa"/>
          </w:tcPr>
          <w:p w:rsidR="00016A52" w:rsidRDefault="00016A52" w:rsidP="00F55FEE">
            <w:pPr>
              <w:cnfStyle w:val="000000000000" w:firstRow="0" w:lastRow="0" w:firstColumn="0" w:lastColumn="0" w:oddVBand="0" w:evenVBand="0" w:oddHBand="0" w:evenHBand="0" w:firstRowFirstColumn="0" w:firstRowLastColumn="0" w:lastRowFirstColumn="0" w:lastRowLastColumn="0"/>
            </w:pPr>
          </w:p>
        </w:tc>
        <w:tc>
          <w:tcPr>
            <w:tcW w:w="2273" w:type="dxa"/>
          </w:tcPr>
          <w:p w:rsidR="00016A52" w:rsidRDefault="00016A52" w:rsidP="00F55FEE">
            <w:pPr>
              <w:cnfStyle w:val="000000000000" w:firstRow="0" w:lastRow="0" w:firstColumn="0" w:lastColumn="0" w:oddVBand="0" w:evenVBand="0" w:oddHBand="0" w:evenHBand="0" w:firstRowFirstColumn="0" w:firstRowLastColumn="0" w:lastRowFirstColumn="0" w:lastRowLastColumn="0"/>
            </w:pPr>
          </w:p>
        </w:tc>
        <w:tc>
          <w:tcPr>
            <w:tcW w:w="2269" w:type="dxa"/>
          </w:tcPr>
          <w:p w:rsidR="00016A52" w:rsidRDefault="00016A52" w:rsidP="00F55FEE">
            <w:pPr>
              <w:cnfStyle w:val="000000000000" w:firstRow="0" w:lastRow="0" w:firstColumn="0" w:lastColumn="0" w:oddVBand="0" w:evenVBand="0" w:oddHBand="0" w:evenHBand="0" w:firstRowFirstColumn="0" w:firstRowLastColumn="0" w:lastRowFirstColumn="0" w:lastRowLastColumn="0"/>
            </w:pP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Pr="004B21AC" w:rsidRDefault="00016A52" w:rsidP="00F55FEE">
            <w:pPr>
              <w:jc w:val="center"/>
              <w:rPr>
                <w:vertAlign w:val="superscript"/>
              </w:rPr>
            </w:pPr>
            <w:r>
              <w:t>ExN</w:t>
            </w:r>
            <w:r>
              <w:rPr>
                <w:vertAlign w:val="superscript"/>
              </w:rPr>
              <w:t>*</w:t>
            </w:r>
          </w:p>
        </w:tc>
        <w:tc>
          <w:tcPr>
            <w:tcW w:w="2136" w:type="dxa"/>
          </w:tcPr>
          <w:p w:rsidR="00016A52" w:rsidRPr="00047037"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11.7 ± 1.0</w:t>
            </w:r>
            <w:r w:rsidR="008760C7">
              <w:rPr>
                <w:vertAlign w:val="superscript"/>
              </w:rPr>
              <w:t>a</w:t>
            </w:r>
            <w:r>
              <w:rPr>
                <w:vertAlign w:val="superscript"/>
              </w:rPr>
              <w:t>,#</w:t>
            </w:r>
          </w:p>
        </w:tc>
        <w:tc>
          <w:tcPr>
            <w:tcW w:w="2273" w:type="dxa"/>
          </w:tcPr>
          <w:p w:rsidR="00016A52" w:rsidRPr="00047037"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13.0 ± 1.0</w:t>
            </w:r>
            <w:r w:rsidR="008760C7">
              <w:rPr>
                <w:vertAlign w:val="superscript"/>
              </w:rPr>
              <w:t>a</w:t>
            </w:r>
            <w:r>
              <w:rPr>
                <w:vertAlign w:val="superscript"/>
              </w:rPr>
              <w:t>,#</w:t>
            </w:r>
          </w:p>
        </w:tc>
        <w:tc>
          <w:tcPr>
            <w:tcW w:w="2269" w:type="dxa"/>
          </w:tcPr>
          <w:p w:rsidR="00016A52" w:rsidRPr="00047037"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15.7 ± 1.8</w:t>
            </w:r>
            <w:r w:rsidR="008760C7">
              <w:rPr>
                <w:vertAlign w:val="superscript"/>
              </w:rPr>
              <w:t>a</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Pr="004B21AC" w:rsidRDefault="00016A52" w:rsidP="00F55FEE">
            <w:pPr>
              <w:jc w:val="center"/>
              <w:rPr>
                <w:vertAlign w:val="superscript"/>
              </w:rPr>
            </w:pPr>
            <w:r>
              <w:t>ExP</w:t>
            </w:r>
            <w:r>
              <w:rPr>
                <w:vertAlign w:val="superscript"/>
              </w:rPr>
              <w:t>*</w:t>
            </w:r>
          </w:p>
        </w:tc>
        <w:tc>
          <w:tcPr>
            <w:tcW w:w="2136" w:type="dxa"/>
          </w:tcPr>
          <w:p w:rsidR="00016A52" w:rsidRPr="00047037"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12.0 ± 0.5</w:t>
            </w:r>
            <w:r w:rsidR="008760C7">
              <w:rPr>
                <w:vertAlign w:val="superscript"/>
              </w:rPr>
              <w:t>a</w:t>
            </w:r>
            <w:r>
              <w:rPr>
                <w:vertAlign w:val="superscript"/>
              </w:rPr>
              <w:t>,#</w:t>
            </w:r>
          </w:p>
        </w:tc>
        <w:tc>
          <w:tcPr>
            <w:tcW w:w="2273" w:type="dxa"/>
          </w:tcPr>
          <w:p w:rsidR="00016A52" w:rsidRPr="00047037"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13.6 ± 0.7</w:t>
            </w:r>
            <w:r w:rsidR="008760C7">
              <w:rPr>
                <w:vertAlign w:val="superscript"/>
              </w:rPr>
              <w:t>a</w:t>
            </w:r>
            <w:r>
              <w:rPr>
                <w:vertAlign w:val="superscript"/>
              </w:rPr>
              <w:t>,$</w:t>
            </w:r>
          </w:p>
        </w:tc>
        <w:tc>
          <w:tcPr>
            <w:tcW w:w="2269" w:type="dxa"/>
          </w:tcPr>
          <w:p w:rsidR="00016A52" w:rsidRPr="00047037"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15.8 ± 1.9</w:t>
            </w:r>
            <w:r w:rsidR="008760C7">
              <w:rPr>
                <w:vertAlign w:val="superscript"/>
              </w:rPr>
              <w:t>a</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Pr="004B21AC" w:rsidRDefault="00016A52" w:rsidP="00F55FEE">
            <w:pPr>
              <w:jc w:val="center"/>
              <w:rPr>
                <w:vertAlign w:val="superscript"/>
              </w:rPr>
            </w:pPr>
            <w:r>
              <w:t>IBW</w:t>
            </w:r>
            <w:r>
              <w:rPr>
                <w:vertAlign w:val="superscript"/>
              </w:rPr>
              <w:t>*</w:t>
            </w:r>
          </w:p>
        </w:tc>
        <w:tc>
          <w:tcPr>
            <w:tcW w:w="2136" w:type="dxa"/>
          </w:tcPr>
          <w:p w:rsidR="00016A52" w:rsidRPr="00047037"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10.6 ± 0.7</w:t>
            </w:r>
            <w:r w:rsidR="008760C7">
              <w:rPr>
                <w:vertAlign w:val="superscript"/>
              </w:rPr>
              <w:t>a</w:t>
            </w:r>
            <w:r>
              <w:rPr>
                <w:vertAlign w:val="superscript"/>
              </w:rPr>
              <w:t>,#</w:t>
            </w:r>
          </w:p>
        </w:tc>
        <w:tc>
          <w:tcPr>
            <w:tcW w:w="2273" w:type="dxa"/>
          </w:tcPr>
          <w:p w:rsidR="00016A52" w:rsidRPr="00047037"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11.3 ± 0.7</w:t>
            </w:r>
            <w:r w:rsidR="008760C7">
              <w:rPr>
                <w:vertAlign w:val="superscript"/>
              </w:rPr>
              <w:t>b</w:t>
            </w:r>
            <w:r>
              <w:rPr>
                <w:vertAlign w:val="superscript"/>
              </w:rPr>
              <w:t>,#</w:t>
            </w:r>
          </w:p>
        </w:tc>
        <w:tc>
          <w:tcPr>
            <w:tcW w:w="2269" w:type="dxa"/>
          </w:tcPr>
          <w:p w:rsidR="00016A52" w:rsidRPr="00047037"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11.8 ± 7.6</w:t>
            </w:r>
            <w:r w:rsidR="008760C7">
              <w:rPr>
                <w:vertAlign w:val="superscript"/>
              </w:rPr>
              <w:t>b</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r>
              <w:t>BCS (9 point)</w:t>
            </w:r>
          </w:p>
        </w:tc>
        <w:tc>
          <w:tcPr>
            <w:tcW w:w="2136"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c>
          <w:tcPr>
            <w:tcW w:w="2273"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c>
          <w:tcPr>
            <w:tcW w:w="2269"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ExN</w:t>
            </w:r>
          </w:p>
        </w:tc>
        <w:tc>
          <w:tcPr>
            <w:tcW w:w="2136" w:type="dxa"/>
          </w:tcPr>
          <w:p w:rsidR="00016A52" w:rsidRPr="007C2281"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4.5 ± 0.8</w:t>
            </w:r>
            <w:r w:rsidR="008760C7">
              <w:rPr>
                <w:vertAlign w:val="superscript"/>
              </w:rPr>
              <w:t>a</w:t>
            </w:r>
            <w:r>
              <w:rPr>
                <w:vertAlign w:val="superscript"/>
              </w:rPr>
              <w:t>,#</w:t>
            </w:r>
          </w:p>
        </w:tc>
        <w:tc>
          <w:tcPr>
            <w:tcW w:w="2273" w:type="dxa"/>
          </w:tcPr>
          <w:p w:rsidR="00016A52" w:rsidRPr="007C2281"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4.8 ± 0.4</w:t>
            </w:r>
            <w:r w:rsidR="008760C7">
              <w:rPr>
                <w:vertAlign w:val="superscript"/>
              </w:rPr>
              <w:t>a</w:t>
            </w:r>
            <w:r>
              <w:rPr>
                <w:vertAlign w:val="superscript"/>
              </w:rPr>
              <w:t>,#</w:t>
            </w:r>
          </w:p>
        </w:tc>
        <w:tc>
          <w:tcPr>
            <w:tcW w:w="2269" w:type="dxa"/>
          </w:tcPr>
          <w:p w:rsidR="00016A52" w:rsidRPr="007C2281"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7.5 ± 0.5</w:t>
            </w:r>
            <w:r>
              <w:rPr>
                <w:vertAlign w:val="superscript"/>
              </w:rPr>
              <w:t>a,$</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ExP</w:t>
            </w:r>
          </w:p>
        </w:tc>
        <w:tc>
          <w:tcPr>
            <w:tcW w:w="2136" w:type="dxa"/>
          </w:tcPr>
          <w:p w:rsidR="00016A52" w:rsidRPr="007C2281"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5.0 ± 0.9</w:t>
            </w:r>
            <w:r w:rsidR="008760C7">
              <w:rPr>
                <w:vertAlign w:val="superscript"/>
              </w:rPr>
              <w:t>a</w:t>
            </w:r>
            <w:r>
              <w:rPr>
                <w:vertAlign w:val="superscript"/>
              </w:rPr>
              <w:t>,#</w:t>
            </w:r>
          </w:p>
        </w:tc>
        <w:tc>
          <w:tcPr>
            <w:tcW w:w="2273" w:type="dxa"/>
          </w:tcPr>
          <w:p w:rsidR="00016A52" w:rsidRPr="007C2281"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5.3 ± 0.5</w:t>
            </w:r>
            <w:r w:rsidR="008760C7">
              <w:rPr>
                <w:vertAlign w:val="superscript"/>
              </w:rPr>
              <w:t>a</w:t>
            </w:r>
            <w:r>
              <w:rPr>
                <w:vertAlign w:val="superscript"/>
              </w:rPr>
              <w:t>,#</w:t>
            </w:r>
          </w:p>
        </w:tc>
        <w:tc>
          <w:tcPr>
            <w:tcW w:w="2269" w:type="dxa"/>
          </w:tcPr>
          <w:p w:rsidR="00016A52" w:rsidRPr="007C2281"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8.0 ± 1.7</w:t>
            </w:r>
            <w:r>
              <w:rPr>
                <w:vertAlign w:val="superscript"/>
              </w:rPr>
              <w:t>a,$</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IBW</w:t>
            </w:r>
          </w:p>
        </w:tc>
        <w:tc>
          <w:tcPr>
            <w:tcW w:w="2136" w:type="dxa"/>
          </w:tcPr>
          <w:p w:rsidR="00016A52" w:rsidRPr="007C2281"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4.3 ± 0.5</w:t>
            </w:r>
            <w:r w:rsidR="008760C7">
              <w:rPr>
                <w:vertAlign w:val="superscript"/>
              </w:rPr>
              <w:t>a</w:t>
            </w:r>
            <w:r>
              <w:rPr>
                <w:vertAlign w:val="superscript"/>
              </w:rPr>
              <w:t>,#</w:t>
            </w:r>
          </w:p>
        </w:tc>
        <w:tc>
          <w:tcPr>
            <w:tcW w:w="2273" w:type="dxa"/>
          </w:tcPr>
          <w:p w:rsidR="00016A52" w:rsidRPr="007C2281"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4.8 ± 0.4</w:t>
            </w:r>
            <w:r w:rsidR="008760C7">
              <w:rPr>
                <w:vertAlign w:val="superscript"/>
              </w:rPr>
              <w:t>a</w:t>
            </w:r>
            <w:r>
              <w:rPr>
                <w:vertAlign w:val="superscript"/>
              </w:rPr>
              <w:t>,#</w:t>
            </w:r>
          </w:p>
        </w:tc>
        <w:tc>
          <w:tcPr>
            <w:tcW w:w="2269" w:type="dxa"/>
          </w:tcPr>
          <w:p w:rsidR="00016A52" w:rsidRPr="007C2281"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5.2 ± 0.4</w:t>
            </w:r>
            <w:r>
              <w:rPr>
                <w:vertAlign w:val="superscript"/>
              </w:rPr>
              <w:t>b,#</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Pr="001D73C7" w:rsidRDefault="00016A52" w:rsidP="00F55FEE">
            <w:r>
              <w:t>Food eaten (kcal)</w:t>
            </w:r>
          </w:p>
        </w:tc>
        <w:tc>
          <w:tcPr>
            <w:tcW w:w="2136"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c>
          <w:tcPr>
            <w:tcW w:w="2273"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c>
          <w:tcPr>
            <w:tcW w:w="2269"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ExN</w:t>
            </w:r>
          </w:p>
        </w:tc>
        <w:tc>
          <w:tcPr>
            <w:tcW w:w="2136" w:type="dxa"/>
          </w:tcPr>
          <w:p w:rsidR="00016A52" w:rsidRPr="00FB1E14"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1521.8 ± 237.2</w:t>
            </w:r>
            <w:r w:rsidR="008760C7">
              <w:rPr>
                <w:vertAlign w:val="superscript"/>
              </w:rPr>
              <w:t>a</w:t>
            </w:r>
            <w:r>
              <w:rPr>
                <w:vertAlign w:val="superscript"/>
              </w:rPr>
              <w:t>,#</w:t>
            </w:r>
          </w:p>
        </w:tc>
        <w:tc>
          <w:tcPr>
            <w:tcW w:w="2273" w:type="dxa"/>
          </w:tcPr>
          <w:p w:rsidR="00016A52" w:rsidRPr="00FB1E14"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296.1 ± 181.5</w:t>
            </w:r>
            <w:r>
              <w:rPr>
                <w:vertAlign w:val="superscript"/>
              </w:rPr>
              <w:t>a,$</w:t>
            </w:r>
          </w:p>
        </w:tc>
        <w:tc>
          <w:tcPr>
            <w:tcW w:w="2269" w:type="dxa"/>
          </w:tcPr>
          <w:p w:rsidR="00016A52" w:rsidRPr="00FB1E14"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275.1 ± 219.7</w:t>
            </w:r>
            <w:r w:rsidR="008760C7">
              <w:rPr>
                <w:vertAlign w:val="superscript"/>
              </w:rPr>
              <w:t>a</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ExP</w:t>
            </w:r>
          </w:p>
        </w:tc>
        <w:tc>
          <w:tcPr>
            <w:tcW w:w="2136" w:type="dxa"/>
          </w:tcPr>
          <w:p w:rsidR="00016A52" w:rsidRPr="00FB1E14"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1357.2 ± 253.2</w:t>
            </w:r>
            <w:r w:rsidR="008760C7">
              <w:rPr>
                <w:vertAlign w:val="superscript"/>
              </w:rPr>
              <w:t>a</w:t>
            </w:r>
            <w:r>
              <w:rPr>
                <w:vertAlign w:val="superscript"/>
              </w:rPr>
              <w:t>,#</w:t>
            </w:r>
          </w:p>
        </w:tc>
        <w:tc>
          <w:tcPr>
            <w:tcW w:w="2273" w:type="dxa"/>
          </w:tcPr>
          <w:p w:rsidR="00016A52" w:rsidRPr="00FB1E14"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405.1 ± 309.0</w:t>
            </w:r>
            <w:r>
              <w:rPr>
                <w:vertAlign w:val="superscript"/>
              </w:rPr>
              <w:t>a,$</w:t>
            </w:r>
          </w:p>
        </w:tc>
        <w:tc>
          <w:tcPr>
            <w:tcW w:w="2269" w:type="dxa"/>
          </w:tcPr>
          <w:p w:rsidR="00016A52" w:rsidRPr="00FB1E14"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351.3 ± 69.4</w:t>
            </w:r>
            <w:r w:rsidR="008760C7">
              <w:rPr>
                <w:vertAlign w:val="superscript"/>
              </w:rPr>
              <w:t>a</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IBW</w:t>
            </w:r>
          </w:p>
        </w:tc>
        <w:tc>
          <w:tcPr>
            <w:tcW w:w="2136" w:type="dxa"/>
          </w:tcPr>
          <w:p w:rsidR="00016A52" w:rsidRPr="00FB1E14"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1384.3 ± 319.9</w:t>
            </w:r>
            <w:r w:rsidR="008760C7">
              <w:rPr>
                <w:vertAlign w:val="superscript"/>
              </w:rPr>
              <w:t>a</w:t>
            </w:r>
            <w:r>
              <w:rPr>
                <w:vertAlign w:val="superscript"/>
              </w:rPr>
              <w:t>,#</w:t>
            </w:r>
          </w:p>
        </w:tc>
        <w:tc>
          <w:tcPr>
            <w:tcW w:w="2273" w:type="dxa"/>
          </w:tcPr>
          <w:p w:rsidR="00016A52" w:rsidRPr="00FB1E14"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1398.3 ± 164.0</w:t>
            </w:r>
            <w:r>
              <w:rPr>
                <w:vertAlign w:val="superscript"/>
              </w:rPr>
              <w:t>b,#</w:t>
            </w:r>
          </w:p>
        </w:tc>
        <w:tc>
          <w:tcPr>
            <w:tcW w:w="2269" w:type="dxa"/>
          </w:tcPr>
          <w:p w:rsidR="00016A52" w:rsidRPr="00FB1E14"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1149.6 ± 510.5</w:t>
            </w:r>
            <w:r w:rsidR="008760C7">
              <w:rPr>
                <w:vertAlign w:val="superscript"/>
              </w:rPr>
              <w:t>b</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Pr="001D73C7" w:rsidRDefault="00016A52" w:rsidP="00F55FEE">
            <w:r>
              <w:t>Food eaten (kcal/BW</w:t>
            </w:r>
            <w:r>
              <w:rPr>
                <w:vertAlign w:val="subscript"/>
              </w:rPr>
              <w:t>kg</w:t>
            </w:r>
            <w:r>
              <w:t>)</w:t>
            </w:r>
          </w:p>
        </w:tc>
        <w:tc>
          <w:tcPr>
            <w:tcW w:w="2136"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c>
          <w:tcPr>
            <w:tcW w:w="2273"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c>
          <w:tcPr>
            <w:tcW w:w="2269"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ExN</w:t>
            </w:r>
          </w:p>
        </w:tc>
        <w:tc>
          <w:tcPr>
            <w:tcW w:w="2136" w:type="dxa"/>
          </w:tcPr>
          <w:p w:rsidR="00016A52" w:rsidRPr="007029E6"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130.1 ± 20.5</w:t>
            </w:r>
            <w:r w:rsidR="008760C7">
              <w:rPr>
                <w:vertAlign w:val="superscript"/>
              </w:rPr>
              <w:t>a</w:t>
            </w:r>
            <w:r>
              <w:rPr>
                <w:vertAlign w:val="superscript"/>
              </w:rPr>
              <w:t>,#</w:t>
            </w:r>
          </w:p>
        </w:tc>
        <w:tc>
          <w:tcPr>
            <w:tcW w:w="2273" w:type="dxa"/>
          </w:tcPr>
          <w:p w:rsidR="00016A52" w:rsidRPr="000726B2"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16.9 ± 12.3</w:t>
            </w:r>
            <w:r>
              <w:rPr>
                <w:vertAlign w:val="superscript"/>
              </w:rPr>
              <w:t>a,$</w:t>
            </w:r>
          </w:p>
        </w:tc>
        <w:tc>
          <w:tcPr>
            <w:tcW w:w="2269" w:type="dxa"/>
          </w:tcPr>
          <w:p w:rsidR="00016A52" w:rsidRPr="000726B2"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16.9 ± 12.3</w:t>
            </w:r>
            <w:r w:rsidR="008760C7">
              <w:rPr>
                <w:vertAlign w:val="superscript"/>
              </w:rPr>
              <w:t>a</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ExP</w:t>
            </w:r>
          </w:p>
        </w:tc>
        <w:tc>
          <w:tcPr>
            <w:tcW w:w="2136" w:type="dxa"/>
          </w:tcPr>
          <w:p w:rsidR="00016A52" w:rsidRPr="000726B2"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113.2 ± 21.2</w:t>
            </w:r>
            <w:r w:rsidR="008760C7">
              <w:rPr>
                <w:vertAlign w:val="superscript"/>
              </w:rPr>
              <w:t>a</w:t>
            </w:r>
            <w:r>
              <w:rPr>
                <w:vertAlign w:val="superscript"/>
              </w:rPr>
              <w:t>,#</w:t>
            </w:r>
          </w:p>
        </w:tc>
        <w:tc>
          <w:tcPr>
            <w:tcW w:w="2273" w:type="dxa"/>
          </w:tcPr>
          <w:p w:rsidR="00016A52" w:rsidRPr="000726B2"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29.1 ± 21.6</w:t>
            </w:r>
            <w:r>
              <w:rPr>
                <w:vertAlign w:val="superscript"/>
              </w:rPr>
              <w:t>a,$</w:t>
            </w:r>
          </w:p>
        </w:tc>
        <w:tc>
          <w:tcPr>
            <w:tcW w:w="2269" w:type="dxa"/>
          </w:tcPr>
          <w:p w:rsidR="00016A52" w:rsidRPr="000726B2"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22.3 ± 3.2</w:t>
            </w:r>
            <w:r w:rsidR="008760C7">
              <w:rPr>
                <w:vertAlign w:val="superscript"/>
              </w:rPr>
              <w:t>a</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IBW</w:t>
            </w:r>
          </w:p>
        </w:tc>
        <w:tc>
          <w:tcPr>
            <w:tcW w:w="2136" w:type="dxa"/>
          </w:tcPr>
          <w:p w:rsidR="00016A52" w:rsidRPr="000726B2"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130.3 ± 28.4</w:t>
            </w:r>
            <w:r w:rsidR="008760C7">
              <w:rPr>
                <w:vertAlign w:val="superscript"/>
              </w:rPr>
              <w:t>a</w:t>
            </w:r>
            <w:r>
              <w:rPr>
                <w:vertAlign w:val="superscript"/>
              </w:rPr>
              <w:t>,#</w:t>
            </w:r>
          </w:p>
        </w:tc>
        <w:tc>
          <w:tcPr>
            <w:tcW w:w="2273" w:type="dxa"/>
          </w:tcPr>
          <w:p w:rsidR="00016A52" w:rsidRPr="000726B2"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123.3 ± 11.1</w:t>
            </w:r>
            <w:r>
              <w:rPr>
                <w:vertAlign w:val="superscript"/>
              </w:rPr>
              <w:t>b,#</w:t>
            </w:r>
          </w:p>
        </w:tc>
        <w:tc>
          <w:tcPr>
            <w:tcW w:w="2269" w:type="dxa"/>
          </w:tcPr>
          <w:p w:rsidR="00016A52" w:rsidRPr="000726B2" w:rsidRDefault="00016A52" w:rsidP="00F55FEE">
            <w:pPr>
              <w:cnfStyle w:val="000000000000" w:firstRow="0" w:lastRow="0" w:firstColumn="0" w:lastColumn="0" w:oddVBand="0" w:evenVBand="0" w:oddHBand="0" w:evenHBand="0" w:firstRowFirstColumn="0" w:firstRowLastColumn="0" w:lastRowFirstColumn="0" w:lastRowLastColumn="0"/>
              <w:rPr>
                <w:vertAlign w:val="superscript"/>
              </w:rPr>
            </w:pPr>
            <w:r>
              <w:t>98.0 ± 44.6</w:t>
            </w:r>
            <w:r w:rsidR="008760C7">
              <w:rPr>
                <w:vertAlign w:val="superscript"/>
              </w:rPr>
              <w:t>b</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Pr="001D73C7" w:rsidRDefault="00016A52" w:rsidP="00F55FEE">
            <w:r>
              <w:t>Food eaten (kcal/BW</w:t>
            </w:r>
            <w:r>
              <w:rPr>
                <w:vertAlign w:val="subscript"/>
              </w:rPr>
              <w:t>kg</w:t>
            </w:r>
            <w:r>
              <w:rPr>
                <w:vertAlign w:val="superscript"/>
              </w:rPr>
              <w:t>0.75</w:t>
            </w:r>
            <w:r>
              <w:t>)</w:t>
            </w:r>
          </w:p>
        </w:tc>
        <w:tc>
          <w:tcPr>
            <w:tcW w:w="2136"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c>
          <w:tcPr>
            <w:tcW w:w="2273"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c>
          <w:tcPr>
            <w:tcW w:w="2269" w:type="dxa"/>
          </w:tcPr>
          <w:p w:rsidR="00016A52" w:rsidRPr="004F0306" w:rsidRDefault="00016A52" w:rsidP="00F55FEE">
            <w:pPr>
              <w:cnfStyle w:val="000000000000" w:firstRow="0" w:lastRow="0" w:firstColumn="0" w:lastColumn="0" w:oddVBand="0" w:evenVBand="0" w:oddHBand="0" w:evenHBand="0" w:firstRowFirstColumn="0" w:firstRowLastColumn="0" w:lastRowFirstColumn="0" w:lastRowLastColumn="0"/>
            </w:pP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ExN</w:t>
            </w:r>
          </w:p>
        </w:tc>
        <w:tc>
          <w:tcPr>
            <w:tcW w:w="2136" w:type="dxa"/>
          </w:tcPr>
          <w:p w:rsidR="00016A52" w:rsidRPr="007F6C77" w:rsidRDefault="00016A52" w:rsidP="00F55FEE">
            <w:pPr>
              <w:cnfStyle w:val="000000000000" w:firstRow="0" w:lastRow="0" w:firstColumn="0" w:lastColumn="0" w:oddVBand="0" w:evenVBand="0" w:oddHBand="0" w:evenHBand="0" w:firstRowFirstColumn="0" w:firstRowLastColumn="0" w:lastRowFirstColumn="0" w:lastRowLastColumn="0"/>
            </w:pPr>
            <w:r>
              <w:t>240.4 ± 36.6</w:t>
            </w:r>
            <w:r w:rsidR="008760C7">
              <w:rPr>
                <w:vertAlign w:val="superscript"/>
              </w:rPr>
              <w:t>a</w:t>
            </w:r>
            <w:r>
              <w:rPr>
                <w:vertAlign w:val="superscript"/>
              </w:rPr>
              <w:t>,#</w:t>
            </w:r>
          </w:p>
        </w:tc>
        <w:tc>
          <w:tcPr>
            <w:tcW w:w="2273" w:type="dxa"/>
          </w:tcPr>
          <w:p w:rsidR="00016A52" w:rsidRPr="007F6C77" w:rsidRDefault="00016A52" w:rsidP="00F55FEE">
            <w:pPr>
              <w:cnfStyle w:val="000000000000" w:firstRow="0" w:lastRow="0" w:firstColumn="0" w:lastColumn="0" w:oddVBand="0" w:evenVBand="0" w:oddHBand="0" w:evenHBand="0" w:firstRowFirstColumn="0" w:firstRowLastColumn="0" w:lastRowFirstColumn="0" w:lastRowLastColumn="0"/>
            </w:pPr>
            <w:r>
              <w:t>43.7 ± 27.3</w:t>
            </w:r>
            <w:r>
              <w:rPr>
                <w:vertAlign w:val="superscript"/>
              </w:rPr>
              <w:t>a,$</w:t>
            </w:r>
          </w:p>
        </w:tc>
        <w:tc>
          <w:tcPr>
            <w:tcW w:w="2269" w:type="dxa"/>
          </w:tcPr>
          <w:p w:rsidR="00016A52" w:rsidRPr="007F6C77" w:rsidRDefault="00016A52" w:rsidP="00F55FEE">
            <w:pPr>
              <w:cnfStyle w:val="000000000000" w:firstRow="0" w:lastRow="0" w:firstColumn="0" w:lastColumn="0" w:oddVBand="0" w:evenVBand="0" w:oddHBand="0" w:evenHBand="0" w:firstRowFirstColumn="0" w:firstRowLastColumn="0" w:lastRowFirstColumn="0" w:lastRowLastColumn="0"/>
            </w:pPr>
            <w:r>
              <w:t>33.9 ± 25.2</w:t>
            </w:r>
            <w:r w:rsidR="008760C7">
              <w:rPr>
                <w:vertAlign w:val="superscript"/>
              </w:rPr>
              <w:t>a</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Pr>
          <w:p w:rsidR="00016A52" w:rsidRDefault="00016A52" w:rsidP="00F55FEE">
            <w:pPr>
              <w:jc w:val="center"/>
            </w:pPr>
            <w:r>
              <w:t>ExP</w:t>
            </w:r>
          </w:p>
        </w:tc>
        <w:tc>
          <w:tcPr>
            <w:tcW w:w="2136" w:type="dxa"/>
          </w:tcPr>
          <w:p w:rsidR="00016A52" w:rsidRPr="007F6C77" w:rsidRDefault="00016A52" w:rsidP="00F55FEE">
            <w:pPr>
              <w:cnfStyle w:val="000000000000" w:firstRow="0" w:lastRow="0" w:firstColumn="0" w:lastColumn="0" w:oddVBand="0" w:evenVBand="0" w:oddHBand="0" w:evenHBand="0" w:firstRowFirstColumn="0" w:firstRowLastColumn="0" w:lastRowFirstColumn="0" w:lastRowLastColumn="0"/>
            </w:pPr>
            <w:r>
              <w:t>210.7 ± 39.3</w:t>
            </w:r>
            <w:r w:rsidR="008760C7">
              <w:rPr>
                <w:vertAlign w:val="superscript"/>
              </w:rPr>
              <w:t>a</w:t>
            </w:r>
            <w:r>
              <w:rPr>
                <w:vertAlign w:val="superscript"/>
              </w:rPr>
              <w:t>,#</w:t>
            </w:r>
          </w:p>
        </w:tc>
        <w:tc>
          <w:tcPr>
            <w:tcW w:w="2273" w:type="dxa"/>
          </w:tcPr>
          <w:p w:rsidR="00016A52" w:rsidRPr="007F6C77" w:rsidRDefault="00016A52" w:rsidP="00F55FEE">
            <w:pPr>
              <w:cnfStyle w:val="000000000000" w:firstRow="0" w:lastRow="0" w:firstColumn="0" w:lastColumn="0" w:oddVBand="0" w:evenVBand="0" w:oddHBand="0" w:evenHBand="0" w:firstRowFirstColumn="0" w:firstRowLastColumn="0" w:lastRowFirstColumn="0" w:lastRowLastColumn="0"/>
            </w:pPr>
            <w:r>
              <w:t>56.3 ± 42.0</w:t>
            </w:r>
            <w:r>
              <w:rPr>
                <w:vertAlign w:val="superscript"/>
              </w:rPr>
              <w:t>a,$</w:t>
            </w:r>
          </w:p>
        </w:tc>
        <w:tc>
          <w:tcPr>
            <w:tcW w:w="2269" w:type="dxa"/>
          </w:tcPr>
          <w:p w:rsidR="00016A52" w:rsidRPr="007F6C77" w:rsidRDefault="00016A52" w:rsidP="00F55FEE">
            <w:pPr>
              <w:cnfStyle w:val="000000000000" w:firstRow="0" w:lastRow="0" w:firstColumn="0" w:lastColumn="0" w:oddVBand="0" w:evenVBand="0" w:oddHBand="0" w:evenHBand="0" w:firstRowFirstColumn="0" w:firstRowLastColumn="0" w:lastRowFirstColumn="0" w:lastRowLastColumn="0"/>
            </w:pPr>
            <w:r>
              <w:t>44.4 ± 6.7</w:t>
            </w:r>
            <w:r w:rsidR="008760C7">
              <w:rPr>
                <w:vertAlign w:val="superscript"/>
              </w:rPr>
              <w:t>a,</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2178" w:type="dxa"/>
            <w:tcBorders>
              <w:bottom w:val="single" w:sz="12" w:space="0" w:color="000000"/>
            </w:tcBorders>
          </w:tcPr>
          <w:p w:rsidR="00016A52" w:rsidRDefault="00016A52" w:rsidP="00F55FEE">
            <w:pPr>
              <w:jc w:val="center"/>
            </w:pPr>
            <w:r>
              <w:t>IBW</w:t>
            </w:r>
          </w:p>
        </w:tc>
        <w:tc>
          <w:tcPr>
            <w:tcW w:w="2136" w:type="dxa"/>
            <w:tcBorders>
              <w:bottom w:val="single" w:sz="12" w:space="0" w:color="000000"/>
            </w:tcBorders>
          </w:tcPr>
          <w:p w:rsidR="00016A52" w:rsidRPr="007F6C77" w:rsidRDefault="00016A52" w:rsidP="00F55FEE">
            <w:pPr>
              <w:cnfStyle w:val="000000000000" w:firstRow="0" w:lastRow="0" w:firstColumn="0" w:lastColumn="0" w:oddVBand="0" w:evenVBand="0" w:oddHBand="0" w:evenHBand="0" w:firstRowFirstColumn="0" w:firstRowLastColumn="0" w:lastRowFirstColumn="0" w:lastRowLastColumn="0"/>
            </w:pPr>
            <w:r>
              <w:t>235.2 ± 51.6</w:t>
            </w:r>
            <w:r w:rsidR="008760C7">
              <w:rPr>
                <w:vertAlign w:val="superscript"/>
              </w:rPr>
              <w:t>a</w:t>
            </w:r>
            <w:r>
              <w:rPr>
                <w:vertAlign w:val="superscript"/>
              </w:rPr>
              <w:t>,#</w:t>
            </w:r>
          </w:p>
        </w:tc>
        <w:tc>
          <w:tcPr>
            <w:tcW w:w="2273" w:type="dxa"/>
            <w:tcBorders>
              <w:bottom w:val="single" w:sz="12" w:space="0" w:color="000000"/>
            </w:tcBorders>
          </w:tcPr>
          <w:p w:rsidR="00016A52" w:rsidRPr="007F6C77" w:rsidRDefault="00016A52" w:rsidP="00F55FEE">
            <w:pPr>
              <w:cnfStyle w:val="000000000000" w:firstRow="0" w:lastRow="0" w:firstColumn="0" w:lastColumn="0" w:oddVBand="0" w:evenVBand="0" w:oddHBand="0" w:evenHBand="0" w:firstRowFirstColumn="0" w:firstRowLastColumn="0" w:lastRowFirstColumn="0" w:lastRowLastColumn="0"/>
            </w:pPr>
            <w:r>
              <w:t>226.1 ± 21.4</w:t>
            </w:r>
            <w:r>
              <w:rPr>
                <w:vertAlign w:val="superscript"/>
              </w:rPr>
              <w:t>b,#</w:t>
            </w:r>
          </w:p>
        </w:tc>
        <w:tc>
          <w:tcPr>
            <w:tcW w:w="2269" w:type="dxa"/>
            <w:tcBorders>
              <w:bottom w:val="single" w:sz="12" w:space="0" w:color="000000"/>
            </w:tcBorders>
          </w:tcPr>
          <w:p w:rsidR="00016A52" w:rsidRPr="007F6C77" w:rsidRDefault="00016A52" w:rsidP="00F55FEE">
            <w:pPr>
              <w:cnfStyle w:val="000000000000" w:firstRow="0" w:lastRow="0" w:firstColumn="0" w:lastColumn="0" w:oddVBand="0" w:evenVBand="0" w:oddHBand="0" w:evenHBand="0" w:firstRowFirstColumn="0" w:firstRowLastColumn="0" w:lastRowFirstColumn="0" w:lastRowLastColumn="0"/>
            </w:pPr>
            <w:r>
              <w:t>181.3 ± 81.9</w:t>
            </w:r>
            <w:r w:rsidR="008760C7">
              <w:rPr>
                <w:vertAlign w:val="superscript"/>
              </w:rPr>
              <w:t>b</w:t>
            </w:r>
            <w:r>
              <w:rPr>
                <w:vertAlign w:val="superscript"/>
              </w:rPr>
              <w:t>,#</w:t>
            </w:r>
          </w:p>
        </w:tc>
      </w:tr>
      <w:tr w:rsidR="00016A52" w:rsidTr="007B64B6">
        <w:tc>
          <w:tcPr>
            <w:cnfStyle w:val="001000000000" w:firstRow="0" w:lastRow="0" w:firstColumn="1" w:lastColumn="0" w:oddVBand="0" w:evenVBand="0" w:oddHBand="0" w:evenHBand="0" w:firstRowFirstColumn="0" w:firstRowLastColumn="0" w:lastRowFirstColumn="0" w:lastRowLastColumn="0"/>
            <w:tcW w:w="8856" w:type="dxa"/>
            <w:gridSpan w:val="4"/>
            <w:tcBorders>
              <w:top w:val="single" w:sz="12" w:space="0" w:color="000000"/>
              <w:bottom w:val="nil"/>
              <w:right w:val="nil"/>
            </w:tcBorders>
          </w:tcPr>
          <w:p w:rsidR="00016A52" w:rsidRPr="00850616" w:rsidRDefault="00016A52" w:rsidP="00F55FEE">
            <w:pPr>
              <w:rPr>
                <w:sz w:val="18"/>
                <w:szCs w:val="18"/>
              </w:rPr>
            </w:pPr>
            <w:r w:rsidRPr="00850616">
              <w:rPr>
                <w:sz w:val="18"/>
                <w:szCs w:val="18"/>
              </w:rPr>
              <w:t>Numerical data presented as mean ± standard deviation.</w:t>
            </w:r>
          </w:p>
          <w:p w:rsidR="00016A52" w:rsidRPr="00850616" w:rsidRDefault="00016A52" w:rsidP="00F55FEE">
            <w:pPr>
              <w:rPr>
                <w:sz w:val="18"/>
                <w:szCs w:val="18"/>
              </w:rPr>
            </w:pPr>
            <w:r w:rsidRPr="00850616">
              <w:rPr>
                <w:sz w:val="18"/>
                <w:szCs w:val="18"/>
                <w:vertAlign w:val="superscript"/>
              </w:rPr>
              <w:t>*</w:t>
            </w:r>
            <w:r w:rsidRPr="00850616">
              <w:rPr>
                <w:sz w:val="18"/>
                <w:szCs w:val="18"/>
              </w:rPr>
              <w:t>ExN, excess calories nutraceutical group; ExP, excess calories placebo group; IBW, ideal body weight group.</w:t>
            </w:r>
          </w:p>
          <w:p w:rsidR="00016A52" w:rsidRPr="00850616" w:rsidRDefault="00016A52" w:rsidP="00F55FEE">
            <w:pPr>
              <w:rPr>
                <w:sz w:val="18"/>
                <w:szCs w:val="18"/>
              </w:rPr>
            </w:pPr>
            <w:proofErr w:type="gramStart"/>
            <w:r w:rsidRPr="00850616">
              <w:rPr>
                <w:sz w:val="18"/>
                <w:szCs w:val="18"/>
                <w:vertAlign w:val="superscript"/>
              </w:rPr>
              <w:t>a</w:t>
            </w:r>
            <w:r w:rsidR="008760C7">
              <w:rPr>
                <w:sz w:val="18"/>
                <w:szCs w:val="18"/>
                <w:vertAlign w:val="superscript"/>
              </w:rPr>
              <w:t>,</w:t>
            </w:r>
            <w:proofErr w:type="gramEnd"/>
            <w:r w:rsidR="008760C7">
              <w:rPr>
                <w:sz w:val="18"/>
                <w:szCs w:val="18"/>
                <w:vertAlign w:val="superscript"/>
              </w:rPr>
              <w:t>b</w:t>
            </w:r>
            <w:r w:rsidRPr="00850616">
              <w:rPr>
                <w:sz w:val="18"/>
                <w:szCs w:val="18"/>
              </w:rPr>
              <w:t>Within a column, values with different superscript letters differ significantly (</w:t>
            </w:r>
            <w:r w:rsidRPr="00850616">
              <w:rPr>
                <w:i/>
                <w:sz w:val="18"/>
                <w:szCs w:val="18"/>
              </w:rPr>
              <w:t>p</w:t>
            </w:r>
            <w:r w:rsidRPr="00850616">
              <w:rPr>
                <w:sz w:val="18"/>
                <w:szCs w:val="18"/>
              </w:rPr>
              <w:t>&lt; 0.05).</w:t>
            </w:r>
          </w:p>
          <w:p w:rsidR="00016A52" w:rsidRPr="006E1409" w:rsidRDefault="00016A52" w:rsidP="00F55FEE">
            <w:r w:rsidRPr="00850616">
              <w:rPr>
                <w:sz w:val="18"/>
                <w:szCs w:val="18"/>
                <w:vertAlign w:val="superscript"/>
              </w:rPr>
              <w:t>#</w:t>
            </w:r>
            <w:proofErr w:type="gramStart"/>
            <w:r w:rsidRPr="00850616">
              <w:rPr>
                <w:sz w:val="18"/>
                <w:szCs w:val="18"/>
                <w:vertAlign w:val="superscript"/>
              </w:rPr>
              <w:t>,$</w:t>
            </w:r>
            <w:proofErr w:type="gramEnd"/>
            <w:r w:rsidRPr="00850616">
              <w:rPr>
                <w:sz w:val="18"/>
                <w:szCs w:val="18"/>
                <w:vertAlign w:val="superscript"/>
              </w:rPr>
              <w:t>,%</w:t>
            </w:r>
            <w:r w:rsidRPr="00850616">
              <w:rPr>
                <w:sz w:val="18"/>
                <w:szCs w:val="18"/>
              </w:rPr>
              <w:t>Across columns, values with different superscript symbols differ significantly (</w:t>
            </w:r>
            <w:r w:rsidRPr="00850616">
              <w:rPr>
                <w:i/>
                <w:sz w:val="18"/>
                <w:szCs w:val="18"/>
              </w:rPr>
              <w:t>p</w:t>
            </w:r>
            <w:r w:rsidRPr="00850616">
              <w:rPr>
                <w:sz w:val="18"/>
                <w:szCs w:val="18"/>
              </w:rPr>
              <w:t>&lt; 0.05).</w:t>
            </w:r>
          </w:p>
        </w:tc>
      </w:tr>
    </w:tbl>
    <w:p w:rsidR="00016A52" w:rsidRDefault="00016A52" w:rsidP="002F1CE3"/>
    <w:p w:rsidR="00016A52" w:rsidRDefault="00016A52" w:rsidP="002F1CE3"/>
    <w:p w:rsidR="00016A52" w:rsidRDefault="00016A52" w:rsidP="002F1CE3"/>
    <w:p w:rsidR="00016A52" w:rsidRDefault="00016A52" w:rsidP="00016A52">
      <w:pPr>
        <w:pStyle w:val="Heading3"/>
      </w:pPr>
      <w:bookmarkStart w:id="151" w:name="_Toc376465813"/>
      <w:r>
        <w:t>Behavioral observations</w:t>
      </w:r>
      <w:bookmarkEnd w:id="151"/>
    </w:p>
    <w:p w:rsidR="00016A52" w:rsidRDefault="00016A52" w:rsidP="00016A52">
      <w:pPr>
        <w:rPr>
          <w:color w:val="FF0000"/>
        </w:rPr>
      </w:pPr>
      <w:r w:rsidRPr="003B36B4">
        <w:t>Any time point without a notation for resting, lying, sitting, standing, or walking/running/jumping was entered as standing.  When cage position was not specified, two positions were marked, or a notation other than front, middle, or back was used, middle was recorded as the position for analysis.</w:t>
      </w:r>
      <w:r>
        <w:t xml:space="preserve">  </w:t>
      </w:r>
      <w:r w:rsidRPr="003B36B4">
        <w:t>One dog from group IBW had lying and sitting both marked at the same time point.  Lying was used as the count for analysis.</w:t>
      </w:r>
    </w:p>
    <w:p w:rsidR="00016A52" w:rsidRDefault="00016A52" w:rsidP="00016A52"/>
    <w:p w:rsidR="00016A52" w:rsidRDefault="00016A52" w:rsidP="00016A52">
      <w:r w:rsidRPr="00C74D44">
        <w:t>Volunteers did not consistently record total time spent eating meals,</w:t>
      </w:r>
      <w:r>
        <w:t xml:space="preserve"> so this data could not be anal</w:t>
      </w:r>
      <w:r w:rsidRPr="00C74D44">
        <w:t>yzed.</w:t>
      </w:r>
      <w:r>
        <w:t xml:space="preserve">  There were no significant </w:t>
      </w:r>
      <w:proofErr w:type="gramStart"/>
      <w:r>
        <w:t>group</w:t>
      </w:r>
      <w:proofErr w:type="gramEnd"/>
      <w:r>
        <w:t xml:space="preserve"> differences for </w:t>
      </w:r>
      <w:r w:rsidR="001001EB">
        <w:t xml:space="preserve">head in bowl/eating, </w:t>
      </w:r>
      <w:r>
        <w:t>drinking, urinating/defecating, yawning, body shaking, playing with toys, grooming,</w:t>
      </w:r>
      <w:r w:rsidR="001001EB">
        <w:t xml:space="preserve"> vocalizing,</w:t>
      </w:r>
      <w:r>
        <w:t xml:space="preserve"> lying (head up)</w:t>
      </w:r>
      <w:r w:rsidR="001001EB">
        <w:t>, standing, or running/walking/jumping</w:t>
      </w:r>
      <w:r>
        <w:t>.  There were no recorded instances of corprophagia and no significant differences in cage position by group or time point (</w:t>
      </w:r>
      <w:r w:rsidR="003E64BA">
        <w:rPr>
          <w:color w:val="FF0000"/>
        </w:rPr>
        <w:t>Figure 28</w:t>
      </w:r>
      <w:r>
        <w:rPr>
          <w:color w:val="FF0000"/>
        </w:rPr>
        <w:t>)</w:t>
      </w:r>
      <w:r>
        <w:t>.</w:t>
      </w:r>
    </w:p>
    <w:p w:rsidR="00016A52" w:rsidRDefault="00016A52" w:rsidP="00016A52"/>
    <w:p w:rsidR="00016A52" w:rsidRPr="00325C16" w:rsidRDefault="00016A52" w:rsidP="00016A52">
      <w:pPr>
        <w:rPr>
          <w:color w:val="FF0000"/>
        </w:rPr>
      </w:pPr>
      <w:r>
        <w:t xml:space="preserve">Selected instantaneous </w:t>
      </w:r>
      <w:proofErr w:type="gramStart"/>
      <w:r>
        <w:t>sampling of behavior related to medium term satiety intrusion meal are</w:t>
      </w:r>
      <w:proofErr w:type="gramEnd"/>
      <w:r>
        <w:t xml:space="preserve"> listed in </w:t>
      </w:r>
      <w:r w:rsidR="001001EB">
        <w:rPr>
          <w:color w:val="FF0000"/>
        </w:rPr>
        <w:t>Table 22</w:t>
      </w:r>
      <w:r>
        <w:rPr>
          <w:color w:val="FF0000"/>
        </w:rPr>
        <w:t>.</w:t>
      </w:r>
    </w:p>
    <w:p w:rsidR="00A64285" w:rsidRDefault="00A64285" w:rsidP="00016A52"/>
    <w:p w:rsidR="003F58BC" w:rsidRDefault="00016A52" w:rsidP="003F58BC">
      <w:r>
        <w:t xml:space="preserve">There were no across group differences for </w:t>
      </w:r>
      <w:r w:rsidR="00A64285">
        <w:t xml:space="preserve">resting or </w:t>
      </w:r>
      <w:r>
        <w:t>sitting behaviors.  Resting behavior was more common one week into treatment than it was at baseline for ExP (</w:t>
      </w:r>
      <w:r>
        <w:rPr>
          <w:i/>
        </w:rPr>
        <w:t>p</w:t>
      </w:r>
      <w:r>
        <w:t xml:space="preserve"> = 0.0143).  End of study values for ExP did not differ from baseline or one week measurements.  </w:t>
      </w:r>
      <w:r w:rsidR="00A64285">
        <w:t xml:space="preserve">IBW dogs sat more frequently at baseline than they did at </w:t>
      </w:r>
      <w:r w:rsidR="003F58BC">
        <w:t>the end of treatment (</w:t>
      </w:r>
      <w:r w:rsidR="003F58BC">
        <w:rPr>
          <w:i/>
        </w:rPr>
        <w:t>p</w:t>
      </w:r>
      <w:r w:rsidR="003F58BC">
        <w:t xml:space="preserve"> = 0.0299), while one week values did not differ from either time point.  </w:t>
      </w:r>
      <w:r>
        <w:t xml:space="preserve">No other within group differences </w:t>
      </w:r>
      <w:proofErr w:type="gramStart"/>
      <w:r>
        <w:t>were</w:t>
      </w:r>
      <w:proofErr w:type="gramEnd"/>
      <w:r>
        <w:t xml:space="preserve"> noted.</w:t>
      </w:r>
    </w:p>
    <w:p w:rsidR="003F58BC" w:rsidRDefault="003F58BC" w:rsidP="003F58BC">
      <w:pPr>
        <w:pStyle w:val="Heading3"/>
      </w:pPr>
      <w:bookmarkStart w:id="152" w:name="_Toc376465814"/>
      <w:r>
        <w:t>Gut hormones and endocrine factors</w:t>
      </w:r>
      <w:bookmarkEnd w:id="152"/>
    </w:p>
    <w:p w:rsidR="003F58BC" w:rsidRPr="00333F3B" w:rsidRDefault="003F58BC" w:rsidP="003F58BC">
      <w:pPr>
        <w:rPr>
          <w:color w:val="FF0000"/>
        </w:rPr>
      </w:pPr>
      <w:r>
        <w:t xml:space="preserve">Data trends are shown by time point (baseline, one week, end of study) and time of sample (0, 120, 420 min after intrusion meal) in </w:t>
      </w:r>
      <w:r w:rsidR="000130BF">
        <w:rPr>
          <w:color w:val="FF0000"/>
        </w:rPr>
        <w:t>Figures 29 – 35</w:t>
      </w:r>
      <w:r>
        <w:rPr>
          <w:color w:val="FF0000"/>
        </w:rPr>
        <w:t xml:space="preserve">.  </w:t>
      </w:r>
      <w:r>
        <w:t xml:space="preserve">Comparisons of baseline and end of study 420 minute plasma levels are shown in </w:t>
      </w:r>
      <w:r w:rsidR="000130BF">
        <w:rPr>
          <w:color w:val="FF0000"/>
        </w:rPr>
        <w:t>Figures 36 – 38 and Tables 23 – 25</w:t>
      </w:r>
      <w:r>
        <w:rPr>
          <w:color w:val="FF0000"/>
        </w:rPr>
        <w:t>.</w:t>
      </w:r>
    </w:p>
    <w:p w:rsidR="003F58BC" w:rsidRDefault="003F58BC" w:rsidP="003F58BC"/>
    <w:p w:rsidR="008760C7" w:rsidRDefault="008760C7" w:rsidP="003F58BC">
      <w:r>
        <w:t>Blood samples could not be obtained from one dog in group IBW at baseline (time 0) and end of study (time 0, 120, 420) or from one dog in group ExN one week into treatment (time 420).</w:t>
      </w:r>
    </w:p>
    <w:p w:rsidR="008760C7" w:rsidRDefault="008760C7" w:rsidP="003F58BC"/>
    <w:p w:rsidR="003F58BC" w:rsidRDefault="003F58BC" w:rsidP="003F58BC">
      <w:r>
        <w:t>A large prop</w:t>
      </w:r>
      <w:r w:rsidR="008760C7">
        <w:t>ortion of GLP-1 results (111/314; 35.4</w:t>
      </w:r>
      <w:r>
        <w:t xml:space="preserve">%) were reported as &lt; 2.4 pg/ml.  For analysis, these values </w:t>
      </w:r>
      <w:r w:rsidR="00AB27F2">
        <w:t xml:space="preserve">were recorded </w:t>
      </w:r>
      <w:proofErr w:type="gramStart"/>
      <w:r w:rsidR="00AB27F2">
        <w:t>as 2.3 pg/ml</w:t>
      </w:r>
      <w:proofErr w:type="gramEnd"/>
      <w:r w:rsidR="00AB27F2">
        <w:t>.  Six</w:t>
      </w:r>
      <w:r>
        <w:t xml:space="preserve"> additional samples with results </w:t>
      </w:r>
      <w:proofErr w:type="gramStart"/>
      <w:r>
        <w:t>below 2.3 pg/ml</w:t>
      </w:r>
      <w:proofErr w:type="gramEnd"/>
      <w:r>
        <w:t xml:space="preserve"> we</w:t>
      </w:r>
      <w:r w:rsidR="00AB27F2">
        <w:t>re not adjusted.  Ghrelin had 6 (1.9</w:t>
      </w:r>
      <w:r>
        <w:t>%) samples reported as &lt;0.7 pg/ml and 0.6 pg/ml was used for analysis.</w:t>
      </w:r>
    </w:p>
    <w:p w:rsidR="003F58BC" w:rsidRDefault="003F58BC" w:rsidP="003F58BC"/>
    <w:p w:rsidR="00482CA0" w:rsidRDefault="00482CA0" w:rsidP="003F58BC">
      <w:r>
        <w:t xml:space="preserve">Across all groups, there was a point difference for GLP-1 (B vs. E, </w:t>
      </w:r>
      <w:r>
        <w:rPr>
          <w:i/>
        </w:rPr>
        <w:t>p</w:t>
      </w:r>
      <w:r>
        <w:t xml:space="preserve"> = 0.008), PYY (B vs. E, </w:t>
      </w:r>
      <w:r>
        <w:rPr>
          <w:i/>
        </w:rPr>
        <w:t>p</w:t>
      </w:r>
      <w:r>
        <w:t xml:space="preserve"> &lt; 0.0001; O vs. E, </w:t>
      </w:r>
      <w:r>
        <w:rPr>
          <w:i/>
        </w:rPr>
        <w:t>p</w:t>
      </w:r>
      <w:r>
        <w:t xml:space="preserve"> = 0.0045), insulin (B vs. E, </w:t>
      </w:r>
      <w:r>
        <w:rPr>
          <w:i/>
        </w:rPr>
        <w:t>p</w:t>
      </w:r>
      <w:r>
        <w:t xml:space="preserve"> = 0.0002; O vs. E, </w:t>
      </w:r>
      <w:r>
        <w:rPr>
          <w:i/>
        </w:rPr>
        <w:t>p</w:t>
      </w:r>
      <w:r>
        <w:t xml:space="preserve"> = 0.0009), glucose (B vs. E, </w:t>
      </w:r>
      <w:r>
        <w:rPr>
          <w:i/>
        </w:rPr>
        <w:t>p</w:t>
      </w:r>
      <w:r>
        <w:t xml:space="preserve"> = 0.0001; O vs. E, </w:t>
      </w:r>
      <w:r>
        <w:rPr>
          <w:i/>
        </w:rPr>
        <w:t>p</w:t>
      </w:r>
      <w:r>
        <w:t xml:space="preserve"> = 0.0015), and adiponectin (B vs. O, B vs. E </w:t>
      </w:r>
      <w:r>
        <w:rPr>
          <w:i/>
        </w:rPr>
        <w:t>p</w:t>
      </w:r>
      <w:r>
        <w:t xml:space="preserve"> &lt;0.0001; O vs. E, </w:t>
      </w:r>
      <w:r>
        <w:rPr>
          <w:i/>
        </w:rPr>
        <w:t>p</w:t>
      </w:r>
      <w:r>
        <w:t xml:space="preserve"> = 0.0076).  There was no point difference for leptin.  There was a time difference for GLP-1 (0 vs. 120, </w:t>
      </w:r>
      <w:r>
        <w:rPr>
          <w:i/>
        </w:rPr>
        <w:t>p</w:t>
      </w:r>
      <w:r>
        <w:t xml:space="preserve"> &lt; 0.0001; 120 vs. 420, </w:t>
      </w:r>
      <w:r>
        <w:rPr>
          <w:i/>
        </w:rPr>
        <w:t>p</w:t>
      </w:r>
      <w:r>
        <w:t xml:space="preserve"> &lt; 0.0001; 0 vs. 420, </w:t>
      </w:r>
      <w:r>
        <w:rPr>
          <w:i/>
        </w:rPr>
        <w:t>p</w:t>
      </w:r>
      <w:r>
        <w:t xml:space="preserve"> = 0.016), PYY (0 vs. 120 vs. 420, </w:t>
      </w:r>
      <w:r>
        <w:rPr>
          <w:i/>
        </w:rPr>
        <w:t>p</w:t>
      </w:r>
      <w:r>
        <w:t xml:space="preserve"> &lt; 0.0001), insulin (0 vs. 120; 120 vs. 420; </w:t>
      </w:r>
      <w:r>
        <w:rPr>
          <w:i/>
        </w:rPr>
        <w:t>p</w:t>
      </w:r>
      <w:r>
        <w:t xml:space="preserve"> &lt; 0.0001), glucose (0 vs. 120, </w:t>
      </w:r>
      <w:r>
        <w:rPr>
          <w:i/>
        </w:rPr>
        <w:t>p</w:t>
      </w:r>
      <w:r>
        <w:t xml:space="preserve"> = 0.0009; 0 vs. 420, </w:t>
      </w:r>
      <w:r>
        <w:rPr>
          <w:i/>
        </w:rPr>
        <w:t>p</w:t>
      </w:r>
      <w:r>
        <w:t xml:space="preserve"> = 0.0112), leptin (0 vs. 120 vs. 420, </w:t>
      </w:r>
      <w:r>
        <w:rPr>
          <w:i/>
        </w:rPr>
        <w:t>p</w:t>
      </w:r>
      <w:r>
        <w:t xml:space="preserve"> &lt; 0.0001), and adiponectin (0 vs. 120; 120 vs. 420, </w:t>
      </w:r>
      <w:r>
        <w:rPr>
          <w:i/>
        </w:rPr>
        <w:t>p</w:t>
      </w:r>
      <w:r>
        <w:t xml:space="preserve"> &lt; 0.0001).</w:t>
      </w:r>
    </w:p>
    <w:p w:rsidR="003F58BC" w:rsidRDefault="00482CA0" w:rsidP="003F58BC">
      <w:pPr>
        <w:pStyle w:val="Heading5"/>
      </w:pPr>
      <w:r>
        <w:t>Obesity p</w:t>
      </w:r>
      <w:r w:rsidR="003F58BC">
        <w:t>revention</w:t>
      </w:r>
      <w:r>
        <w:t xml:space="preserve"> groups; ExN, ExP</w:t>
      </w:r>
    </w:p>
    <w:p w:rsidR="003F58BC" w:rsidRPr="007571F0" w:rsidRDefault="003F58BC" w:rsidP="00876179">
      <w:r>
        <w:t xml:space="preserve">There was no group effect for ghrelin, GLP-1, PYY, insulin, and glucose.  There was a group difference for leptin </w:t>
      </w:r>
      <w:r w:rsidRPr="009C353B">
        <w:t>and</w:t>
      </w:r>
      <w:r>
        <w:t xml:space="preserve"> adiponectin (</w:t>
      </w:r>
      <w:r>
        <w:rPr>
          <w:i/>
        </w:rPr>
        <w:t>p</w:t>
      </w:r>
      <w:r>
        <w:t xml:space="preserve"> &lt; 0.0001).  When isolated for 420 minute samples, the only differences between groups for were seen with insulin (</w:t>
      </w:r>
      <w:r>
        <w:rPr>
          <w:i/>
        </w:rPr>
        <w:t>p</w:t>
      </w:r>
      <w:r>
        <w:t xml:space="preserve"> = 0.0018).  Within groups, ghrelin and GLP-1 were lower for ExP at </w:t>
      </w:r>
    </w:p>
    <w:p w:rsidR="003F58BC" w:rsidRDefault="003F58BC" w:rsidP="003F58BC">
      <w:pPr>
        <w:sectPr w:rsidR="003F58BC" w:rsidSect="00016A52">
          <w:pgSz w:w="12240" w:h="15840" w:code="1"/>
          <w:pgMar w:top="1440" w:right="1800" w:bottom="1872" w:left="1800" w:header="720" w:footer="1440" w:gutter="0"/>
          <w:cols w:space="720"/>
          <w:noEndnote/>
          <w:docGrid w:linePitch="360"/>
        </w:sectPr>
      </w:pPr>
    </w:p>
    <w:p w:rsidR="003E64BA" w:rsidRDefault="000130BF" w:rsidP="003E64BA">
      <w:pPr>
        <w:pStyle w:val="Caption"/>
      </w:pPr>
      <w:bookmarkStart w:id="153" w:name="_Toc376465885"/>
      <w:r w:rsidRPr="00C74D44">
        <w:rPr>
          <w:noProof/>
          <w:vertAlign w:val="superscript"/>
        </w:rPr>
        <mc:AlternateContent>
          <mc:Choice Requires="wps">
            <w:drawing>
              <wp:anchor distT="0" distB="0" distL="114300" distR="114300" simplePos="0" relativeHeight="251699200" behindDoc="0" locked="0" layoutInCell="1" allowOverlap="1" wp14:anchorId="474FC377" wp14:editId="5A0A8E29">
                <wp:simplePos x="0" y="0"/>
                <wp:positionH relativeFrom="column">
                  <wp:posOffset>5448300</wp:posOffset>
                </wp:positionH>
                <wp:positionV relativeFrom="paragraph">
                  <wp:posOffset>1701165</wp:posOffset>
                </wp:positionV>
                <wp:extent cx="2543175" cy="88900"/>
                <wp:effectExtent l="0" t="0" r="9525" b="6350"/>
                <wp:wrapNone/>
                <wp:docPr id="18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88900"/>
                        </a:xfrm>
                        <a:prstGeom prst="rect">
                          <a:avLst/>
                        </a:prstGeom>
                        <a:solidFill>
                          <a:srgbClr val="FFFFFF"/>
                        </a:solidFill>
                        <a:ln w="9525">
                          <a:noFill/>
                          <a:miter lim="800000"/>
                          <a:headEnd/>
                          <a:tailEnd/>
                        </a:ln>
                      </wps:spPr>
                      <wps:txbx>
                        <w:txbxContent>
                          <w:p w:rsidR="007F0498" w:rsidRPr="002D19BB" w:rsidRDefault="007F0498" w:rsidP="003E64BA">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29pt;margin-top:133.95pt;width:200.25pt;height: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" stroked="f">
                <v:textbox inset="0,0,0,0">
                  <w:txbxContent>
                    <w:p w:rsidR="007F0498" w:rsidRPr="002D19BB" w:rsidRDefault="007F0498" w:rsidP="003E64BA">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v:textbox>
              </v:shape>
            </w:pict>
          </mc:Fallback>
        </mc:AlternateContent>
      </w:r>
      <w:r w:rsidRPr="00C74D44">
        <w:rPr>
          <w:noProof/>
          <w:vertAlign w:val="superscript"/>
        </w:rPr>
        <mc:AlternateContent>
          <mc:Choice Requires="wps">
            <w:drawing>
              <wp:anchor distT="0" distB="0" distL="114300" distR="114300" simplePos="0" relativeHeight="251698176" behindDoc="0" locked="0" layoutInCell="1" allowOverlap="1" wp14:anchorId="61FCA43E" wp14:editId="3435C733">
                <wp:simplePos x="0" y="0"/>
                <wp:positionH relativeFrom="column">
                  <wp:posOffset>2780030</wp:posOffset>
                </wp:positionH>
                <wp:positionV relativeFrom="paragraph">
                  <wp:posOffset>1710690</wp:posOffset>
                </wp:positionV>
                <wp:extent cx="2543175" cy="88900"/>
                <wp:effectExtent l="0" t="0" r="9525" b="6350"/>
                <wp:wrapNone/>
                <wp:docPr id="18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88900"/>
                        </a:xfrm>
                        <a:prstGeom prst="rect">
                          <a:avLst/>
                        </a:prstGeom>
                        <a:solidFill>
                          <a:srgbClr val="FFFFFF"/>
                        </a:solidFill>
                        <a:ln w="9525">
                          <a:noFill/>
                          <a:miter lim="800000"/>
                          <a:headEnd/>
                          <a:tailEnd/>
                        </a:ln>
                      </wps:spPr>
                      <wps:txbx>
                        <w:txbxContent>
                          <w:p w:rsidR="007F0498" w:rsidRPr="002D19BB" w:rsidRDefault="007F0498" w:rsidP="003E64BA">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18.9pt;margin-top:134.7pt;width:200.25pt;height: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" stroked="f">
                <v:textbox inset="0,0,0,0">
                  <w:txbxContent>
                    <w:p w:rsidR="007F0498" w:rsidRPr="002D19BB" w:rsidRDefault="007F0498" w:rsidP="003E64BA">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v:textbox>
              </v:shape>
            </w:pict>
          </mc:Fallback>
        </mc:AlternateContent>
      </w:r>
      <w:r w:rsidR="003E64BA" w:rsidRPr="00C74D44">
        <w:rPr>
          <w:noProof/>
          <w:vertAlign w:val="superscript"/>
        </w:rPr>
        <mc:AlternateContent>
          <mc:Choice Requires="wps">
            <w:drawing>
              <wp:anchor distT="0" distB="0" distL="114300" distR="114300" simplePos="0" relativeHeight="251697152" behindDoc="0" locked="0" layoutInCell="1" allowOverlap="1" wp14:anchorId="0E27BFDB" wp14:editId="25F7DD3F">
                <wp:simplePos x="0" y="0"/>
                <wp:positionH relativeFrom="column">
                  <wp:posOffset>128905</wp:posOffset>
                </wp:positionH>
                <wp:positionV relativeFrom="paragraph">
                  <wp:posOffset>1710690</wp:posOffset>
                </wp:positionV>
                <wp:extent cx="2543175" cy="88900"/>
                <wp:effectExtent l="0" t="0" r="9525" b="6350"/>
                <wp:wrapNone/>
                <wp:docPr id="18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88900"/>
                        </a:xfrm>
                        <a:prstGeom prst="rect">
                          <a:avLst/>
                        </a:prstGeom>
                        <a:solidFill>
                          <a:srgbClr val="FFFFFF"/>
                        </a:solidFill>
                        <a:ln w="9525">
                          <a:noFill/>
                          <a:miter lim="800000"/>
                          <a:headEnd/>
                          <a:tailEnd/>
                        </a:ln>
                      </wps:spPr>
                      <wps:txbx>
                        <w:txbxContent>
                          <w:p w:rsidR="007F0498" w:rsidRPr="002D19BB" w:rsidRDefault="007F0498" w:rsidP="003E64BA">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0.15pt;margin-top:134.7pt;width:200.25pt;height: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" stroked="f">
                <v:textbox inset="0,0,0,0">
                  <w:txbxContent>
                    <w:p w:rsidR="007F0498" w:rsidRPr="002D19BB" w:rsidRDefault="007F0498" w:rsidP="003E64BA">
                      <w:pPr>
                        <w:rPr>
                          <w:sz w:val="12"/>
                          <w:szCs w:val="12"/>
                        </w:rPr>
                      </w:pPr>
                      <w:r w:rsidRPr="002D19BB">
                        <w:rPr>
                          <w:sz w:val="12"/>
                          <w:szCs w:val="12"/>
                        </w:rPr>
                        <w:t xml:space="preserve">        </w:t>
                      </w:r>
                      <w:r>
                        <w:rPr>
                          <w:sz w:val="12"/>
                          <w:szCs w:val="12"/>
                        </w:rPr>
                        <w:t xml:space="preserve">     </w:t>
                      </w:r>
                      <w:r w:rsidRPr="002D19BB">
                        <w:rPr>
                          <w:sz w:val="12"/>
                          <w:szCs w:val="12"/>
                        </w:rPr>
                        <w:t>ObN</w:t>
                      </w:r>
                      <w:r w:rsidRPr="002D19BB">
                        <w:rPr>
                          <w:sz w:val="12"/>
                          <w:szCs w:val="12"/>
                        </w:rPr>
                        <w:tab/>
                        <w:t xml:space="preserve">    </w:t>
                      </w:r>
                      <w:r>
                        <w:rPr>
                          <w:sz w:val="12"/>
                          <w:szCs w:val="12"/>
                        </w:rPr>
                        <w:t xml:space="preserve"> </w:t>
                      </w:r>
                      <w:r w:rsidRPr="002D19BB">
                        <w:rPr>
                          <w:sz w:val="12"/>
                          <w:szCs w:val="12"/>
                        </w:rPr>
                        <w:t xml:space="preserve">      ObP</w:t>
                      </w:r>
                      <w:r>
                        <w:rPr>
                          <w:sz w:val="12"/>
                          <w:szCs w:val="12"/>
                        </w:rPr>
                        <w:t xml:space="preserve"> </w:t>
                      </w:r>
                      <w:r w:rsidRPr="002D19BB">
                        <w:rPr>
                          <w:sz w:val="12"/>
                          <w:szCs w:val="12"/>
                        </w:rPr>
                        <w:t xml:space="preserve">         WLD</w:t>
                      </w:r>
                      <w:r w:rsidRPr="002D19BB">
                        <w:rPr>
                          <w:sz w:val="12"/>
                          <w:szCs w:val="12"/>
                        </w:rPr>
                        <w:tab/>
                      </w:r>
                      <w:r>
                        <w:rPr>
                          <w:sz w:val="12"/>
                          <w:szCs w:val="12"/>
                        </w:rPr>
                        <w:t xml:space="preserve"> </w:t>
                      </w:r>
                      <w:r w:rsidRPr="002D19BB">
                        <w:rPr>
                          <w:sz w:val="12"/>
                          <w:szCs w:val="12"/>
                        </w:rPr>
                        <w:t xml:space="preserve">   </w:t>
                      </w:r>
                      <w:r>
                        <w:rPr>
                          <w:sz w:val="12"/>
                          <w:szCs w:val="12"/>
                        </w:rPr>
                        <w:t>ExN           ExP            I</w:t>
                      </w:r>
                      <w:r w:rsidRPr="002D19BB">
                        <w:rPr>
                          <w:sz w:val="12"/>
                          <w:szCs w:val="12"/>
                        </w:rPr>
                        <w:t>BW</w:t>
                      </w:r>
                    </w:p>
                  </w:txbxContent>
                </v:textbox>
              </v:shape>
            </w:pict>
          </mc:Fallback>
        </mc:AlternateContent>
      </w:r>
      <w:r w:rsidR="003E64BA">
        <w:rPr>
          <w:noProof/>
        </w:rPr>
        <w:drawing>
          <wp:anchor distT="0" distB="0" distL="114300" distR="114300" simplePos="0" relativeHeight="251694080" behindDoc="1" locked="0" layoutInCell="1" allowOverlap="1" wp14:anchorId="30EF8591" wp14:editId="6FE3D0AF">
            <wp:simplePos x="0" y="0"/>
            <wp:positionH relativeFrom="column">
              <wp:posOffset>5326380</wp:posOffset>
            </wp:positionH>
            <wp:positionV relativeFrom="paragraph">
              <wp:posOffset>0</wp:posOffset>
            </wp:positionV>
            <wp:extent cx="2667000" cy="2019300"/>
            <wp:effectExtent l="0" t="0" r="0" b="0"/>
            <wp:wrapTight wrapText="bothSides">
              <wp:wrapPolygon edited="0">
                <wp:start x="0" y="0"/>
                <wp:lineTo x="0" y="21396"/>
                <wp:lineTo x="21446" y="21396"/>
                <wp:lineTo x="21446" y="0"/>
                <wp:lineTo x="0" y="0"/>
              </wp:wrapPolygon>
            </wp:wrapTight>
            <wp:docPr id="18456" name="Picture 18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extLst>
                        <a:ext uri="{28A0092B-C50C-407E-A947-70E740481C1C}">
                          <a14:useLocalDpi xmlns:a14="http://schemas.microsoft.com/office/drawing/2010/main" val="0"/>
                        </a:ext>
                      </a:extLst>
                    </a:blip>
                    <a:srcRect l="18749" t="15555" r="16435" b="5926"/>
                    <a:stretch/>
                  </pic:blipFill>
                  <pic:spPr bwMode="auto">
                    <a:xfrm>
                      <a:off x="0" y="0"/>
                      <a:ext cx="2667000" cy="2019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64BA">
        <w:rPr>
          <w:noProof/>
        </w:rPr>
        <w:drawing>
          <wp:anchor distT="0" distB="0" distL="114300" distR="114300" simplePos="0" relativeHeight="251695104" behindDoc="1" locked="0" layoutInCell="1" allowOverlap="1" wp14:anchorId="11C9AE95" wp14:editId="013B37EA">
            <wp:simplePos x="0" y="0"/>
            <wp:positionH relativeFrom="column">
              <wp:posOffset>2663190</wp:posOffset>
            </wp:positionH>
            <wp:positionV relativeFrom="paragraph">
              <wp:posOffset>0</wp:posOffset>
            </wp:positionV>
            <wp:extent cx="2692400" cy="2019300"/>
            <wp:effectExtent l="0" t="0" r="0" b="0"/>
            <wp:wrapTight wrapText="bothSides">
              <wp:wrapPolygon edited="0">
                <wp:start x="0" y="0"/>
                <wp:lineTo x="0" y="21396"/>
                <wp:lineTo x="21396" y="21396"/>
                <wp:lineTo x="21396" y="0"/>
                <wp:lineTo x="0" y="0"/>
              </wp:wrapPolygon>
            </wp:wrapTight>
            <wp:docPr id="18457" name="Picture 18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cstate="print">
                      <a:extLst>
                        <a:ext uri="{28A0092B-C50C-407E-A947-70E740481C1C}">
                          <a14:useLocalDpi xmlns:a14="http://schemas.microsoft.com/office/drawing/2010/main" val="0"/>
                        </a:ext>
                      </a:extLst>
                    </a:blip>
                    <a:srcRect l="18749" t="16296" r="16435" b="5926"/>
                    <a:stretch/>
                  </pic:blipFill>
                  <pic:spPr bwMode="auto">
                    <a:xfrm>
                      <a:off x="0" y="0"/>
                      <a:ext cx="2692400" cy="2019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64BA">
        <w:rPr>
          <w:noProof/>
        </w:rPr>
        <w:drawing>
          <wp:anchor distT="0" distB="0" distL="114300" distR="114300" simplePos="0" relativeHeight="251696128" behindDoc="1" locked="0" layoutInCell="1" allowOverlap="1" wp14:anchorId="57DCBECF" wp14:editId="4A90EAE2">
            <wp:simplePos x="0" y="0"/>
            <wp:positionH relativeFrom="column">
              <wp:posOffset>5080</wp:posOffset>
            </wp:positionH>
            <wp:positionV relativeFrom="paragraph">
              <wp:posOffset>0</wp:posOffset>
            </wp:positionV>
            <wp:extent cx="2692400" cy="2023745"/>
            <wp:effectExtent l="0" t="0" r="0" b="0"/>
            <wp:wrapTight wrapText="bothSides">
              <wp:wrapPolygon edited="0">
                <wp:start x="0" y="0"/>
                <wp:lineTo x="0" y="21349"/>
                <wp:lineTo x="21396" y="21349"/>
                <wp:lineTo x="21396" y="0"/>
                <wp:lineTo x="0" y="0"/>
              </wp:wrapPolygon>
            </wp:wrapTight>
            <wp:docPr id="18462" name="Picture 18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cstate="print">
                      <a:extLst>
                        <a:ext uri="{28A0092B-C50C-407E-A947-70E740481C1C}">
                          <a14:useLocalDpi xmlns:a14="http://schemas.microsoft.com/office/drawing/2010/main" val="0"/>
                        </a:ext>
                      </a:extLst>
                    </a:blip>
                    <a:srcRect l="18750" t="16296" r="16898" b="6296"/>
                    <a:stretch/>
                  </pic:blipFill>
                  <pic:spPr bwMode="auto">
                    <a:xfrm>
                      <a:off x="0" y="0"/>
                      <a:ext cx="2692400" cy="2023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64BA">
        <w:t xml:space="preserve">Figure </w:t>
      </w:r>
      <w:fldSimple w:instr=" SEQ Figure \* ARABIC ">
        <w:r w:rsidR="00B508DC">
          <w:rPr>
            <w:noProof/>
          </w:rPr>
          <w:t>25</w:t>
        </w:r>
      </w:fldSimple>
      <w:r w:rsidR="003E64BA">
        <w:t xml:space="preserve"> Cage position by group one week into treatment.</w:t>
      </w:r>
      <w:bookmarkEnd w:id="153"/>
    </w:p>
    <w:p w:rsidR="003E64BA" w:rsidRDefault="003E64BA" w:rsidP="003E64BA">
      <w:r>
        <w:t>B, baseline; O, one week; E, end of treatment; ObN, obese nutraceutical group; ObP, obese placebo group; WLD, weight loss diet group; ExN, excess calories nutraceutical group; ExP, excess calories placebo group; IBW, ideal body weight group.</w:t>
      </w:r>
    </w:p>
    <w:p w:rsidR="003E64BA" w:rsidRDefault="003E64BA" w:rsidP="00016A52">
      <w:pPr>
        <w:pStyle w:val="Heading3"/>
        <w:sectPr w:rsidR="003E64BA" w:rsidSect="003E64BA">
          <w:pgSz w:w="15840" w:h="12240" w:orient="landscape" w:code="1"/>
          <w:pgMar w:top="1800" w:right="1440" w:bottom="1800" w:left="1872" w:header="720" w:footer="1440" w:gutter="0"/>
          <w:cols w:space="720"/>
          <w:noEndnote/>
          <w:docGrid w:linePitch="360"/>
        </w:sectPr>
      </w:pPr>
    </w:p>
    <w:p w:rsidR="001001EB" w:rsidRDefault="001001EB" w:rsidP="001001EB">
      <w:pPr>
        <w:pStyle w:val="Caption"/>
      </w:pPr>
      <w:bookmarkStart w:id="154" w:name="_Toc376465844"/>
      <w:r>
        <w:t xml:space="preserve">Table </w:t>
      </w:r>
      <w:fldSimple w:instr=" SEQ Table \* ARABIC ">
        <w:r w:rsidR="00736DB0">
          <w:rPr>
            <w:noProof/>
          </w:rPr>
          <w:t>22</w:t>
        </w:r>
      </w:fldSimple>
      <w:r>
        <w:t xml:space="preserve"> Selected instantaneous sampling of behavior related to medium term satiety intrusion meal.</w:t>
      </w:r>
      <w:bookmarkEnd w:id="154"/>
    </w:p>
    <w:tbl>
      <w:tblPr>
        <w:tblStyle w:val="TableClassic1"/>
        <w:tblW w:w="5000" w:type="pct"/>
        <w:tblLook w:val="04A0" w:firstRow="1" w:lastRow="0" w:firstColumn="1" w:lastColumn="0" w:noHBand="0" w:noVBand="1"/>
      </w:tblPr>
      <w:tblGrid>
        <w:gridCol w:w="2908"/>
        <w:gridCol w:w="1872"/>
        <w:gridCol w:w="2037"/>
        <w:gridCol w:w="2039"/>
      </w:tblGrid>
      <w:tr w:rsidR="001001EB" w:rsidTr="00F55F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r>
              <w:t>Group</w:t>
            </w:r>
          </w:p>
        </w:tc>
        <w:tc>
          <w:tcPr>
            <w:tcW w:w="1057" w:type="pct"/>
          </w:tcPr>
          <w:p w:rsidR="001001EB" w:rsidRDefault="001001EB" w:rsidP="00F55FEE">
            <w:pPr>
              <w:cnfStyle w:val="100000000000" w:firstRow="1" w:lastRow="0" w:firstColumn="0" w:lastColumn="0" w:oddVBand="0" w:evenVBand="0" w:oddHBand="0" w:evenHBand="0" w:firstRowFirstColumn="0" w:firstRowLastColumn="0" w:lastRowFirstColumn="0" w:lastRowLastColumn="0"/>
            </w:pPr>
            <w:r>
              <w:t>Baseline</w:t>
            </w:r>
          </w:p>
        </w:tc>
        <w:tc>
          <w:tcPr>
            <w:tcW w:w="1150" w:type="pct"/>
          </w:tcPr>
          <w:p w:rsidR="001001EB" w:rsidRDefault="001001EB" w:rsidP="00F55FEE">
            <w:pPr>
              <w:cnfStyle w:val="100000000000" w:firstRow="1" w:lastRow="0" w:firstColumn="0" w:lastColumn="0" w:oddVBand="0" w:evenVBand="0" w:oddHBand="0" w:evenHBand="0" w:firstRowFirstColumn="0" w:firstRowLastColumn="0" w:lastRowFirstColumn="0" w:lastRowLastColumn="0"/>
            </w:pPr>
            <w:r>
              <w:t>One week</w:t>
            </w:r>
          </w:p>
        </w:tc>
        <w:tc>
          <w:tcPr>
            <w:tcW w:w="1150" w:type="pct"/>
          </w:tcPr>
          <w:p w:rsidR="001001EB" w:rsidRDefault="001001EB" w:rsidP="00F55FEE">
            <w:pPr>
              <w:cnfStyle w:val="100000000000" w:firstRow="1" w:lastRow="0" w:firstColumn="0" w:lastColumn="0" w:oddVBand="0" w:evenVBand="0" w:oddHBand="0" w:evenHBand="0" w:firstRowFirstColumn="0" w:firstRowLastColumn="0" w:lastRowFirstColumn="0" w:lastRowLastColumn="0"/>
            </w:pPr>
            <w:r>
              <w:t>End of study</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r>
              <w:t>Head in bowl/eating</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Pr="004B21AC" w:rsidRDefault="001001EB" w:rsidP="00F55FEE">
            <w:pPr>
              <w:jc w:val="center"/>
              <w:rPr>
                <w:vertAlign w:val="superscript"/>
              </w:rPr>
            </w:pPr>
            <w:r>
              <w:t>ExN</w:t>
            </w:r>
            <w:r>
              <w:rPr>
                <w:vertAlign w:val="superscript"/>
              </w:rPr>
              <w:t>*</w:t>
            </w:r>
          </w:p>
        </w:tc>
        <w:tc>
          <w:tcPr>
            <w:tcW w:w="1057" w:type="pct"/>
          </w:tcPr>
          <w:p w:rsidR="001001EB" w:rsidRPr="004B0F00"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4.5 </w:t>
            </w:r>
            <w:r w:rsidRPr="000863B6">
              <w:t>±</w:t>
            </w:r>
            <w:r>
              <w:t xml:space="preserve"> 3.4</w:t>
            </w:r>
            <w:r>
              <w:rPr>
                <w:vertAlign w:val="superscript"/>
              </w:rPr>
              <w:t>a,#</w:t>
            </w:r>
          </w:p>
        </w:tc>
        <w:tc>
          <w:tcPr>
            <w:tcW w:w="1150" w:type="pct"/>
          </w:tcPr>
          <w:p w:rsidR="001001EB" w:rsidRPr="004B0F00"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1.3 </w:t>
            </w:r>
            <w:r w:rsidRPr="000863B6">
              <w:t>±</w:t>
            </w:r>
            <w:r>
              <w:t xml:space="preserve"> 1.2</w:t>
            </w:r>
            <w:r>
              <w:rPr>
                <w:vertAlign w:val="superscript"/>
              </w:rPr>
              <w:t>a,#</w:t>
            </w:r>
          </w:p>
        </w:tc>
        <w:tc>
          <w:tcPr>
            <w:tcW w:w="1150" w:type="pct"/>
          </w:tcPr>
          <w:p w:rsidR="001001EB" w:rsidRPr="004B0F00"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1.7 </w:t>
            </w:r>
            <w:r w:rsidRPr="000863B6">
              <w:t>±</w:t>
            </w:r>
            <w:r>
              <w:t xml:space="preserve"> 1.4</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Pr="004B21AC" w:rsidRDefault="001001EB" w:rsidP="00F55FEE">
            <w:pPr>
              <w:jc w:val="center"/>
              <w:rPr>
                <w:vertAlign w:val="superscript"/>
              </w:rPr>
            </w:pPr>
            <w:r>
              <w:t>ExP</w:t>
            </w:r>
            <w:r>
              <w:rPr>
                <w:vertAlign w:val="superscript"/>
              </w:rPr>
              <w:t>*</w:t>
            </w:r>
          </w:p>
        </w:tc>
        <w:tc>
          <w:tcPr>
            <w:tcW w:w="1057" w:type="pct"/>
          </w:tcPr>
          <w:p w:rsidR="001001EB" w:rsidRPr="004B0F00"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3.5 </w:t>
            </w:r>
            <w:r w:rsidRPr="000863B6">
              <w:t>±</w:t>
            </w:r>
            <w:r>
              <w:t xml:space="preserve"> 2.1</w:t>
            </w:r>
            <w:r>
              <w:rPr>
                <w:vertAlign w:val="superscript"/>
              </w:rPr>
              <w:t>a,#</w:t>
            </w:r>
          </w:p>
        </w:tc>
        <w:tc>
          <w:tcPr>
            <w:tcW w:w="1150" w:type="pct"/>
          </w:tcPr>
          <w:p w:rsidR="001001EB" w:rsidRPr="004B0F00"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2.8 </w:t>
            </w:r>
            <w:r w:rsidRPr="000863B6">
              <w:t>±</w:t>
            </w:r>
            <w:r>
              <w:t xml:space="preserve"> 1.9</w:t>
            </w:r>
            <w:r>
              <w:rPr>
                <w:vertAlign w:val="superscript"/>
              </w:rPr>
              <w:t>a,#</w:t>
            </w:r>
          </w:p>
        </w:tc>
        <w:tc>
          <w:tcPr>
            <w:tcW w:w="1150" w:type="pct"/>
          </w:tcPr>
          <w:p w:rsidR="001001EB" w:rsidRPr="004B0F00"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3.2 </w:t>
            </w:r>
            <w:r w:rsidRPr="000863B6">
              <w:t>±</w:t>
            </w:r>
            <w:r>
              <w:t xml:space="preserve"> 1.6</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Pr="004B21AC" w:rsidRDefault="001001EB" w:rsidP="00F55FEE">
            <w:pPr>
              <w:jc w:val="center"/>
              <w:rPr>
                <w:vertAlign w:val="superscript"/>
              </w:rPr>
            </w:pPr>
            <w:r>
              <w:t>IBW</w:t>
            </w:r>
            <w:r>
              <w:rPr>
                <w:vertAlign w:val="superscript"/>
              </w:rPr>
              <w:t>*</w:t>
            </w:r>
          </w:p>
        </w:tc>
        <w:tc>
          <w:tcPr>
            <w:tcW w:w="1057" w:type="pct"/>
          </w:tcPr>
          <w:p w:rsidR="001001EB" w:rsidRPr="004B0F00"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2.8 </w:t>
            </w:r>
            <w:r w:rsidRPr="000863B6">
              <w:t>±</w:t>
            </w:r>
            <w:r>
              <w:t xml:space="preserve"> 1.6</w:t>
            </w:r>
            <w:r>
              <w:rPr>
                <w:vertAlign w:val="superscript"/>
              </w:rPr>
              <w:t>a,#</w:t>
            </w:r>
          </w:p>
        </w:tc>
        <w:tc>
          <w:tcPr>
            <w:tcW w:w="1150" w:type="pct"/>
          </w:tcPr>
          <w:p w:rsidR="001001EB" w:rsidRPr="004B0F00"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3.7 </w:t>
            </w:r>
            <w:r w:rsidRPr="000863B6">
              <w:t>±</w:t>
            </w:r>
            <w:r>
              <w:t xml:space="preserve"> 1.0</w:t>
            </w:r>
            <w:r>
              <w:rPr>
                <w:vertAlign w:val="superscript"/>
              </w:rPr>
              <w:t>a,#</w:t>
            </w:r>
          </w:p>
        </w:tc>
        <w:tc>
          <w:tcPr>
            <w:tcW w:w="1150" w:type="pct"/>
          </w:tcPr>
          <w:p w:rsidR="001001EB" w:rsidRPr="004B0F00"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4.0 </w:t>
            </w:r>
            <w:r w:rsidRPr="000863B6">
              <w:t>±</w:t>
            </w:r>
            <w:r>
              <w:t xml:space="preserve"> 1.5</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Pr="001D73C7" w:rsidRDefault="001001EB" w:rsidP="00F55FEE">
            <w:r>
              <w:t>Vocalizing</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ExN</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0 </w:t>
            </w:r>
            <w:r w:rsidRPr="000863B6">
              <w:t>±</w:t>
            </w:r>
            <w:r>
              <w:t xml:space="preserve"> 0</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0.2 </w:t>
            </w:r>
            <w:r w:rsidRPr="000863B6">
              <w:t>±</w:t>
            </w:r>
            <w:r>
              <w:t xml:space="preserve"> 0.4</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0 </w:t>
            </w:r>
            <w:r w:rsidRPr="000863B6">
              <w:t>±</w:t>
            </w:r>
            <w:r>
              <w:t xml:space="preserve"> 0</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ExP</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0.5 </w:t>
            </w:r>
            <w:r w:rsidRPr="000863B6">
              <w:t>±</w:t>
            </w:r>
            <w:r>
              <w:t xml:space="preserve"> 1.2</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0.2 </w:t>
            </w:r>
            <w:r w:rsidRPr="000863B6">
              <w:t>±</w:t>
            </w:r>
            <w:r>
              <w:t xml:space="preserve"> 0.4</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0 </w:t>
            </w:r>
            <w:r w:rsidRPr="000863B6">
              <w:t>±</w:t>
            </w:r>
            <w:r>
              <w:t xml:space="preserve"> 0</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IBW</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2.0 </w:t>
            </w:r>
            <w:r w:rsidRPr="000863B6">
              <w:t>±</w:t>
            </w:r>
            <w:r>
              <w:t xml:space="preserve"> 2.1</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2.0 </w:t>
            </w:r>
            <w:r w:rsidRPr="000863B6">
              <w:t>±</w:t>
            </w:r>
            <w:r>
              <w:t xml:space="preserve"> 2.5</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1.7 </w:t>
            </w:r>
            <w:r w:rsidRPr="000863B6">
              <w:t>±</w:t>
            </w:r>
            <w:r>
              <w:t xml:space="preserve"> 3.6</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r>
              <w:t>Resting, head down</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ExN</w:t>
            </w:r>
          </w:p>
        </w:tc>
        <w:tc>
          <w:tcPr>
            <w:tcW w:w="1057" w:type="pct"/>
          </w:tcPr>
          <w:p w:rsidR="001001EB" w:rsidRPr="002373C9"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7.7 </w:t>
            </w:r>
            <w:r w:rsidRPr="000863B6">
              <w:t>±</w:t>
            </w:r>
            <w:r>
              <w:t xml:space="preserve"> 6.4</w:t>
            </w:r>
            <w:r>
              <w:rPr>
                <w:vertAlign w:val="superscript"/>
              </w:rPr>
              <w:t>a,#</w:t>
            </w:r>
          </w:p>
        </w:tc>
        <w:tc>
          <w:tcPr>
            <w:tcW w:w="1150" w:type="pct"/>
          </w:tcPr>
          <w:p w:rsidR="001001EB" w:rsidRPr="00621CBB"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13.3 </w:t>
            </w:r>
            <w:r w:rsidRPr="000863B6">
              <w:t>±</w:t>
            </w:r>
            <w:r>
              <w:t xml:space="preserve"> 5.4</w:t>
            </w:r>
            <w:r>
              <w:rPr>
                <w:vertAlign w:val="superscript"/>
              </w:rPr>
              <w:t>a,#</w:t>
            </w:r>
          </w:p>
        </w:tc>
        <w:tc>
          <w:tcPr>
            <w:tcW w:w="1150" w:type="pct"/>
          </w:tcPr>
          <w:p w:rsidR="001001EB" w:rsidRPr="00621CBB"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14.7 </w:t>
            </w:r>
            <w:r w:rsidRPr="000863B6">
              <w:t>±</w:t>
            </w:r>
            <w:r>
              <w:t xml:space="preserve"> 5.5</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ExP</w:t>
            </w:r>
          </w:p>
        </w:tc>
        <w:tc>
          <w:tcPr>
            <w:tcW w:w="1057" w:type="pct"/>
          </w:tcPr>
          <w:p w:rsidR="001001EB" w:rsidRPr="002373C9"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1.8 </w:t>
            </w:r>
            <w:r w:rsidRPr="000863B6">
              <w:t>±</w:t>
            </w:r>
            <w:r>
              <w:t xml:space="preserve"> 2.8</w:t>
            </w:r>
            <w:r>
              <w:rPr>
                <w:vertAlign w:val="superscript"/>
              </w:rPr>
              <w:t>a,#</w:t>
            </w:r>
          </w:p>
        </w:tc>
        <w:tc>
          <w:tcPr>
            <w:tcW w:w="1150" w:type="pct"/>
          </w:tcPr>
          <w:p w:rsidR="001001EB" w:rsidRPr="00621CBB"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10.5 </w:t>
            </w:r>
            <w:r w:rsidRPr="000863B6">
              <w:t>±</w:t>
            </w:r>
            <w:r>
              <w:t xml:space="preserve"> 6.1</w:t>
            </w:r>
            <w:r>
              <w:rPr>
                <w:vertAlign w:val="superscript"/>
              </w:rPr>
              <w:t>a,b,$</w:t>
            </w:r>
          </w:p>
        </w:tc>
        <w:tc>
          <w:tcPr>
            <w:tcW w:w="1150" w:type="pct"/>
          </w:tcPr>
          <w:p w:rsidR="001001EB" w:rsidRPr="00621CBB"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9.0 </w:t>
            </w:r>
            <w:r w:rsidRPr="000863B6">
              <w:t>±</w:t>
            </w:r>
            <w:r>
              <w:t xml:space="preserve"> 6.5</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IBW</w:t>
            </w:r>
          </w:p>
        </w:tc>
        <w:tc>
          <w:tcPr>
            <w:tcW w:w="1057" w:type="pct"/>
          </w:tcPr>
          <w:p w:rsidR="001001EB" w:rsidRPr="002373C9"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4.2 </w:t>
            </w:r>
            <w:r w:rsidRPr="000863B6">
              <w:t>±</w:t>
            </w:r>
            <w:r>
              <w:t xml:space="preserve"> 3.7</w:t>
            </w:r>
            <w:r>
              <w:rPr>
                <w:vertAlign w:val="superscript"/>
              </w:rPr>
              <w:t>a,#</w:t>
            </w:r>
          </w:p>
        </w:tc>
        <w:tc>
          <w:tcPr>
            <w:tcW w:w="1150" w:type="pct"/>
          </w:tcPr>
          <w:p w:rsidR="001001EB" w:rsidRPr="00621CBB"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5.3 </w:t>
            </w:r>
            <w:r w:rsidRPr="000863B6">
              <w:t>±</w:t>
            </w:r>
            <w:r>
              <w:t xml:space="preserve"> 5.9</w:t>
            </w:r>
            <w:r>
              <w:rPr>
                <w:vertAlign w:val="superscript"/>
              </w:rPr>
              <w:t>b,#</w:t>
            </w:r>
          </w:p>
        </w:tc>
        <w:tc>
          <w:tcPr>
            <w:tcW w:w="1150" w:type="pct"/>
          </w:tcPr>
          <w:p w:rsidR="001001EB" w:rsidRPr="00621CBB"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7.8 </w:t>
            </w:r>
            <w:r w:rsidRPr="000863B6">
              <w:t>±</w:t>
            </w:r>
            <w:r>
              <w:t xml:space="preserve"> 5.7</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Pr="001D73C7" w:rsidRDefault="001001EB" w:rsidP="00F55FEE">
            <w:r>
              <w:t>Lying, head up</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ExN</w:t>
            </w:r>
          </w:p>
        </w:tc>
        <w:tc>
          <w:tcPr>
            <w:tcW w:w="1057" w:type="pct"/>
          </w:tcPr>
          <w:p w:rsidR="001001EB" w:rsidRPr="00621CBB"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4.3 </w:t>
            </w:r>
            <w:r w:rsidRPr="000863B6">
              <w:t>±</w:t>
            </w:r>
            <w:r>
              <w:t xml:space="preserve"> 2.7</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2.3 </w:t>
            </w:r>
            <w:r w:rsidRPr="000863B6">
              <w:t>±</w:t>
            </w:r>
            <w:r>
              <w:t xml:space="preserve"> 0.8</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5.2 </w:t>
            </w:r>
            <w:r w:rsidRPr="000863B6">
              <w:t>±</w:t>
            </w:r>
            <w:r>
              <w:t xml:space="preserve"> 5.9</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ExP</w:t>
            </w:r>
          </w:p>
        </w:tc>
        <w:tc>
          <w:tcPr>
            <w:tcW w:w="1057" w:type="pct"/>
          </w:tcPr>
          <w:p w:rsidR="001001EB" w:rsidRPr="00621CBB"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3.2 </w:t>
            </w:r>
            <w:r w:rsidRPr="000863B6">
              <w:t>±</w:t>
            </w:r>
            <w:r>
              <w:t xml:space="preserve"> 2.1</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2.7 </w:t>
            </w:r>
            <w:r w:rsidRPr="000863B6">
              <w:t>±</w:t>
            </w:r>
            <w:r>
              <w:t xml:space="preserve"> 2.7</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3.5 </w:t>
            </w:r>
            <w:r w:rsidRPr="000863B6">
              <w:t>±</w:t>
            </w:r>
            <w:r>
              <w:t xml:space="preserve"> 2.5</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IBW</w:t>
            </w:r>
          </w:p>
        </w:tc>
        <w:tc>
          <w:tcPr>
            <w:tcW w:w="1057" w:type="pct"/>
          </w:tcPr>
          <w:p w:rsidR="001001EB" w:rsidRPr="00621CBB" w:rsidRDefault="001001EB" w:rsidP="00F55FEE">
            <w:pPr>
              <w:cnfStyle w:val="000000000000" w:firstRow="0" w:lastRow="0" w:firstColumn="0" w:lastColumn="0" w:oddVBand="0" w:evenVBand="0" w:oddHBand="0" w:evenHBand="0" w:firstRowFirstColumn="0" w:firstRowLastColumn="0" w:lastRowFirstColumn="0" w:lastRowLastColumn="0"/>
              <w:rPr>
                <w:vertAlign w:val="superscript"/>
              </w:rPr>
            </w:pPr>
            <w:r>
              <w:t xml:space="preserve">5.2 </w:t>
            </w:r>
            <w:r w:rsidRPr="000863B6">
              <w:t>±</w:t>
            </w:r>
            <w:r>
              <w:t xml:space="preserve"> 2.6</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5.5 </w:t>
            </w:r>
            <w:r w:rsidRPr="000863B6">
              <w:t>±</w:t>
            </w:r>
            <w:r>
              <w:t xml:space="preserve"> 4.8</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4.2 </w:t>
            </w:r>
            <w:r w:rsidRPr="000863B6">
              <w:t>±</w:t>
            </w:r>
            <w:r>
              <w:t xml:space="preserve"> 2.9</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Pr="001D73C7" w:rsidRDefault="001001EB" w:rsidP="00F55FEE">
            <w:r>
              <w:t>Sitting</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ExN</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2.5 </w:t>
            </w:r>
            <w:r w:rsidRPr="000863B6">
              <w:t>±</w:t>
            </w:r>
            <w:r>
              <w:t xml:space="preserve"> 4.3</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0.8 </w:t>
            </w:r>
            <w:r w:rsidRPr="000863B6">
              <w:t>±</w:t>
            </w:r>
            <w:r>
              <w:t xml:space="preserve"> 1.0</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0.2 </w:t>
            </w:r>
            <w:r w:rsidRPr="000863B6">
              <w:t>±</w:t>
            </w:r>
            <w:r>
              <w:t xml:space="preserve"> 0.4</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ExP</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3.7 </w:t>
            </w:r>
            <w:r w:rsidRPr="000863B6">
              <w:t>±</w:t>
            </w:r>
            <w:r>
              <w:t xml:space="preserve"> 3.9</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2.2 </w:t>
            </w:r>
            <w:r w:rsidRPr="000863B6">
              <w:t>±</w:t>
            </w:r>
            <w:r>
              <w:t xml:space="preserve"> 2.6</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2.3 </w:t>
            </w:r>
            <w:r w:rsidRPr="000863B6">
              <w:t>±</w:t>
            </w:r>
            <w:r>
              <w:t xml:space="preserve"> 3.4</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IBW</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5.3 </w:t>
            </w:r>
            <w:r w:rsidRPr="000863B6">
              <w:t>±</w:t>
            </w:r>
            <w:r>
              <w:t xml:space="preserve"> 4.3</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2.2 </w:t>
            </w:r>
            <w:r w:rsidRPr="000863B6">
              <w:t>±</w:t>
            </w:r>
            <w:r>
              <w:t xml:space="preserve"> 1.9</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1.0 </w:t>
            </w:r>
            <w:r w:rsidRPr="000863B6">
              <w:t>±</w:t>
            </w:r>
            <w:r>
              <w:t xml:space="preserve"> 1.5</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Pr="001D73C7" w:rsidRDefault="001001EB" w:rsidP="00F55FEE">
            <w:r>
              <w:t>Standing</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ExN</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7.2 </w:t>
            </w:r>
            <w:r w:rsidRPr="000863B6">
              <w:t>±</w:t>
            </w:r>
            <w:r>
              <w:t xml:space="preserve"> 4.1</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5.2 </w:t>
            </w:r>
            <w:r w:rsidRPr="000863B6">
              <w:t>±</w:t>
            </w:r>
            <w:r>
              <w:t xml:space="preserve"> 3.1</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3.2 </w:t>
            </w:r>
            <w:r w:rsidRPr="000863B6">
              <w:t>±</w:t>
            </w:r>
            <w:r>
              <w:t xml:space="preserve"> 1.2</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ExP</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10.0 </w:t>
            </w:r>
            <w:r w:rsidRPr="000863B6">
              <w:t>±</w:t>
            </w:r>
            <w:r>
              <w:t xml:space="preserve"> 4.3</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5.7 </w:t>
            </w:r>
            <w:r w:rsidRPr="000863B6">
              <w:t>±</w:t>
            </w:r>
            <w:r>
              <w:t xml:space="preserve"> 2.3</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6.3 </w:t>
            </w:r>
            <w:r w:rsidRPr="000863B6">
              <w:t>±</w:t>
            </w:r>
            <w:r>
              <w:t xml:space="preserve"> 2.6</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IBW</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8.0 </w:t>
            </w:r>
            <w:r w:rsidRPr="000863B6">
              <w:t>±</w:t>
            </w:r>
            <w:r>
              <w:t xml:space="preserve"> 3.3</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10.0 </w:t>
            </w:r>
            <w:r w:rsidRPr="000863B6">
              <w:t>±</w:t>
            </w:r>
            <w:r>
              <w:t xml:space="preserve"> 6.5</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8.7 </w:t>
            </w:r>
            <w:r w:rsidRPr="000863B6">
              <w:t>±</w:t>
            </w:r>
            <w:r>
              <w:t xml:space="preserve"> 3.6</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Pr="001D73C7" w:rsidRDefault="001001EB" w:rsidP="00F55FEE">
            <w:r>
              <w:t>Running/walking/jumping</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ExN</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2.3 </w:t>
            </w:r>
            <w:r w:rsidRPr="000863B6">
              <w:t>±</w:t>
            </w:r>
            <w:r>
              <w:t xml:space="preserve"> 2.1</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2.3 </w:t>
            </w:r>
            <w:r w:rsidRPr="000863B6">
              <w:t>±</w:t>
            </w:r>
            <w:r>
              <w:t xml:space="preserve"> 2.3</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0.8 </w:t>
            </w:r>
            <w:r w:rsidRPr="000863B6">
              <w:t>±</w:t>
            </w:r>
            <w:r>
              <w:t xml:space="preserve"> 1.0</w:t>
            </w:r>
            <w:r>
              <w:rPr>
                <w:vertAlign w:val="superscript"/>
              </w:rPr>
              <w:t>a,#</w:t>
            </w:r>
          </w:p>
        </w:tc>
      </w:tr>
      <w:tr w:rsidR="001001EB" w:rsidTr="00F55FEE">
        <w:tc>
          <w:tcPr>
            <w:cnfStyle w:val="001000000000" w:firstRow="0" w:lastRow="0" w:firstColumn="1" w:lastColumn="0" w:oddVBand="0" w:evenVBand="0" w:oddHBand="0" w:evenHBand="0" w:firstRowFirstColumn="0" w:firstRowLastColumn="0" w:lastRowFirstColumn="0" w:lastRowLastColumn="0"/>
            <w:tcW w:w="1642" w:type="pct"/>
          </w:tcPr>
          <w:p w:rsidR="001001EB" w:rsidRDefault="001001EB" w:rsidP="00F55FEE">
            <w:pPr>
              <w:jc w:val="center"/>
            </w:pPr>
            <w:r>
              <w:t>ExP</w:t>
            </w:r>
          </w:p>
        </w:tc>
        <w:tc>
          <w:tcPr>
            <w:tcW w:w="1057"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5.3 </w:t>
            </w:r>
            <w:r w:rsidRPr="000863B6">
              <w:t>±</w:t>
            </w:r>
            <w:r>
              <w:t xml:space="preserve"> 5.4</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3.0 </w:t>
            </w:r>
            <w:r w:rsidRPr="000863B6">
              <w:t>±</w:t>
            </w:r>
            <w:r>
              <w:t xml:space="preserve"> 5.4</w:t>
            </w:r>
            <w:r>
              <w:rPr>
                <w:vertAlign w:val="superscript"/>
              </w:rPr>
              <w:t>a,#</w:t>
            </w:r>
          </w:p>
        </w:tc>
        <w:tc>
          <w:tcPr>
            <w:tcW w:w="1150" w:type="pct"/>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2.8 </w:t>
            </w:r>
            <w:r w:rsidRPr="000863B6">
              <w:t>±</w:t>
            </w:r>
            <w:r>
              <w:t xml:space="preserve"> 3.1</w:t>
            </w:r>
            <w:r>
              <w:rPr>
                <w:vertAlign w:val="superscript"/>
              </w:rPr>
              <w:t>a,#</w:t>
            </w:r>
          </w:p>
        </w:tc>
      </w:tr>
      <w:tr w:rsidR="001001EB" w:rsidTr="001001EB">
        <w:tc>
          <w:tcPr>
            <w:cnfStyle w:val="001000000000" w:firstRow="0" w:lastRow="0" w:firstColumn="1" w:lastColumn="0" w:oddVBand="0" w:evenVBand="0" w:oddHBand="0" w:evenHBand="0" w:firstRowFirstColumn="0" w:firstRowLastColumn="0" w:lastRowFirstColumn="0" w:lastRowLastColumn="0"/>
            <w:tcW w:w="1642" w:type="pct"/>
            <w:tcBorders>
              <w:bottom w:val="single" w:sz="6" w:space="0" w:color="000000"/>
            </w:tcBorders>
          </w:tcPr>
          <w:p w:rsidR="001001EB" w:rsidRDefault="001001EB" w:rsidP="00F55FEE">
            <w:pPr>
              <w:jc w:val="center"/>
            </w:pPr>
            <w:r>
              <w:t>IBW</w:t>
            </w:r>
          </w:p>
        </w:tc>
        <w:tc>
          <w:tcPr>
            <w:tcW w:w="1057" w:type="pct"/>
            <w:tcBorders>
              <w:bottom w:val="single" w:sz="6" w:space="0" w:color="000000"/>
            </w:tcBorders>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1.3 </w:t>
            </w:r>
            <w:r w:rsidRPr="000863B6">
              <w:t>±</w:t>
            </w:r>
            <w:r>
              <w:t xml:space="preserve"> 1.2</w:t>
            </w:r>
            <w:r>
              <w:rPr>
                <w:vertAlign w:val="superscript"/>
              </w:rPr>
              <w:t>a,#</w:t>
            </w:r>
          </w:p>
        </w:tc>
        <w:tc>
          <w:tcPr>
            <w:tcW w:w="1150" w:type="pct"/>
            <w:tcBorders>
              <w:bottom w:val="single" w:sz="6" w:space="0" w:color="000000"/>
            </w:tcBorders>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1.0 </w:t>
            </w:r>
            <w:r w:rsidRPr="000863B6">
              <w:t>±</w:t>
            </w:r>
            <w:r>
              <w:t xml:space="preserve"> 0.9</w:t>
            </w:r>
            <w:r>
              <w:rPr>
                <w:vertAlign w:val="superscript"/>
              </w:rPr>
              <w:t>a,#</w:t>
            </w:r>
          </w:p>
        </w:tc>
        <w:tc>
          <w:tcPr>
            <w:tcW w:w="1150" w:type="pct"/>
            <w:tcBorders>
              <w:bottom w:val="single" w:sz="6" w:space="0" w:color="000000"/>
            </w:tcBorders>
          </w:tcPr>
          <w:p w:rsidR="001001EB" w:rsidRPr="004E6222" w:rsidRDefault="001001EB" w:rsidP="00F55FEE">
            <w:pPr>
              <w:cnfStyle w:val="000000000000" w:firstRow="0" w:lastRow="0" w:firstColumn="0" w:lastColumn="0" w:oddVBand="0" w:evenVBand="0" w:oddHBand="0" w:evenHBand="0" w:firstRowFirstColumn="0" w:firstRowLastColumn="0" w:lastRowFirstColumn="0" w:lastRowLastColumn="0"/>
            </w:pPr>
            <w:r>
              <w:t xml:space="preserve">2.3 </w:t>
            </w:r>
            <w:r w:rsidRPr="000863B6">
              <w:t>±</w:t>
            </w:r>
            <w:r>
              <w:t xml:space="preserve"> 4.4</w:t>
            </w:r>
            <w:r>
              <w:rPr>
                <w:vertAlign w:val="superscript"/>
              </w:rPr>
              <w:t>a,#</w:t>
            </w:r>
          </w:p>
        </w:tc>
      </w:tr>
      <w:tr w:rsidR="001001EB" w:rsidTr="001001EB">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6" w:space="0" w:color="000000"/>
              <w:bottom w:val="nil"/>
              <w:right w:val="nil"/>
            </w:tcBorders>
          </w:tcPr>
          <w:p w:rsidR="00876179" w:rsidRDefault="001001EB" w:rsidP="00F55FEE">
            <w:pPr>
              <w:rPr>
                <w:sz w:val="18"/>
                <w:szCs w:val="18"/>
              </w:rPr>
            </w:pPr>
            <w:r w:rsidRPr="00691B04">
              <w:rPr>
                <w:sz w:val="18"/>
                <w:szCs w:val="18"/>
              </w:rPr>
              <w:t>Numerical data presented as mean ± standard deviation.</w:t>
            </w:r>
          </w:p>
          <w:p w:rsidR="001001EB" w:rsidRPr="00850616" w:rsidRDefault="00876179" w:rsidP="00F55FEE">
            <w:pPr>
              <w:rPr>
                <w:sz w:val="18"/>
                <w:szCs w:val="18"/>
              </w:rPr>
            </w:pPr>
            <w:r>
              <w:rPr>
                <w:sz w:val="18"/>
                <w:szCs w:val="18"/>
              </w:rPr>
              <w:t>*</w:t>
            </w:r>
            <w:r w:rsidR="001001EB" w:rsidRPr="00850616">
              <w:rPr>
                <w:sz w:val="18"/>
                <w:szCs w:val="18"/>
              </w:rPr>
              <w:t>ExN, excess calories nutraceutical group; ExP, excess calories placebo group; IBW, ideal body weight group.</w:t>
            </w:r>
          </w:p>
          <w:p w:rsidR="001001EB" w:rsidRPr="00691B04" w:rsidRDefault="001001EB" w:rsidP="00F55FEE">
            <w:pPr>
              <w:rPr>
                <w:sz w:val="18"/>
                <w:szCs w:val="18"/>
              </w:rPr>
            </w:pPr>
            <w:proofErr w:type="gramStart"/>
            <w:r w:rsidRPr="00691B04">
              <w:rPr>
                <w:sz w:val="18"/>
                <w:szCs w:val="18"/>
                <w:vertAlign w:val="superscript"/>
              </w:rPr>
              <w:t>a</w:t>
            </w:r>
            <w:r w:rsidR="00876179">
              <w:rPr>
                <w:sz w:val="18"/>
                <w:szCs w:val="18"/>
                <w:vertAlign w:val="superscript"/>
              </w:rPr>
              <w:t>,</w:t>
            </w:r>
            <w:proofErr w:type="gramEnd"/>
            <w:r w:rsidR="00876179">
              <w:rPr>
                <w:sz w:val="18"/>
                <w:szCs w:val="18"/>
                <w:vertAlign w:val="superscript"/>
              </w:rPr>
              <w:t>b</w:t>
            </w:r>
            <w:r w:rsidRPr="00691B04">
              <w:rPr>
                <w:sz w:val="18"/>
                <w:szCs w:val="18"/>
              </w:rPr>
              <w:t>Within a column, values with different superscript letters differ significantly (</w:t>
            </w:r>
            <w:r w:rsidRPr="00691B04">
              <w:rPr>
                <w:i/>
                <w:sz w:val="18"/>
                <w:szCs w:val="18"/>
              </w:rPr>
              <w:t>p</w:t>
            </w:r>
            <w:r w:rsidRPr="00691B04">
              <w:rPr>
                <w:sz w:val="18"/>
                <w:szCs w:val="18"/>
              </w:rPr>
              <w:t>&lt; 0.05).</w:t>
            </w:r>
          </w:p>
          <w:p w:rsidR="001001EB" w:rsidRDefault="001001EB" w:rsidP="00F55FEE">
            <w:r w:rsidRPr="00691B04">
              <w:rPr>
                <w:sz w:val="18"/>
                <w:szCs w:val="18"/>
                <w:vertAlign w:val="superscript"/>
              </w:rPr>
              <w:t>#</w:t>
            </w:r>
            <w:proofErr w:type="gramStart"/>
            <w:r w:rsidRPr="00691B04">
              <w:rPr>
                <w:sz w:val="18"/>
                <w:szCs w:val="18"/>
                <w:vertAlign w:val="superscript"/>
              </w:rPr>
              <w:t>,$</w:t>
            </w:r>
            <w:proofErr w:type="gramEnd"/>
            <w:r w:rsidRPr="00691B04">
              <w:rPr>
                <w:sz w:val="18"/>
                <w:szCs w:val="18"/>
              </w:rPr>
              <w:t>Across columns, values with different superscript symbols differ significantly (</w:t>
            </w:r>
            <w:r w:rsidRPr="00691B04">
              <w:rPr>
                <w:i/>
                <w:sz w:val="18"/>
                <w:szCs w:val="18"/>
              </w:rPr>
              <w:t>p</w:t>
            </w:r>
            <w:r w:rsidRPr="00691B04">
              <w:rPr>
                <w:sz w:val="18"/>
                <w:szCs w:val="18"/>
              </w:rPr>
              <w:t>&lt; 0.05).</w:t>
            </w:r>
          </w:p>
        </w:tc>
      </w:tr>
    </w:tbl>
    <w:p w:rsidR="001001EB" w:rsidRDefault="001001EB" w:rsidP="001001EB"/>
    <w:p w:rsidR="001001EB" w:rsidRDefault="001001EB" w:rsidP="001001EB"/>
    <w:p w:rsidR="001001EB" w:rsidRDefault="001001EB" w:rsidP="001001EB"/>
    <w:p w:rsidR="001001EB" w:rsidRDefault="001001EB" w:rsidP="001001EB"/>
    <w:p w:rsidR="00F55FEE" w:rsidRDefault="00F55FEE" w:rsidP="001001EB"/>
    <w:p w:rsidR="00F55FEE" w:rsidRDefault="00F55FEE" w:rsidP="001001EB"/>
    <w:p w:rsidR="00F55FEE" w:rsidRDefault="00F55FEE" w:rsidP="001001EB">
      <w:pPr>
        <w:sectPr w:rsidR="00F55FEE" w:rsidSect="00016A52">
          <w:pgSz w:w="12240" w:h="15840" w:code="1"/>
          <w:pgMar w:top="1440" w:right="1800" w:bottom="1872" w:left="1800" w:header="720" w:footer="1440" w:gutter="0"/>
          <w:cols w:space="720"/>
          <w:noEndnote/>
          <w:docGrid w:linePitch="360"/>
        </w:sectPr>
      </w:pPr>
    </w:p>
    <w:p w:rsidR="00AF5522" w:rsidRDefault="000C5CC3" w:rsidP="00F55FEE">
      <w:pPr>
        <w:pStyle w:val="Caption"/>
      </w:pPr>
      <w:r>
        <w:rPr>
          <w:noProof/>
        </w:rPr>
        <w:drawing>
          <wp:inline distT="0" distB="0" distL="0" distR="0" wp14:anchorId="348FC3AF" wp14:editId="0A52D36A">
            <wp:extent cx="2679700" cy="2819400"/>
            <wp:effectExtent l="0" t="0" r="25400" b="19050"/>
            <wp:docPr id="312" name="Chart 312" title="Trend for ghrelin by point"/>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rsidR="006037B4" w:rsidRPr="006037B4">
        <w:rPr>
          <w:noProof/>
        </w:rPr>
        <w:t xml:space="preserve"> </w:t>
      </w:r>
      <w:r w:rsidR="006037B4">
        <w:rPr>
          <w:noProof/>
        </w:rPr>
        <w:drawing>
          <wp:inline distT="0" distB="0" distL="0" distR="0" wp14:anchorId="26853DE2" wp14:editId="60A3DFAA">
            <wp:extent cx="2679700" cy="2819400"/>
            <wp:effectExtent l="0" t="0" r="25400" b="19050"/>
            <wp:docPr id="18441" name="Chart 184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D438CF" w:rsidRDefault="00D438CF" w:rsidP="00F55FEE">
      <w:pPr>
        <w:pStyle w:val="Caption"/>
      </w:pPr>
      <w:r>
        <w:rPr>
          <w:noProof/>
        </w:rPr>
        <w:drawing>
          <wp:inline distT="0" distB="0" distL="0" distR="0" wp14:anchorId="09C8716D" wp14:editId="69B40EF4">
            <wp:extent cx="2679700" cy="2489200"/>
            <wp:effectExtent l="0" t="0" r="25400" b="25400"/>
            <wp:docPr id="18470" name="Chart 1847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F55FEE" w:rsidRDefault="00F55FEE" w:rsidP="00F55FEE">
      <w:pPr>
        <w:pStyle w:val="Caption"/>
      </w:pPr>
      <w:bookmarkStart w:id="155" w:name="_Toc376465886"/>
      <w:r>
        <w:t xml:space="preserve">Figure </w:t>
      </w:r>
      <w:fldSimple w:instr=" SEQ Figure \* ARABIC ">
        <w:r w:rsidR="00CF771C">
          <w:rPr>
            <w:noProof/>
          </w:rPr>
          <w:t>26</w:t>
        </w:r>
      </w:fldSimple>
      <w:r>
        <w:t xml:space="preserve"> Ghrelin by point and time.</w:t>
      </w:r>
      <w:bookmarkEnd w:id="155"/>
    </w:p>
    <w:p w:rsidR="006037B4" w:rsidRDefault="006037B4" w:rsidP="006037B4">
      <w:r>
        <w:t>ExN</w:t>
      </w:r>
      <w:r w:rsidRPr="00C03A66">
        <w:t xml:space="preserve">, excess calorie nutraceutical group; </w:t>
      </w:r>
      <w:r>
        <w:t>ExP</w:t>
      </w:r>
      <w:r w:rsidRPr="00C03A66">
        <w:t>, excess calorie placebo grou</w:t>
      </w:r>
      <w:r>
        <w:t>p; IBW, ideal body weight group; B, baseline; O, one week; E, end of treatment.</w:t>
      </w:r>
    </w:p>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CF771C">
      <w:pPr>
        <w:pStyle w:val="Caption"/>
      </w:pPr>
      <w:r>
        <w:rPr>
          <w:noProof/>
        </w:rPr>
        <w:drawing>
          <wp:inline distT="0" distB="0" distL="0" distR="0" wp14:anchorId="3BAE94DC" wp14:editId="33919D2E">
            <wp:extent cx="2574290" cy="2743200"/>
            <wp:effectExtent l="0" t="0" r="16510" b="19050"/>
            <wp:docPr id="18439" name="Chart 184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r w:rsidRPr="006037B4">
        <w:rPr>
          <w:noProof/>
        </w:rPr>
        <w:t xml:space="preserve"> </w:t>
      </w:r>
      <w:r>
        <w:rPr>
          <w:noProof/>
        </w:rPr>
        <w:drawing>
          <wp:inline distT="0" distB="0" distL="0" distR="0" wp14:anchorId="7447BEB5" wp14:editId="7F6C0D27">
            <wp:extent cx="2731135" cy="2743200"/>
            <wp:effectExtent l="0" t="0" r="12065" b="19050"/>
            <wp:docPr id="18468" name="Chart 18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CF771C" w:rsidRDefault="00CF771C" w:rsidP="00CF771C">
      <w:pPr>
        <w:pStyle w:val="Caption"/>
      </w:pPr>
      <w:r>
        <w:rPr>
          <w:noProof/>
        </w:rPr>
        <w:drawing>
          <wp:inline distT="0" distB="0" distL="0" distR="0" wp14:anchorId="6F41847B" wp14:editId="3F845181">
            <wp:extent cx="2616200" cy="2743200"/>
            <wp:effectExtent l="0" t="0" r="12700" b="19050"/>
            <wp:docPr id="18475" name="Chart 18475"/>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CF771C" w:rsidRDefault="00CF771C" w:rsidP="00CF771C">
      <w:pPr>
        <w:pStyle w:val="Caption"/>
      </w:pPr>
      <w:bookmarkStart w:id="156" w:name="_Toc376465887"/>
      <w:r>
        <w:t xml:space="preserve">Figure </w:t>
      </w:r>
      <w:fldSimple w:instr=" SEQ Figure \* ARABIC ">
        <w:r>
          <w:rPr>
            <w:noProof/>
          </w:rPr>
          <w:t>27</w:t>
        </w:r>
      </w:fldSimple>
      <w:r>
        <w:t xml:space="preserve"> PYY by point and time.</w:t>
      </w:r>
      <w:bookmarkEnd w:id="156"/>
    </w:p>
    <w:p w:rsidR="00CF771C" w:rsidRDefault="00CF771C" w:rsidP="00CF771C">
      <w:r>
        <w:t>ExN</w:t>
      </w:r>
      <w:r w:rsidRPr="00C03A66">
        <w:t xml:space="preserve">, excess calorie nutraceutical group; </w:t>
      </w:r>
      <w:r>
        <w:t>ExP</w:t>
      </w:r>
      <w:r w:rsidRPr="00C03A66">
        <w:t>, excess calorie placebo grou</w:t>
      </w:r>
      <w:r>
        <w:t>p; IBW, ideal body weight group; B, baseline; O, one week; E, end of treatment.</w:t>
      </w:r>
    </w:p>
    <w:p w:rsidR="00CF771C" w:rsidRDefault="00CF771C" w:rsidP="006037B4"/>
    <w:p w:rsidR="00AF5522" w:rsidRDefault="006037B4" w:rsidP="00F55FEE">
      <w:pPr>
        <w:pStyle w:val="Caption"/>
      </w:pPr>
      <w:r w:rsidRPr="006037B4">
        <w:rPr>
          <w:noProof/>
        </w:rPr>
        <w:t xml:space="preserve"> </w:t>
      </w:r>
      <w:r>
        <w:rPr>
          <w:noProof/>
        </w:rPr>
        <w:drawing>
          <wp:inline distT="0" distB="0" distL="0" distR="0" wp14:anchorId="52378E37" wp14:editId="3857B158">
            <wp:extent cx="2574290" cy="2743200"/>
            <wp:effectExtent l="0" t="0" r="16510" b="19050"/>
            <wp:docPr id="313" name="Chart 3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r w:rsidRPr="006037B4">
        <w:rPr>
          <w:noProof/>
        </w:rPr>
        <w:t xml:space="preserve"> </w:t>
      </w:r>
      <w:r>
        <w:rPr>
          <w:noProof/>
        </w:rPr>
        <w:drawing>
          <wp:inline distT="0" distB="0" distL="0" distR="0" wp14:anchorId="173B3CE3" wp14:editId="569B819E">
            <wp:extent cx="2730500" cy="2743200"/>
            <wp:effectExtent l="0" t="0" r="12700" b="19050"/>
            <wp:docPr id="18442" name="Chart 1844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C607DA" w:rsidRDefault="00C607DA" w:rsidP="00F55FEE">
      <w:pPr>
        <w:pStyle w:val="Caption"/>
      </w:pPr>
      <w:r>
        <w:rPr>
          <w:noProof/>
        </w:rPr>
        <w:drawing>
          <wp:inline distT="0" distB="0" distL="0" distR="0" wp14:anchorId="26C86A3C" wp14:editId="71A03F7C">
            <wp:extent cx="2616200" cy="2552700"/>
            <wp:effectExtent l="0" t="0" r="12700" b="19050"/>
            <wp:docPr id="18471" name="Chart 18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F55FEE" w:rsidRDefault="00F55FEE" w:rsidP="00F55FEE">
      <w:pPr>
        <w:pStyle w:val="Caption"/>
      </w:pPr>
      <w:bookmarkStart w:id="157" w:name="_Toc376465888"/>
      <w:r>
        <w:t xml:space="preserve">Figure </w:t>
      </w:r>
      <w:fldSimple w:instr=" SEQ Figure \* ARABIC ">
        <w:r w:rsidR="00CF771C">
          <w:rPr>
            <w:noProof/>
          </w:rPr>
          <w:t>28</w:t>
        </w:r>
      </w:fldSimple>
      <w:r>
        <w:t xml:space="preserve"> GLP-1 by point and time.</w:t>
      </w:r>
      <w:bookmarkEnd w:id="157"/>
    </w:p>
    <w:p w:rsidR="006037B4" w:rsidRDefault="006037B4" w:rsidP="006037B4">
      <w:r>
        <w:t>ExN</w:t>
      </w:r>
      <w:r w:rsidRPr="00C03A66">
        <w:t xml:space="preserve">, excess calorie nutraceutical group; </w:t>
      </w:r>
      <w:r>
        <w:t>ExP</w:t>
      </w:r>
      <w:r w:rsidRPr="00C03A66">
        <w:t>, excess calorie placebo grou</w:t>
      </w:r>
      <w:r>
        <w:t>p; IBW, ideal body weight group; B, baseline; O, one week; E, end of treatment.</w:t>
      </w:r>
    </w:p>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6037B4"/>
    <w:p w:rsidR="00CF771C" w:rsidRDefault="00CF771C" w:rsidP="00CF771C">
      <w:pPr>
        <w:pStyle w:val="Caption"/>
      </w:pPr>
      <w:r>
        <w:rPr>
          <w:noProof/>
        </w:rPr>
        <w:drawing>
          <wp:inline distT="0" distB="0" distL="0" distR="0" wp14:anchorId="2BB06106" wp14:editId="2886E917">
            <wp:extent cx="2574290" cy="2743200"/>
            <wp:effectExtent l="0" t="0" r="16510" b="19050"/>
            <wp:docPr id="18535" name="Chart 18535"/>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r w:rsidRPr="006037B4">
        <w:rPr>
          <w:noProof/>
        </w:rPr>
        <w:t xml:space="preserve"> </w:t>
      </w:r>
      <w:r>
        <w:rPr>
          <w:noProof/>
        </w:rPr>
        <w:drawing>
          <wp:inline distT="0" distB="0" distL="0" distR="0" wp14:anchorId="5AA8DCE3" wp14:editId="1B2EDFE3">
            <wp:extent cx="2731135" cy="2743200"/>
            <wp:effectExtent l="0" t="0" r="12065" b="19050"/>
            <wp:docPr id="18536" name="Chart 18536"/>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CF771C" w:rsidRDefault="00CF771C" w:rsidP="00CF771C">
      <w:pPr>
        <w:pStyle w:val="Caption"/>
      </w:pPr>
      <w:r>
        <w:rPr>
          <w:noProof/>
        </w:rPr>
        <w:drawing>
          <wp:inline distT="0" distB="0" distL="0" distR="0" wp14:anchorId="704FBEC2" wp14:editId="3E561AA1">
            <wp:extent cx="2616200" cy="2743200"/>
            <wp:effectExtent l="0" t="0" r="12700" b="19050"/>
            <wp:docPr id="18537" name="Chart 18537"/>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CF771C" w:rsidRDefault="00CF771C" w:rsidP="00CF771C">
      <w:pPr>
        <w:pStyle w:val="Caption"/>
      </w:pPr>
      <w:bookmarkStart w:id="158" w:name="_Toc376465889"/>
      <w:r>
        <w:t xml:space="preserve">Figure </w:t>
      </w:r>
      <w:fldSimple w:instr=" SEQ Figure \* ARABIC ">
        <w:r>
          <w:rPr>
            <w:noProof/>
          </w:rPr>
          <w:t>29</w:t>
        </w:r>
      </w:fldSimple>
      <w:r>
        <w:t xml:space="preserve"> Glucose by point and time.</w:t>
      </w:r>
      <w:bookmarkEnd w:id="158"/>
    </w:p>
    <w:p w:rsidR="00CF771C" w:rsidRDefault="00CF771C" w:rsidP="00CF771C">
      <w:r>
        <w:t>ExN</w:t>
      </w:r>
      <w:r w:rsidRPr="00C03A66">
        <w:t xml:space="preserve">, excess calorie nutraceutical group; </w:t>
      </w:r>
      <w:r>
        <w:t>ExP</w:t>
      </w:r>
      <w:r w:rsidRPr="00C03A66">
        <w:t>, excess calorie placebo grou</w:t>
      </w:r>
      <w:r>
        <w:t>p; IBW, ideal body weight group; B, baseline; O, one week; E, end of treatment.</w:t>
      </w:r>
    </w:p>
    <w:p w:rsidR="00CF771C" w:rsidRDefault="00CF771C" w:rsidP="006037B4"/>
    <w:p w:rsidR="00AF5522" w:rsidRDefault="006037B4" w:rsidP="00F55FEE">
      <w:pPr>
        <w:pStyle w:val="Caption"/>
      </w:pPr>
      <w:r w:rsidRPr="006037B4">
        <w:rPr>
          <w:noProof/>
        </w:rPr>
        <w:t xml:space="preserve"> </w:t>
      </w:r>
      <w:r>
        <w:rPr>
          <w:noProof/>
        </w:rPr>
        <w:drawing>
          <wp:inline distT="0" distB="0" distL="0" distR="0" wp14:anchorId="08485999" wp14:editId="5AA20485">
            <wp:extent cx="2574290" cy="2743200"/>
            <wp:effectExtent l="0" t="0" r="16510" b="19050"/>
            <wp:docPr id="314" name="Chart 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r w:rsidRPr="006037B4">
        <w:rPr>
          <w:noProof/>
        </w:rPr>
        <w:t xml:space="preserve"> </w:t>
      </w:r>
      <w:r>
        <w:rPr>
          <w:noProof/>
        </w:rPr>
        <w:drawing>
          <wp:inline distT="0" distB="0" distL="0" distR="0" wp14:anchorId="1494362A" wp14:editId="14EEA68D">
            <wp:extent cx="2782570" cy="2743200"/>
            <wp:effectExtent l="0" t="0" r="17780" b="19050"/>
            <wp:docPr id="18449" name="Chart 184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C607DA" w:rsidRDefault="00C607DA" w:rsidP="00F55FEE">
      <w:pPr>
        <w:pStyle w:val="Caption"/>
      </w:pPr>
      <w:r>
        <w:rPr>
          <w:noProof/>
        </w:rPr>
        <w:drawing>
          <wp:inline distT="0" distB="0" distL="0" distR="0" wp14:anchorId="22783907" wp14:editId="79309828">
            <wp:extent cx="2616200" cy="2743200"/>
            <wp:effectExtent l="0" t="0" r="12700" b="19050"/>
            <wp:docPr id="18472" name="Chart 18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r w:rsidR="00CF771C">
        <w:rPr>
          <w:noProof/>
        </w:rPr>
        <w:drawing>
          <wp:inline distT="0" distB="0" distL="0" distR="0" wp14:anchorId="584A35D5" wp14:editId="32001D99">
            <wp:extent cx="2844800" cy="2743200"/>
            <wp:effectExtent l="0" t="0" r="12700" b="19050"/>
            <wp:docPr id="18538" name="Chart 18538"/>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F55FEE" w:rsidRDefault="00F55FEE" w:rsidP="00F55FEE">
      <w:pPr>
        <w:pStyle w:val="Caption"/>
      </w:pPr>
      <w:bookmarkStart w:id="159" w:name="_Toc376465890"/>
      <w:r>
        <w:t xml:space="preserve">Figure </w:t>
      </w:r>
      <w:fldSimple w:instr=" SEQ Figure \* ARABIC ">
        <w:r w:rsidR="00CF771C">
          <w:rPr>
            <w:noProof/>
          </w:rPr>
          <w:t>30</w:t>
        </w:r>
      </w:fldSimple>
      <w:r>
        <w:t xml:space="preserve"> Insulin by point and time</w:t>
      </w:r>
      <w:r w:rsidR="00CF771C">
        <w:t>; insulin</w:t>
      </w:r>
      <w:proofErr w:type="gramStart"/>
      <w:r w:rsidR="00CF771C">
        <w:t>:glucose</w:t>
      </w:r>
      <w:proofErr w:type="gramEnd"/>
      <w:r w:rsidR="00CF771C">
        <w:t xml:space="preserve"> ratio by time</w:t>
      </w:r>
      <w:r>
        <w:t>.</w:t>
      </w:r>
      <w:bookmarkEnd w:id="159"/>
    </w:p>
    <w:p w:rsidR="00CF771C" w:rsidRDefault="006037B4" w:rsidP="00CF771C">
      <w:r>
        <w:t>ExN</w:t>
      </w:r>
      <w:r w:rsidRPr="00C03A66">
        <w:t xml:space="preserve">, excess calorie nutraceutical group; </w:t>
      </w:r>
      <w:r>
        <w:t>ExP</w:t>
      </w:r>
      <w:r w:rsidRPr="00C03A66">
        <w:t>, excess calorie placebo grou</w:t>
      </w:r>
      <w:r>
        <w:t>p; IBW, ideal body weight group; B, baseline; O, one week; E, end of treatment.</w:t>
      </w:r>
    </w:p>
    <w:p w:rsidR="00F55FEE" w:rsidRDefault="006037B4" w:rsidP="00CF771C">
      <w:r w:rsidRPr="006037B4">
        <w:rPr>
          <w:noProof/>
        </w:rPr>
        <w:t xml:space="preserve"> </w:t>
      </w:r>
      <w:r>
        <w:rPr>
          <w:noProof/>
        </w:rPr>
        <w:drawing>
          <wp:inline distT="0" distB="0" distL="0" distR="0" wp14:anchorId="497C3BAA" wp14:editId="3E09D4BB">
            <wp:extent cx="2574290" cy="2743200"/>
            <wp:effectExtent l="0" t="0" r="16510" b="19050"/>
            <wp:docPr id="18438" name="Chart 18438"/>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r w:rsidRPr="006037B4">
        <w:rPr>
          <w:noProof/>
        </w:rPr>
        <w:t xml:space="preserve"> </w:t>
      </w:r>
      <w:r>
        <w:rPr>
          <w:noProof/>
        </w:rPr>
        <w:drawing>
          <wp:inline distT="0" distB="0" distL="0" distR="0" wp14:anchorId="1A32D9F6" wp14:editId="2BE0658B">
            <wp:extent cx="2782570" cy="2743200"/>
            <wp:effectExtent l="0" t="0" r="17780" b="19050"/>
            <wp:docPr id="18467" name="Chart 18467"/>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C607DA" w:rsidRDefault="00C607DA" w:rsidP="00F55FEE">
      <w:pPr>
        <w:pStyle w:val="Caption"/>
      </w:pPr>
      <w:r>
        <w:rPr>
          <w:noProof/>
        </w:rPr>
        <w:drawing>
          <wp:inline distT="0" distB="0" distL="0" distR="0" wp14:anchorId="5AA461A8" wp14:editId="6F4353E7">
            <wp:extent cx="2616200" cy="2743200"/>
            <wp:effectExtent l="0" t="0" r="12700" b="19050"/>
            <wp:docPr id="18474" name="Chart 18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F55FEE" w:rsidRDefault="00F55FEE" w:rsidP="00F55FEE">
      <w:pPr>
        <w:pStyle w:val="Caption"/>
      </w:pPr>
      <w:bookmarkStart w:id="160" w:name="_Toc376465891"/>
      <w:r>
        <w:t xml:space="preserve">Figure </w:t>
      </w:r>
      <w:fldSimple w:instr=" SEQ Figure \* ARABIC ">
        <w:r w:rsidR="00CF771C">
          <w:rPr>
            <w:noProof/>
          </w:rPr>
          <w:t>31</w:t>
        </w:r>
      </w:fldSimple>
      <w:r>
        <w:t xml:space="preserve"> Leptin by point and time.</w:t>
      </w:r>
      <w:bookmarkEnd w:id="160"/>
    </w:p>
    <w:p w:rsidR="006037B4" w:rsidRDefault="006037B4" w:rsidP="006037B4">
      <w:r>
        <w:t>ExN</w:t>
      </w:r>
      <w:r w:rsidRPr="00C03A66">
        <w:t xml:space="preserve">, excess calorie nutraceutical group; </w:t>
      </w:r>
      <w:r>
        <w:t>ExP</w:t>
      </w:r>
      <w:r w:rsidRPr="00C03A66">
        <w:t>, excess calorie placebo grou</w:t>
      </w:r>
      <w:r>
        <w:t>p; IBW, ideal body weight group; B, baseline; O, one week; E, end of treatment.</w:t>
      </w:r>
    </w:p>
    <w:p w:rsidR="00F55FEE" w:rsidRDefault="00F55FEE" w:rsidP="00F55FEE"/>
    <w:p w:rsidR="006037B4" w:rsidRDefault="006037B4" w:rsidP="00CF771C">
      <w:pPr>
        <w:pStyle w:val="Caption"/>
      </w:pPr>
      <w:r w:rsidRPr="006037B4">
        <w:rPr>
          <w:noProof/>
        </w:rPr>
        <w:t xml:space="preserve"> </w:t>
      </w:r>
    </w:p>
    <w:p w:rsidR="00F55FEE" w:rsidRDefault="00F55FEE" w:rsidP="00F55FEE"/>
    <w:p w:rsidR="00F55FEE" w:rsidRDefault="00F55FEE" w:rsidP="00F55FEE"/>
    <w:p w:rsidR="00F55FEE" w:rsidRDefault="00F55FEE" w:rsidP="00F55FEE"/>
    <w:p w:rsidR="00F55FEE" w:rsidRDefault="00F55FEE" w:rsidP="00F55FEE"/>
    <w:p w:rsidR="00F55FEE" w:rsidRDefault="00F55FEE" w:rsidP="00F55FEE"/>
    <w:p w:rsidR="00F55FEE" w:rsidRDefault="00F55FEE" w:rsidP="00F55FEE"/>
    <w:p w:rsidR="00F55FEE" w:rsidRDefault="006037B4" w:rsidP="00F55FEE">
      <w:pPr>
        <w:keepNext/>
      </w:pPr>
      <w:r w:rsidRPr="006037B4">
        <w:rPr>
          <w:noProof/>
        </w:rPr>
        <w:t xml:space="preserve"> </w:t>
      </w:r>
      <w:r>
        <w:rPr>
          <w:noProof/>
        </w:rPr>
        <w:drawing>
          <wp:inline distT="0" distB="0" distL="0" distR="0" wp14:anchorId="04F6B803" wp14:editId="07FDFE92">
            <wp:extent cx="2574290" cy="2743200"/>
            <wp:effectExtent l="0" t="0" r="16510" b="19050"/>
            <wp:docPr id="18440" name="Chart 1844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r w:rsidRPr="006037B4">
        <w:rPr>
          <w:noProof/>
        </w:rPr>
        <w:t xml:space="preserve"> </w:t>
      </w:r>
      <w:r>
        <w:rPr>
          <w:noProof/>
        </w:rPr>
        <w:drawing>
          <wp:inline distT="0" distB="0" distL="0" distR="0" wp14:anchorId="361BD259" wp14:editId="646179B8">
            <wp:extent cx="2782570" cy="2743200"/>
            <wp:effectExtent l="0" t="0" r="17780" b="19050"/>
            <wp:docPr id="18469" name="Chart 18469"/>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7A28A1" w:rsidRDefault="007A28A1" w:rsidP="00F55FEE">
      <w:pPr>
        <w:pStyle w:val="Caption"/>
      </w:pPr>
      <w:r>
        <w:rPr>
          <w:noProof/>
        </w:rPr>
        <w:drawing>
          <wp:inline distT="0" distB="0" distL="0" distR="0" wp14:anchorId="0A877C70" wp14:editId="0ABD7A15">
            <wp:extent cx="2616200" cy="2743200"/>
            <wp:effectExtent l="0" t="0" r="12700" b="19050"/>
            <wp:docPr id="18476" name="Chart 18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F55FEE" w:rsidRDefault="00F55FEE" w:rsidP="00F55FEE">
      <w:pPr>
        <w:pStyle w:val="Caption"/>
      </w:pPr>
      <w:bookmarkStart w:id="161" w:name="_Toc376465892"/>
      <w:r>
        <w:t xml:space="preserve">Figure </w:t>
      </w:r>
      <w:fldSimple w:instr=" SEQ Figure \* ARABIC ">
        <w:r w:rsidR="00CF771C">
          <w:rPr>
            <w:noProof/>
          </w:rPr>
          <w:t>32</w:t>
        </w:r>
      </w:fldSimple>
      <w:r>
        <w:t xml:space="preserve"> Adiponectin by point and time.</w:t>
      </w:r>
      <w:bookmarkEnd w:id="161"/>
    </w:p>
    <w:p w:rsidR="00F55FEE" w:rsidRDefault="006037B4" w:rsidP="00F55FEE">
      <w:r>
        <w:t>ExN</w:t>
      </w:r>
      <w:r w:rsidR="00F55FEE" w:rsidRPr="00C03A66">
        <w:t xml:space="preserve">, excess calorie nutraceutical group; </w:t>
      </w:r>
      <w:r>
        <w:t>ExP</w:t>
      </w:r>
      <w:r w:rsidR="00F55FEE" w:rsidRPr="00C03A66">
        <w:t>, excess calorie placebo grou</w:t>
      </w:r>
      <w:r w:rsidR="00F55FEE">
        <w:t xml:space="preserve">p; </w:t>
      </w:r>
      <w:r>
        <w:t>IBW</w:t>
      </w:r>
      <w:r w:rsidR="00F55FEE">
        <w:t xml:space="preserve">, ideal body weight group; </w:t>
      </w:r>
      <w:r>
        <w:t>B</w:t>
      </w:r>
      <w:r w:rsidR="00F55FEE">
        <w:t xml:space="preserve">, baseline; </w:t>
      </w:r>
      <w:r>
        <w:t>O</w:t>
      </w:r>
      <w:r w:rsidR="00F55FEE">
        <w:t xml:space="preserve">, one week; </w:t>
      </w:r>
      <w:r>
        <w:t>E</w:t>
      </w:r>
      <w:r w:rsidR="00F55FEE">
        <w:t>, end of treatment</w:t>
      </w:r>
      <w:r>
        <w:t>.</w:t>
      </w:r>
    </w:p>
    <w:p w:rsidR="00F55FEE" w:rsidRDefault="00F55FEE" w:rsidP="00F55FEE">
      <w:pPr>
        <w:rPr>
          <w:noProof/>
        </w:rPr>
        <w:sectPr w:rsidR="00F55FEE" w:rsidSect="00562922">
          <w:pgSz w:w="12240" w:h="15840" w:code="1"/>
          <w:pgMar w:top="1440" w:right="1800" w:bottom="1872" w:left="1800" w:header="720" w:footer="1440" w:gutter="0"/>
          <w:cols w:space="720"/>
          <w:noEndnote/>
          <w:docGrid w:linePitch="360"/>
        </w:sectPr>
      </w:pPr>
    </w:p>
    <w:p w:rsidR="001F5CF0" w:rsidRDefault="001F5CF0" w:rsidP="001F5CF0">
      <w:pPr>
        <w:pStyle w:val="Caption"/>
      </w:pPr>
      <w:bookmarkStart w:id="162" w:name="_Toc376465845"/>
      <w:r>
        <w:t xml:space="preserve">Table </w:t>
      </w:r>
      <w:fldSimple w:instr=" SEQ Table \* ARABIC ">
        <w:r w:rsidR="00736DB0">
          <w:rPr>
            <w:noProof/>
          </w:rPr>
          <w:t>23</w:t>
        </w:r>
      </w:fldSimple>
      <w:r>
        <w:t xml:space="preserve"> Gut hormone plasma levels 420 minutes following a 3 hour</w:t>
      </w:r>
      <w:r>
        <w:rPr>
          <w:noProof/>
        </w:rPr>
        <w:t xml:space="preserve"> intrusion meal</w:t>
      </w:r>
      <w:r w:rsidR="005015D1">
        <w:rPr>
          <w:noProof/>
        </w:rPr>
        <w:t>.</w:t>
      </w:r>
      <w:bookmarkEnd w:id="162"/>
    </w:p>
    <w:tbl>
      <w:tblPr>
        <w:tblStyle w:val="TableClassic1"/>
        <w:tblW w:w="0" w:type="auto"/>
        <w:tblLook w:val="04A0" w:firstRow="1" w:lastRow="0" w:firstColumn="1" w:lastColumn="0" w:noHBand="0" w:noVBand="1"/>
      </w:tblPr>
      <w:tblGrid>
        <w:gridCol w:w="2438"/>
        <w:gridCol w:w="3170"/>
        <w:gridCol w:w="3170"/>
      </w:tblGrid>
      <w:tr w:rsidR="001F5CF0" w:rsidRPr="000863B6" w:rsidTr="001F5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r w:rsidRPr="000863B6">
              <w:t>Group</w:t>
            </w:r>
          </w:p>
        </w:tc>
        <w:tc>
          <w:tcPr>
            <w:tcW w:w="0" w:type="auto"/>
          </w:tcPr>
          <w:p w:rsidR="001F5CF0" w:rsidRPr="000863B6" w:rsidRDefault="001F5CF0" w:rsidP="001F5CF0">
            <w:pPr>
              <w:cnfStyle w:val="100000000000" w:firstRow="1" w:lastRow="0" w:firstColumn="0" w:lastColumn="0" w:oddVBand="0" w:evenVBand="0" w:oddHBand="0" w:evenHBand="0" w:firstRowFirstColumn="0" w:firstRowLastColumn="0" w:lastRowFirstColumn="0" w:lastRowLastColumn="0"/>
              <w:rPr>
                <w:i w:val="0"/>
                <w:iCs w:val="0"/>
              </w:rPr>
            </w:pPr>
            <w:r w:rsidRPr="000863B6">
              <w:t>Baseline</w:t>
            </w:r>
          </w:p>
        </w:tc>
        <w:tc>
          <w:tcPr>
            <w:tcW w:w="0" w:type="auto"/>
          </w:tcPr>
          <w:p w:rsidR="001F5CF0" w:rsidRPr="000863B6" w:rsidRDefault="001F5CF0" w:rsidP="001F5CF0">
            <w:pPr>
              <w:cnfStyle w:val="100000000000" w:firstRow="1" w:lastRow="0" w:firstColumn="0" w:lastColumn="0" w:oddVBand="0" w:evenVBand="0" w:oddHBand="0" w:evenHBand="0" w:firstRowFirstColumn="0" w:firstRowLastColumn="0" w:lastRowFirstColumn="0" w:lastRowLastColumn="0"/>
            </w:pPr>
            <w:r>
              <w:t>End of study</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000000"/>
              <w:bottom w:val="single" w:sz="2" w:space="0" w:color="000000"/>
            </w:tcBorders>
          </w:tcPr>
          <w:p w:rsidR="001F5CF0" w:rsidRPr="000863B6" w:rsidRDefault="001F5CF0" w:rsidP="001F5CF0">
            <w:r w:rsidRPr="000863B6">
              <w:t>Time (min)</w:t>
            </w:r>
          </w:p>
        </w:tc>
        <w:tc>
          <w:tcPr>
            <w:tcW w:w="0" w:type="auto"/>
            <w:tcBorders>
              <w:top w:val="single" w:sz="6" w:space="0" w:color="000000"/>
              <w:bottom w:val="single" w:sz="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420</w:t>
            </w:r>
          </w:p>
        </w:tc>
        <w:tc>
          <w:tcPr>
            <w:tcW w:w="0" w:type="auto"/>
            <w:tcBorders>
              <w:top w:val="single" w:sz="6" w:space="0" w:color="000000"/>
              <w:bottom w:val="single" w:sz="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420</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000000"/>
            </w:tcBorders>
          </w:tcPr>
          <w:p w:rsidR="001F5CF0" w:rsidRDefault="001F5CF0" w:rsidP="001F5CF0">
            <w:r w:rsidRPr="000863B6">
              <w:t>Ghrelin</w:t>
            </w:r>
          </w:p>
          <w:p w:rsidR="001F5CF0" w:rsidRPr="000863B6" w:rsidRDefault="001F5CF0" w:rsidP="001F5CF0">
            <w:r w:rsidRPr="000863B6">
              <w:t>(pg/mL)</w:t>
            </w:r>
          </w:p>
        </w:tc>
        <w:tc>
          <w:tcPr>
            <w:tcW w:w="0" w:type="auto"/>
            <w:tcBorders>
              <w:top w:val="single" w:sz="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c>
          <w:tcPr>
            <w:tcW w:w="0" w:type="auto"/>
            <w:tcBorders>
              <w:top w:val="single" w:sz="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rPr>
                <w:vertAlign w:val="superscript"/>
              </w:rPr>
            </w:pPr>
            <w:r w:rsidRPr="000863B6">
              <w:t>ExN</w:t>
            </w:r>
            <w:r w:rsidRPr="000863B6">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133.1 ± 63.7</w:t>
            </w:r>
            <w:r>
              <w:rPr>
                <w:vertAlign w:val="superscript"/>
              </w:rPr>
              <w:t>a,#</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51.6 ± 60.7</w:t>
            </w:r>
            <w:r>
              <w:rPr>
                <w:vertAlign w:val="superscript"/>
              </w:rPr>
              <w:t>a,$</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ExP</w:t>
            </w:r>
            <w:r w:rsidRPr="000863B6">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64.3 ± 40.1</w:t>
            </w:r>
            <w:r>
              <w:rPr>
                <w:vertAlign w:val="superscript"/>
              </w:rPr>
              <w:t>a,#</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24.6 ± 19.0</w:t>
            </w:r>
            <w:r>
              <w:rPr>
                <w:vertAlign w:val="superscript"/>
              </w:rPr>
              <w:t>a,#</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IBW</w:t>
            </w:r>
            <w:r w:rsidRPr="000863B6">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87.4 ± 80.8</w:t>
            </w:r>
            <w:r>
              <w:rPr>
                <w:vertAlign w:val="superscript"/>
              </w:rPr>
              <w:t>a,#</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61.9 ± 61.5</w:t>
            </w:r>
            <w:r>
              <w:rPr>
                <w:vertAlign w:val="superscript"/>
              </w:rPr>
              <w:t>a,#</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Default="001F5CF0" w:rsidP="001F5CF0">
            <w:r w:rsidRPr="000863B6">
              <w:t>PYY</w:t>
            </w:r>
          </w:p>
          <w:p w:rsidR="001F5CF0" w:rsidRPr="000863B6" w:rsidRDefault="001F5CF0" w:rsidP="001F5CF0">
            <w:r w:rsidRPr="000863B6">
              <w:t>(pg/mL)</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ExN</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364.2 ± 59.4</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214.7 ± 54.0</w:t>
            </w:r>
            <w:r w:rsidR="005015D1">
              <w:rPr>
                <w:vertAlign w:val="superscript"/>
              </w:rPr>
              <w:t>a</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ExP</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372.0 ± 56.9</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223.5 ± 55.4</w:t>
            </w:r>
            <w:r w:rsidR="005015D1">
              <w:rPr>
                <w:vertAlign w:val="superscript"/>
              </w:rPr>
              <w:t>a</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IBW</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327.7 ± 66.1</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358.0 ± 95.8</w:t>
            </w:r>
            <w:r w:rsidR="005015D1">
              <w:rPr>
                <w:vertAlign w:val="superscript"/>
              </w:rPr>
              <w:t>b</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Default="001F5CF0" w:rsidP="001F5CF0">
            <w:r w:rsidRPr="000863B6">
              <w:t>GLP-1</w:t>
            </w:r>
          </w:p>
          <w:p w:rsidR="001F5CF0" w:rsidRPr="000863B6" w:rsidRDefault="001F5CF0" w:rsidP="001F5CF0">
            <w:r w:rsidRPr="000863B6">
              <w:t>(pg/mL)</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ExN</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14.2 ± 7.0</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3.4 ± 3.9</w:t>
            </w:r>
            <w:r w:rsidR="005015D1">
              <w:rPr>
                <w:vertAlign w:val="superscript"/>
              </w:rPr>
              <w:t>a</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ExP</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19.9 ± 3.9</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5.6 ± 7.9</w:t>
            </w:r>
            <w:r w:rsidR="005015D1">
              <w:rPr>
                <w:vertAlign w:val="superscript"/>
              </w:rPr>
              <w:t>a</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1F5CF0" w:rsidRPr="000863B6" w:rsidRDefault="001F5CF0" w:rsidP="001F5CF0">
            <w:pPr>
              <w:jc w:val="center"/>
            </w:pPr>
            <w:r w:rsidRPr="000863B6">
              <w:t>IBW</w:t>
            </w:r>
          </w:p>
        </w:tc>
        <w:tc>
          <w:tcPr>
            <w:tcW w:w="0" w:type="auto"/>
            <w:tcBorders>
              <w:bottom w:val="single" w:sz="1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16.3 ± 0.4</w:t>
            </w:r>
            <w:r w:rsidR="005015D1">
              <w:rPr>
                <w:vertAlign w:val="superscript"/>
              </w:rPr>
              <w:t>a</w:t>
            </w:r>
            <w:r>
              <w:rPr>
                <w:vertAlign w:val="superscript"/>
              </w:rPr>
              <w:t>,#</w:t>
            </w:r>
          </w:p>
        </w:tc>
        <w:tc>
          <w:tcPr>
            <w:tcW w:w="0" w:type="auto"/>
            <w:tcBorders>
              <w:bottom w:val="single" w:sz="1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24.8 ± 19.9</w:t>
            </w:r>
            <w:r w:rsidR="005015D1">
              <w:rPr>
                <w:vertAlign w:val="superscript"/>
              </w:rPr>
              <w:t>b</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000000"/>
              <w:bottom w:val="nil"/>
              <w:right w:val="nil"/>
            </w:tcBorders>
          </w:tcPr>
          <w:p w:rsidR="001F5CF0" w:rsidRPr="00C03A66" w:rsidRDefault="001F5CF0" w:rsidP="001F5CF0">
            <w:pPr>
              <w:rPr>
                <w:sz w:val="18"/>
                <w:szCs w:val="18"/>
              </w:rPr>
            </w:pPr>
            <w:r w:rsidRPr="00C03A66">
              <w:rPr>
                <w:sz w:val="18"/>
                <w:szCs w:val="18"/>
              </w:rPr>
              <w:t>Numerical data presented as mean ± standard deviation.</w:t>
            </w:r>
          </w:p>
          <w:p w:rsidR="001F5CF0" w:rsidRPr="00C03A66" w:rsidRDefault="001F5CF0" w:rsidP="001F5CF0">
            <w:pPr>
              <w:rPr>
                <w:sz w:val="18"/>
                <w:szCs w:val="18"/>
              </w:rPr>
            </w:pPr>
            <w:r w:rsidRPr="00C03A66">
              <w:rPr>
                <w:sz w:val="18"/>
                <w:szCs w:val="18"/>
                <w:vertAlign w:val="superscript"/>
              </w:rPr>
              <w:t>*</w:t>
            </w:r>
            <w:r w:rsidRPr="00C03A66">
              <w:rPr>
                <w:sz w:val="18"/>
                <w:szCs w:val="18"/>
              </w:rPr>
              <w:t>ExN, excess calorie nutraceutical group; ExP, excess calorie placebo group; IBW, ideal body weight group.</w:t>
            </w:r>
          </w:p>
          <w:p w:rsidR="001F5CF0" w:rsidRPr="00C03A66" w:rsidRDefault="001F5CF0" w:rsidP="001F5CF0">
            <w:pPr>
              <w:rPr>
                <w:sz w:val="18"/>
                <w:szCs w:val="18"/>
              </w:rPr>
            </w:pPr>
            <w:proofErr w:type="gramStart"/>
            <w:r w:rsidRPr="00C03A66">
              <w:rPr>
                <w:sz w:val="18"/>
                <w:szCs w:val="18"/>
                <w:vertAlign w:val="superscript"/>
              </w:rPr>
              <w:t>a,</w:t>
            </w:r>
            <w:proofErr w:type="gramEnd"/>
            <w:r w:rsidRPr="00C03A66">
              <w:rPr>
                <w:sz w:val="18"/>
                <w:szCs w:val="18"/>
                <w:vertAlign w:val="superscript"/>
              </w:rPr>
              <w:t>b</w:t>
            </w:r>
            <w:r w:rsidRPr="00C03A66">
              <w:rPr>
                <w:sz w:val="18"/>
                <w:szCs w:val="18"/>
              </w:rPr>
              <w:t>Within a column, values with different superscript letters differ significantly (</w:t>
            </w:r>
            <w:r w:rsidRPr="00C03A66">
              <w:rPr>
                <w:i/>
                <w:sz w:val="18"/>
                <w:szCs w:val="18"/>
              </w:rPr>
              <w:t>p</w:t>
            </w:r>
            <w:r w:rsidRPr="00C03A66">
              <w:rPr>
                <w:sz w:val="18"/>
                <w:szCs w:val="18"/>
              </w:rPr>
              <w:t>&lt; 0.05).</w:t>
            </w:r>
          </w:p>
          <w:p w:rsidR="001F5CF0" w:rsidRPr="000863B6" w:rsidRDefault="001F5CF0" w:rsidP="001F5CF0">
            <w:r w:rsidRPr="00C03A66">
              <w:rPr>
                <w:sz w:val="18"/>
                <w:szCs w:val="18"/>
                <w:vertAlign w:val="superscript"/>
              </w:rPr>
              <w:t>#</w:t>
            </w:r>
            <w:proofErr w:type="gramStart"/>
            <w:r w:rsidRPr="00C03A66">
              <w:rPr>
                <w:sz w:val="18"/>
                <w:szCs w:val="18"/>
                <w:vertAlign w:val="superscript"/>
              </w:rPr>
              <w:t>,$</w:t>
            </w:r>
            <w:proofErr w:type="gramEnd"/>
            <w:r w:rsidRPr="00C03A66">
              <w:rPr>
                <w:sz w:val="18"/>
                <w:szCs w:val="18"/>
              </w:rPr>
              <w:t>Across columns, values with different superscript symbols differ significantly (</w:t>
            </w:r>
            <w:r w:rsidRPr="00C03A66">
              <w:rPr>
                <w:i/>
                <w:sz w:val="18"/>
                <w:szCs w:val="18"/>
              </w:rPr>
              <w:t>p</w:t>
            </w:r>
            <w:r w:rsidRPr="00C03A66">
              <w:rPr>
                <w:sz w:val="18"/>
                <w:szCs w:val="18"/>
              </w:rPr>
              <w:t>&lt; 0.05).</w:t>
            </w:r>
          </w:p>
        </w:tc>
      </w:tr>
    </w:tbl>
    <w:p w:rsidR="001F5CF0" w:rsidRDefault="001F5CF0"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5015D1" w:rsidRDefault="005015D1" w:rsidP="001F5CF0"/>
    <w:p w:rsidR="001F5CF0" w:rsidRDefault="001F5CF0" w:rsidP="001F5CF0">
      <w:pPr>
        <w:pStyle w:val="Caption"/>
      </w:pPr>
      <w:bookmarkStart w:id="163" w:name="_Toc376465846"/>
      <w:r>
        <w:t xml:space="preserve">Table </w:t>
      </w:r>
      <w:fldSimple w:instr=" SEQ Table \* ARABIC ">
        <w:r w:rsidR="00736DB0">
          <w:rPr>
            <w:noProof/>
          </w:rPr>
          <w:t>24</w:t>
        </w:r>
      </w:fldSimple>
      <w:r>
        <w:t xml:space="preserve"> Insulin and glucose plasma levels 420 minutes following a 3 hour</w:t>
      </w:r>
      <w:r>
        <w:rPr>
          <w:noProof/>
        </w:rPr>
        <w:t xml:space="preserve"> intrusion meal</w:t>
      </w:r>
      <w:r w:rsidR="005015D1">
        <w:rPr>
          <w:noProof/>
        </w:rPr>
        <w:t>.</w:t>
      </w:r>
      <w:bookmarkEnd w:id="163"/>
    </w:p>
    <w:tbl>
      <w:tblPr>
        <w:tblStyle w:val="TableClassic1"/>
        <w:tblW w:w="0" w:type="auto"/>
        <w:tblLook w:val="04A0" w:firstRow="1" w:lastRow="0" w:firstColumn="1" w:lastColumn="0" w:noHBand="0" w:noVBand="1"/>
      </w:tblPr>
      <w:tblGrid>
        <w:gridCol w:w="3267"/>
        <w:gridCol w:w="2662"/>
        <w:gridCol w:w="2849"/>
      </w:tblGrid>
      <w:tr w:rsidR="001F5CF0" w:rsidRPr="000863B6" w:rsidTr="001F5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r w:rsidRPr="000863B6">
              <w:t>Group</w:t>
            </w:r>
          </w:p>
        </w:tc>
        <w:tc>
          <w:tcPr>
            <w:tcW w:w="0" w:type="auto"/>
          </w:tcPr>
          <w:p w:rsidR="001F5CF0" w:rsidRPr="000863B6" w:rsidRDefault="001F5CF0" w:rsidP="001F5CF0">
            <w:pPr>
              <w:cnfStyle w:val="100000000000" w:firstRow="1" w:lastRow="0" w:firstColumn="0" w:lastColumn="0" w:oddVBand="0" w:evenVBand="0" w:oddHBand="0" w:evenHBand="0" w:firstRowFirstColumn="0" w:firstRowLastColumn="0" w:lastRowFirstColumn="0" w:lastRowLastColumn="0"/>
              <w:rPr>
                <w:i w:val="0"/>
                <w:iCs w:val="0"/>
              </w:rPr>
            </w:pPr>
            <w:r w:rsidRPr="000863B6">
              <w:t>Baseline</w:t>
            </w:r>
          </w:p>
        </w:tc>
        <w:tc>
          <w:tcPr>
            <w:tcW w:w="0" w:type="auto"/>
          </w:tcPr>
          <w:p w:rsidR="001F5CF0" w:rsidRPr="000863B6" w:rsidRDefault="001F5CF0" w:rsidP="001F5CF0">
            <w:pPr>
              <w:cnfStyle w:val="100000000000" w:firstRow="1" w:lastRow="0" w:firstColumn="0" w:lastColumn="0" w:oddVBand="0" w:evenVBand="0" w:oddHBand="0" w:evenHBand="0" w:firstRowFirstColumn="0" w:firstRowLastColumn="0" w:lastRowFirstColumn="0" w:lastRowLastColumn="0"/>
            </w:pPr>
            <w:r>
              <w:t>End of study</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000000"/>
              <w:bottom w:val="single" w:sz="2" w:space="0" w:color="000000"/>
            </w:tcBorders>
          </w:tcPr>
          <w:p w:rsidR="001F5CF0" w:rsidRPr="000863B6" w:rsidRDefault="001F5CF0" w:rsidP="001F5CF0">
            <w:r w:rsidRPr="000863B6">
              <w:t>Time (min)</w:t>
            </w:r>
          </w:p>
        </w:tc>
        <w:tc>
          <w:tcPr>
            <w:tcW w:w="0" w:type="auto"/>
            <w:tcBorders>
              <w:top w:val="single" w:sz="6" w:space="0" w:color="000000"/>
              <w:bottom w:val="single" w:sz="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420</w:t>
            </w:r>
          </w:p>
        </w:tc>
        <w:tc>
          <w:tcPr>
            <w:tcW w:w="0" w:type="auto"/>
            <w:tcBorders>
              <w:top w:val="single" w:sz="6" w:space="0" w:color="000000"/>
              <w:bottom w:val="single" w:sz="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420</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Borders>
              <w:top w:val="single" w:sz="2" w:space="0" w:color="000000"/>
            </w:tcBorders>
          </w:tcPr>
          <w:p w:rsidR="001F5CF0" w:rsidRDefault="001F5CF0" w:rsidP="001F5CF0">
            <w:r w:rsidRPr="000863B6">
              <w:t>Glucose</w:t>
            </w:r>
          </w:p>
          <w:p w:rsidR="001F5CF0" w:rsidRPr="000863B6" w:rsidRDefault="001F5CF0" w:rsidP="001F5CF0">
            <w:r w:rsidRPr="000863B6">
              <w:t>(mg/dL)</w:t>
            </w:r>
          </w:p>
        </w:tc>
        <w:tc>
          <w:tcPr>
            <w:tcW w:w="0" w:type="auto"/>
            <w:tcBorders>
              <w:top w:val="single" w:sz="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c>
          <w:tcPr>
            <w:tcW w:w="0" w:type="auto"/>
            <w:tcBorders>
              <w:top w:val="single" w:sz="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7B64B6" w:rsidRDefault="001F5CF0" w:rsidP="001F5CF0">
            <w:pPr>
              <w:jc w:val="center"/>
              <w:rPr>
                <w:vertAlign w:val="superscript"/>
              </w:rPr>
            </w:pPr>
            <w:r w:rsidRPr="000863B6">
              <w:t>ExN</w:t>
            </w:r>
            <w:r w:rsidR="007B64B6">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85.5 ± 10.7</w:t>
            </w:r>
            <w:r>
              <w:rPr>
                <w:vertAlign w:val="superscript"/>
              </w:rPr>
              <w:t>a,#</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102.0 ± 8.0</w:t>
            </w:r>
            <w:r>
              <w:rPr>
                <w:vertAlign w:val="superscript"/>
              </w:rPr>
              <w:t>a,#</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7B64B6" w:rsidRDefault="001F5CF0" w:rsidP="001F5CF0">
            <w:pPr>
              <w:jc w:val="center"/>
              <w:rPr>
                <w:vertAlign w:val="superscript"/>
              </w:rPr>
            </w:pPr>
            <w:r w:rsidRPr="000863B6">
              <w:t>ExP</w:t>
            </w:r>
            <w:r w:rsidR="007B64B6">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 xml:space="preserve">93.7 ± </w:t>
            </w:r>
            <w:r>
              <w:t xml:space="preserve"> </w:t>
            </w:r>
            <w:r w:rsidRPr="000863B6">
              <w:t>8.8</w:t>
            </w:r>
            <w:r>
              <w:rPr>
                <w:vertAlign w:val="superscript"/>
              </w:rPr>
              <w:t>a,#</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90.5 ±</w:t>
            </w:r>
            <w:r>
              <w:t xml:space="preserve">  9.0</w:t>
            </w:r>
            <w:r>
              <w:rPr>
                <w:vertAlign w:val="superscript"/>
              </w:rPr>
              <w:t>a,b,#</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7B64B6" w:rsidRDefault="001F5CF0" w:rsidP="001F5CF0">
            <w:pPr>
              <w:jc w:val="center"/>
              <w:rPr>
                <w:vertAlign w:val="superscript"/>
              </w:rPr>
            </w:pPr>
            <w:r w:rsidRPr="000863B6">
              <w:t>IBW</w:t>
            </w:r>
            <w:r w:rsidR="007B64B6">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100.8 ± 11.5</w:t>
            </w:r>
            <w:r>
              <w:rPr>
                <w:vertAlign w:val="superscript"/>
              </w:rPr>
              <w:t>a,#</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 xml:space="preserve">76.4 ± </w:t>
            </w:r>
            <w:r>
              <w:t xml:space="preserve"> </w:t>
            </w:r>
            <w:r w:rsidRPr="000863B6">
              <w:t>7.8</w:t>
            </w:r>
            <w:r>
              <w:rPr>
                <w:vertAlign w:val="superscript"/>
              </w:rPr>
              <w:t>b,$</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Default="001F5CF0" w:rsidP="001F5CF0">
            <w:r w:rsidRPr="000863B6">
              <w:t>Insulin</w:t>
            </w:r>
          </w:p>
          <w:p w:rsidR="001F5CF0" w:rsidRPr="000863B6" w:rsidRDefault="001F5CF0" w:rsidP="001F5CF0">
            <w:r w:rsidRPr="000863B6">
              <w:t>(pg/mL)</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ExN</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542.0 ± 414.4</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99.2 ± 39.0</w:t>
            </w:r>
            <w:r w:rsidR="005015D1">
              <w:rPr>
                <w:vertAlign w:val="superscript"/>
              </w:rPr>
              <w:t>a</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ExP</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420.1 ± 240.0</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421.4 ± 322.8</w:t>
            </w:r>
            <w:r>
              <w:rPr>
                <w:vertAlign w:val="superscript"/>
              </w:rPr>
              <w:t>b,#</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IBW</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442.8 ± 151.7</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410.6 ± 415.1</w:t>
            </w:r>
            <w:r w:rsidR="005015D1">
              <w:rPr>
                <w:vertAlign w:val="superscript"/>
              </w:rPr>
              <w:t>a,b</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r>
              <w:t>Insulin:glucose ratio</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ExN</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t xml:space="preserve">18.0 </w:t>
            </w:r>
            <w:r w:rsidRPr="000863B6">
              <w:t>±</w:t>
            </w:r>
            <w:r>
              <w:t xml:space="preserve"> 15.5</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t xml:space="preserve">2.8 </w:t>
            </w:r>
            <w:r w:rsidRPr="000863B6">
              <w:t>±</w:t>
            </w:r>
            <w:r>
              <w:t xml:space="preserve"> 1.2</w:t>
            </w:r>
            <w:r w:rsidR="005015D1">
              <w:rPr>
                <w:vertAlign w:val="superscript"/>
              </w:rPr>
              <w:t>a</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ExP</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t xml:space="preserve">12.9 </w:t>
            </w:r>
            <w:r w:rsidRPr="000863B6">
              <w:t>±</w:t>
            </w:r>
            <w:r>
              <w:t xml:space="preserve"> 7.5</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t xml:space="preserve">13.1 </w:t>
            </w:r>
            <w:r w:rsidRPr="000863B6">
              <w:t>±</w:t>
            </w:r>
            <w:r>
              <w:t xml:space="preserve"> 11.5</w:t>
            </w:r>
            <w:r w:rsidR="005015D1">
              <w:rPr>
                <w:vertAlign w:val="superscript"/>
              </w:rPr>
              <w:t>a</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IBW</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t xml:space="preserve">12.6 </w:t>
            </w:r>
            <w:r w:rsidRPr="000863B6">
              <w:t>±</w:t>
            </w:r>
            <w:r>
              <w:t xml:space="preserve"> 4.5</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t xml:space="preserve">16.3 </w:t>
            </w:r>
            <w:r w:rsidRPr="000863B6">
              <w:t>±</w:t>
            </w:r>
            <w:r>
              <w:t xml:space="preserve"> 17.5</w:t>
            </w:r>
            <w:r w:rsidR="005015D1">
              <w:rPr>
                <w:vertAlign w:val="superscript"/>
              </w:rPr>
              <w:t>a</w:t>
            </w:r>
            <w:r>
              <w:rPr>
                <w:vertAlign w:val="superscript"/>
              </w:rPr>
              <w:t>,#</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000000"/>
              <w:bottom w:val="nil"/>
              <w:right w:val="nil"/>
            </w:tcBorders>
          </w:tcPr>
          <w:p w:rsidR="001F5CF0" w:rsidRPr="00C03A66" w:rsidRDefault="001F5CF0" w:rsidP="001F5CF0">
            <w:pPr>
              <w:rPr>
                <w:sz w:val="18"/>
                <w:szCs w:val="18"/>
              </w:rPr>
            </w:pPr>
            <w:r w:rsidRPr="00C03A66">
              <w:rPr>
                <w:sz w:val="18"/>
                <w:szCs w:val="18"/>
              </w:rPr>
              <w:t>Numerical data presented as mean ± standard deviation.</w:t>
            </w:r>
          </w:p>
          <w:p w:rsidR="001F5CF0" w:rsidRPr="00C03A66" w:rsidRDefault="001F5CF0" w:rsidP="001F5CF0">
            <w:pPr>
              <w:rPr>
                <w:sz w:val="18"/>
                <w:szCs w:val="18"/>
              </w:rPr>
            </w:pPr>
            <w:r w:rsidRPr="00C03A66">
              <w:rPr>
                <w:sz w:val="18"/>
                <w:szCs w:val="18"/>
                <w:vertAlign w:val="superscript"/>
              </w:rPr>
              <w:t>*</w:t>
            </w:r>
            <w:r w:rsidRPr="00C03A66">
              <w:rPr>
                <w:sz w:val="18"/>
                <w:szCs w:val="18"/>
              </w:rPr>
              <w:t>ExN, excess calorie nutraceutical group; ExP, excess calorie placebo group; IBW, ideal body weight group.</w:t>
            </w:r>
          </w:p>
          <w:p w:rsidR="001F5CF0" w:rsidRPr="00C03A66" w:rsidRDefault="001F5CF0" w:rsidP="001F5CF0">
            <w:pPr>
              <w:rPr>
                <w:sz w:val="18"/>
                <w:szCs w:val="18"/>
              </w:rPr>
            </w:pPr>
            <w:proofErr w:type="gramStart"/>
            <w:r w:rsidRPr="00C03A66">
              <w:rPr>
                <w:sz w:val="18"/>
                <w:szCs w:val="18"/>
                <w:vertAlign w:val="superscript"/>
              </w:rPr>
              <w:t>a,</w:t>
            </w:r>
            <w:proofErr w:type="gramEnd"/>
            <w:r w:rsidRPr="00C03A66">
              <w:rPr>
                <w:sz w:val="18"/>
                <w:szCs w:val="18"/>
                <w:vertAlign w:val="superscript"/>
              </w:rPr>
              <w:t>b</w:t>
            </w:r>
            <w:r w:rsidRPr="00C03A66">
              <w:rPr>
                <w:sz w:val="18"/>
                <w:szCs w:val="18"/>
              </w:rPr>
              <w:t>Within a column, values with different superscript letters differ significantly (</w:t>
            </w:r>
            <w:r w:rsidRPr="00C03A66">
              <w:rPr>
                <w:i/>
                <w:sz w:val="18"/>
                <w:szCs w:val="18"/>
              </w:rPr>
              <w:t>p</w:t>
            </w:r>
            <w:r w:rsidRPr="00C03A66">
              <w:rPr>
                <w:sz w:val="18"/>
                <w:szCs w:val="18"/>
              </w:rPr>
              <w:t>&lt; 0.05).</w:t>
            </w:r>
          </w:p>
          <w:p w:rsidR="001F5CF0" w:rsidRPr="000863B6" w:rsidRDefault="001F5CF0" w:rsidP="001F5CF0">
            <w:r w:rsidRPr="00C03A66">
              <w:rPr>
                <w:sz w:val="18"/>
                <w:szCs w:val="18"/>
                <w:vertAlign w:val="superscript"/>
              </w:rPr>
              <w:t>#</w:t>
            </w:r>
            <w:proofErr w:type="gramStart"/>
            <w:r w:rsidRPr="00C03A66">
              <w:rPr>
                <w:sz w:val="18"/>
                <w:szCs w:val="18"/>
                <w:vertAlign w:val="superscript"/>
              </w:rPr>
              <w:t>,$</w:t>
            </w:r>
            <w:proofErr w:type="gramEnd"/>
            <w:r w:rsidRPr="00C03A66">
              <w:rPr>
                <w:sz w:val="18"/>
                <w:szCs w:val="18"/>
                <w:vertAlign w:val="superscript"/>
              </w:rPr>
              <w:t>,%</w:t>
            </w:r>
            <w:r w:rsidRPr="00C03A66">
              <w:rPr>
                <w:sz w:val="18"/>
                <w:szCs w:val="18"/>
              </w:rPr>
              <w:t>Across columns, values with different superscript symbols differ significantly (</w:t>
            </w:r>
            <w:r w:rsidRPr="00C03A66">
              <w:rPr>
                <w:i/>
                <w:sz w:val="18"/>
                <w:szCs w:val="18"/>
              </w:rPr>
              <w:t>p</w:t>
            </w:r>
            <w:r w:rsidRPr="00C03A66">
              <w:rPr>
                <w:sz w:val="18"/>
                <w:szCs w:val="18"/>
              </w:rPr>
              <w:t>&lt; 0.05).</w:t>
            </w:r>
          </w:p>
        </w:tc>
      </w:tr>
    </w:tbl>
    <w:p w:rsidR="001F5CF0" w:rsidRDefault="001F5CF0" w:rsidP="001F5CF0"/>
    <w:p w:rsidR="001F5CF0" w:rsidRDefault="001F5CF0" w:rsidP="001F5CF0"/>
    <w:p w:rsidR="001F5CF0" w:rsidRDefault="001F5CF0" w:rsidP="001F5CF0"/>
    <w:p w:rsidR="001F5CF0" w:rsidRDefault="001F5CF0" w:rsidP="001F5CF0">
      <w:pPr>
        <w:pStyle w:val="Caption"/>
      </w:pPr>
      <w:bookmarkStart w:id="164" w:name="_Toc376465847"/>
      <w:r>
        <w:t xml:space="preserve">Table </w:t>
      </w:r>
      <w:fldSimple w:instr=" SEQ Table \* ARABIC ">
        <w:r w:rsidR="00736DB0">
          <w:rPr>
            <w:noProof/>
          </w:rPr>
          <w:t>25</w:t>
        </w:r>
      </w:fldSimple>
      <w:r>
        <w:t xml:space="preserve"> Leptin and adiponectin plasma levels 420 minutes following a 3 hour</w:t>
      </w:r>
      <w:r>
        <w:rPr>
          <w:noProof/>
        </w:rPr>
        <w:t xml:space="preserve"> intrusion meal</w:t>
      </w:r>
      <w:r w:rsidR="000130BF">
        <w:rPr>
          <w:noProof/>
        </w:rPr>
        <w:t>.</w:t>
      </w:r>
      <w:bookmarkEnd w:id="164"/>
    </w:p>
    <w:tbl>
      <w:tblPr>
        <w:tblStyle w:val="TableClassic1"/>
        <w:tblW w:w="0" w:type="auto"/>
        <w:tblLook w:val="04A0" w:firstRow="1" w:lastRow="0" w:firstColumn="1" w:lastColumn="0" w:noHBand="0" w:noVBand="1"/>
      </w:tblPr>
      <w:tblGrid>
        <w:gridCol w:w="2796"/>
        <w:gridCol w:w="2807"/>
        <w:gridCol w:w="3175"/>
      </w:tblGrid>
      <w:tr w:rsidR="001F5CF0" w:rsidRPr="000863B6" w:rsidTr="001F5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r w:rsidRPr="000863B6">
              <w:t>Group</w:t>
            </w:r>
          </w:p>
        </w:tc>
        <w:tc>
          <w:tcPr>
            <w:tcW w:w="0" w:type="auto"/>
          </w:tcPr>
          <w:p w:rsidR="001F5CF0" w:rsidRPr="000863B6" w:rsidRDefault="001F5CF0" w:rsidP="001F5CF0">
            <w:pPr>
              <w:cnfStyle w:val="100000000000" w:firstRow="1" w:lastRow="0" w:firstColumn="0" w:lastColumn="0" w:oddVBand="0" w:evenVBand="0" w:oddHBand="0" w:evenHBand="0" w:firstRowFirstColumn="0" w:firstRowLastColumn="0" w:lastRowFirstColumn="0" w:lastRowLastColumn="0"/>
              <w:rPr>
                <w:i w:val="0"/>
                <w:iCs w:val="0"/>
              </w:rPr>
            </w:pPr>
            <w:r w:rsidRPr="000863B6">
              <w:t>Baseline</w:t>
            </w:r>
          </w:p>
        </w:tc>
        <w:tc>
          <w:tcPr>
            <w:tcW w:w="0" w:type="auto"/>
          </w:tcPr>
          <w:p w:rsidR="001F5CF0" w:rsidRPr="000863B6" w:rsidRDefault="001F5CF0" w:rsidP="001F5CF0">
            <w:pPr>
              <w:cnfStyle w:val="100000000000" w:firstRow="1" w:lastRow="0" w:firstColumn="0" w:lastColumn="0" w:oddVBand="0" w:evenVBand="0" w:oddHBand="0" w:evenHBand="0" w:firstRowFirstColumn="0" w:firstRowLastColumn="0" w:lastRowFirstColumn="0" w:lastRowLastColumn="0"/>
            </w:pPr>
            <w:r>
              <w:t>End of study</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Borders>
              <w:top w:val="single" w:sz="6" w:space="0" w:color="000000"/>
              <w:bottom w:val="single" w:sz="2" w:space="0" w:color="000000"/>
            </w:tcBorders>
          </w:tcPr>
          <w:p w:rsidR="001F5CF0" w:rsidRPr="000863B6" w:rsidRDefault="001F5CF0" w:rsidP="001F5CF0">
            <w:r w:rsidRPr="000863B6">
              <w:t>Time (min)</w:t>
            </w:r>
          </w:p>
        </w:tc>
        <w:tc>
          <w:tcPr>
            <w:tcW w:w="0" w:type="auto"/>
            <w:tcBorders>
              <w:top w:val="single" w:sz="6" w:space="0" w:color="000000"/>
              <w:bottom w:val="single" w:sz="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420</w:t>
            </w:r>
          </w:p>
        </w:tc>
        <w:tc>
          <w:tcPr>
            <w:tcW w:w="0" w:type="auto"/>
            <w:tcBorders>
              <w:top w:val="single" w:sz="6" w:space="0" w:color="000000"/>
              <w:bottom w:val="single" w:sz="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420</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Default="001F5CF0" w:rsidP="001F5CF0">
            <w:r w:rsidRPr="000863B6">
              <w:t>Leptin</w:t>
            </w:r>
          </w:p>
          <w:p w:rsidR="001F5CF0" w:rsidRPr="000863B6" w:rsidRDefault="001F5CF0" w:rsidP="001F5CF0">
            <w:r w:rsidRPr="000863B6">
              <w:t>(pg/mL)</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7B64B6" w:rsidRDefault="001F5CF0" w:rsidP="001F5CF0">
            <w:pPr>
              <w:jc w:val="center"/>
              <w:rPr>
                <w:vertAlign w:val="superscript"/>
              </w:rPr>
            </w:pPr>
            <w:r w:rsidRPr="000863B6">
              <w:t>ExN</w:t>
            </w:r>
            <w:r w:rsidR="007B64B6">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976.2 ± 251.9</w:t>
            </w:r>
            <w:r w:rsidR="005015D1">
              <w:rPr>
                <w:vertAlign w:val="superscript"/>
              </w:rPr>
              <w:t>a,b</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1973.9 ± 1169.4</w:t>
            </w:r>
            <w:r>
              <w:rPr>
                <w:vertAlign w:val="superscript"/>
              </w:rPr>
              <w:t>a,b,$</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7B64B6" w:rsidRDefault="001F5CF0" w:rsidP="001F5CF0">
            <w:pPr>
              <w:jc w:val="center"/>
              <w:rPr>
                <w:vertAlign w:val="superscript"/>
              </w:rPr>
            </w:pPr>
            <w:r w:rsidRPr="000863B6">
              <w:t>ExP</w:t>
            </w:r>
            <w:r w:rsidR="007B64B6">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1410.8 ± 328.6</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4168.6 ± 2275.6</w:t>
            </w:r>
            <w:r>
              <w:rPr>
                <w:vertAlign w:val="superscript"/>
              </w:rPr>
              <w:t>a,$</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7B64B6" w:rsidRDefault="001F5CF0" w:rsidP="001F5CF0">
            <w:pPr>
              <w:jc w:val="center"/>
              <w:rPr>
                <w:vertAlign w:val="superscript"/>
              </w:rPr>
            </w:pPr>
            <w:r w:rsidRPr="000863B6">
              <w:t>IBW</w:t>
            </w:r>
            <w:r w:rsidR="007B64B6">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611.1 ± 274.3</w:t>
            </w:r>
            <w:r w:rsidR="005015D1">
              <w:rPr>
                <w:vertAlign w:val="superscript"/>
              </w:rPr>
              <w:t>b</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1513.2 ± 703.4</w:t>
            </w:r>
            <w:r>
              <w:rPr>
                <w:vertAlign w:val="superscript"/>
              </w:rPr>
              <w:t>b,$</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Default="001F5CF0" w:rsidP="001F5CF0">
            <w:commentRangeStart w:id="165"/>
            <w:r w:rsidRPr="000863B6">
              <w:t>Adiponectin</w:t>
            </w:r>
            <w:commentRangeEnd w:id="165"/>
            <w:r w:rsidRPr="000863B6">
              <w:rPr>
                <w:rStyle w:val="CommentReference"/>
                <w:sz w:val="24"/>
                <w:szCs w:val="24"/>
              </w:rPr>
              <w:commentReference w:id="165"/>
            </w:r>
          </w:p>
          <w:p w:rsidR="001F5CF0" w:rsidRPr="000863B6" w:rsidRDefault="001F5CF0" w:rsidP="001F5CF0">
            <w:r w:rsidRPr="000863B6">
              <w:t>(ng/mL)</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ExN</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17.7 ± 4.8</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7.2 ± 3.3</w:t>
            </w:r>
            <w:r>
              <w:rPr>
                <w:vertAlign w:val="superscript"/>
              </w:rPr>
              <w:t>a,$</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Pr>
          <w:p w:rsidR="001F5CF0" w:rsidRPr="000863B6" w:rsidRDefault="001F5CF0" w:rsidP="001F5CF0">
            <w:pPr>
              <w:jc w:val="center"/>
            </w:pPr>
            <w:r w:rsidRPr="000863B6">
              <w:t>ExP</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7.9 ± 4.0</w:t>
            </w:r>
            <w:r w:rsidR="005015D1">
              <w:rPr>
                <w:vertAlign w:val="superscript"/>
              </w:rPr>
              <w:t>a,</w:t>
            </w:r>
            <w:r>
              <w:rPr>
                <w:vertAlign w:val="superscript"/>
              </w:rPr>
              <w:t>#</w:t>
            </w:r>
          </w:p>
        </w:tc>
        <w:tc>
          <w:tcPr>
            <w:tcW w:w="0" w:type="auto"/>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4.7 ± 1.7</w:t>
            </w:r>
            <w:r>
              <w:rPr>
                <w:vertAlign w:val="superscript"/>
              </w:rPr>
              <w:t>a,$</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1F5CF0" w:rsidRPr="000863B6" w:rsidRDefault="001F5CF0" w:rsidP="001F5CF0">
            <w:pPr>
              <w:jc w:val="center"/>
            </w:pPr>
            <w:r w:rsidRPr="000863B6">
              <w:t>IBW</w:t>
            </w:r>
          </w:p>
        </w:tc>
        <w:tc>
          <w:tcPr>
            <w:tcW w:w="0" w:type="auto"/>
            <w:tcBorders>
              <w:bottom w:val="single" w:sz="1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10.2 ± 8.0</w:t>
            </w:r>
            <w:r w:rsidR="005015D1">
              <w:rPr>
                <w:vertAlign w:val="superscript"/>
              </w:rPr>
              <w:t>a</w:t>
            </w:r>
            <w:r>
              <w:rPr>
                <w:vertAlign w:val="superscript"/>
              </w:rPr>
              <w:t>,#</w:t>
            </w:r>
          </w:p>
        </w:tc>
        <w:tc>
          <w:tcPr>
            <w:tcW w:w="0" w:type="auto"/>
            <w:tcBorders>
              <w:bottom w:val="single" w:sz="12" w:space="0" w:color="000000"/>
            </w:tcBorders>
          </w:tcPr>
          <w:p w:rsidR="001F5CF0" w:rsidRPr="000863B6" w:rsidRDefault="001F5CF0" w:rsidP="001F5CF0">
            <w:pPr>
              <w:cnfStyle w:val="000000000000" w:firstRow="0" w:lastRow="0" w:firstColumn="0" w:lastColumn="0" w:oddVBand="0" w:evenVBand="0" w:oddHBand="0" w:evenHBand="0" w:firstRowFirstColumn="0" w:firstRowLastColumn="0" w:lastRowFirstColumn="0" w:lastRowLastColumn="0"/>
            </w:pPr>
            <w:r w:rsidRPr="000863B6">
              <w:t>5.0 ± 0.9</w:t>
            </w:r>
            <w:r>
              <w:rPr>
                <w:vertAlign w:val="superscript"/>
              </w:rPr>
              <w:t>a,#</w:t>
            </w:r>
          </w:p>
        </w:tc>
      </w:tr>
      <w:tr w:rsidR="001F5CF0" w:rsidRPr="000863B6" w:rsidTr="001F5CF0">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000000"/>
              <w:bottom w:val="nil"/>
              <w:right w:val="nil"/>
            </w:tcBorders>
          </w:tcPr>
          <w:p w:rsidR="001F5CF0" w:rsidRPr="00C03A66" w:rsidRDefault="001F5CF0" w:rsidP="001F5CF0">
            <w:pPr>
              <w:rPr>
                <w:sz w:val="18"/>
                <w:szCs w:val="18"/>
              </w:rPr>
            </w:pPr>
            <w:r w:rsidRPr="00C03A66">
              <w:rPr>
                <w:sz w:val="18"/>
                <w:szCs w:val="18"/>
              </w:rPr>
              <w:t>Numerical data presented as mean ± standard deviation.</w:t>
            </w:r>
          </w:p>
          <w:p w:rsidR="001F5CF0" w:rsidRPr="00C03A66" w:rsidRDefault="001F5CF0" w:rsidP="001F5CF0">
            <w:pPr>
              <w:rPr>
                <w:sz w:val="18"/>
                <w:szCs w:val="18"/>
              </w:rPr>
            </w:pPr>
            <w:r w:rsidRPr="00C03A66">
              <w:rPr>
                <w:sz w:val="18"/>
                <w:szCs w:val="18"/>
                <w:vertAlign w:val="superscript"/>
              </w:rPr>
              <w:t>*</w:t>
            </w:r>
            <w:r w:rsidRPr="00C03A66">
              <w:rPr>
                <w:sz w:val="18"/>
                <w:szCs w:val="18"/>
              </w:rPr>
              <w:t>ExN, excess calorie nutraceutical group; ExP, excess calorie placebo group; IBW, ideal body weight group.</w:t>
            </w:r>
          </w:p>
          <w:p w:rsidR="001F5CF0" w:rsidRPr="00C03A66" w:rsidRDefault="001F5CF0" w:rsidP="001F5CF0">
            <w:pPr>
              <w:rPr>
                <w:sz w:val="18"/>
                <w:szCs w:val="18"/>
              </w:rPr>
            </w:pPr>
            <w:proofErr w:type="gramStart"/>
            <w:r w:rsidRPr="00C03A66">
              <w:rPr>
                <w:sz w:val="18"/>
                <w:szCs w:val="18"/>
                <w:vertAlign w:val="superscript"/>
              </w:rPr>
              <w:t>a,</w:t>
            </w:r>
            <w:proofErr w:type="gramEnd"/>
            <w:r w:rsidRPr="00C03A66">
              <w:rPr>
                <w:sz w:val="18"/>
                <w:szCs w:val="18"/>
                <w:vertAlign w:val="superscript"/>
              </w:rPr>
              <w:t>b</w:t>
            </w:r>
            <w:r w:rsidRPr="00C03A66">
              <w:rPr>
                <w:sz w:val="18"/>
                <w:szCs w:val="18"/>
              </w:rPr>
              <w:t>Within a column, values with different superscript letters differ significantly (</w:t>
            </w:r>
            <w:r w:rsidRPr="00C03A66">
              <w:rPr>
                <w:i/>
                <w:sz w:val="18"/>
                <w:szCs w:val="18"/>
              </w:rPr>
              <w:t>p</w:t>
            </w:r>
            <w:r w:rsidRPr="00C03A66">
              <w:rPr>
                <w:sz w:val="18"/>
                <w:szCs w:val="18"/>
              </w:rPr>
              <w:t>&lt; 0.05).</w:t>
            </w:r>
          </w:p>
          <w:p w:rsidR="001F5CF0" w:rsidRPr="000863B6" w:rsidRDefault="001F5CF0" w:rsidP="001F5CF0">
            <w:r w:rsidRPr="00C03A66">
              <w:rPr>
                <w:sz w:val="18"/>
                <w:szCs w:val="18"/>
                <w:vertAlign w:val="superscript"/>
              </w:rPr>
              <w:t>#</w:t>
            </w:r>
            <w:proofErr w:type="gramStart"/>
            <w:r w:rsidRPr="00C03A66">
              <w:rPr>
                <w:sz w:val="18"/>
                <w:szCs w:val="18"/>
                <w:vertAlign w:val="superscript"/>
              </w:rPr>
              <w:t>,$</w:t>
            </w:r>
            <w:proofErr w:type="gramEnd"/>
            <w:r w:rsidRPr="00C03A66">
              <w:rPr>
                <w:sz w:val="18"/>
                <w:szCs w:val="18"/>
              </w:rPr>
              <w:t>Across columns, values with different superscript symbols differ significantly (</w:t>
            </w:r>
            <w:r w:rsidRPr="00C03A66">
              <w:rPr>
                <w:i/>
                <w:sz w:val="18"/>
                <w:szCs w:val="18"/>
              </w:rPr>
              <w:t>p</w:t>
            </w:r>
            <w:r w:rsidRPr="00C03A66">
              <w:rPr>
                <w:sz w:val="18"/>
                <w:szCs w:val="18"/>
              </w:rPr>
              <w:t>&lt; 0.05).</w:t>
            </w:r>
          </w:p>
        </w:tc>
      </w:tr>
    </w:tbl>
    <w:p w:rsidR="00876179" w:rsidRDefault="00876179" w:rsidP="00876179"/>
    <w:p w:rsidR="00876179" w:rsidRPr="00184B68" w:rsidRDefault="00876179" w:rsidP="00876179">
      <w:proofErr w:type="gramStart"/>
      <w:r>
        <w:t>study</w:t>
      </w:r>
      <w:proofErr w:type="gramEnd"/>
      <w:r>
        <w:t xml:space="preserve"> completion (</w:t>
      </w:r>
      <w:r>
        <w:rPr>
          <w:i/>
        </w:rPr>
        <w:t>p</w:t>
      </w:r>
      <w:r>
        <w:t xml:space="preserve"> &lt; 0.0122) and PYY was lower in both groups (</w:t>
      </w:r>
      <w:r>
        <w:rPr>
          <w:i/>
        </w:rPr>
        <w:t>p</w:t>
      </w:r>
      <w:r>
        <w:t xml:space="preserve"> &lt; 0.0001).  Insulin (</w:t>
      </w:r>
      <w:r>
        <w:rPr>
          <w:i/>
        </w:rPr>
        <w:t>p</w:t>
      </w:r>
      <w:r>
        <w:t xml:space="preserve"> = 0.0001) and insulin</w:t>
      </w:r>
      <w:proofErr w:type="gramStart"/>
      <w:r>
        <w:t>:glucose</w:t>
      </w:r>
      <w:proofErr w:type="gramEnd"/>
      <w:r>
        <w:t xml:space="preserve"> (</w:t>
      </w:r>
      <w:r>
        <w:rPr>
          <w:i/>
        </w:rPr>
        <w:t>p</w:t>
      </w:r>
      <w:r>
        <w:t xml:space="preserve"> = 0.0128) 420 minute samples were lower at study completion for group ExN.  Leptin increased by study termination in both groups (</w:t>
      </w:r>
      <w:r>
        <w:rPr>
          <w:i/>
        </w:rPr>
        <w:t>p</w:t>
      </w:r>
      <w:r>
        <w:t xml:space="preserve"> &lt; 0.0148), while adiponectin decreased in ExN (</w:t>
      </w:r>
      <w:r>
        <w:rPr>
          <w:i/>
        </w:rPr>
        <w:t>p</w:t>
      </w:r>
      <w:r>
        <w:t xml:space="preserve"> = 0.01) and did not differ in ExP.</w:t>
      </w:r>
    </w:p>
    <w:p w:rsidR="00876179" w:rsidRDefault="00876179" w:rsidP="00876179">
      <w:pPr>
        <w:pStyle w:val="Heading5"/>
      </w:pPr>
      <w:r>
        <w:t>Maintain ideal body weight group; IBW</w:t>
      </w:r>
    </w:p>
    <w:p w:rsidR="00876179" w:rsidRPr="007571F0" w:rsidRDefault="00876179" w:rsidP="00876179">
      <w:r>
        <w:t>Ghrelin and insulin levels differed from ExN (</w:t>
      </w:r>
      <w:r>
        <w:rPr>
          <w:i/>
        </w:rPr>
        <w:t>p</w:t>
      </w:r>
      <w:r>
        <w:t xml:space="preserve"> = 0.0245 and </w:t>
      </w:r>
      <w:r>
        <w:rPr>
          <w:i/>
        </w:rPr>
        <w:t>p</w:t>
      </w:r>
      <w:r>
        <w:t xml:space="preserve"> = 0.0017).  GLP-1 (</w:t>
      </w:r>
      <w:r>
        <w:rPr>
          <w:i/>
        </w:rPr>
        <w:t>p</w:t>
      </w:r>
      <w:r>
        <w:t xml:space="preserve"> &lt; 0.0001), leptin (</w:t>
      </w:r>
      <w:r>
        <w:rPr>
          <w:i/>
        </w:rPr>
        <w:t>p</w:t>
      </w:r>
      <w:r>
        <w:t xml:space="preserve"> &lt; 0.0001), and adiponectin (</w:t>
      </w:r>
      <w:r w:rsidRPr="000329A9">
        <w:rPr>
          <w:i/>
        </w:rPr>
        <w:t>p</w:t>
      </w:r>
      <w:r>
        <w:t xml:space="preserve"> &lt; 0.0014) </w:t>
      </w:r>
      <w:r w:rsidRPr="000329A9">
        <w:t>differed</w:t>
      </w:r>
      <w:r>
        <w:t xml:space="preserve"> from all other groups.   PYY and glucose did not differ from other groups.  When isolated for 420 minute samples, glucose decreased (</w:t>
      </w:r>
      <w:r>
        <w:rPr>
          <w:i/>
        </w:rPr>
        <w:t>p</w:t>
      </w:r>
      <w:r>
        <w:t xml:space="preserve"> = 0.0083) and leptin increased (</w:t>
      </w:r>
      <w:r>
        <w:rPr>
          <w:i/>
        </w:rPr>
        <w:t>p</w:t>
      </w:r>
      <w:r>
        <w:t xml:space="preserve"> = 0.0126) within IBW by 12 weeks.  Ghrelin, insulin</w:t>
      </w:r>
      <w:proofErr w:type="gramStart"/>
      <w:r>
        <w:t>:glucose</w:t>
      </w:r>
      <w:proofErr w:type="gramEnd"/>
      <w:r>
        <w:t xml:space="preserve"> ratio, and adiponectin IBW values matched all other groups at both baseline and end of treatment.  PYY and GLP-1 differed from ExN and ExP (PYY, </w:t>
      </w:r>
      <w:r>
        <w:rPr>
          <w:i/>
        </w:rPr>
        <w:t>p</w:t>
      </w:r>
      <w:r>
        <w:t xml:space="preserve"> &lt; 0.0011; GLP-1, </w:t>
      </w:r>
      <w:r>
        <w:rPr>
          <w:i/>
        </w:rPr>
        <w:t>p</w:t>
      </w:r>
      <w:r>
        <w:t xml:space="preserve"> &lt; 0.0009) at study termination.  Baseline glucose did not differ between groups, but end of study levels were lower in IBW vs. ExN (</w:t>
      </w:r>
      <w:r>
        <w:rPr>
          <w:i/>
        </w:rPr>
        <w:t>p</w:t>
      </w:r>
      <w:r>
        <w:t xml:space="preserve"> = 0.0018).  Leptin differed from all groups at baseline, and was lower than ExP by study termination (</w:t>
      </w:r>
      <w:r>
        <w:rPr>
          <w:i/>
        </w:rPr>
        <w:t>p</w:t>
      </w:r>
      <w:r>
        <w:t xml:space="preserve"> = 0.0126).</w:t>
      </w:r>
    </w:p>
    <w:p w:rsidR="000130BF" w:rsidRDefault="000130BF" w:rsidP="000130BF">
      <w:pPr>
        <w:pStyle w:val="Heading3"/>
      </w:pPr>
      <w:bookmarkStart w:id="166" w:name="_Toc376465815"/>
      <w:r>
        <w:t>PCR</w:t>
      </w:r>
      <w:bookmarkEnd w:id="166"/>
    </w:p>
    <w:p w:rsidR="000130BF" w:rsidRDefault="000130BF" w:rsidP="000130BF">
      <w:pPr>
        <w:pStyle w:val="Heading4"/>
      </w:pPr>
      <w:r>
        <w:t>Muscle</w:t>
      </w:r>
    </w:p>
    <w:p w:rsidR="000130BF" w:rsidRDefault="00876179" w:rsidP="000130BF">
      <w:pPr>
        <w:pStyle w:val="Heading5"/>
      </w:pPr>
      <w:r>
        <w:t>Obesity p</w:t>
      </w:r>
      <w:r w:rsidR="000130BF">
        <w:t>revention</w:t>
      </w:r>
      <w:r>
        <w:t xml:space="preserve"> groups; ExN, ExP</w:t>
      </w:r>
    </w:p>
    <w:p w:rsidR="000130BF" w:rsidRPr="00E477DA" w:rsidRDefault="000130BF" w:rsidP="000130BF">
      <w:r>
        <w:t xml:space="preserve">One dog from group ExP did not have a baseline sample.  The average baseline </w:t>
      </w:r>
      <w:r w:rsidRPr="00A847FD">
        <w:rPr>
          <w:color w:val="000000"/>
        </w:rPr>
        <w:t xml:space="preserve">ΔCт </w:t>
      </w:r>
      <w:r>
        <w:rPr>
          <w:color w:val="000000"/>
        </w:rPr>
        <w:t>for each gene representing groups ExN, ExP, IBW were used for that dog’s subsequent calculations.  Another dog from group ExP needed to have the one week SIRT3 sample rerun due to CT variations, but there was not enough reserved RNA.</w:t>
      </w:r>
      <w:r>
        <w:t xml:space="preserve">  There were no within group differences for SIRT1, UCP3,</w:t>
      </w:r>
      <w:r w:rsidRPr="00E477DA">
        <w:t xml:space="preserve"> </w:t>
      </w:r>
      <w:r>
        <w:t>PGC1α, or NRF1.  There were no differences between groups for all genes.  ExN had a higher SIRT3 expression at end of study compared to one week into treatment (</w:t>
      </w:r>
      <w:r>
        <w:rPr>
          <w:i/>
        </w:rPr>
        <w:t>p</w:t>
      </w:r>
      <w:r>
        <w:t xml:space="preserve"> = 0.006</w:t>
      </w:r>
      <w:r>
        <w:rPr>
          <w:color w:val="FF0000"/>
        </w:rPr>
        <w:t xml:space="preserve">; Table </w:t>
      </w:r>
      <w:r w:rsidR="003C79C1">
        <w:rPr>
          <w:color w:val="FF0000"/>
        </w:rPr>
        <w:t>26</w:t>
      </w:r>
      <w:r>
        <w:t>).</w:t>
      </w:r>
    </w:p>
    <w:p w:rsidR="000130BF" w:rsidRDefault="000130BF" w:rsidP="000130BF">
      <w:pPr>
        <w:pStyle w:val="Heading5"/>
      </w:pPr>
      <w:r>
        <w:t>Ma</w:t>
      </w:r>
      <w:r w:rsidR="00876179">
        <w:t>intain ideal body weight group; IBW</w:t>
      </w:r>
    </w:p>
    <w:p w:rsidR="000130BF" w:rsidRDefault="000130BF" w:rsidP="000130BF">
      <w:r>
        <w:t>There were no within</w:t>
      </w:r>
      <w:r w:rsidR="00B70B56">
        <w:t xml:space="preserve"> or between</w:t>
      </w:r>
      <w:r>
        <w:t xml:space="preserve"> group IBW differences for all genes</w:t>
      </w:r>
      <w:r w:rsidR="00B70B56">
        <w:t xml:space="preserve"> (</w:t>
      </w:r>
      <w:r w:rsidR="003C79C1">
        <w:rPr>
          <w:color w:val="FF0000"/>
        </w:rPr>
        <w:t>Table 26</w:t>
      </w:r>
      <w:r>
        <w:rPr>
          <w:color w:val="FF0000"/>
        </w:rPr>
        <w:t>)</w:t>
      </w:r>
      <w:r>
        <w:t>.</w:t>
      </w:r>
    </w:p>
    <w:p w:rsidR="000130BF" w:rsidRDefault="000130BF" w:rsidP="000130BF">
      <w:pPr>
        <w:pStyle w:val="Heading4"/>
      </w:pPr>
      <w:r>
        <w:t>Fat</w:t>
      </w:r>
    </w:p>
    <w:p w:rsidR="000130BF" w:rsidRPr="007C7AA0" w:rsidRDefault="000130BF" w:rsidP="000130BF">
      <w:r>
        <w:t>SIRT3 tissue expression was below the sensitivity of the assay.  Due to insufficient fat samples from baseline and one week into treatment for groups ExN, ExP, IBW, 2</w:t>
      </w:r>
      <w:r>
        <w:rPr>
          <w:vertAlign w:val="superscript"/>
        </w:rPr>
        <w:t>-ΔΔCT</w:t>
      </w:r>
      <w:r>
        <w:t xml:space="preserve"> calcul</w:t>
      </w:r>
      <w:r w:rsidR="003C79C1">
        <w:t>ations could not be performed.</w:t>
      </w:r>
    </w:p>
    <w:p w:rsidR="000130BF" w:rsidRDefault="000130BF" w:rsidP="000130BF">
      <w:pPr>
        <w:pStyle w:val="Heading3"/>
      </w:pPr>
      <w:bookmarkStart w:id="167" w:name="_Toc376465816"/>
      <w:r>
        <w:t>Cytokines</w:t>
      </w:r>
      <w:bookmarkEnd w:id="167"/>
    </w:p>
    <w:p w:rsidR="00CE2A84" w:rsidRDefault="00CE2A84" w:rsidP="00CE2A84">
      <w:r>
        <w:t>Blood samples could not be obtained from one dog in group IBW at baseline (time 0) and end of study (time 0, 420) or from one dog in group ExN one week into treatment (time 420).</w:t>
      </w:r>
    </w:p>
    <w:p w:rsidR="000130BF" w:rsidRDefault="00B70B56" w:rsidP="000130BF">
      <w:r>
        <w:t>Many IL6 (78/208 samples; 37.5%) and IL15 (62/208</w:t>
      </w:r>
      <w:r w:rsidR="00CE2A84">
        <w:t xml:space="preserve"> samples; 29.8</w:t>
      </w:r>
      <w:r w:rsidR="000130BF">
        <w:t>%)</w:t>
      </w:r>
      <w:r w:rsidR="00CE2A84">
        <w:t xml:space="preserve"> results were reported as &lt; 36.4</w:t>
      </w:r>
      <w:r w:rsidR="000130BF">
        <w:t xml:space="preserve"> pg/ml.  For analysis, th</w:t>
      </w:r>
      <w:r w:rsidR="00CE2A84">
        <w:t xml:space="preserve">ese values were recorded </w:t>
      </w:r>
      <w:proofErr w:type="gramStart"/>
      <w:r w:rsidR="00CE2A84">
        <w:t>as 36.3</w:t>
      </w:r>
      <w:r w:rsidR="000130BF">
        <w:t xml:space="preserve"> pg/ml</w:t>
      </w:r>
      <w:proofErr w:type="gramEnd"/>
      <w:r w:rsidR="000130BF">
        <w:t>.  Addition</w:t>
      </w:r>
      <w:r w:rsidR="00CE2A84">
        <w:t xml:space="preserve">al samples with results </w:t>
      </w:r>
      <w:proofErr w:type="gramStart"/>
      <w:r w:rsidR="00CE2A84">
        <w:t>below 36.3</w:t>
      </w:r>
      <w:r w:rsidR="000130BF">
        <w:t xml:space="preserve"> </w:t>
      </w:r>
      <w:r w:rsidR="00CE2A84">
        <w:t>pg/ml (IL6, 61 samples; IL15, 28</w:t>
      </w:r>
      <w:r w:rsidR="000130BF">
        <w:t xml:space="preserve"> samples)</w:t>
      </w:r>
      <w:proofErr w:type="gramEnd"/>
      <w:r w:rsidR="000130BF">
        <w:t xml:space="preserve"> were not adjusted.</w:t>
      </w:r>
    </w:p>
    <w:p w:rsidR="000130BF" w:rsidRDefault="000130BF" w:rsidP="000130BF"/>
    <w:p w:rsidR="000130BF" w:rsidRDefault="000130BF" w:rsidP="000130BF">
      <w:r>
        <w:t xml:space="preserve">There were no differences between time 0 and time 420 for cytokine results, so only time 0 is shown, but significant group differences represent both sample times.  There were no within group differences for either cytokine over time </w:t>
      </w:r>
      <w:r w:rsidR="003C79C1">
        <w:rPr>
          <w:color w:val="FF0000"/>
        </w:rPr>
        <w:t>(Table 27</w:t>
      </w:r>
      <w:r>
        <w:rPr>
          <w:color w:val="FF0000"/>
        </w:rPr>
        <w:t>)</w:t>
      </w:r>
      <w:r>
        <w:t>.</w:t>
      </w:r>
    </w:p>
    <w:p w:rsidR="000130BF" w:rsidRDefault="000130BF" w:rsidP="000130BF">
      <w:pPr>
        <w:pStyle w:val="Heading5"/>
      </w:pPr>
      <w:r>
        <w:t>Arm 2 (Prevention; ExN, ExP)</w:t>
      </w:r>
    </w:p>
    <w:p w:rsidR="000130BF" w:rsidRPr="00787757" w:rsidRDefault="000130BF" w:rsidP="000130BF">
      <w:r>
        <w:t>There were no differences between groups for either cytokine and any time point.</w:t>
      </w:r>
    </w:p>
    <w:p w:rsidR="000130BF" w:rsidRDefault="000130BF" w:rsidP="000130BF">
      <w:pPr>
        <w:pStyle w:val="Heading5"/>
      </w:pPr>
      <w:r>
        <w:t>Arm 3 (Maintain ideal; IBW)</w:t>
      </w:r>
    </w:p>
    <w:p w:rsidR="000130BF" w:rsidRDefault="000130BF" w:rsidP="000130BF">
      <w:r>
        <w:t>IL6 plasma concentration was lower for IBW versus ExP one week into treatment and at study completion (</w:t>
      </w:r>
      <w:r>
        <w:rPr>
          <w:i/>
        </w:rPr>
        <w:t>p</w:t>
      </w:r>
      <w:r>
        <w:t xml:space="preserve"> &lt; 0.0078).  There were no other between group differences for IBW and all other groups for IL6.  At baseline,</w:t>
      </w:r>
      <w:r w:rsidR="00CE2A84">
        <w:t xml:space="preserve"> IBW</w:t>
      </w:r>
      <w:r>
        <w:t xml:space="preserve"> IL15 plasma levels were lower than ExN (</w:t>
      </w:r>
      <w:r>
        <w:rPr>
          <w:i/>
        </w:rPr>
        <w:t>p</w:t>
      </w:r>
      <w:r>
        <w:t xml:space="preserve"> = 0.0243), and ExP (</w:t>
      </w:r>
      <w:r>
        <w:rPr>
          <w:i/>
        </w:rPr>
        <w:t>p</w:t>
      </w:r>
      <w:r>
        <w:t xml:space="preserve"> = 0.0007). One week into treatment, IL15 did not differ from all other groups.  At study termination, IL15 was lower than ExN (</w:t>
      </w:r>
      <w:r>
        <w:rPr>
          <w:i/>
        </w:rPr>
        <w:t>p</w:t>
      </w:r>
      <w:r>
        <w:t xml:space="preserve"> 0.0334), but did not differ from all other groups.</w:t>
      </w:r>
    </w:p>
    <w:p w:rsidR="000130BF" w:rsidRDefault="000130BF"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CE2A84" w:rsidRDefault="00CE2A84" w:rsidP="002F1CE3"/>
    <w:p w:rsidR="003C79C1" w:rsidRDefault="003C79C1" w:rsidP="002F1CE3"/>
    <w:p w:rsidR="003C79C1" w:rsidRDefault="003C79C1" w:rsidP="002F1CE3"/>
    <w:p w:rsidR="003C79C1" w:rsidRDefault="003C79C1" w:rsidP="003C79C1">
      <w:pPr>
        <w:pStyle w:val="Caption"/>
      </w:pPr>
      <w:bookmarkStart w:id="168" w:name="_Toc376465848"/>
      <w:r>
        <w:t xml:space="preserve">Table </w:t>
      </w:r>
      <w:fldSimple w:instr=" SEQ Table \* ARABIC ">
        <w:r w:rsidR="00736DB0">
          <w:rPr>
            <w:noProof/>
          </w:rPr>
          <w:t>26</w:t>
        </w:r>
      </w:fldSimple>
      <w:r>
        <w:t xml:space="preserve"> Muscle PCR (∆∆CT) by group and point.</w:t>
      </w:r>
      <w:bookmarkEnd w:id="168"/>
    </w:p>
    <w:tbl>
      <w:tblPr>
        <w:tblStyle w:val="TableClassic1"/>
        <w:tblW w:w="0" w:type="auto"/>
        <w:tblLook w:val="04A0" w:firstRow="1" w:lastRow="0" w:firstColumn="1" w:lastColumn="0" w:noHBand="0" w:noVBand="1"/>
      </w:tblPr>
      <w:tblGrid>
        <w:gridCol w:w="2306"/>
        <w:gridCol w:w="3187"/>
        <w:gridCol w:w="3285"/>
      </w:tblGrid>
      <w:tr w:rsidR="003C79C1" w:rsidTr="00F767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r>
              <w:t>Group</w:t>
            </w:r>
          </w:p>
        </w:tc>
        <w:tc>
          <w:tcPr>
            <w:tcW w:w="0" w:type="auto"/>
          </w:tcPr>
          <w:p w:rsidR="003C79C1" w:rsidRDefault="003C79C1" w:rsidP="00F76740">
            <w:pPr>
              <w:cnfStyle w:val="100000000000" w:firstRow="1" w:lastRow="0" w:firstColumn="0" w:lastColumn="0" w:oddVBand="0" w:evenVBand="0" w:oddHBand="0" w:evenHBand="0" w:firstRowFirstColumn="0" w:firstRowLastColumn="0" w:lastRowFirstColumn="0" w:lastRowLastColumn="0"/>
            </w:pPr>
            <w:r>
              <w:t>One week</w:t>
            </w:r>
          </w:p>
        </w:tc>
        <w:tc>
          <w:tcPr>
            <w:tcW w:w="0" w:type="auto"/>
          </w:tcPr>
          <w:p w:rsidR="003C79C1" w:rsidRDefault="003C79C1" w:rsidP="00F76740">
            <w:pPr>
              <w:cnfStyle w:val="100000000000" w:firstRow="1" w:lastRow="0" w:firstColumn="0" w:lastColumn="0" w:oddVBand="0" w:evenVBand="0" w:oddHBand="0" w:evenHBand="0" w:firstRowFirstColumn="0" w:firstRowLastColumn="0" w:lastRowFirstColumn="0" w:lastRowLastColumn="0"/>
            </w:pPr>
            <w:r>
              <w:t>End of study</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r>
              <w:t>SIRT1</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Pr="00665965" w:rsidRDefault="003C79C1" w:rsidP="00F76740">
            <w:pPr>
              <w:jc w:val="center"/>
              <w:rPr>
                <w:vertAlign w:val="superscript"/>
              </w:rPr>
            </w:pPr>
            <w:r w:rsidRPr="00665965">
              <w:t>ExN</w:t>
            </w:r>
            <w:r w:rsidRPr="00665965">
              <w:rPr>
                <w:vertAlign w:val="superscript"/>
              </w:rPr>
              <w:t>*</w:t>
            </w:r>
          </w:p>
        </w:tc>
        <w:tc>
          <w:tcPr>
            <w:tcW w:w="0" w:type="auto"/>
          </w:tcPr>
          <w:p w:rsidR="003C79C1" w:rsidRPr="00C0615A"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0.6 ± 0.6</w:t>
            </w:r>
            <w:r>
              <w:rPr>
                <w:vertAlign w:val="superscript"/>
              </w:rPr>
              <w:t>a,#</w:t>
            </w:r>
          </w:p>
        </w:tc>
        <w:tc>
          <w:tcPr>
            <w:tcW w:w="0" w:type="auto"/>
          </w:tcPr>
          <w:p w:rsidR="003C79C1" w:rsidRPr="00C0615A"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0.6 ± 0.3</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Pr="00665965" w:rsidRDefault="003C79C1" w:rsidP="00F76740">
            <w:pPr>
              <w:jc w:val="center"/>
            </w:pPr>
            <w:r w:rsidRPr="00665965">
              <w:t>ExP</w:t>
            </w:r>
            <w:r w:rsidRPr="00665965">
              <w:rPr>
                <w:vertAlign w:val="superscript"/>
              </w:rPr>
              <w:t>*</w:t>
            </w:r>
          </w:p>
        </w:tc>
        <w:tc>
          <w:tcPr>
            <w:tcW w:w="0" w:type="auto"/>
          </w:tcPr>
          <w:p w:rsidR="003C79C1" w:rsidRPr="00C0615A"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0.8 ± 0.7</w:t>
            </w:r>
            <w:r>
              <w:rPr>
                <w:vertAlign w:val="superscript"/>
              </w:rPr>
              <w:t>a,#</w:t>
            </w:r>
          </w:p>
        </w:tc>
        <w:tc>
          <w:tcPr>
            <w:tcW w:w="0" w:type="auto"/>
          </w:tcPr>
          <w:p w:rsidR="003C79C1" w:rsidRPr="00C0615A"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0.9 ± 0.8</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rsidRPr="00665965">
              <w:t>IBW</w:t>
            </w:r>
            <w:r w:rsidRPr="00665965">
              <w:rPr>
                <w:vertAlign w:val="superscript"/>
              </w:rPr>
              <w:t>*</w:t>
            </w:r>
          </w:p>
        </w:tc>
        <w:tc>
          <w:tcPr>
            <w:tcW w:w="0" w:type="auto"/>
          </w:tcPr>
          <w:p w:rsidR="003C79C1" w:rsidRPr="00C0615A"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0.7 ± 1.0</w:t>
            </w:r>
            <w:r>
              <w:rPr>
                <w:vertAlign w:val="superscript"/>
              </w:rPr>
              <w:t>a,#</w:t>
            </w:r>
          </w:p>
        </w:tc>
        <w:tc>
          <w:tcPr>
            <w:tcW w:w="0" w:type="auto"/>
          </w:tcPr>
          <w:p w:rsidR="003C79C1" w:rsidRPr="00C0615A"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0.9 ± 0.6</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r>
              <w:t>UCP3</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ExN</w:t>
            </w:r>
          </w:p>
        </w:tc>
        <w:tc>
          <w:tcPr>
            <w:tcW w:w="0" w:type="auto"/>
          </w:tcPr>
          <w:p w:rsidR="003C79C1" w:rsidRPr="00C0615A"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0.4 ± 0.4</w:t>
            </w:r>
            <w:r>
              <w:rPr>
                <w:vertAlign w:val="superscript"/>
              </w:rPr>
              <w:t>a,#</w:t>
            </w:r>
          </w:p>
        </w:tc>
        <w:tc>
          <w:tcPr>
            <w:tcW w:w="0" w:type="auto"/>
          </w:tcPr>
          <w:p w:rsidR="003C79C1" w:rsidRPr="000F1E3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1.1 ± 0.8</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ExP</w:t>
            </w:r>
          </w:p>
        </w:tc>
        <w:tc>
          <w:tcPr>
            <w:tcW w:w="0" w:type="auto"/>
          </w:tcPr>
          <w:p w:rsidR="003C79C1" w:rsidRPr="00C0615A"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0.6 ± 0.7</w:t>
            </w:r>
            <w:r>
              <w:rPr>
                <w:vertAlign w:val="superscript"/>
              </w:rPr>
              <w:t>a,#</w:t>
            </w:r>
          </w:p>
        </w:tc>
        <w:tc>
          <w:tcPr>
            <w:tcW w:w="0" w:type="auto"/>
          </w:tcPr>
          <w:p w:rsidR="003C79C1" w:rsidRPr="000F1E3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0.6 ± 0.3</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IBW</w:t>
            </w:r>
          </w:p>
        </w:tc>
        <w:tc>
          <w:tcPr>
            <w:tcW w:w="0" w:type="auto"/>
          </w:tcPr>
          <w:p w:rsidR="003C79C1" w:rsidRPr="00C0615A"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1.1 ± 0.9</w:t>
            </w:r>
            <w:r>
              <w:rPr>
                <w:vertAlign w:val="superscript"/>
              </w:rPr>
              <w:t>a,#</w:t>
            </w:r>
          </w:p>
        </w:tc>
        <w:tc>
          <w:tcPr>
            <w:tcW w:w="0" w:type="auto"/>
          </w:tcPr>
          <w:p w:rsidR="003C79C1" w:rsidRPr="000F1E3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1.9 ± 2.0</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r>
              <w:t>PGC-1α</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ExN</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0.4 ± 0.8</w:t>
            </w:r>
            <w:r>
              <w:rPr>
                <w:vertAlign w:val="superscript"/>
              </w:rPr>
              <w:t>a,#</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1.3 ± 1.0</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ExP</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0.3 ± 0.2</w:t>
            </w:r>
            <w:r>
              <w:rPr>
                <w:vertAlign w:val="superscript"/>
              </w:rPr>
              <w:t>a,#</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1.2 ± 1.0</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IBW</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0.6 ± 0.6</w:t>
            </w:r>
            <w:r w:rsidR="00B70B56">
              <w:rPr>
                <w:vertAlign w:val="superscript"/>
              </w:rPr>
              <w:t>a</w:t>
            </w:r>
            <w:r>
              <w:rPr>
                <w:vertAlign w:val="superscript"/>
              </w:rPr>
              <w:t>,#</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1.3 ± 1.6</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r>
              <w:t>NRF1</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ExN</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1.2 ± 1.5</w:t>
            </w:r>
            <w:r>
              <w:rPr>
                <w:vertAlign w:val="superscript"/>
              </w:rPr>
              <w:t>a,#</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5.3 ± 8.4</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ExP</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0.4 ± 0.6</w:t>
            </w:r>
            <w:r>
              <w:rPr>
                <w:vertAlign w:val="superscript"/>
              </w:rPr>
              <w:t>a,#</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0.8 ± 0.8</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IBW</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0.5 ± 0.7</w:t>
            </w:r>
            <w:r>
              <w:rPr>
                <w:vertAlign w:val="superscript"/>
              </w:rPr>
              <w:t>a,#</w:t>
            </w:r>
          </w:p>
        </w:tc>
        <w:tc>
          <w:tcPr>
            <w:tcW w:w="0" w:type="auto"/>
          </w:tcPr>
          <w:p w:rsidR="003C79C1" w:rsidRPr="001E3F8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2.7 ± 5.3</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r>
              <w:t>SIRT3</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ExN</w:t>
            </w:r>
          </w:p>
        </w:tc>
        <w:tc>
          <w:tcPr>
            <w:tcW w:w="0" w:type="auto"/>
          </w:tcPr>
          <w:p w:rsidR="003C79C1" w:rsidRPr="004521A6"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0.3 ± 0.4</w:t>
            </w:r>
            <w:r>
              <w:rPr>
                <w:vertAlign w:val="superscript"/>
              </w:rPr>
              <w:t>a,#</w:t>
            </w:r>
          </w:p>
        </w:tc>
        <w:tc>
          <w:tcPr>
            <w:tcW w:w="0" w:type="auto"/>
          </w:tcPr>
          <w:p w:rsidR="003C79C1" w:rsidRPr="004521A6"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2.5 ± 2.7</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ExP</w:t>
            </w:r>
          </w:p>
        </w:tc>
        <w:tc>
          <w:tcPr>
            <w:tcW w:w="0" w:type="auto"/>
          </w:tcPr>
          <w:p w:rsidR="003C79C1" w:rsidRPr="004521A6"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0.1 ± 0.04</w:t>
            </w:r>
            <w:r>
              <w:rPr>
                <w:vertAlign w:val="superscript"/>
              </w:rPr>
              <w:t>a,#</w:t>
            </w:r>
          </w:p>
        </w:tc>
        <w:tc>
          <w:tcPr>
            <w:tcW w:w="0" w:type="auto"/>
          </w:tcPr>
          <w:p w:rsidR="003C79C1" w:rsidRPr="004521A6"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1.0 ± 0.8</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3C79C1" w:rsidRDefault="003C79C1" w:rsidP="00F76740">
            <w:pPr>
              <w:jc w:val="center"/>
            </w:pPr>
            <w:r>
              <w:t>IBW</w:t>
            </w:r>
          </w:p>
        </w:tc>
        <w:tc>
          <w:tcPr>
            <w:tcW w:w="0" w:type="auto"/>
            <w:tcBorders>
              <w:bottom w:val="single" w:sz="12" w:space="0" w:color="000000"/>
            </w:tcBorders>
          </w:tcPr>
          <w:p w:rsidR="003C79C1" w:rsidRPr="004521A6"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0.2 ± 0.2</w:t>
            </w:r>
            <w:r>
              <w:rPr>
                <w:vertAlign w:val="superscript"/>
              </w:rPr>
              <w:t>a,#</w:t>
            </w:r>
          </w:p>
        </w:tc>
        <w:tc>
          <w:tcPr>
            <w:tcW w:w="0" w:type="auto"/>
            <w:tcBorders>
              <w:bottom w:val="single" w:sz="12" w:space="0" w:color="000000"/>
            </w:tcBorders>
          </w:tcPr>
          <w:p w:rsidR="003C79C1" w:rsidRPr="004521A6"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1.0 ± 1.0</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000000"/>
              <w:bottom w:val="nil"/>
              <w:right w:val="nil"/>
            </w:tcBorders>
          </w:tcPr>
          <w:p w:rsidR="003C79C1" w:rsidRPr="00B375D2" w:rsidRDefault="003C79C1" w:rsidP="00F76740">
            <w:pPr>
              <w:rPr>
                <w:sz w:val="18"/>
                <w:szCs w:val="18"/>
              </w:rPr>
            </w:pPr>
            <w:r w:rsidRPr="00B375D2">
              <w:rPr>
                <w:sz w:val="18"/>
                <w:szCs w:val="18"/>
              </w:rPr>
              <w:t>Numerical data presented as mean ± standard deviation.</w:t>
            </w:r>
          </w:p>
          <w:p w:rsidR="003C79C1" w:rsidRPr="00B375D2" w:rsidRDefault="003C79C1" w:rsidP="00F76740">
            <w:pPr>
              <w:rPr>
                <w:sz w:val="18"/>
                <w:szCs w:val="18"/>
              </w:rPr>
            </w:pPr>
            <w:r w:rsidRPr="00B375D2">
              <w:rPr>
                <w:sz w:val="18"/>
                <w:szCs w:val="18"/>
                <w:vertAlign w:val="superscript"/>
              </w:rPr>
              <w:t>*</w:t>
            </w:r>
            <w:r w:rsidRPr="00B375D2">
              <w:rPr>
                <w:sz w:val="18"/>
                <w:szCs w:val="18"/>
              </w:rPr>
              <w:t>ExN, excess calorie nutraceutical group; ExP, excess calorie placebo group; IBW, ideal body weight group.</w:t>
            </w:r>
          </w:p>
          <w:p w:rsidR="003C79C1" w:rsidRPr="00B375D2" w:rsidRDefault="003C79C1" w:rsidP="00F76740">
            <w:pPr>
              <w:rPr>
                <w:sz w:val="18"/>
                <w:szCs w:val="18"/>
              </w:rPr>
            </w:pPr>
            <w:proofErr w:type="gramStart"/>
            <w:r w:rsidRPr="00B375D2">
              <w:rPr>
                <w:sz w:val="18"/>
                <w:szCs w:val="18"/>
                <w:vertAlign w:val="superscript"/>
              </w:rPr>
              <w:t>a</w:t>
            </w:r>
            <w:r w:rsidRPr="00B375D2">
              <w:rPr>
                <w:sz w:val="18"/>
                <w:szCs w:val="18"/>
              </w:rPr>
              <w:t>Within</w:t>
            </w:r>
            <w:proofErr w:type="gramEnd"/>
            <w:r w:rsidRPr="00B375D2">
              <w:rPr>
                <w:sz w:val="18"/>
                <w:szCs w:val="18"/>
              </w:rPr>
              <w:t xml:space="preserve"> a column, values with different superscript letters differ significantly (</w:t>
            </w:r>
            <w:r w:rsidRPr="00B375D2">
              <w:rPr>
                <w:i/>
                <w:sz w:val="18"/>
                <w:szCs w:val="18"/>
              </w:rPr>
              <w:t>p</w:t>
            </w:r>
            <w:r w:rsidRPr="00B375D2">
              <w:rPr>
                <w:sz w:val="18"/>
                <w:szCs w:val="18"/>
              </w:rPr>
              <w:t>&lt; 0.05).</w:t>
            </w:r>
          </w:p>
          <w:p w:rsidR="003C79C1" w:rsidRPr="006E1409" w:rsidRDefault="003C79C1" w:rsidP="00F76740">
            <w:r w:rsidRPr="00B375D2">
              <w:rPr>
                <w:sz w:val="18"/>
                <w:szCs w:val="18"/>
                <w:vertAlign w:val="superscript"/>
              </w:rPr>
              <w:t>#</w:t>
            </w:r>
            <w:r w:rsidRPr="00B375D2">
              <w:rPr>
                <w:sz w:val="18"/>
                <w:szCs w:val="18"/>
              </w:rPr>
              <w:t>Across columns, values with different superscript symbols differ significantly (</w:t>
            </w:r>
            <w:r w:rsidRPr="00B375D2">
              <w:rPr>
                <w:i/>
                <w:sz w:val="18"/>
                <w:szCs w:val="18"/>
              </w:rPr>
              <w:t>p</w:t>
            </w:r>
            <w:r w:rsidRPr="00B375D2">
              <w:rPr>
                <w:sz w:val="18"/>
                <w:szCs w:val="18"/>
              </w:rPr>
              <w:t>&lt; 0.05).</w:t>
            </w:r>
          </w:p>
        </w:tc>
      </w:tr>
    </w:tbl>
    <w:p w:rsidR="003C79C1" w:rsidRDefault="003C79C1" w:rsidP="003C79C1"/>
    <w:p w:rsidR="003C79C1" w:rsidRDefault="003C79C1" w:rsidP="003C79C1"/>
    <w:p w:rsidR="003C79C1" w:rsidRDefault="003C79C1" w:rsidP="003C79C1"/>
    <w:p w:rsidR="003C79C1" w:rsidRDefault="003C79C1" w:rsidP="003C79C1">
      <w:pPr>
        <w:pStyle w:val="Caption"/>
      </w:pPr>
      <w:bookmarkStart w:id="169" w:name="_Toc376465849"/>
      <w:r>
        <w:t xml:space="preserve">Table </w:t>
      </w:r>
      <w:fldSimple w:instr=" SEQ Table \* ARABIC ">
        <w:r w:rsidR="00736DB0">
          <w:rPr>
            <w:noProof/>
          </w:rPr>
          <w:t>27</w:t>
        </w:r>
      </w:fldSimple>
      <w:r>
        <w:rPr>
          <w:noProof/>
        </w:rPr>
        <w:t xml:space="preserve"> C</w:t>
      </w:r>
      <w:commentRangeStart w:id="170"/>
      <w:r>
        <w:t>ytokines</w:t>
      </w:r>
      <w:commentRangeEnd w:id="170"/>
      <w:r>
        <w:rPr>
          <w:rStyle w:val="CommentReference"/>
          <w:b w:val="0"/>
          <w:bCs w:val="0"/>
        </w:rPr>
        <w:commentReference w:id="170"/>
      </w:r>
      <w:r>
        <w:t xml:space="preserve"> by group and point.</w:t>
      </w:r>
      <w:bookmarkEnd w:id="169"/>
    </w:p>
    <w:tbl>
      <w:tblPr>
        <w:tblStyle w:val="TableClassic1"/>
        <w:tblW w:w="0" w:type="auto"/>
        <w:tblLook w:val="04A0" w:firstRow="1" w:lastRow="0" w:firstColumn="1" w:lastColumn="0" w:noHBand="0" w:noVBand="1"/>
      </w:tblPr>
      <w:tblGrid>
        <w:gridCol w:w="2666"/>
        <w:gridCol w:w="1991"/>
        <w:gridCol w:w="1991"/>
        <w:gridCol w:w="2131"/>
      </w:tblGrid>
      <w:tr w:rsidR="003C79C1" w:rsidTr="00F767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r>
              <w:t>Group</w:t>
            </w:r>
          </w:p>
        </w:tc>
        <w:tc>
          <w:tcPr>
            <w:tcW w:w="0" w:type="auto"/>
          </w:tcPr>
          <w:p w:rsidR="003C79C1" w:rsidRDefault="003C79C1" w:rsidP="00F76740">
            <w:pPr>
              <w:cnfStyle w:val="100000000000" w:firstRow="1" w:lastRow="0" w:firstColumn="0" w:lastColumn="0" w:oddVBand="0" w:evenVBand="0" w:oddHBand="0" w:evenHBand="0" w:firstRowFirstColumn="0" w:firstRowLastColumn="0" w:lastRowFirstColumn="0" w:lastRowLastColumn="0"/>
            </w:pPr>
            <w:r>
              <w:t>Baseline</w:t>
            </w:r>
          </w:p>
        </w:tc>
        <w:tc>
          <w:tcPr>
            <w:tcW w:w="0" w:type="auto"/>
          </w:tcPr>
          <w:p w:rsidR="003C79C1" w:rsidRDefault="003C79C1" w:rsidP="00F76740">
            <w:pPr>
              <w:cnfStyle w:val="100000000000" w:firstRow="1" w:lastRow="0" w:firstColumn="0" w:lastColumn="0" w:oddVBand="0" w:evenVBand="0" w:oddHBand="0" w:evenHBand="0" w:firstRowFirstColumn="0" w:firstRowLastColumn="0" w:lastRowFirstColumn="0" w:lastRowLastColumn="0"/>
            </w:pPr>
            <w:r>
              <w:t>One week</w:t>
            </w:r>
          </w:p>
        </w:tc>
        <w:tc>
          <w:tcPr>
            <w:tcW w:w="0" w:type="auto"/>
          </w:tcPr>
          <w:p w:rsidR="003C79C1" w:rsidRDefault="003C79C1" w:rsidP="00F76740">
            <w:pPr>
              <w:cnfStyle w:val="100000000000" w:firstRow="1" w:lastRow="0" w:firstColumn="0" w:lastColumn="0" w:oddVBand="0" w:evenVBand="0" w:oddHBand="0" w:evenHBand="0" w:firstRowFirstColumn="0" w:firstRowLastColumn="0" w:lastRowFirstColumn="0" w:lastRowLastColumn="0"/>
            </w:pPr>
            <w:r>
              <w:t>End of study</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r>
              <w:t>Interleukin 6 (pg/mL)</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Pr="00665965" w:rsidRDefault="003C79C1" w:rsidP="00F76740">
            <w:pPr>
              <w:jc w:val="center"/>
              <w:rPr>
                <w:vertAlign w:val="superscript"/>
              </w:rPr>
            </w:pPr>
            <w:r w:rsidRPr="00665965">
              <w:t>ExN</w:t>
            </w:r>
            <w:r w:rsidRPr="00665965">
              <w:rPr>
                <w:vertAlign w:val="superscript"/>
              </w:rPr>
              <w:t>*</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r>
              <w:t>14.3 ± 9.1</w:t>
            </w:r>
            <w:r>
              <w:rPr>
                <w:vertAlign w:val="superscript"/>
              </w:rPr>
              <w:t>a,#</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r>
              <w:t>15.7 ± 14.7</w:t>
            </w:r>
            <w:r>
              <w:rPr>
                <w:vertAlign w:val="superscript"/>
              </w:rPr>
              <w:t>a,b,#</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r>
              <w:t>24.7 ± 28.0</w:t>
            </w:r>
            <w:r>
              <w:rPr>
                <w:vertAlign w:val="superscript"/>
              </w:rPr>
              <w:t>a,b,#</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Pr="00665965" w:rsidRDefault="003C79C1" w:rsidP="00F76740">
            <w:pPr>
              <w:jc w:val="center"/>
            </w:pPr>
            <w:r w:rsidRPr="00665965">
              <w:t>ExP</w:t>
            </w:r>
            <w:r w:rsidRPr="00665965">
              <w:rPr>
                <w:vertAlign w:val="superscript"/>
              </w:rPr>
              <w:t>*</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r>
              <w:t>127.9 ± 174.8</w:t>
            </w:r>
            <w:r>
              <w:rPr>
                <w:vertAlign w:val="superscript"/>
              </w:rPr>
              <w:t>a,#</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r>
              <w:t>147.4 ± 176</w:t>
            </w:r>
            <w:r>
              <w:rPr>
                <w:vertAlign w:val="superscript"/>
              </w:rPr>
              <w:t>b,#</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r>
              <w:t>122.4 ± 161.5</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rsidRPr="00665965">
              <w:t>IBW</w:t>
            </w:r>
            <w:r w:rsidRPr="00665965">
              <w:rPr>
                <w:vertAlign w:val="superscript"/>
              </w:rPr>
              <w:t>*</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r>
              <w:t>12.1 ± 0</w:t>
            </w:r>
            <w:r>
              <w:rPr>
                <w:vertAlign w:val="superscript"/>
              </w:rPr>
              <w:t>a,#</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r>
              <w:t>9.18 ± 4.4</w:t>
            </w:r>
            <w:r>
              <w:rPr>
                <w:vertAlign w:val="superscript"/>
              </w:rPr>
              <w:t>a,#</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r>
              <w:t>9.3 ± 4.5</w:t>
            </w:r>
            <w:r>
              <w:rPr>
                <w:vertAlign w:val="superscript"/>
              </w:rPr>
              <w:t>b,#</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r>
              <w:t>Interleukin 15 (pg/mL)</w:t>
            </w: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c>
          <w:tcPr>
            <w:tcW w:w="0" w:type="auto"/>
          </w:tcPr>
          <w:p w:rsidR="003C79C1" w:rsidRDefault="003C79C1" w:rsidP="00F76740">
            <w:pPr>
              <w:cnfStyle w:val="000000000000" w:firstRow="0" w:lastRow="0" w:firstColumn="0" w:lastColumn="0" w:oddVBand="0" w:evenVBand="0" w:oddHBand="0" w:evenHBand="0" w:firstRowFirstColumn="0" w:firstRowLastColumn="0" w:lastRowFirstColumn="0" w:lastRowLastColumn="0"/>
            </w:pP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ExN</w:t>
            </w:r>
          </w:p>
        </w:tc>
        <w:tc>
          <w:tcPr>
            <w:tcW w:w="0" w:type="auto"/>
          </w:tcPr>
          <w:p w:rsidR="003C79C1" w:rsidRPr="0092766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73.8 ± 112.7</w:t>
            </w:r>
            <w:r>
              <w:rPr>
                <w:vertAlign w:val="superscript"/>
              </w:rPr>
              <w:t>a,#</w:t>
            </w:r>
          </w:p>
        </w:tc>
        <w:tc>
          <w:tcPr>
            <w:tcW w:w="0" w:type="auto"/>
          </w:tcPr>
          <w:p w:rsidR="003C79C1" w:rsidRPr="0092766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91.5 ± 98.1</w:t>
            </w:r>
            <w:r>
              <w:rPr>
                <w:vertAlign w:val="superscript"/>
              </w:rPr>
              <w:t>a,#</w:t>
            </w:r>
          </w:p>
        </w:tc>
        <w:tc>
          <w:tcPr>
            <w:tcW w:w="0" w:type="auto"/>
          </w:tcPr>
          <w:p w:rsidR="003C79C1" w:rsidRPr="0092766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143.4 ± 143.8</w:t>
            </w:r>
            <w:r>
              <w:rPr>
                <w:vertAlign w:val="superscript"/>
              </w:rPr>
              <w:t>a,#</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Pr>
          <w:p w:rsidR="003C79C1" w:rsidRDefault="003C79C1" w:rsidP="00F76740">
            <w:pPr>
              <w:jc w:val="center"/>
            </w:pPr>
            <w:r>
              <w:t>ExP</w:t>
            </w:r>
          </w:p>
        </w:tc>
        <w:tc>
          <w:tcPr>
            <w:tcW w:w="0" w:type="auto"/>
          </w:tcPr>
          <w:p w:rsidR="003C79C1" w:rsidRPr="0092766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157.1 ± 211.2</w:t>
            </w:r>
            <w:r>
              <w:rPr>
                <w:vertAlign w:val="superscript"/>
              </w:rPr>
              <w:t>a,#</w:t>
            </w:r>
          </w:p>
        </w:tc>
        <w:tc>
          <w:tcPr>
            <w:tcW w:w="0" w:type="auto"/>
          </w:tcPr>
          <w:p w:rsidR="003C79C1" w:rsidRPr="0092766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208.3 ± 284.8</w:t>
            </w:r>
            <w:r>
              <w:rPr>
                <w:vertAlign w:val="superscript"/>
              </w:rPr>
              <w:t>a,#</w:t>
            </w:r>
          </w:p>
        </w:tc>
        <w:tc>
          <w:tcPr>
            <w:tcW w:w="0" w:type="auto"/>
          </w:tcPr>
          <w:p w:rsidR="003C79C1" w:rsidRPr="0092766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183.4 ± 248.4</w:t>
            </w:r>
            <w:r>
              <w:rPr>
                <w:vertAlign w:val="superscript"/>
              </w:rPr>
              <w:t>a,b,#</w:t>
            </w:r>
          </w:p>
        </w:tc>
      </w:tr>
      <w:tr w:rsidR="003C79C1" w:rsidTr="00F76740">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3C79C1" w:rsidRDefault="003C79C1" w:rsidP="00F76740">
            <w:pPr>
              <w:jc w:val="center"/>
            </w:pPr>
            <w:r>
              <w:t>IBW</w:t>
            </w:r>
          </w:p>
        </w:tc>
        <w:tc>
          <w:tcPr>
            <w:tcW w:w="0" w:type="auto"/>
            <w:tcBorders>
              <w:bottom w:val="single" w:sz="12" w:space="0" w:color="000000"/>
            </w:tcBorders>
          </w:tcPr>
          <w:p w:rsidR="003C79C1" w:rsidRPr="0092766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8.5 ± 4.4</w:t>
            </w:r>
            <w:r>
              <w:rPr>
                <w:vertAlign w:val="superscript"/>
              </w:rPr>
              <w:t>b,#</w:t>
            </w:r>
          </w:p>
        </w:tc>
        <w:tc>
          <w:tcPr>
            <w:tcW w:w="0" w:type="auto"/>
            <w:tcBorders>
              <w:bottom w:val="single" w:sz="12" w:space="0" w:color="000000"/>
            </w:tcBorders>
          </w:tcPr>
          <w:p w:rsidR="003C79C1" w:rsidRPr="0092766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11.7 ± 2.2</w:t>
            </w:r>
            <w:r>
              <w:rPr>
                <w:vertAlign w:val="superscript"/>
              </w:rPr>
              <w:t>a,#</w:t>
            </w:r>
          </w:p>
        </w:tc>
        <w:tc>
          <w:tcPr>
            <w:tcW w:w="0" w:type="auto"/>
            <w:tcBorders>
              <w:bottom w:val="single" w:sz="12" w:space="0" w:color="000000"/>
            </w:tcBorders>
          </w:tcPr>
          <w:p w:rsidR="003C79C1" w:rsidRPr="00927663" w:rsidRDefault="003C79C1" w:rsidP="00F76740">
            <w:pPr>
              <w:cnfStyle w:val="000000000000" w:firstRow="0" w:lastRow="0" w:firstColumn="0" w:lastColumn="0" w:oddVBand="0" w:evenVBand="0" w:oddHBand="0" w:evenHBand="0" w:firstRowFirstColumn="0" w:firstRowLastColumn="0" w:lastRowFirstColumn="0" w:lastRowLastColumn="0"/>
              <w:rPr>
                <w:vertAlign w:val="superscript"/>
              </w:rPr>
            </w:pPr>
            <w:r>
              <w:t>13.6 ± 8.2</w:t>
            </w:r>
            <w:r>
              <w:rPr>
                <w:vertAlign w:val="superscript"/>
              </w:rPr>
              <w:t>b,#</w:t>
            </w:r>
          </w:p>
        </w:tc>
      </w:tr>
      <w:tr w:rsidR="003C79C1" w:rsidRPr="00B375D2" w:rsidTr="00F76740">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12" w:space="0" w:color="000000"/>
              <w:bottom w:val="nil"/>
              <w:right w:val="nil"/>
            </w:tcBorders>
          </w:tcPr>
          <w:p w:rsidR="003C79C1" w:rsidRPr="00B375D2" w:rsidRDefault="003C79C1" w:rsidP="00F76740">
            <w:pPr>
              <w:rPr>
                <w:sz w:val="18"/>
                <w:szCs w:val="18"/>
              </w:rPr>
            </w:pPr>
            <w:r w:rsidRPr="00B375D2">
              <w:rPr>
                <w:sz w:val="18"/>
                <w:szCs w:val="18"/>
              </w:rPr>
              <w:t>Numerical data presented as mean ± standard deviation.</w:t>
            </w:r>
          </w:p>
          <w:p w:rsidR="003C79C1" w:rsidRPr="00B375D2" w:rsidRDefault="003C79C1" w:rsidP="00F76740">
            <w:pPr>
              <w:rPr>
                <w:sz w:val="18"/>
                <w:szCs w:val="18"/>
              </w:rPr>
            </w:pPr>
            <w:r w:rsidRPr="00B375D2">
              <w:rPr>
                <w:sz w:val="18"/>
                <w:szCs w:val="18"/>
                <w:vertAlign w:val="superscript"/>
              </w:rPr>
              <w:t>*</w:t>
            </w:r>
            <w:r w:rsidRPr="00B375D2">
              <w:rPr>
                <w:sz w:val="18"/>
                <w:szCs w:val="18"/>
              </w:rPr>
              <w:t>ExN, excess calorie nutraceutical group; ExP, excess calorie placebo group; IBW, ideal body weight group.</w:t>
            </w:r>
          </w:p>
          <w:p w:rsidR="003C79C1" w:rsidRPr="00B375D2" w:rsidRDefault="003C79C1" w:rsidP="00F76740">
            <w:pPr>
              <w:rPr>
                <w:sz w:val="18"/>
                <w:szCs w:val="18"/>
              </w:rPr>
            </w:pPr>
            <w:proofErr w:type="gramStart"/>
            <w:r w:rsidRPr="00B375D2">
              <w:rPr>
                <w:sz w:val="18"/>
                <w:szCs w:val="18"/>
                <w:vertAlign w:val="superscript"/>
              </w:rPr>
              <w:t>a-</w:t>
            </w:r>
            <w:r>
              <w:rPr>
                <w:sz w:val="18"/>
                <w:szCs w:val="18"/>
                <w:vertAlign w:val="superscript"/>
              </w:rPr>
              <w:t>b</w:t>
            </w:r>
            <w:r w:rsidRPr="00B375D2">
              <w:rPr>
                <w:sz w:val="18"/>
                <w:szCs w:val="18"/>
              </w:rPr>
              <w:t>Within</w:t>
            </w:r>
            <w:proofErr w:type="gramEnd"/>
            <w:r w:rsidRPr="00B375D2">
              <w:rPr>
                <w:sz w:val="18"/>
                <w:szCs w:val="18"/>
              </w:rPr>
              <w:t xml:space="preserve"> a column, values with different superscript letters differ significantly (</w:t>
            </w:r>
            <w:r w:rsidRPr="00B375D2">
              <w:rPr>
                <w:i/>
                <w:sz w:val="18"/>
                <w:szCs w:val="18"/>
              </w:rPr>
              <w:t>p</w:t>
            </w:r>
            <w:r w:rsidRPr="00B375D2">
              <w:rPr>
                <w:sz w:val="18"/>
                <w:szCs w:val="18"/>
              </w:rPr>
              <w:t>&lt; 0.05).</w:t>
            </w:r>
          </w:p>
          <w:p w:rsidR="003C79C1" w:rsidRPr="00B375D2" w:rsidRDefault="003C79C1" w:rsidP="00F76740">
            <w:pPr>
              <w:rPr>
                <w:sz w:val="18"/>
                <w:szCs w:val="18"/>
              </w:rPr>
            </w:pPr>
            <w:r w:rsidRPr="00B375D2">
              <w:rPr>
                <w:sz w:val="18"/>
                <w:szCs w:val="18"/>
                <w:vertAlign w:val="superscript"/>
              </w:rPr>
              <w:t>#</w:t>
            </w:r>
            <w:r w:rsidRPr="00B375D2">
              <w:rPr>
                <w:sz w:val="18"/>
                <w:szCs w:val="18"/>
              </w:rPr>
              <w:t>Across columns, values with different superscript symbols differ significantly (</w:t>
            </w:r>
            <w:r w:rsidRPr="00B375D2">
              <w:rPr>
                <w:i/>
                <w:sz w:val="18"/>
                <w:szCs w:val="18"/>
              </w:rPr>
              <w:t>p</w:t>
            </w:r>
            <w:r w:rsidRPr="00B375D2">
              <w:rPr>
                <w:sz w:val="18"/>
                <w:szCs w:val="18"/>
              </w:rPr>
              <w:t>&lt; 0.05).</w:t>
            </w:r>
          </w:p>
        </w:tc>
      </w:tr>
    </w:tbl>
    <w:p w:rsidR="003C79C1" w:rsidRDefault="003C79C1" w:rsidP="002F1CE3">
      <w:pPr>
        <w:sectPr w:rsidR="003C79C1" w:rsidSect="00016A52">
          <w:pgSz w:w="12240" w:h="15840" w:code="1"/>
          <w:pgMar w:top="1440" w:right="1800" w:bottom="1872" w:left="1800" w:header="720" w:footer="1440" w:gutter="0"/>
          <w:cols w:space="720"/>
          <w:noEndnote/>
          <w:docGrid w:linePitch="360"/>
        </w:sectPr>
      </w:pPr>
    </w:p>
    <w:p w:rsidR="00927570" w:rsidRDefault="000130BF" w:rsidP="00927570">
      <w:pPr>
        <w:pStyle w:val="Heading2"/>
      </w:pPr>
      <w:bookmarkStart w:id="171" w:name="_Toc376465817"/>
      <w:r>
        <w:t>D</w:t>
      </w:r>
      <w:r w:rsidR="00927570">
        <w:t>iscussion</w:t>
      </w:r>
      <w:bookmarkEnd w:id="171"/>
    </w:p>
    <w:p w:rsidR="004B6D18" w:rsidRDefault="00744942" w:rsidP="00640C67">
      <w:pPr>
        <w:ind w:firstLine="720"/>
      </w:pPr>
      <w:r>
        <w:t xml:space="preserve">These data show when excess calories are offered to dogs, </w:t>
      </w:r>
      <w:r w:rsidR="007279A8">
        <w:t>there is no difference</w:t>
      </w:r>
      <w:r w:rsidR="00624DCE">
        <w:t xml:space="preserve"> in</w:t>
      </w:r>
      <w:r w:rsidR="007279A8">
        <w:t xml:space="preserve"> voluntary food intake or weight gain in dogs consuming a leucine/pyridoxine supplement compared to placebo.  </w:t>
      </w:r>
      <w:r w:rsidR="004B6D18">
        <w:t>This refutes the idea of this nutraceutical containing a satiating effect when</w:t>
      </w:r>
      <w:r w:rsidR="00FE451E">
        <w:t xml:space="preserve"> also</w:t>
      </w:r>
      <w:r w:rsidR="004B6D18">
        <w:t xml:space="preserve"> given access to an excess volume of food.  </w:t>
      </w:r>
      <w:r w:rsidR="00FE451E">
        <w:t>Centrally administered l</w:t>
      </w:r>
      <w:r w:rsidR="004B6D18">
        <w:t>eucine has been shown to affect food intake by activating the mTOR pathway, causing the arcuate nucleus of the hypothalamus to express anorexigenic neuropeptides and decreasing food intake.</w:t>
      </w:r>
      <w:r w:rsidR="004B6D18">
        <w:fldChar w:fldCharType="begin"/>
      </w:r>
      <w:r w:rsidR="000A492A">
        <w:instrText xml:space="preserve"> ADDIN ZOTERO_ITEM CSL_CITATION {"citationID":"pdRWBtS2","properties":{"formattedCitation":"{\\rtf \\super 378,379\\nosupersub{}}","plainCitation":"378,379"},"citationItems":[{"id":586,"uris":["http://zotero.org/users/171999/items/D4HP5A8E"],"uri":["http://zotero.org/users/171999/items/D4HP5A8E"],"itemData":{"id":586,"type":"article-journal","title":"Hypothalamic mTOR signaling regulates food intake","container-title":"Science (New York, N.Y.)","page":"927-930","volume":"312","issue":"5775","source":"NCBI PubMed","abstract":"The mammalian Target of Rapamycin (mTOR) protein is a serine-threonine kinase that regulates cell-cycle progression and growth by sensing changes in energy status. We demonstrated that mTOR signaling plays a role in the brain mechanisms that respond to nutrient availability, regulating energy balance. In the rat, mTOR signaling is controlled by energy status in specific regions of the hypothalamus and colocalizes with neuropeptide Y and proopiomelanocortin neurons in the arcuate nucleus. Central administration of leucine increases hypothalamic mTOR signaling and decreases food intake and body weight. The hormone leptin increases hypothalamic mTOR activity, and the inhibition of mTOR signaling blunts leptin's anorectic effect. Thus, mTOR is a cellular fuel sensor whose hypothalamic activity is directly tied to the regulation of energy intake.","DOI":"10.1126/science.1124147","ISSN":"1095-9203","note":"PMID: 16690869","journalAbbreviation":"Science","language":"eng","author":[{"family":"Cota","given":"Daniela"},{"family":"Proulx","given":"Karine"},{"family":"Smith","given":"Kathi A Blake"},{"family":"Kozma","given":"Sara C"},{"family":"Thomas","given":"George"},{"family":"Woods","given":"Stephen C"},{"family":"Seeley","given":"Randy J"}],"issued":{"date-parts":[["2006",5,12]]},"PMID":"16690869"}},{"id":1796,"uris":["http://zotero.org/users/171999/items/AFKGQGNE"],"uri":["http://zotero.org/users/171999/items/AFKGQGNE"],"itemData":{"id":1796,"type":"article-journal","title":"Mediobasal hypothalamic leucine sensing regulates food intake through activation of a hypothalamus-brainstem circuit","container-title":"The Journal of neuroscience: the official journal of the Society for Neuroscience","page":"8302-8311","volume":"29","issue":"26","source":"NCBI PubMed","abstract":"In response to nutrient stimuli, the mediobasal hypothalamus (MBH) drives multiple neuroendocrine and behavioral mechanisms to regulate energy balance. While central leucine reduces food intake and body weight, the specific neuroanatomical sites of leucine sensing, downstream neural substrates, and neurochemical effectors involved in this regulation remain largely unknown. Here we demonstrate that MBH leucine engages a neural energy regulatory circuit by stimulating POMC (proopiomelanocortin) neurons of the MBH, oxytocin neurons of the paraventricular hypothalamus, and neurons within the brainstem nucleus of the solitary tract to acutely suppress food intake by reducing meal size. We identify central p70 S6 kinase and Erk1/2 pathways as intracellular effectors required for this response. Activation of endogenous leucine intracellular metabolism produced longer-term reductions in meal number. Our data identify a novel, specific hypothalamus-brainstem circuit that links amino acid availability and nutrient sensing to the control of food intake.","DOI":"10.1523/JNEUROSCI.1668-09.2009","ISSN":"1529-2401","note":"PMID: 19571121","journalAbbreviation":"J. Neurosci.","language":"eng","author":[{"family":"Blouet","given":"Clémence"},{"family":"Jo","given":"Young-Hwan"},{"family":"Li","given":"Xiaosong"},{"family":"Schwartz","given":"Gary J"}],"issued":{"date-parts":[["2009",7,1]]},"PMID":"19571121"}}],"schema":"https://github.com/citation-style-language/schema/raw/master/csl-citation.json"} </w:instrText>
      </w:r>
      <w:r w:rsidR="004B6D18">
        <w:fldChar w:fldCharType="separate"/>
      </w:r>
      <w:r w:rsidR="000A492A" w:rsidRPr="000A492A">
        <w:rPr>
          <w:vertAlign w:val="superscript"/>
        </w:rPr>
        <w:t>378,379</w:t>
      </w:r>
      <w:r w:rsidR="004B6D18">
        <w:fldChar w:fldCharType="end"/>
      </w:r>
      <w:r w:rsidR="00925401">
        <w:t xml:space="preserve">  </w:t>
      </w:r>
      <w:r w:rsidR="00ED257E">
        <w:t xml:space="preserve">Food intake decreases in mice fed </w:t>
      </w:r>
      <w:r w:rsidR="00FE451E">
        <w:t xml:space="preserve">a </w:t>
      </w:r>
      <w:r w:rsidR="00ED257E">
        <w:t xml:space="preserve">leucine-supplemented (6% leucine) </w:t>
      </w:r>
      <w:r w:rsidR="00FE451E">
        <w:t xml:space="preserve">diet </w:t>
      </w:r>
      <w:r w:rsidR="00ED257E">
        <w:t>compared to adequate protein diet controls (10% protein)</w:t>
      </w:r>
      <w:r w:rsidR="00FE451E">
        <w:t xml:space="preserve">, </w:t>
      </w:r>
      <w:r w:rsidR="007709C9">
        <w:t xml:space="preserve">and is comparable </w:t>
      </w:r>
      <w:r w:rsidR="00ED257E">
        <w:t xml:space="preserve">to </w:t>
      </w:r>
      <w:r w:rsidR="007709C9">
        <w:t xml:space="preserve">intake by </w:t>
      </w:r>
      <w:r w:rsidR="00ED257E">
        <w:t>mice fed high protein diets (50% protein).</w:t>
      </w:r>
      <w:r w:rsidR="00ED257E">
        <w:fldChar w:fldCharType="begin"/>
      </w:r>
      <w:r w:rsidR="000A492A">
        <w:instrText xml:space="preserve"> ADDIN ZOTERO_ITEM CSL_CITATION {"citationID":"YjZG9pEU","properties":{"formattedCitation":"{\\rtf \\super 441,442\\nosupersub{}}","plainCitation":"441,442"},"citationItems":[{"id":730,"uris":["http://zotero.org/users/171999/items/79JKPVF6"],"uri":["http://zotero.org/users/171999/items/79JKPVF6"],"itemData":{"id":730,"type":"article-journal","title":"Comparison of high-protein diets and leucine supplementation in the prevention of metabolic syndrome and related disorders in mice","container-title":"The Journal of nutritional biochemistry","page":"1524-1530","volume":"23","issue":"11","source":"NCBI PubMed","abstract":"High-protein diets have been shown to promote weight loss, to improve glucose homeostasis and to increase energy expenditure and fat oxidation. We aimed to study whether leucine supplementation is able to mimic the alleviating effects of high-protein diets on metabolic syndrome parameters in mice fed high-fat diet. Male C57BL/6 mice were fed for 20 weeks with semisynthetic high-fat diets (20% w/w of fat) containing either an adequate (10% protein, AP) or high (50% protein, HP) amount of whey protein, or an AP diet supplemented with L-leucine corresponding to the leucine content of the HP diet (6% leucine, AP+L). Body weight and composition, energy expenditure, glucose tolerance, hepatic triacylglycerols (TG), plasma parameters as well as expression levels of mRNA and proteins in different tissues were measured. HP feeding resulted in decreased body weight, body fat and hepatic TG accumulation, as well as increased insulin sensitivity compared to AP. This was linked to an increased total and resting energy expenditure (REE), decreased feed energy efficiency, increased skeletal muscle (SM) protein synthesis, reduced hepatic lipogenesis and increased white fat lipolysis. Leucine supplementation had effects that were intermediate between HP and AP with regard to body composition, liver TG content, insulin sensitivity, REE and feed energy efficiency, and similar effects as HP on SM protein synthesis. However, neither HP nor AP+L showed an activation of the mammalian target of rapamycin pathway in SM. Leucine supplementation had no effect on liver lipogenesis and white fat lipolysis compared to AP. It is concluded that the essential amino acid leucine is able to mimic part but not all beneficial metabolic effects of HP diets.","DOI":"10.1016/j.jnutbio.2011.10.005","ISSN":"1873-4847","note":"PMID: 22405695","journalAbbreviation":"J. Nutr. Biochem.","language":"eng","author":[{"family":"Freudenberg","given":"Anne"},{"family":"Petzke","given":"Klaus J"},{"family":"Klaus","given":"Susanne"}],"issued":{"date-parts":[["2012",11]]},"PMID":"22405695"}},{"id":717,"uris":["http://zotero.org/users/171999/items/WJZBRIZ2"],"uri":["http://zotero.org/users/171999/items/WJZBRIZ2"],"itemData":{"id":717,"type":"article-journal","title":"Dietary L-leucine and L-alanine supplementation have similar acute effects in the prevention of high-fat diet-induced obesity","container-title":"Amino acids","page":"519-528","volume":"44","issue":"2","source":"NCBI PubMed","abstract":"High-protein diets have been shown to alleviate detrimental effects of high-fat diets and this effect can be partially mimicked by dietary L-leucine supplementation. Here, we aimed to elucidate the early mechanisms and the specificity of leucine effects. We performed a 1-week trial with male C57BL/6 mice fed ad libitum with semisynthetic high-fat diets containing an adequate (10 % w/w, AP) or high (50 % w/w, HP) amount of whey protein, or supplemented with L-leucine corresponding to the leucine content within the HP diet (Leu) or supplemented with equimolar L-alanine (Ala). Food and water intake were monitored continuously using a computer-controlled monitor system and body composition changes were assessed using quantitative NMR. HP completely prevented the AP-induced accumulation of body fat. Leu and Ala resulted in a similar reduction of body fat accumulation which was intermediate between AP and HP. There were no significant effects on plasma glucose or insulin. Triacylglycerol content and gene expression of lipogenesis enzymes in liver as well as plasma cholesterol were reduced by HP compared to AP with Leu and Ala again showing intermediate effects. Body fat gain and liver triacylglycerols were strongly correlated with total energy intake. Water intake was rapidly increased by HP feeding and total water intake correlated strongly with total amino nitrogen intake. We concluded that the positive effects of high-protein diets on metabolic syndrome associated traits are acutely due to effects on satiety possibly linked to amino nitrogen intake and on the subsequent suppression of liver lipogenesis without evidence for a specific leucine effect.","DOI":"10.1007/s00726-012-1363-2","ISSN":"1438-2199","note":"PMID: 22847780","journalAbbreviation":"Amino Acids","language":"eng","author":[{"family":"Freudenberg","given":"Anne"},{"family":"Petzke","given":"Klaus J"},{"family":"Klaus","given":"Susanne"}],"issued":{"date-parts":[["2013",2]]},"PMID":"22847780"}}],"schema":"https://github.com/citation-style-language/schema/raw/master/csl-citation.json"} </w:instrText>
      </w:r>
      <w:r w:rsidR="00ED257E">
        <w:fldChar w:fldCharType="separate"/>
      </w:r>
      <w:r w:rsidR="000A492A" w:rsidRPr="000A492A">
        <w:rPr>
          <w:vertAlign w:val="superscript"/>
        </w:rPr>
        <w:t>441,442</w:t>
      </w:r>
      <w:r w:rsidR="00ED257E">
        <w:fldChar w:fldCharType="end"/>
      </w:r>
      <w:r w:rsidR="00A82F4C">
        <w:t xml:space="preserve">  This </w:t>
      </w:r>
      <w:r w:rsidR="00FE451E">
        <w:t xml:space="preserve">dose </w:t>
      </w:r>
      <w:r w:rsidR="00A82F4C">
        <w:t>is equivalent to 60 g leucine/kg diet in a diet with 4204 kcal/kg ME</w:t>
      </w:r>
      <w:r w:rsidR="000B3EAB">
        <w:t xml:space="preserve"> or 14.72 g leucine/1000 kcal</w:t>
      </w:r>
      <w:r w:rsidR="00A82F4C">
        <w:t>.</w:t>
      </w:r>
      <w:r w:rsidR="00FE451E">
        <w:t xml:space="preserve">  The maintenance diet fed to the dogs</w:t>
      </w:r>
      <w:r w:rsidR="000B3EAB">
        <w:t xml:space="preserve"> in the current study contained 5 g leucine/1000 kcal.  Even with the leucine/pyridoxine supplement, leucine levels would only increase to 6 g,</w:t>
      </w:r>
      <w:r w:rsidR="00FE451E">
        <w:t xml:space="preserve"> still less than 50% of the concentration</w:t>
      </w:r>
      <w:r w:rsidR="007C4DC0">
        <w:t xml:space="preserve"> associated with decreased voluntary intake in mice</w:t>
      </w:r>
      <w:r w:rsidR="000B3EAB">
        <w:t>.</w:t>
      </w:r>
    </w:p>
    <w:p w:rsidR="00FE451E" w:rsidRDefault="00FE451E" w:rsidP="00FE451E">
      <w:pPr>
        <w:ind w:firstLine="720"/>
      </w:pPr>
      <w:r>
        <w:t xml:space="preserve">While leucine/pyridoxine supplementation did not affect food intake, this data can also be described as NuShape not having an </w:t>
      </w:r>
      <w:r w:rsidR="00334081">
        <w:t>effect</w:t>
      </w:r>
      <w:r>
        <w:t xml:space="preserve"> on appetite in dogs.  This is significant when considering the only FDA-approved weight loss drug in dogs.  </w:t>
      </w:r>
      <w:r w:rsidRPr="003A0EF9">
        <w:t xml:space="preserve">Dirlotapide, </w:t>
      </w:r>
      <w:r>
        <w:t>(SLENTROL®, Zoetis, Florham Park, NJ) is an agent affecting fat absorption</w:t>
      </w:r>
      <w:r w:rsidR="00713605">
        <w:t>,</w:t>
      </w:r>
      <w:r w:rsidR="0031042F">
        <w:t xml:space="preserve"> with its main action through appetite reduction</w:t>
      </w:r>
      <w:r>
        <w:t xml:space="preserve">.  </w:t>
      </w:r>
      <w:r w:rsidRPr="003A0EF9">
        <w:t xml:space="preserve">It </w:t>
      </w:r>
      <w:r>
        <w:t>is</w:t>
      </w:r>
      <w:r w:rsidRPr="003A0EF9">
        <w:t xml:space="preserve"> a microsomal transport</w:t>
      </w:r>
      <w:r>
        <w:t xml:space="preserve"> protein (MTP)</w:t>
      </w:r>
      <w:r w:rsidRPr="003A0EF9">
        <w:t xml:space="preserve"> inhibitor </w:t>
      </w:r>
      <w:r>
        <w:t>and</w:t>
      </w:r>
      <w:r w:rsidR="00D6526C">
        <w:t xml:space="preserve"> results in enterocyte lipid accumulation and loss via </w:t>
      </w:r>
      <w:r w:rsidRPr="003A0EF9">
        <w:t>normal intestinal sloughing</w:t>
      </w:r>
      <w:r w:rsidR="00D6526C">
        <w:t>.</w:t>
      </w:r>
      <w:r w:rsidR="0031042F">
        <w:t xml:space="preserve">  The i</w:t>
      </w:r>
      <w:r>
        <w:t>ntracellular</w:t>
      </w:r>
      <w:r w:rsidR="0031042F">
        <w:t>ly</w:t>
      </w:r>
      <w:r>
        <w:t xml:space="preserve"> accumulated fat</w:t>
      </w:r>
      <w:r w:rsidR="0031042F">
        <w:t xml:space="preserve"> triggers</w:t>
      </w:r>
      <w:r w:rsidRPr="003A0EF9">
        <w:t xml:space="preserve"> release of intestinal PYY</w:t>
      </w:r>
      <w:r>
        <w:t>, which is anorexigenic.</w:t>
      </w:r>
      <w:r w:rsidRPr="003A0EF9">
        <w:fldChar w:fldCharType="begin"/>
      </w:r>
      <w:r w:rsidR="000A492A">
        <w:instrText xml:space="preserve"> ADDIN ZOTERO_ITEM CSL_CITATION {"citationID":"xaFJkJ4O","properties":{"formattedCitation":"{\\rtf \\super 323\\nosupersub{}}","plainCitation":"323"},"citationItems":[{"id":358,"uris":["http://zotero.org/users/local/Ry4zHLbn/items/IT2ZRWW5"],"uri":["http://zotero.org/users/local/Ry4zHLbn/items/IT2ZRWW5"],"itemData":{"id":358,"type":"article-journal","title":"Biologic activity of dirlotapide, a novel microsomal triglyceride transfer protein inhibitor, for weight loss in obese dogs","container-title":"Journal of veterinary pharmacology and therapeutics","page":"33-42","volume":"30 Suppl 1","source":"NCBI PubMed","abstract":"Dirlotapide is a novel microsomal triglyceride transfer protein inhibitor intended for the treatment and management of obesity in dogs. The biologic effects of dirlotapide, weight loss, decreased food intake, increased fecal fat, decreased serum cholesterol, and body composition, were evaluated in a controlled, blinded study. Sixteen obese beagles were randomized to treatment with placebo (n = 4) or dirlotapide (n = 12) following a 2-week acclimation period in which baseline data were collected. The dirlotapide dose, adjusted to produce weight loss for 3 months and then stabilize body weight for 1 month (weight management), produced a significant difference (expressed as a percentage of baselines) in weekly weight loss, food intake, fecal fat, serum cholesterol concentration, and body composition (measured by dual energy X-ray absorptiometry) compared with placebo treatment (P &lt; 0.05). The initial dirlotapide dosage of 0.5 mg/kg (10 times the initial label dose) resulted in a high rate of weight loss (3.3% weekly) and anorexia, emesis, and loose stools for some dogs. A 25% dose reduction (mean dosage: 0.36 mg/kg) followed by biweekly 25% dose adjustments based on individual weight loss, produced 1-2% weekly weight loss and total weight loss of 18.8% in 12 weeks at a final mean dosage of 0.41 mg/kg (range: 0.15-0.60); a dosage range of 0.10-0.34 mg/kg stabilized body weight. Body weight changes for placebo-treated dogs were -0.8% to +0.9% weekly; total weight gain during the weight loss phase was 10.6%. No apparent change in food intake, percentage of fecal fat, and serum cholesterol was observed in the placebo group. Food intake and body weight increased when dirlotapide was discontinued. Dirlotapide produced weight loss by both reducing appetite (about 90% of the weight loss activity) and by increasing fecal fat excretion (about 10% of the weight loss activity).","DOI":"10.1111/j.1365-2885.2007.00853.x","ISSN":"0140-7783","note":"PMID: 17567513","journalAbbreviation":"J. Vet. Pharmacol. Ther.","language":"eng","author":[{"family":"Wren","given":"J A"},{"family":"King","given":"V L"},{"family":"Campbell","given":"S L"},{"family":"Hickman","given":"M A"}],"issued":{"date-parts":[["2007",8]]},"PMID":"17567513"}}],"schema":"https://github.com/citation-style-language/schema/raw/master/csl-citation.json"} </w:instrText>
      </w:r>
      <w:r w:rsidRPr="003A0EF9">
        <w:fldChar w:fldCharType="separate"/>
      </w:r>
      <w:r w:rsidR="000A492A" w:rsidRPr="000A492A">
        <w:rPr>
          <w:vertAlign w:val="superscript"/>
        </w:rPr>
        <w:t>323</w:t>
      </w:r>
      <w:r w:rsidRPr="003A0EF9">
        <w:fldChar w:fldCharType="end"/>
      </w:r>
      <w:r w:rsidRPr="003A0EF9">
        <w:t xml:space="preserve">  </w:t>
      </w:r>
      <w:r>
        <w:t>Weight loss occurs due to decreased food intake</w:t>
      </w:r>
      <w:r w:rsidR="0031042F">
        <w:t>, which can be viewed as a negative side effect by owners</w:t>
      </w:r>
      <w:r>
        <w:t xml:space="preserve">.  </w:t>
      </w:r>
      <w:r w:rsidR="0031042F">
        <w:t>True s</w:t>
      </w:r>
      <w:r w:rsidRPr="003A0EF9">
        <w:t>ide effects common to treatment are emesis, especially during initial therapy, and intermittent loose stools throughout use of the drug.</w:t>
      </w:r>
      <w:r w:rsidRPr="003A0EF9">
        <w:fldChar w:fldCharType="begin"/>
      </w:r>
      <w:r w:rsidR="000A492A">
        <w:instrText xml:space="preserve"> ADDIN ZOTERO_ITEM CSL_CITATION {"citationID":"l4GFLurH","properties":{"formattedCitation":"{\\rtf \\super 326\\nosupersub{}}","plainCitation":"326"},"citationItems":[{"id":364,"uris":["http://zotero.org/users/local/Ry4zHLbn/items/N6IC7E8R"],"uri":["http://zotero.org/users/local/Ry4zHLbn/items/N6IC7E8R"],"itemData":{"id":364,"type":"article-journal","title":"Influence of dirlotapide, a microsomal triglyceride transfer protein inhibitor, on the digestibility of a dry expanded diet in adult dogs","container-title":"Journal of veterinary pharmacology and therapeutics","page":"66-72","volume":"30 Suppl 1","source":"NCBI PubMed","abstract":"The objectives of this study were to evaluate the effects of dirlotapide, a microsomal triglyceride transfer protein inhibitor, on apparent nutrient digestibility of an expanded dry dog food, on defecation frequency and fecal consistency. Eighteen beagles were randomized to either placebo (n = 6) or dirlotapide (n = 12). Testing was divided into a 21-day adaptation phase (days -21 to -1) and a 35-day treatment (digestibility testing) phase (days 0-35). During the treatment phase, dogs were administered oral dirlotapide (0.3 mg/kg) or placebo (0.06 mL/kg) once daily. For digestibility testing, feces were collected over two periods for 7 days each starting on days -9 and 28. All dogs were fed a commercial adult dog food throughout the study. Food intake was adjusted to maintain body weight during adaptation, followed by pair-feeding placebo dogs the amount of food ingested by the dirlotapide dogs during the treatment period. Dogs in both groups had reduced food intake and lost similar amounts of body weight during treatment. Dogs receiving 0.3 mg dirlotapide/kg once daily had a small but significant (P = 0.018) decrease (6.16 +/- 2.22%, mean +/- SD) in crude fat digestibility compared with the placebo-treated food-restricted dogs, but no difference in crude protein, dry matter, or energy digestibility was observed. Fecal consistency and volume and defecation frequency were similar between groups. Dirlotapide effectively reduced appetite and energy intake without affecting nutrient digestibility, except for a minimal decrease in fat digestibility.","DOI":"10.1111/j.1365-2885.2007.00856.x","ISSN":"0140-7783","note":"PMID: 17567516","journalAbbreviation":"J. Vet. Pharmacol. Ther.","language":"eng","author":[{"family":"Kirk","given":"C A"},{"family":"Boucher","given":"J F"},{"family":"Sunderland","given":"S J"},{"family":"Wren","given":"J A"}],"issued":{"date-parts":[["2007",8]]},"PMID":"17567516"}}],"schema":"https://github.com/citation-style-language/schema/raw/master/csl-citation.json"} </w:instrText>
      </w:r>
      <w:r w:rsidRPr="003A0EF9">
        <w:fldChar w:fldCharType="separate"/>
      </w:r>
      <w:r w:rsidR="000A492A" w:rsidRPr="000A492A">
        <w:rPr>
          <w:vertAlign w:val="superscript"/>
        </w:rPr>
        <w:t>326</w:t>
      </w:r>
      <w:r w:rsidRPr="003A0EF9">
        <w:fldChar w:fldCharType="end"/>
      </w:r>
      <w:r w:rsidRPr="003A0EF9">
        <w:t xml:space="preserve">  </w:t>
      </w:r>
      <w:r w:rsidR="00D6526C">
        <w:t xml:space="preserve">Dirlotapide is contraindicated in </w:t>
      </w:r>
      <w:r w:rsidRPr="003A0EF9">
        <w:t>dogs with evidence of liver dysfunction as it may cause minor elevations in alanine aminotransferase (ALT).</w:t>
      </w:r>
      <w:r w:rsidRPr="003A0EF9">
        <w:fldChar w:fldCharType="begin"/>
      </w:r>
      <w:r w:rsidR="000A492A">
        <w:instrText xml:space="preserve"> ADDIN ZOTERO_ITEM CSL_CITATION {"citationID":"RENGVU46","properties":{"formattedCitation":"{\\rtf \\super 327\\nosupersub{}}","plainCitation":"327"},"citationItems":[{"id":366,"uris":["http://zotero.org/users/171999/items/G5UEXCVD"],"uri":["http://zotero.org/users/171999/items/G5UEXCVD"],"itemData":{"id":366,"type":"webpage","title":"Slentrol (Dirlotapide) Prescribing Information","URL":"https://online.zoetis.com/US/EN/Products/Pages/Slentrol/Prescribing_Information.aspx","author":[{"family":"Zoetis","given":""}],"issued":{"date-parts":[["2011",4]]},"accessed":{"date-parts":[["2013",10,10]]}}}],"schema":"https://github.com/citation-style-language/schema/raw/master/csl-citation.json"} </w:instrText>
      </w:r>
      <w:r w:rsidRPr="003A0EF9">
        <w:fldChar w:fldCharType="separate"/>
      </w:r>
      <w:r w:rsidR="000A492A" w:rsidRPr="000A492A">
        <w:rPr>
          <w:vertAlign w:val="superscript"/>
        </w:rPr>
        <w:t>327</w:t>
      </w:r>
      <w:r w:rsidRPr="003A0EF9">
        <w:fldChar w:fldCharType="end"/>
      </w:r>
      <w:r w:rsidR="00713605">
        <w:t xml:space="preserve">  Negative side effects were not noted in dogs receiving leucine/pyridoxine supplementation for twelve weeks in this trial while gaining weight, or in another tria</w:t>
      </w:r>
      <w:r w:rsidR="007C4DC0">
        <w:t>l while losing weight (Chapter I</w:t>
      </w:r>
      <w:r w:rsidR="00713605">
        <w:t>).</w:t>
      </w:r>
    </w:p>
    <w:p w:rsidR="007279A8" w:rsidRDefault="00AD535E" w:rsidP="00640C67">
      <w:pPr>
        <w:ind w:firstLine="720"/>
      </w:pPr>
      <w:r>
        <w:t xml:space="preserve">Other than the effects of the supplement, this research also provides interesting data regarding voluntary food intake in dogs.  </w:t>
      </w:r>
      <w:r w:rsidR="007279A8">
        <w:t xml:space="preserve">In a recent paper, Nagaoka and </w:t>
      </w:r>
      <w:r w:rsidR="00334081">
        <w:t>colleagues</w:t>
      </w:r>
      <w:r w:rsidR="007279A8">
        <w:t xml:space="preserve"> introduced obesity </w:t>
      </w:r>
      <w:r w:rsidR="00CA2F99">
        <w:t xml:space="preserve">via </w:t>
      </w:r>
      <w:r w:rsidR="00CA2F99" w:rsidRPr="00CA2F99">
        <w:rPr>
          <w:i/>
        </w:rPr>
        <w:t>ad libitum</w:t>
      </w:r>
      <w:r w:rsidR="00CA2F99">
        <w:t xml:space="preserve"> feeding</w:t>
      </w:r>
      <w:r w:rsidR="005867AB">
        <w:t xml:space="preserve"> of a dry extruded diet and a </w:t>
      </w:r>
      <w:r w:rsidR="00CA2F99">
        <w:t>canola/soybean oil</w:t>
      </w:r>
      <w:r w:rsidR="005867AB">
        <w:t xml:space="preserve"> mixture with</w:t>
      </w:r>
      <w:r w:rsidR="00CA2F99">
        <w:t xml:space="preserve"> </w:t>
      </w:r>
      <w:r w:rsidR="00334081">
        <w:t>pecan</w:t>
      </w:r>
      <w:r w:rsidR="00CA2F99">
        <w:t xml:space="preserve"> shortbread cookie</w:t>
      </w:r>
      <w:r w:rsidR="005867AB">
        <w:t>s added in a few weeks later</w:t>
      </w:r>
      <w:r w:rsidR="00CA2F99">
        <w:t>.  The dogs voluntarily consumed 1875 – 2250 kcal/day and gained an average of 2.46 kg and approximately 8.1 %BF over 15 weeks.</w:t>
      </w:r>
      <w:r w:rsidR="00CA2F99">
        <w:fldChar w:fldCharType="begin"/>
      </w:r>
      <w:r w:rsidR="00CA2F99">
        <w:instrText xml:space="preserve"> ADDIN ZOTERO_ITEM CSL_CITATION {"citationID":"1imdt6c271","properties":{"formattedCitation":"{\\rtf \\super 402\\nosupersub{}}","plainCitation":"402"},"citationItems":[{"id":1594,"uris":["http://zotero.org/users/171999/items/UVQI57QV"],"uri":["http://zotero.org/users/171999/items/UVQI57QV"],"itemData":{"id":1594,"type":"article-journal","title":"Re-induction of obese body weight occurs more rapidly and at lower caloric intake in beagles","container-title":"Journal of animal physiology and animal nutrition","page":"287-292","volume":"94","issue":"3","source":"NCBI PubMed","abstract":"For the purpose of investigating the mechanism of obesity-induction/re-induction including weight-cycling in beagles, a study was conducted using commercially available dog food combined with human food to mimic at home-snacking and diet-supplementation behaviours. Adult female beagles, which had free access to water and exercise, were used (n = 9). All dogs were initially offered two times their daily calculated number of calories using a dry extruded diet plus blend of canola and soybean oils and allowed to eat ad libitum. After 3 weeks, Pecan shortbread cookies were added to the diet mixture. Obesity was induced during a 19-week period with 1875-2250 kcal/day consumed, on average, during this period. The dogs were then subjected to a weight-loss regimen while consuming 490-730 kcal/day. After weight loss, a similar degree of obesity was re-induced for 17 weeks even though dogs consumed only 1125-1250 kcal/day. Body weight, body condition scores, kcal consumption and food efficiency were recorded. Results indicated that less time and fewer kcal were required to re-induce the same degree of obesity compared with the initial obesity induction. Human snack foods appeared to stimulate appetite and thus contribute to the obese state. Food efficiency was also increased during the obesity-reinduction period compared with the induction period. This information may help pet owners better understand the need to limit table scraps and human-type food snacks in dogs prone to obesity as well as weight maintenance after weight loss.","DOI":"10.1111/j.1439-0396.2008.00908.x","ISSN":"1439-0396","note":"PMID: 19364373","journalAbbreviation":"J Anim Physiol Anim Nutr (Berl)","language":"eng","author":[{"family":"Nagaoka","given":"D"},{"family":"Mitsuhashi","given":"Y"},{"family":"Angell","given":"R"},{"family":"Bigley","given":"K E"},{"family":"Bauer","given":"J E"}],"issued":{"date-parts":[["2010",6]]},"PMID":"19364373"}}],"schema":"https://github.com/citation-style-language/schema/raw/master/csl-citation.json"} </w:instrText>
      </w:r>
      <w:r w:rsidR="00CA2F99">
        <w:fldChar w:fldCharType="separate"/>
      </w:r>
      <w:r w:rsidR="00CA2F99" w:rsidRPr="00CA2F99">
        <w:rPr>
          <w:vertAlign w:val="superscript"/>
        </w:rPr>
        <w:t>402</w:t>
      </w:r>
      <w:r w:rsidR="00CA2F99">
        <w:fldChar w:fldCharType="end"/>
      </w:r>
      <w:r w:rsidR="00CA2F99">
        <w:t xml:space="preserve">  In the dogs reported here, both groups gained </w:t>
      </w:r>
      <w:r w:rsidR="007C4DC0">
        <w:t>more weight and %BF</w:t>
      </w:r>
      <w:r w:rsidR="00767E2A">
        <w:t xml:space="preserve"> </w:t>
      </w:r>
      <w:r w:rsidR="007C4DC0">
        <w:t xml:space="preserve">(ExN, 3.9 ± 0.9 kg, 18.7 ± 2.8 %BF; ExP, </w:t>
      </w:r>
      <w:r w:rsidR="00767E2A">
        <w:t>4.</w:t>
      </w:r>
      <w:r w:rsidR="007C4DC0">
        <w:t>1 ±1.6</w:t>
      </w:r>
      <w:r w:rsidR="00767E2A">
        <w:t xml:space="preserve"> kg</w:t>
      </w:r>
      <w:r w:rsidR="007C4DC0">
        <w:t xml:space="preserve">, 17.4 ± 7.7 %BF) </w:t>
      </w:r>
      <w:r w:rsidR="00767E2A">
        <w:t>over 12 weeks</w:t>
      </w:r>
      <w:r w:rsidR="0065095B">
        <w:t>,</w:t>
      </w:r>
      <w:r w:rsidR="00767E2A">
        <w:t xml:space="preserve"> while </w:t>
      </w:r>
      <w:r w:rsidR="00624DCE">
        <w:t xml:space="preserve">initially </w:t>
      </w:r>
      <w:r w:rsidR="00767E2A">
        <w:t xml:space="preserve">consuming an average </w:t>
      </w:r>
      <w:r w:rsidR="00624DCE">
        <w:t xml:space="preserve">of </w:t>
      </w:r>
      <w:r w:rsidR="00767E2A">
        <w:t>3</w:t>
      </w:r>
      <w:r w:rsidR="00624DCE">
        <w:t>430.1</w:t>
      </w:r>
      <w:r w:rsidR="00767E2A">
        <w:t xml:space="preserve"> – 3932</w:t>
      </w:r>
      <w:r w:rsidR="00624DCE">
        <w:t>.2</w:t>
      </w:r>
      <w:r w:rsidR="00767E2A">
        <w:t xml:space="preserve"> kcal/day.  </w:t>
      </w:r>
      <w:r w:rsidR="00624DCE">
        <w:t xml:space="preserve">By the </w:t>
      </w:r>
      <w:r w:rsidR="000466B0">
        <w:t>12</w:t>
      </w:r>
      <w:r w:rsidR="000466B0" w:rsidRPr="000466B0">
        <w:rPr>
          <w:vertAlign w:val="superscript"/>
        </w:rPr>
        <w:t>th</w:t>
      </w:r>
      <w:r w:rsidR="000466B0">
        <w:t xml:space="preserve"> </w:t>
      </w:r>
      <w:r w:rsidR="00A85CCA">
        <w:t>treatment week, consumption had</w:t>
      </w:r>
      <w:r w:rsidR="00624DCE">
        <w:t xml:space="preserve"> decreased to 3223.4 – 3536.4 kcal/day</w:t>
      </w:r>
      <w:r w:rsidR="0065095B">
        <w:t xml:space="preserve"> (1.5 – 2.8 x MER)</w:t>
      </w:r>
      <w:r w:rsidR="00A85CCA">
        <w:t>, but was still well above the levels reported by Nagaoka</w:t>
      </w:r>
      <w:r w:rsidR="00624DCE">
        <w:t xml:space="preserve">.  </w:t>
      </w:r>
      <w:r w:rsidR="00A85CCA">
        <w:t>That study</w:t>
      </w:r>
      <w:r w:rsidR="00767E2A">
        <w:t xml:space="preserve"> used 2 – 6 year old, sexually intact female beagles with starting BCS of 6 – 8, while the current study utilized 2 year old castrated male beagles with starting BCS of 4 – 5.  </w:t>
      </w:r>
      <w:r w:rsidR="0078122E">
        <w:t xml:space="preserve">Nagaoka also reported </w:t>
      </w:r>
      <w:r w:rsidR="0078122E">
        <w:rPr>
          <w:i/>
        </w:rPr>
        <w:t>ad libitum</w:t>
      </w:r>
      <w:r w:rsidR="0078122E">
        <w:t xml:space="preserve"> feeding</w:t>
      </w:r>
      <w:r w:rsidR="00AC383A">
        <w:t xml:space="preserve"> during the first three weeks</w:t>
      </w:r>
      <w:r w:rsidR="0078122E">
        <w:t xml:space="preserve"> was associated with ~1.5 x MER consumption</w:t>
      </w:r>
      <w:r w:rsidR="005867AB">
        <w:t xml:space="preserve">, </w:t>
      </w:r>
      <w:r w:rsidR="00AC383A">
        <w:t>which is much lower than the 1.7 – 3.1</w:t>
      </w:r>
      <w:r w:rsidR="005867AB">
        <w:t xml:space="preserve"> x MER</w:t>
      </w:r>
      <w:r w:rsidR="00FF166F">
        <w:t xml:space="preserve"> </w:t>
      </w:r>
      <w:r w:rsidR="005867AB">
        <w:t>consumed by the present dogs</w:t>
      </w:r>
      <w:r w:rsidR="00AC383A">
        <w:t xml:space="preserve"> at week four</w:t>
      </w:r>
      <w:r w:rsidR="005867AB">
        <w:t>.</w:t>
      </w:r>
      <w:r w:rsidR="00762A7D" w:rsidRPr="00762A7D">
        <w:t xml:space="preserve"> </w:t>
      </w:r>
      <w:r w:rsidR="00762A7D">
        <w:t xml:space="preserve"> It is not clear why the dogs in the current study consumed so much more food, but a pattern of very high initial consumption followed by a steady decline approaching MER levels was seen</w:t>
      </w:r>
      <w:r w:rsidR="006C4DE0">
        <w:t>, which does match the overall pattern reported by Nagaoka</w:t>
      </w:r>
      <w:r w:rsidR="00762A7D">
        <w:t>.</w:t>
      </w:r>
      <w:r w:rsidR="0065095B">
        <w:t xml:space="preserve">  Perhaps the lower starting BCS triggered an elevated drive to consume calories, which then began to plateau as BW changes leveled off.</w:t>
      </w:r>
    </w:p>
    <w:p w:rsidR="0065095B" w:rsidRDefault="00AC383A" w:rsidP="00762A7D">
      <w:pPr>
        <w:ind w:firstLine="720"/>
      </w:pPr>
      <w:r>
        <w:t xml:space="preserve">The Nagaoka dogs </w:t>
      </w:r>
      <w:r w:rsidR="004F3350">
        <w:t xml:space="preserve">were </w:t>
      </w:r>
      <w:r w:rsidR="0065095B">
        <w:t xml:space="preserve">also </w:t>
      </w:r>
      <w:r w:rsidR="004F3350">
        <w:t>sexually intact</w:t>
      </w:r>
      <w:r w:rsidR="00956A20">
        <w:t>,</w:t>
      </w:r>
      <w:r w:rsidR="004F3350">
        <w:t xml:space="preserve"> </w:t>
      </w:r>
      <w:r w:rsidR="0065095B">
        <w:t>potentially</w:t>
      </w:r>
      <w:r w:rsidR="00FF166F">
        <w:t xml:space="preserve"> explaining the intake difference between </w:t>
      </w:r>
      <w:r w:rsidR="004F3350">
        <w:t>the current dogs</w:t>
      </w:r>
      <w:r w:rsidR="00FF166F">
        <w:t>, which</w:t>
      </w:r>
      <w:r w:rsidR="004F3350">
        <w:t xml:space="preserve"> had all been neutered less than 6 months prio</w:t>
      </w:r>
      <w:r w:rsidR="00956A20">
        <w:t xml:space="preserve">r to study inclusion.  </w:t>
      </w:r>
      <w:r w:rsidR="00900AB9">
        <w:t>Ovariohysterectomy</w:t>
      </w:r>
      <w:r w:rsidR="004F3350">
        <w:t xml:space="preserve"> </w:t>
      </w:r>
      <w:r w:rsidR="00FF166F">
        <w:t>(OHE) is associated with</w:t>
      </w:r>
      <w:r w:rsidR="004F3350">
        <w:t xml:space="preserve"> voluntary food intake</w:t>
      </w:r>
      <w:r w:rsidR="00FF166F">
        <w:t xml:space="preserve"> increases to</w:t>
      </w:r>
      <w:r w:rsidR="00900AB9">
        <w:t xml:space="preserve"> 1.2 x MER</w:t>
      </w:r>
      <w:r w:rsidR="004F3350">
        <w:t xml:space="preserve"> (285 kcal</w:t>
      </w:r>
      <w:r w:rsidR="00900AB9">
        <w:t>/</w:t>
      </w:r>
      <w:r w:rsidR="004F3350">
        <w:t>day)</w:t>
      </w:r>
      <w:r w:rsidR="00900AB9">
        <w:t xml:space="preserve">, but restricted feeding to maintain ideal BW </w:t>
      </w:r>
      <w:r w:rsidR="00FF166F">
        <w:t>post OHE requires</w:t>
      </w:r>
      <w:r w:rsidR="00900AB9">
        <w:t xml:space="preserve"> 0.7 x MER.</w:t>
      </w:r>
      <w:r w:rsidR="004F3350">
        <w:fldChar w:fldCharType="begin"/>
      </w:r>
      <w:r w:rsidR="000A492A">
        <w:instrText xml:space="preserve"> ADDIN ZOTERO_ITEM CSL_CITATION {"citationID":"WF5jOZPY","properties":{"formattedCitation":"{\\rtf \\super 443,444\\nosupersub{}}","plainCitation":"443,444"},"citationItems":[{"id":676,"uris":["http://zotero.org/users/171999/items/HN9MJ8HZ"],"uri":["http://zotero.org/users/171999/items/HN9MJ8HZ"],"itemData":{"id":676,"type":"article-journal","title":"Effect of sex and reproductive status on sucrose preference, food intake, and body weight of dogs","container-title":"Journal of the American Veterinary Medical Association","page":"1083-1085","volume":"174","issue":"10","source":"NCBI PubMed","abstract":"In a study of preferences for diets containing 1% to 20% sucrose over a bland diet, both female and male dogs preferred the diets containing sucrose over a bland diet, but female dogs had a significantly (P less than 0.05) greater preference for 1% sucrose than did males. Differences between sexes were not observed at the higher concentrations. Mean daily caloric intake was calculated for 12 bitches fed ad libitum during metestrus, estrus, and anestrus, as determined from metachrome-stained vaginal smears. Mean daily caloric intake was lowest during estrus (149 +/- 17 kcal/kg of body weight), was higher during metestrus (159 +/- 8 kcal/kg of body weight), and was highest (175 +/- 9 kcal/kg of body weight) during anestrus. Ovariohysterectomized bitches gained significantly (P less than 0.01) more weight (1.3 +/- 0.3 kg) in the first 10 days after surgery than did sham operated controls (0.3 +/- 0.1 kg). Food intake also was significantly greater ( less than 0.01) in the ovariohysterectomized bitches (1,708 kcal/day) than in the sham operated controls (1,423 kcal/day). Depth of subcutaneous fat in shoulder, rib, and rump areas of ovariohysterectomized bitches was not significantly different from that of intact bitches.","ISSN":"0003-1488","note":"PMID: 571424","journalAbbreviation":"J. Am. Vet. Med. Assoc.","language":"eng","author":[{"family":"Houpt","given":"K A"},{"family":"Coren","given":"B"},{"family":"Hintz","given":"H F"},{"family":"Hilderbrant","given":"J E"}],"issued":{"date-parts":[["1979",5,15]]},"PMID":"571424"}},{"id":691,"uris":["http://zotero.org/users/171999/items/4M48MMFD"],"uri":["http://zotero.org/users/171999/items/4M48MMFD"],"itemData":{"id":691,"type":"article-journal","title":"Effect of ovariectomy and ad libitum feeding on body composition, thyroid status, ghrelin and leptin plasma concentrations in female dogs","container-title":"Journal of animal physiology and animal nutrition","page":"12-18","volume":"90","issue":"1-2","source":"NCBI PubMed","abstract":"The objective of this study was to evaluate the effects of ovariectomy (i) and ad libitum feeding (ii) on energy intake, body weight (BW), body composition, thyroid status, leptin and ghrelin plasma concentrations. Four young adult female Beagle dogs were fed a maintenance diet for 6 weeks prior to ovariectomy, then 6 months after. Food allowance was adjusted in order to maintain optimal BW. Then, a diet slightly higher in energy concentration was fed ad libitum for 4 months. The maintenance diet was then fed ad libitum for one additional month. The maintenance of optimal BW after ovariectomy required a significant decrease in energy allowance. No increase in fat mass was observed. Ghrelin concentration remained unchanged. During the first month of ad libitum feeding, plasma ghrelin concentration and energy intake increased, then they decreased. Mean BW, plasma leptin, thyrotropin (TSH), total triiodothyronine (TT3) and total thyroxine (TT4) concentrations significantly increased over the study. The BW increase was exclusively due to an increase in body fat. In conclusion, energy allowance should be strictly controlled in spayed female dogs. The results suggest that in dogs, thyroid hormones, leptin and ghrelin concentrations change in response to a positive energy balance in an attempt to limit weight gain. However, the significant weight gain shows that this goal was not achieved.","DOI":"10.1111/j.1439-0396.2005.00612.x","ISSN":"0931-2439","note":"PMID: 16422764","journalAbbreviation":"J Anim Physiol Anim Nutr (Berl)","language":"eng","author":[{"family":"Jeusette","given":"I"},{"family":"Daminet","given":"S"},{"family":"Nguyen","given":"P"},{"family":"Shibata","given":"H"},{"family":"Saito","given":"M"},{"family":"Honjoh","given":"T"},{"family":"Istasse","given":"L"},{"family":"Diez","given":"M"}],"issued":{"date-parts":[["2006",2]]},"PMID":"16422764"}}],"schema":"https://github.com/citation-style-language/schema/raw/master/csl-citation.json"} </w:instrText>
      </w:r>
      <w:r w:rsidR="004F3350">
        <w:fldChar w:fldCharType="separate"/>
      </w:r>
      <w:r w:rsidR="000A492A" w:rsidRPr="000A492A">
        <w:rPr>
          <w:vertAlign w:val="superscript"/>
        </w:rPr>
        <w:t>443,444</w:t>
      </w:r>
      <w:r w:rsidR="004F3350">
        <w:fldChar w:fldCharType="end"/>
      </w:r>
      <w:r w:rsidR="00900AB9">
        <w:t xml:space="preserve">  </w:t>
      </w:r>
      <w:r w:rsidR="00FF166F">
        <w:t>This relationship is not consistent, however</w:t>
      </w:r>
      <w:r w:rsidR="00C65E92">
        <w:t>, based on a paper by Salmeri et al.</w:t>
      </w:r>
      <w:r w:rsidR="00C65E92">
        <w:fldChar w:fldCharType="begin"/>
      </w:r>
      <w:r w:rsidR="000A492A">
        <w:instrText xml:space="preserve"> ADDIN ZOTERO_ITEM CSL_CITATION {"citationID":"1lme5civrr","properties":{"formattedCitation":"{\\rtf \\super 445\\nosupersub{}}","plainCitation":"445"},"citationItems":[{"id":706,"uris":["http://zotero.org/users/171999/items/UI5TBG9D"],"uri":["http://zotero.org/users/171999/items/UI5TBG9D"],"itemData":{"id":706,"type":"article-journal","title":"Gonadectomy in immature dogs: effects on skeletal, physical, and behavioral development","container-title":"Journal of the American Veterinary Medical Association","page":"1193-1203","volume":"198","issue":"7","source":"NCBI PubMed","abstract":"In a 15-month study, the effects of prepubertal gonadectomy on skeletal growth, weight gain, food intake, body fat, secondary sex characteristics, and behavioral development were investigated in 32 mixed-breed dogs. Male and female pups from 5 litters were randomly allotted to 3 groups: group I, neuter at 7 weeks (n = 14); group II, neuter at 7 months (n = 8); and group III, sexually intact dogs (n = 10). Growth plate closure was delayed (group I vs group III; P less than 0.000001; group II vs group III, P less than 0.000001) in all neutered dogs, as compared with sexually intact dogs. Growth plate closure was delayed longer (group I vs group II, P less than 0.000045) in dogs neutered at 7 weeks old, compared with dogs neutered at 7 months old. The rate of growth was unaffected by gonadectomy, but the extended growth period resulted in greater final radial/ulnar length in all male dogs and bitches neutered at 7 weeks. Gonadectomy did not influence food intake, weight gain, or back-fat depth. Penile development was immature in the adult group-I males (mean +/- SEM diameter of pars glandis = 11.1 +/- 1.0 mm), compared with adult group-II (16.3 +/- 0.5 mm) and group-III (21.0 +/- 2.2 mm) males. Subjectively, the prepuce and os penis of the group-I males were immature, compared with those of group-II and group-III males. Vulvar development in group-I and group-II bitches was less mature than vulvar development in the sexually intact bitches. Of 7 behavioral characteristics assessed, only general activity and excitability rated differently among treatment groups. All neutered dogs were judged to be more active (group I, P less than 0.004) than sexually intact dogs. Group-I males were judged to be more excitable (P less than 0.02) than group-III males. It was concluded that with respect to skeletal, physical, and behavioral development, the effect of neutering pups at 7 weeks old was similar to that of neutering pups at 7 months old.","ISSN":"0003-1488","note":"PMID: 2045340","shortTitle":"Gonadectomy in immature dogs","journalAbbreviation":"J. Am. Vet. Med. Assoc.","language":"eng","author":[{"family":"Salmeri","given":"K R"},{"family":"Bloomberg","given":"M S"},{"family":"Scruggs","given":"S L"},{"family":"Shille","given":"V"}],"issued":{"date-parts":[["1991",4,1]]},"PMID":"2045340"}}],"schema":"https://github.com/citation-style-language/schema/raw/master/csl-citation.json"} </w:instrText>
      </w:r>
      <w:r w:rsidR="00C65E92">
        <w:fldChar w:fldCharType="separate"/>
      </w:r>
      <w:r w:rsidR="000A492A" w:rsidRPr="000A492A">
        <w:rPr>
          <w:vertAlign w:val="superscript"/>
        </w:rPr>
        <w:t>445</w:t>
      </w:r>
      <w:r w:rsidR="00C65E92">
        <w:fldChar w:fldCharType="end"/>
      </w:r>
      <w:r w:rsidR="00C65E92">
        <w:t xml:space="preserve">  No </w:t>
      </w:r>
      <w:r w:rsidR="00FF166F">
        <w:t xml:space="preserve">changes </w:t>
      </w:r>
      <w:r w:rsidR="00C65E92">
        <w:t>in voluntary food intake</w:t>
      </w:r>
      <w:r w:rsidR="00762A7D">
        <w:t xml:space="preserve"> were</w:t>
      </w:r>
      <w:r w:rsidR="00C65E92">
        <w:t xml:space="preserve"> </w:t>
      </w:r>
      <w:r w:rsidR="00FF166F">
        <w:t xml:space="preserve">noted in dogs undergoing </w:t>
      </w:r>
      <w:r w:rsidR="006C4DE0">
        <w:t>gonadectomy at 7 weeks or 7 month</w:t>
      </w:r>
      <w:r w:rsidR="00FF166F">
        <w:t>s old</w:t>
      </w:r>
      <w:r w:rsidR="00C65E92">
        <w:t>, and neutered dogs were ju</w:t>
      </w:r>
      <w:r w:rsidR="00FF166F">
        <w:t xml:space="preserve">dged to be more active than sexually intact dogs.  </w:t>
      </w:r>
      <w:r w:rsidR="0065095B">
        <w:t>Activity level is a factor that must be considered when feeding animals, as activity drives energy requirements</w:t>
      </w:r>
      <w:r w:rsidR="006C4DE0">
        <w:t xml:space="preserve"> beyond resting requirements</w:t>
      </w:r>
      <w:r w:rsidR="0065095B">
        <w:t>.  Based on accelerometry data, obese dogs have been shown to spend significantly less time in vigorous daily activity compared to ideal weight dogs (7 ± 3 vs. 21 ± 15 min/day).</w:t>
      </w:r>
      <w:r w:rsidR="0065095B">
        <w:fldChar w:fldCharType="begin"/>
      </w:r>
      <w:r w:rsidR="000A492A">
        <w:instrText xml:space="preserve"> ADDIN ZOTERO_ITEM CSL_CITATION {"citationID":"Q9VqA9ax","properties":{"formattedCitation":"{\\rtf \\super 315\\nosupersub{}}","plainCitation":"315"},"citationItems":[{"id":1660,"uris":["http://zotero.org/users/171999/items/QRXP9WWE"],"uri":["http://zotero.org/users/171999/items/QRXP9WWE"],"itemData":{"id":1660,"type":"article-journal","title":"Associations between obesity and physical activity in dogs: a preliminary investigation","container-title":"The Journal of small animal practice","source":"NCBI PubMed","abstract":"OBJECTIVES: To assess whether obesity has any association with objectively measured physical activity levels in dogs.\nMETHODS: Thirty-nine dogs wore Actigraph GT3X accelerometers (Actigraph) for 7 consecutive days. Each dog was classified as ideal weight, overweight or obese using the 5-point body condition scoring system. Total volume of physical activity and time spent in sedentary behaviour, light-moderate intensity physical activity and vigorous intensity physical activity were compared between body condition categories.\nRESULTS: Valid accelerometry data were returned for 35 of 39 dogs recruited. Eighteen dogs were classed as ideal weight, 9 as overweight and the remaining 8 as obese. All dogs spent a significant proportion of the day sedentary and obese dogs spent significantly less time in vigorous intensity physical activity than ideal weight dogs (7 ±3 minute/day versus 21 ±15 minute/day, P=0·01).\nCLINICAL SIGNIFICANCE: Obesity is associated with lower vigorous intensity physical activity in dogs, as is also thought to occur in humans. These preliminary findings will help inform a future, larger study and may also improve our understanding of the associations between obesity and physical activity in dogs.","DOI":"10.1111/jsap.12142","ISSN":"1748-5827","note":"PMID: 24117778","shortTitle":"Associations between obesity and physical activity in dogs","journalAbbreviation":"J Small Anim Pract","language":"ENG","author":[{"family":"Morrison","given":"R"},{"family":"Penpraze","given":"V"},{"family":"Beber","given":"A"},{"family":"Reilly","given":"J J"},{"family":"Yam","given":"P S"}],"issued":{"date-parts":[["2013",10,9]]},"PMID":"24117778"}}],"schema":"https://github.com/citation-style-language/schema/raw/master/csl-citation.json"} </w:instrText>
      </w:r>
      <w:r w:rsidR="0065095B">
        <w:fldChar w:fldCharType="separate"/>
      </w:r>
      <w:r w:rsidR="000A492A" w:rsidRPr="000A492A">
        <w:rPr>
          <w:vertAlign w:val="superscript"/>
        </w:rPr>
        <w:t>315</w:t>
      </w:r>
      <w:r w:rsidR="0065095B">
        <w:fldChar w:fldCharType="end"/>
      </w:r>
      <w:r w:rsidR="0065095B">
        <w:t xml:space="preserve">  Research utilizing pedometers found higher BCS was associated with fewer steps taken per day and modest correlation between steps recorded for both dogs and owners (r = 0.469).</w:t>
      </w:r>
      <w:r w:rsidR="0065095B">
        <w:fldChar w:fldCharType="begin"/>
      </w:r>
      <w:r w:rsidR="000A492A">
        <w:instrText xml:space="preserve"> ADDIN ZOTERO_ITEM CSL_CITATION {"citationID":"d47V2qGT","properties":{"formattedCitation":"{\\rtf \\super 316\\nosupersub{}}","plainCitation":"316"},"citationItems":[{"id":1658,"uris":["http://zotero.org/users/171999/items/8SUBRQHB"],"uri":["http://zotero.org/users/171999/items/8SUBRQHB"],"itemData":{"id":1658,"type":"article-journal","title":"Use of pedometers to measure physical activity in dogs","container-title":"Journal of the American Veterinary Medical Association","page":"2010-2015","volume":"226","issue":"12","source":"NCBI PubMed","abstract":"OBJECTIVE: To determine whether pedometers can be used to measure physical activity in dogs.\nDESIGN: Cross-sectional study.\nANIMALS: 26 dogs.\nPROCEDURE: To determine pedometer accuracy, number of steps recorded with the pedometer as dogs walked, trotted, and ran for a distance of approximately 30 m (100 ft) at each gait was compared with actual number of steps. Dogs and owners then wore pedometers for 7 to 14 days, and dog pedometer output was compared with body condition score, owner-reported activity of the dog, and owner pedometer output.\nRESULTS: Most owners classified their dogs as active or quite active and indicated that their dogs exercised 3 to 7 days/wk. For all dogs, body condition score was 5, 6, or 7 on a scale from 1 to 9. At a walk, pedometers overestimated actual number of steps by approximately 17% in large and medium dogs and underestimated actual number of steps by approximately 7% in small dogs. No significant differences between pedometer-recorded and actual number of steps were detected when dogs trotted or ran. Number of steps per day for the dogs was significantly correlated with owner-reported activity of the dog (r = 0.305) and number of steps per day for the owners (r = 0.469) and was inversely correlated with body condition score (r = -0.554).\nCONCLUSIONS AND CLINICAL RELEVANCE: Results suggest that pedometers can measure physical activity in dogs with reasonable accuracy. A lower number of steps per day was associated with a higher body condition score, and less active owners generally had less active dogs.","ISSN":"0003-1488","note":"PMID: 15989183","journalAbbreviation":"J. Am. Vet. Med. Assoc.","language":"eng","author":[{"family":"Chan","given":"Catherine B"},{"family":"Spierenburg","given":"Marguerite"},{"family":"Ihle","given":"Sherri L"},{"family":"Tudor-Locke","given":"Catrine"}],"issued":{"date-parts":[["2005",6,15]]},"PMID":"15989183"}}],"schema":"https://github.com/citation-style-language/schema/raw/master/csl-citation.json"} </w:instrText>
      </w:r>
      <w:r w:rsidR="0065095B">
        <w:fldChar w:fldCharType="separate"/>
      </w:r>
      <w:r w:rsidR="000A492A" w:rsidRPr="000A492A">
        <w:rPr>
          <w:vertAlign w:val="superscript"/>
        </w:rPr>
        <w:t>316</w:t>
      </w:r>
      <w:r w:rsidR="0065095B">
        <w:fldChar w:fldCharType="end"/>
      </w:r>
      <w:r w:rsidR="0065095B">
        <w:t xml:space="preserve">  Another pedometer project found every 1000 steps allowed dogs on a weight loss plan to consume 1 kcal/kg</w:t>
      </w:r>
      <w:r w:rsidR="0065095B">
        <w:rPr>
          <w:vertAlign w:val="superscript"/>
        </w:rPr>
        <w:t>0.75</w:t>
      </w:r>
      <w:r w:rsidR="0065095B">
        <w:t xml:space="preserve"> more while maintaining a loss of 2%/week.</w:t>
      </w:r>
      <w:r w:rsidR="0065095B">
        <w:fldChar w:fldCharType="begin"/>
      </w:r>
      <w:r w:rsidR="000A492A">
        <w:instrText xml:space="preserve"> ADDIN ZOTERO_ITEM CSL_CITATION {"citationID":"ESpxKS2n","properties":{"formattedCitation":"{\\rtf \\super 317\\nosupersub{}}","plainCitation":"317"},"citationItems":[{"id":789,"uris":["http://zotero.org/users/171999/items/P5V9N4Q5"],"uri":["http://zotero.org/users/171999/items/P5V9N4Q5"],"itemData":{"id":789,"type":"article-journal","title":"Evaluation of dietary energy intake and physical activity in dogs undergoing a controlled weight-loss program","container-title":"Journal of the American Veterinary Medical Association","page":"413-419","volume":"240","issue":"4","source":"NCBI PubMed","abstract":"OBJECTIVE\n\nTo quantify physical activity and dietary energy intake in dogs enrolled in a controlled weight-loss program and assess relationships between energy intake and physical activity, sex, age, body weight, and body condition score (BCS).\n\n\nDESIGN\n\nProspective clinical study.\n\n\nANIMALS\n\n35 client-owned obese dogs (BCS &gt; 7/9).\n\n\nPROCEDURES\n\nDogs were fed a therapeutic diet with energy intake restrictions to maintain weight loss of approximately 2%/wk. Collar-mounted pedometers were used to record the number of steps taken daily as a measure of activity. Body weight and BCS were assessed at the beginning of the weight-loss program and every 2 weeks thereafter throughout the study. Relationships between energy intake and sex, age, activity, BCS, and body weight at the end of the study were assessed via multivariable linear regression. Variables were compared among dogs stratified post hoc into inactive and active groups on the basis of mean number of steps taken (&lt; or &gt; 7,250 steps/d, respectively).\n\n\nRESULTS\n\nMean ± SD daily energy intake per unit of metabolic body weight (kg(0.75)) of active dogs was significantly greater than that of inactive dogs (53.6 ± 15.2 kcal/kg(0.75) vs 42.2 ± 9.7 kcal/kg(0.75), respectively) while maintaining weight-loss goals. In regression analysis, only the number of steps per day was significantly associated with energy intake.\n\n\nCONCLUSIONS AND CLINICAL RELEVANCE\n\nIncreased physical activity was associated with higher energy intake while maintaining weight-loss goals. Each 1,000-step interval was associated with a 1 kcal/kg(0.75) increase in energy intake.","DOI":"10.2460/javma.240.4.413","ISSN":"1943-569X","note":"PMID: 22309013","journalAbbreviation":"J. Am. Vet. Med. Assoc.","author":[{"family":"Wakshlag","given":"Joseph J"},{"family":"Struble","given":"Angela M"},{"family":"Warren","given":"Barbour S"},{"family":"Maley","given":"Mary"},{"family":"Panasevich","given":"Matthew R"},{"family":"Cummings","given":"Kevin J"},{"family":"Long","given":"Grace M"},{"family":"Laflamme","given":"Dorothy E"}],"issued":{"date-parts":[["2012",2,15]]},"PMID":"22309013"}}],"schema":"https://github.com/citation-style-language/schema/raw/master/csl-citation.json"} </w:instrText>
      </w:r>
      <w:r w:rsidR="0065095B">
        <w:fldChar w:fldCharType="separate"/>
      </w:r>
      <w:r w:rsidR="000A492A" w:rsidRPr="000A492A">
        <w:rPr>
          <w:vertAlign w:val="superscript"/>
        </w:rPr>
        <w:t>317</w:t>
      </w:r>
      <w:r w:rsidR="0065095B">
        <w:fldChar w:fldCharType="end"/>
      </w:r>
    </w:p>
    <w:p w:rsidR="00FF166F" w:rsidRDefault="00762A7D" w:rsidP="00762A7D">
      <w:pPr>
        <w:ind w:firstLine="720"/>
      </w:pPr>
      <w:r>
        <w:rPr>
          <w:rFonts w:cs="Times New Roman"/>
        </w:rPr>
        <w:t xml:space="preserve">It stands to reason that </w:t>
      </w:r>
      <w:r w:rsidR="00A105D8">
        <w:rPr>
          <w:rFonts w:cs="Times New Roman"/>
        </w:rPr>
        <w:t xml:space="preserve">laboratory </w:t>
      </w:r>
      <w:r>
        <w:rPr>
          <w:rFonts w:cs="Times New Roman"/>
        </w:rPr>
        <w:t>dogs housed together will have increased playing interactions compared to dogs housed alone, and therefore will have increased energy requirements, but this has not been supported by the literature.  In fact, pair housed laboratory dogs have been shown to be less active and spend more time sleeping than when housed alone.</w:t>
      </w:r>
      <w:r>
        <w:rPr>
          <w:rFonts w:cs="Times New Roman"/>
        </w:rPr>
        <w:fldChar w:fldCharType="begin"/>
      </w:r>
      <w:r w:rsidR="000A492A">
        <w:rPr>
          <w:rFonts w:cs="Times New Roman"/>
        </w:rPr>
        <w:instrText xml:space="preserve"> ADDIN ZOTERO_ITEM CSL_CITATION {"citationID":"vwDqUxzk","properties":{"formattedCitation":"{\\rtf \\super 412\\nosupersub{}}","plainCitation":"412"},"citationItems":[{"id":157,"uris":["http://zotero.org/users/171999/items/E4ANKDQ3"],"uri":["http://zotero.org/users/171999/items/E4ANKDQ3"],"itemData":{"id":157,"type":"article-journal","title":"Influence of housing conditions on beagle behaviour","container-title":"Applied Animal Behaviour Science","page":"137-155","volume":"34","issue":"1–2","source":"ScienceDirect","abstract":"The effects of different spatial areas and different social conditions on behaviours of beagles maintained in a laboratory were evaluated. Eighteen female purpose-bred beagles were divided into six groups of three, and housed individually for 3 months each in six different housing conditions: (A) a 6.1 m × 9.1 m outdoor pen; (B) a 1.8 m × 6.1 m outdoor run; (C) a 1.2 m × 3.66 m indoor run; (D) a 0.9 m × 1.2 m × 0.84 m cage; (E) a 0.9 m × 1.2 m × 0.84 m cage with 30 min of forced treadmill exercise, 5 days week−1; (F) a 0.71 m × 0.86 m × 0.69 m cage. Behaviours of six dogs housed in pairs in Conditions A and C were also compared.\n\nBehaviours studied were movement, vocalisation, lying down, sleep, object manipulation, barrier manipulation, barrier jumping, fence running, agonistic and affiliative activities, and proximity. Behavioural effects were compared among housing conditions, order of rotation through each housing condition, and behavioural changes over time during each 3 month rotation.\n\nDogs spent more time moving in pens and runs than in cages. Dogs housed in the greatest degree of social isolation spent the most time moving, exhibited the greatest number of bizarre movements, and vocalised the most. Dogs housed in the smallest cages spent more time grooming and in manipulation of enclosure barriers than those housed in any other conditions. Forced treadmill exercise did not significantly alter behaviours. When housed in pairs, dogs spent more time sleeping and showed a tendency to spend less time vocalising than when housed singly.\n\nThe results indicate that spatial area and activity are not likely to be the most important factors to be considered when evaluating psychosocial well-being of dogs. In assessing the psychosocial well-being of dogs, social isolation may be as harmful or more harmful than spatial restriction.","DOI":"10.1016/S0168-1591(05)80063-2","ISSN":"0168-1591","journalAbbreviation":"Applied Animal Behaviour Science","author":[{"family":"Hetts","given":"Suzanne"},{"family":"Derrell Clark","given":"J."},{"family":"Calpin","given":"Janet P."},{"family":"Arnold","given":"Cheryl E."},{"family":"Mateo","given":"Jill M."}],"issued":{"date-parts":[["1992",7]]},"accessed":{"date-parts":[["2013",11,15]]}}}],"schema":"https://github.com/citation-style-language/schema/raw/master/csl-citation.json"} </w:instrText>
      </w:r>
      <w:r>
        <w:rPr>
          <w:rFonts w:cs="Times New Roman"/>
        </w:rPr>
        <w:fldChar w:fldCharType="separate"/>
      </w:r>
      <w:r w:rsidR="000A492A" w:rsidRPr="000A492A">
        <w:rPr>
          <w:vertAlign w:val="superscript"/>
        </w:rPr>
        <w:t>412</w:t>
      </w:r>
      <w:r>
        <w:rPr>
          <w:rFonts w:cs="Times New Roman"/>
        </w:rPr>
        <w:fldChar w:fldCharType="end"/>
      </w:r>
      <w:r>
        <w:rPr>
          <w:rFonts w:cs="Times New Roman"/>
        </w:rPr>
        <w:t xml:space="preserve">  The size of the cage plays a factor as well with dogs pair housed in small cages (1 x 1.5 m) being more active than when in a larger cage (1 x 2 m).</w:t>
      </w:r>
      <w:r>
        <w:rPr>
          <w:rFonts w:cs="Times New Roman"/>
        </w:rPr>
        <w:fldChar w:fldCharType="begin"/>
      </w:r>
      <w:r w:rsidR="000A492A">
        <w:rPr>
          <w:rFonts w:cs="Times New Roman"/>
        </w:rPr>
        <w:instrText xml:space="preserve"> ADDIN ZOTERO_ITEM CSL_CITATION {"citationID":"yGj8wYQY","properties":{"formattedCitation":"{\\rtf \\super 413\\nosupersub{}}","plainCitation":"413"},"citationItems":[{"id":104,"uris":["http://zotero.org/users/171999/items/73QAA4F3"],"uri":["http://zotero.org/users/171999/items/73QAA4F3"],"itemData":{"id":104,"type":"article-journal","title":"The effects of cage size and pair housing on exercise of beagle dogs","container-title":"Laboratory animal science","page":"302-305","volume":"39","issue":"4","source":"NCBI PubMed","abstract":"One of the requirements of the 1985 amendments to the Animal Welfare Act is the establishment of an exercise program for dogs. Assumptions have been made by some that larger cages or the presence of a companion animal will motivate exercise. To examine how cage size, pair housing and human contact affect exercise, a study was conducted using a computerized video-data acquisition system that measured distance traveled and time spent moving in 1 x 1 m, (single only) and 1 x 2 m (single and paired) and 1 x 1.5 m cage (paired only) cages. Male beagle dogs (n = 6) housed singly in the 1 m2 cage traveled an average of 55 m/hr spending only 8% (57 min) of the 12 h photo period in motion. When the cage size was doubled, the average distance traveled decreased to 13 m/hr and the time spent moving increased to 11% (77 min/day). When dogs were pair housed in a regulation size cage, the average distance traveled decreased to 8.6 m/hr and they spent less than 6% of the day in exercising (42 min/12 hrs). The greatest amount of exercise was seen when dogs were housed as a pair in a cage less than recommended size (an average of 109 m/hr and 8.8 min/hr). Therefore, these data indicate that larger cages or pair housing in regulation size cages have little or no effect on the activity of purpose bred male beagle dogs. There was, however, a direct correlation between activity, time and distance, and the presence of humans in the animal room.(ABSTRACT TRUNCATED AT 250 WORDS)","ISSN":"0023-6764","note":"PMID: 2761234","journalAbbreviation":"Lab. Anim. Sci.","language":"eng","author":[{"family":"Hughes","given":"H C"},{"family":"Campbell","given":"S"},{"family":"Kenney","given":"C"}],"issued":{"date-parts":[["1989",7]]},"PMID":"2761234"}}],"schema":"https://github.com/citation-style-language/schema/raw/master/csl-citation.json"} </w:instrText>
      </w:r>
      <w:r>
        <w:rPr>
          <w:rFonts w:cs="Times New Roman"/>
        </w:rPr>
        <w:fldChar w:fldCharType="separate"/>
      </w:r>
      <w:r w:rsidR="000A492A" w:rsidRPr="000A492A">
        <w:rPr>
          <w:vertAlign w:val="superscript"/>
        </w:rPr>
        <w:t>413</w:t>
      </w:r>
      <w:r>
        <w:rPr>
          <w:rFonts w:cs="Times New Roman"/>
        </w:rPr>
        <w:fldChar w:fldCharType="end"/>
      </w:r>
      <w:r>
        <w:rPr>
          <w:rFonts w:cs="Times New Roman"/>
        </w:rPr>
        <w:t xml:space="preserve">  Compared to shelter animals housed in outdoor enclosures, pair housed dogs are less active and spend more time in a lying posture than dogs maintained in groups of 5 – 8 animals.</w:t>
      </w:r>
      <w:r>
        <w:rPr>
          <w:rFonts w:cs="Times New Roman"/>
        </w:rPr>
        <w:fldChar w:fldCharType="begin"/>
      </w:r>
      <w:r w:rsidR="000A492A">
        <w:rPr>
          <w:rFonts w:cs="Times New Roman"/>
        </w:rPr>
        <w:instrText xml:space="preserve"> ADDIN ZOTERO_ITEM CSL_CITATION {"citationID":"7Po1OVfm","properties":{"formattedCitation":"{\\rtf \\super 414\\nosupersub{}}","plainCitation":"414"},"citationItems":[{"id":151,"uris":["http://zotero.org/users/171999/items/GKZ63UFB"],"uri":["http://zotero.org/users/171999/items/GKZ63UFB"],"itemData":{"id":151,"type":"article-journal","title":"Comparison between group and pair housing conditions: effects on shelter dogs' behavior and welfare","container-title":"Journal of Veterinary Behavior: Clinical Applications and Research","page":"e3","volume":"7","issue":"6","source":"ScienceDirect","DOI":"10.1016/j.jveb.2012.09.011","ISSN":"1558-7878","shortTitle":"Comparison between group and pair housing conditions","journalAbbreviation":"Journal of Veterinary Behavior: Clinical Applications and Research","author":[{"family":"Dalla Villa","given":"P."},{"family":"Barnard","given":"S."},{"family":"Di Fede","given":"E."},{"family":"Podaliri","given":"M."},{"family":"Siracusa","given":"C."},{"family":"Serpell","given":"J.A."}],"issued":{"date-parts":[["2012",11]]},"accessed":{"date-parts":[["2013",11,15]]}}}],"schema":"https://github.com/citation-style-language/schema/raw/master/csl-citation.json"} </w:instrText>
      </w:r>
      <w:r>
        <w:rPr>
          <w:rFonts w:cs="Times New Roman"/>
        </w:rPr>
        <w:fldChar w:fldCharType="separate"/>
      </w:r>
      <w:r w:rsidR="000A492A" w:rsidRPr="000A492A">
        <w:rPr>
          <w:vertAlign w:val="superscript"/>
        </w:rPr>
        <w:t>414</w:t>
      </w:r>
      <w:r>
        <w:rPr>
          <w:rFonts w:cs="Times New Roman"/>
        </w:rPr>
        <w:fldChar w:fldCharType="end"/>
      </w:r>
      <w:r>
        <w:rPr>
          <w:rFonts w:cs="Times New Roman"/>
        </w:rPr>
        <w:t xml:space="preserve">  This is the opposite of what has been found in medium sized pet dogs living in multiple dog households.  Their MER is 133 </w:t>
      </w:r>
      <w:r>
        <w:t>±</w:t>
      </w:r>
      <w:r>
        <w:rPr>
          <w:rFonts w:cs="Times New Roman"/>
        </w:rPr>
        <w:t xml:space="preserve"> 52 kcal/kg</w:t>
      </w:r>
      <w:r>
        <w:rPr>
          <w:rFonts w:cs="Times New Roman"/>
          <w:vertAlign w:val="superscript"/>
        </w:rPr>
        <w:t>0.75</w:t>
      </w:r>
      <w:r>
        <w:rPr>
          <w:rFonts w:cs="Times New Roman"/>
        </w:rPr>
        <w:t xml:space="preserve"> versus the prototypical pet dog with a requirement of 94 – 105 </w:t>
      </w:r>
      <w:r>
        <w:t>kcal/kg</w:t>
      </w:r>
      <w:r>
        <w:rPr>
          <w:vertAlign w:val="superscript"/>
        </w:rPr>
        <w:t>0.75</w:t>
      </w:r>
      <w:r>
        <w:t>.</w:t>
      </w:r>
      <w:r>
        <w:fldChar w:fldCharType="begin"/>
      </w:r>
      <w:r w:rsidR="00ED257E">
        <w:instrText xml:space="preserve"> ADDIN ZOTERO_ITEM CSL_CITATION {"citationID":"03lO4HdD","properties":{"formattedCitation":"{\\rtf \\super 67\\nosupersub{}}","plainCitation":"67"},"citationItems":[{"id":"sfRcBkgw/FyovuLZ8","uris":["http://zotero.org/users/local/Ry4zHLbn/items/BB5Q46C6"],"uri":["http://zotero.org/users/local/Ry4zHLbn/items/BB5Q46C6"],"itemData":{"id":"sfRcBkgw/FyovuLZ8","type":"chapter","title":"Energy","container-title":"Nutrient requirements of dogs and cats","publisher":"National Academies Press","publisher-place":"Washington, DC","page":"28-48","edition":"[Rev. ed.]..","source":"Primo","event-place":"Washington, DC","ISBN":"0309086280","call-number":"SF427.4","language":"eng","author":[{"family":"National Research Council (U. S.). Ad Hoc Committee on Dog and Cat Nutrition","given":""}],"issued":{"year":2006},"page-first":"28"}}],"schema":"https://github.com/citation-style-language/schema/raw/master/csl-citation.json"} </w:instrText>
      </w:r>
      <w:r>
        <w:fldChar w:fldCharType="separate"/>
      </w:r>
      <w:r w:rsidRPr="004418F2">
        <w:rPr>
          <w:vertAlign w:val="superscript"/>
        </w:rPr>
        <w:t>67</w:t>
      </w:r>
      <w:r>
        <w:fldChar w:fldCharType="end"/>
      </w:r>
      <w:r w:rsidR="00A105D8">
        <w:t xml:space="preserve">  Since the dogs in this study were individually housed, an associated increase in activity level may have contributed to their </w:t>
      </w:r>
      <w:r w:rsidR="00334081">
        <w:t>extremely</w:t>
      </w:r>
      <w:r w:rsidR="00A105D8">
        <w:t xml:space="preserve"> high energy intake when given access to </w:t>
      </w:r>
      <w:r w:rsidR="006C4DE0">
        <w:t xml:space="preserve">excess calories.  Since specific </w:t>
      </w:r>
      <w:r w:rsidR="00334081">
        <w:t>activities</w:t>
      </w:r>
      <w:r w:rsidR="006C4DE0">
        <w:t xml:space="preserve"> were</w:t>
      </w:r>
      <w:r w:rsidR="00A105D8">
        <w:t xml:space="preserve"> only assessed during a few isolated behavior</w:t>
      </w:r>
      <w:r w:rsidR="001B7057">
        <w:t xml:space="preserve"> observation sessions (Chapter III</w:t>
      </w:r>
      <w:r w:rsidR="00A105D8">
        <w:t>), the true relationship between activity and intake in these dogs cannot be determined.</w:t>
      </w:r>
    </w:p>
    <w:p w:rsidR="00F24665" w:rsidRDefault="00F24665" w:rsidP="00F24665">
      <w:pPr>
        <w:ind w:firstLine="720"/>
      </w:pPr>
      <w:commentRangeStart w:id="172"/>
      <w:r>
        <w:t>Methods to treat obesity include dietary intervention via energy restriction.  With client-owned animals, compliance to restricted diet plans is inconsistent and can often be related back to owner supplied sources of food and treats.  Therefore, identification of methods to increase satiety and encourage decreased voluntary food intake in dogs is warranted.  Fiber has been investigated as a satiety inducing agent in dogs because gastric distension has been shown to  cause a dose dependent reduction in food intake and some fiber types can increase GI transit time (i.e. psyllium and guar gum).</w:t>
      </w:r>
      <w:r>
        <w:fldChar w:fldCharType="begin"/>
      </w:r>
      <w:r w:rsidR="000A492A">
        <w:instrText xml:space="preserve"> ADDIN ZOTERO_ITEM CSL_CITATION {"citationID":"lflzj889","properties":{"formattedCitation":"{\\rtf \\super 422,423\\nosupersub{}}","plainCitation":"422,423"},"citationItems":[{"id":956,"uris":["http://zotero.org/users/171999/items/XS578F7W"],"uri":["http://zotero.org/users/171999/items/XS578F7W"],"itemData":{"id":956,"type":"article-journal","title":"Gastric Distension Is a Physiologic Satiety Signal in the Dog","container-title":"Digestive Diseases and Sciences","page":"1489-1493","volume":"34","issue":"10","source":"ISI Web of Knowledge","DOI":"10.1007/BF01537098","ISSN":"0163-2116","note":"WOS:A1989AU66300001","journalAbbreviation":"Dig. Dis. Sci.","language":"English","author":[{"family":"Pappas","given":"Tn"},{"family":"Melendez","given":"Rl"},{"family":"Debas","given":"Ht"}],"issued":{"date-parts":[["1989",10]]}}},{"id":501,"uris":["http://zotero.org/users/171999/items/8UIVA2XB"],"uri":["http://zotero.org/users/171999/items/8UIVA2XB"],"itemData":{"id":501,"type":"chapter","title":"Carbohydrates and Fiber","container-title":"Nutrient Requirements of Dogs and Cats","publisher":"National Academies Press","publisher-place":"Washington, DC","page":"49-80","edition":"[Rev. ed.]..","source":"Primo","event-place":"Washington, DC","ISBN":"0309086280","call-number":"SF427.4","language":"eng","author":[{"family":"National Research Council of the National Academies","given":""}],"issued":{"date-parts":[["2006"]]}}}],"schema":"https://github.com/citation-style-language/schema/raw/master/csl-citation.json"} </w:instrText>
      </w:r>
      <w:r>
        <w:fldChar w:fldCharType="separate"/>
      </w:r>
      <w:r w:rsidR="000A492A" w:rsidRPr="000A492A">
        <w:rPr>
          <w:vertAlign w:val="superscript"/>
        </w:rPr>
        <w:t>422,423</w:t>
      </w:r>
      <w:r>
        <w:fldChar w:fldCharType="end"/>
      </w:r>
      <w:r>
        <w:t xml:space="preserve">  Crude fiber (12 or 21% as fed) has previously been shown to decrease voluntary meal intake in dogs during regular meals.  It also decreased intake from an intrusion meal provided 75 minutes after the morning meal.</w:t>
      </w:r>
      <w:r>
        <w:fldChar w:fldCharType="begin"/>
      </w:r>
      <w:r w:rsidR="000A492A">
        <w:instrText xml:space="preserve"> ADDIN ZOTERO_ITEM CSL_CITATION {"citationID":"HviaxUMM","properties":{"formattedCitation":"{\\rtf \\super 289\\nosupersub{}}","plainCitation":"289"},"citationItems":[{"id":1585,"uris":["http://zotero.org/users/171999/items/DAZRR65I"],"uri":["http://zotero.org/users/171999/items/DAZRR65I"],"itemData":{"id":1585,"type":"article-journal","title":"Effects of fiber on food intake in dogs.","container-title":"Veterinary Clinical Nutrition","volume":"3","issue":"4","source":"ISI Web of Knowledge","abstract":"Two studies were conducted to investigate whether high-fibre diets increased satiety or reduced hunger in dogs. Two sequential crossover studies, each lasting 28 days, of the same design were conducted to compare 2 pairs of diets; composition of diets used is given. 30 Beagles ranging in age from 1 to 12 years (mean age 5.7 years) were randomly assigned to one of 2 groups. In the first study, groups were offered one 45-min meal daily consisting of a low- (&lt;2%) or medium-fibre (12%) diet. After 2 weeks diets were fed in reverse. A second 45-min meal (intruded meal) was offered 30 min after the first meal was removed on days 7, 14,","ISSN":"1076-3872","language":"English","author":[{"family":"Jewell","given":"D. E."},{"family":"Toll","given":"P. W."}],"issued":{"date-parts":[["1996"]]}}}],"schema":"https://github.com/citation-style-language/schema/raw/master/csl-citation.json"} </w:instrText>
      </w:r>
      <w:r>
        <w:fldChar w:fldCharType="separate"/>
      </w:r>
      <w:r w:rsidR="000A492A" w:rsidRPr="000A492A">
        <w:rPr>
          <w:vertAlign w:val="superscript"/>
        </w:rPr>
        <w:t>289</w:t>
      </w:r>
      <w:r>
        <w:fldChar w:fldCharType="end"/>
      </w:r>
      <w:r>
        <w:t xml:space="preserve">  Fiber did not affect meal intake in dogs consuming 40% of MER during a weight loss plan.</w:t>
      </w:r>
      <w:r>
        <w:fldChar w:fldCharType="begin"/>
      </w:r>
      <w:r w:rsidR="000A492A">
        <w:instrText xml:space="preserve"> ADDIN ZOTERO_ITEM CSL_CITATION {"citationID":"HAxLPDsm","properties":{"formattedCitation":"{\\rtf \\super 424\\nosupersub{}}","plainCitation":"424"},"citationItems":[{"id":922,"uris":["http://zotero.org/users/171999/items/VT7S522W"],"uri":["http://zotero.org/users/171999/items/VT7S522W"],"itemData":{"id":922,"type":"article-journal","title":"Effect of level and source of dietary fiber on food intake in the dog","container-title":"The Journal of nutrition","page":"2695S-2700S","volume":"124","issue":"12 Suppl","source":"NCBI PubMed","abstract":"The effects of dietary fiber on challenge meal intake and on the perception of hunger in dogs were evaluated. A program of testing variants of a standard low energy diet, to which one of five fiber containing raw materials was added, was undertaken. Diets were fed to a group of six dogs for 12-d periods in a latin square design and in amounts that corresponded to the food allowance for weight reduction. Behavioral characteristics of dogs were recorded on videotape for 30-min periods after introduction of test diets. On two occasions during each 12-d feeding period dogs were presented with a challenge meal. At the end of each 12-d feeding period all dogs entered a 6-d washout period. There was no significant effect of diet on the intake of the challenge meal or on intake of food during the subsequent washout period. In addition, diet had no apparent effect on the perception of hunger, as represented by behavioral characteristics during the 30-min period after presentation of test diets. It was concluded that inclusion of moderate levels of raw materials, composed primarily of insoluble fiber, in a commercial low energy diet had no apparent beneficial effects on satiety, when fed to dogs on an energy intake corresponding to allowances for weight reduction.","ISSN":"0022-3166","note":"PMID: 7996272","journalAbbreviation":"J. Nutr.","author":[{"family":"Butterwick","given":"R F"},{"family":"Markwell","given":"P J"},{"family":"Thorne","given":"C J"}],"issued":{"date-parts":[["1994",12]]},"PMID":"7996272"}}],"schema":"https://github.com/citation-style-language/schema/raw/master/csl-citation.json"} </w:instrText>
      </w:r>
      <w:r>
        <w:fldChar w:fldCharType="separate"/>
      </w:r>
      <w:r w:rsidR="000A492A" w:rsidRPr="000A492A">
        <w:rPr>
          <w:vertAlign w:val="superscript"/>
        </w:rPr>
        <w:t>424</w:t>
      </w:r>
      <w:r>
        <w:fldChar w:fldCharType="end"/>
      </w:r>
      <w:r>
        <w:t xml:space="preserve">  Crude fiber ranged from 0.2 – 1.3% and total dietary fiber (TDF) ranged from 0.9 – 2.4% as fed (17.6 – 42.3 g/1000 kcal) in the different diets fed to those dogs.  In the current study, the WLD was the same formula used in the Jewell study, in which decreased food intake was found in relation to dietary fiber content.  This diet was chosen because it has a similar palatability profile as the CAD, and would therefore not be expected to trigger hedonic tendencies in relation to novel diet exposure during intrusion meal feedings (Jewell, DE; personal communication).  The WLD itself was not used during intrusion meals to remove the risk of the lower energy density leading a decreased energy intake, even if volume consumption was comparable to other groups.</w:t>
      </w:r>
    </w:p>
    <w:p w:rsidR="00F24665" w:rsidRDefault="00F24665" w:rsidP="00F24665">
      <w:pPr>
        <w:ind w:firstLine="720"/>
      </w:pPr>
      <w:r>
        <w:t>Nutraceutical, placebo, and therapeutic weight loss diet did not have an effect on medium term satiety, based on intrusion meal intake 3 hours after a standard morning meal.  This is true of both obese dogs losing weight on a lean maintenance level of calories (MER</w:t>
      </w:r>
      <w:r>
        <w:rPr>
          <w:vertAlign w:val="subscript"/>
        </w:rPr>
        <w:t>ideal</w:t>
      </w:r>
      <w:r>
        <w:t>) and of lean dogs gaining weight while consuming excess energy.  The higher fiber content of the WLD food did not result in significantly reduced intrusion meal intake compared to dogs who were maintaining an ideal weight or to dogs losing weight and consuming the CAD food.  This is in contrast to the Jewell research in which dogs were also being offered maintenance levels of food, but were not in the process of losing weight.</w:t>
      </w:r>
      <w:r>
        <w:fldChar w:fldCharType="begin"/>
      </w:r>
      <w:r w:rsidR="000A492A">
        <w:instrText xml:space="preserve"> ADDIN ZOTERO_ITEM CSL_CITATION {"citationID":"szFnQHeI","properties":{"formattedCitation":"{\\rtf \\super 289\\nosupersub{}}","plainCitation":"289"},"citationItems":[{"id":1585,"uris":["http://zotero.org/users/171999/items/DAZRR65I"],"uri":["http://zotero.org/users/171999/items/DAZRR65I"],"itemData":{"id":1585,"type":"article-journal","title":"Effects of fiber on food intake in dogs.","container-title":"Veterinary Clinical Nutrition","volume":"3","issue":"4","source":"ISI Web of Knowledge","abstract":"Two studies were conducted to investigate whether high-fibre diets increased satiety or reduced hunger in dogs. Two sequential crossover studies, each lasting 28 days, of the same design were conducted to compare 2 pairs of diets; composition of diets used is given. 30 Beagles ranging in age from 1 to 12 years (mean age 5.7 years) were randomly assigned to one of 2 groups. In the first study, groups were offered one 45-min meal daily consisting of a low- (&lt;2%) or medium-fibre (12%) diet. After 2 weeks diets were fed in reverse. A second 45-min meal (intruded meal) was offered 30 min after the first meal was removed on days 7, 14,","ISSN":"1076-3872","language":"English","author":[{"family":"Jewell","given":"D. E."},{"family":"Toll","given":"P. W."}],"issued":{"date-parts":[["1996"]]}}}],"schema":"https://github.com/citation-style-language/schema/raw/master/csl-citation.json"} </w:instrText>
      </w:r>
      <w:r>
        <w:fldChar w:fldCharType="separate"/>
      </w:r>
      <w:r w:rsidR="000A492A" w:rsidRPr="000A492A">
        <w:rPr>
          <w:vertAlign w:val="superscript"/>
        </w:rPr>
        <w:t>289</w:t>
      </w:r>
      <w:r>
        <w:fldChar w:fldCharType="end"/>
      </w:r>
      <w:r>
        <w:t xml:space="preserve">  Average daily food consumption below maintenance offerings for obese dogs losing weight was not a consistent finding during the study and was only significantly different between groups during the first week of treatment (</w:t>
      </w:r>
      <w:r>
        <w:rPr>
          <w:color w:val="FF0000"/>
        </w:rPr>
        <w:t>Table 3, Chapter I)</w:t>
      </w:r>
      <w:r>
        <w:t xml:space="preserve">.  At this point, WLD dogs left behind a larger amount of food than obese nutraceutical dogs, and this effect is likely due to response to diet change as consumption improved for the duration of the study.  Dogs maintaining ideal weight also did not leave food behind and when offered excess calories, dogs consistently ate above their maintenance requirements.  </w:t>
      </w:r>
    </w:p>
    <w:p w:rsidR="00F24665" w:rsidRDefault="00F24665" w:rsidP="00F24665">
      <w:pPr>
        <w:ind w:firstLine="720"/>
      </w:pPr>
      <w:r>
        <w:t>Another distinction between the two studies is that Jewell offered an intrusion meal 75 minutes after the morning meal, while the dogs reported here were fed 180 minutes after the standard meal.  It is possible the satiating effects of fiber are active more immediately after a meal, rather than 3 hours later.  Median time to empty the canine stomach of 50% of radiopaque markers was 3.5 hours in 2 – 5 year old dogs and ranged from 6.4 – 7.8 hours in 60 week old dogs.</w:t>
      </w:r>
      <w:r>
        <w:fldChar w:fldCharType="begin"/>
      </w:r>
      <w:r w:rsidR="000A492A">
        <w:instrText xml:space="preserve"> ADDIN ZOTERO_ITEM CSL_CITATION {"citationID":"mGDEcvIv","properties":{"formattedCitation":"{\\rtf \\super 425,426\\nosupersub{}}","plainCitation":"425,426"},"citationItems":[{"id":486,"uris":["http://zotero.org/users/171999/items/KRUK2QP8"],"uri":["http://zotero.org/users/171999/items/KRUK2QP8"],"itemData":{"id":486,"type":"article-journal","title":"Gastric emptying of nondigestible radiopaque markers after circumcostal gastropexy in clinically normal dogs and dogs with gastric dilatation-volvulus","container-title":"American journal of veterinary research","page":"1961-1965","volume":"53","issue":"10","source":"NCBI PubMed","abstract":"Using radiopaque particles mixed with food, gastric emptying was assessed in healthy dogs not subjected to surgery, in healthy dogs 9 to 35 days after circumcostal gastropexy, and, in dogs 1 to 54 months after surgical treatment and recovery from gastric dilatation-volvulus (GDV). Circumcostal gastropexy surgery did not alter the 90% gastric emptying time for radiopaque particles in healthy dogs. However, 90% gastric emptying time was significantly (P less than 0.05) increased after circumcostal gastropexy in dogs with GDV, compared with healthy dogs after the same surgical procedure and recovery period. These results imply that dogs with GDV have delayed gastric emptying of solid particles. Whether delayed gastric emptying of markers detected in affected dogs after surgical treatment and recovery was the result or the cause of GDV was not determined. Results indicate that circumcostal gastropexy could be recommended as a prophylactic procedure for GDV in large breeds with deep thorax, because delayed gastric emptying of markers secondary to the surgical procedure is unlikely.","ISSN":"0002-9645","note":"PMID: 1456548","journalAbbreviation":"Am. J. Vet. Res.","language":"eng","author":[{"family":"Hall","given":"J A"},{"family":"Willer","given":"R L"},{"family":"Seim","given":"H B, 3rd"},{"family":"Lebel","given":"J L"},{"family":"Twedt","given":"D C"}],"issued":{"date-parts":[["1992",10]]},"PMID":"1456548"}},{"id":491,"uris":["http://zotero.org/users/171999/items/AAGUPWVN"],"uri":["http://zotero.org/users/171999/items/AAGUPWVN"],"itemData":{"id":491,"type":"article-journal","title":"Influence of age and body size on gastrointestinal transit time of radiopaque markers in healthy dogs","container-title":"American journal of veterinary research","page":"677-682","volume":"63","issue":"5","source":"NCBI PubMed","abstract":"OBJECTIVE: To compare gastric emptying time, small-intestinal transit time (SITT), and orocecal transit time (OCTT) of radiopaque markers in dogs varying in age and body size and to determine whether fecal variables (ie, consistency and moisture content) are related to gastrointestinal tract transit times in dogs.\nANIMALS: 24 eight-week-old female puppies, including 6 Miniature Poodles, 6 Standard Schnauzers, 6 Giant Schnauzers, and 6 Great Danes.\nPROCEDURE: Gastrointestinal tract transit time experiments were performed at 12, 22, 36, and 60 weeks of age. Dogs were fed 30 small radiopaque markers mixed with a meal. Abdominal radiographs were taken. The time at which 50% of the markers had left the stomach (T50) and the time at which the first marker reached the colon were calculated. Fecal moisture content and scoring on the basis of fecal consistency were recorded during the same periods.\nRESULTS: Puppies had a shorter mean T50 than adults, and mean OCTT decreased significantly only during growth of large-breed dogs. However mean fecal moisture content significantly increased with age, except in Giant Schnauzers. No effect of body size on T50 was found regardless of age, and no difference was observed between OCTT of small- and large-breed adult dogs. The effect of age on the mean SITT was not significant for any breed. However, a strong positive correlation was recorded between body size and fecal moisture content (r2 = 0.77) or fecal scores (r2 = 0.69) in adult dogs.\nCONCLUSIONS AND CLINICAL RELEVANCE: Age affects T50 in small- and large-breed dogs and OCTT in large-breed dogs. However, body size does not affect T50 or OCTT. A relationship does not exist between gastrointestinal tract transit time and fecal variables in healthy dogs.","ISSN":"0002-9645","note":"PMID: 12013468","journalAbbreviation":"Am. J. Vet. Res.","language":"eng","author":[{"family":"Weber","given":"Mickaël P"},{"family":"Stambouli","given":"Fouzia"},{"family":"Martin","given":"Lucile J"},{"family":"Dumon","given":"Henri J"},{"family":"Biourge","given":"Vincent C"},{"family":"Nguyen","given":"Patrick G"}],"issued":{"date-parts":[["2002",5]]},"PMID":"12013468"}}],"schema":"https://github.com/citation-style-language/schema/raw/master/csl-citation.json"} </w:instrText>
      </w:r>
      <w:r>
        <w:fldChar w:fldCharType="separate"/>
      </w:r>
      <w:r w:rsidR="000A492A" w:rsidRPr="000A492A">
        <w:rPr>
          <w:vertAlign w:val="superscript"/>
        </w:rPr>
        <w:t>425,426</w:t>
      </w:r>
      <w:r>
        <w:fldChar w:fldCharType="end"/>
      </w:r>
      <w:r>
        <w:t xml:space="preserve">  Using wireless motility capsules, total gastric emptying time has ranged from 385 – 897minutes in multiple studies and 99.9 – 181.2 minutes represents the stomach emptying half time.</w:t>
      </w:r>
      <w:r>
        <w:fldChar w:fldCharType="begin"/>
      </w:r>
      <w:r w:rsidR="000A492A">
        <w:instrText xml:space="preserve"> ADDIN ZOTERO_ITEM CSL_CITATION {"citationID":"WEs2cjrG","properties":{"formattedCitation":"{\\rtf \\super 427\\uc0\\u8211{}429\\nosupersub{}}","plainCitation":"427–429"},"citationItems":[{"id":698,"uris":["http://zotero.org/users/171999/items/IME6EPWT"],"uri":["http://zotero.org/users/171999/items/IME6EPWT"],"itemData":{"id":698,"type":"article-journal","title":"Assessment of the variation associated with repeated measurement of gastrointestinal transit times and assessment of the effect of oral ranitidine on gastrointestinal transit times using a wireless motility capsule system in dogs","container-title":"Veterinary medicine international","page":"938417","volume":"2012","source":"NCBI PubMed","abstract":"This study aimed to evaluate the variation associated with repeated measurement of gastrointestinal (GI) transit times and the effect of oral ranitidine on GI transit times in healthy dogs using a wireless motility capsule (WMC) system. Eight privately owned healthy adult dogs were enrolled, and one developed diarrhea and was removed from the study. For the first 3 repetitions, each dog was fed a standard meal followed by oral administration of a WMC. For the 4th repetition, each dog was given ranitidine hydrochloride (75 mg PO every 12 hours) prior to and during assessment of GI transit times. Mean between-subject coefficients of variation for gastric emptying time (GET), small and large bowel transit time (SLBTT), and total transit time (TTT) were 26.9%, 32.3%, and 19.6%, respectively. Mean within-subject coefficients of variation for GET, SLBTT, and TTT were 9.3%, 19.6%, and 15.9%, respectively. Median GET, SLBTT, and TTT without ranitidine were 719, 1,636, and 2,735 minutes, respectively. Median GET, SLBTT, and TTT with ranitidine were 757, 1,227, and 2,083 minutes, respectively. No significant differences in GI transit times were found between any of the 4 repetitions. Under these experimental conditions, no significant effects of oral ranitidine on GI transit times were observed.","DOI":"10.1155/2012/938417","ISSN":"2042-0048","note":"PMID: 22792515","journalAbbreviation":"Vet Med Int","language":"eng","author":[{"family":"Lidbury","given":"Jonathan A"},{"family":"Suchodolski","given":"Jan S"},{"family":"Ivanek","given":"Renata"},{"family":"Steiner","given":"Jörg M"}],"issued":{"date-parts":[["2012"]]},"PMID":"22792515"}},{"id":502,"uris":["http://zotero.org/users/171999/items/9RCZAQWF"],"uri":["http://zotero.org/users/171999/items/9RCZAQWF"],"itemData":{"id":502,"type":"article-journal","title":"Assessment of the relationship between body weight and gastrointestinal transit times measured by use of a wireless motility capsule system in dogs","container-title":"American journal of veterinary research","page":"898-902","volume":"71","issue":"8","source":"NCBI PubMed","abstract":"OBJECTIVE: To assess the relationship between body weight and gastrointestinal transit times measured by use of a wireless motility capsule (WMC) system in healthy dogs.\nANIMALS: 31 healthy adult dogs that weighed between 19.6 and 81.2 kg.\nPROCEDURES: Food was withheld overnight. The following morning, a WMC was orally administered to each dog, and each dog was then fed a test meal that provided a fourth of the daily energy requirements. A vest was fitted on each dog to hold a receiver that collected and stored data from the WMC. Measurements were obtained with each dog in its home environment. Regression analysis was used to assess the relationship between body weight and gastrointestinal transit times.\nRESULTS: Gastric emptying time (GET) ranged from 405 to 897 minutes, small bowel transit time (SBTT) ranged from 96 to 224 minutes, large bowel transit time (LBTT) ranged from 427 to 2,573 minutes, and total transit time (TTT) ranged from 1,294 to 3,443 minutes. There was no positive relationship between body weight and gastrointestinal transit times. A nonlinear inverse relationship between body weight and GET and between body weight and SBTT best fit the data. The LBTT could not be explained by this model and likely influenced the poor fit for the TTT.\nCONCLUSIONS AND CLINICAL RELEVANCE: A positive relationship did not exist between body weight and gastrointestinal transit times. Dogs with the lowest body weight of the cohort appeared to have longer gastric and small intestinal transit times than did large- and giant-breed dogs.","DOI":"10.2460/ajvr.71.8.898","ISSN":"0002-9645","note":"PMID: 20673088","journalAbbreviation":"Am. J. Vet. Res.","language":"eng","author":[{"family":"Boillat","given":"Carol S"},{"family":"Gaschen","given":"Frédéric P"},{"family":"Hosgood","given":"Giselle L"}],"issued":{"date-parts":[["2010",8]]},"PMID":"20673088"}},{"id":516,"uris":["http://zotero.org/users/171999/items/CJP3F4V7"],"uri":["http://zotero.org/users/171999/items/CJP3F4V7"],"itemData":{"id":516,"type":"article-journal","title":"Variability associated with repeated measurements of gastrointestinal tract motility in dogs obtained by use of a wireless motility capsule system and scintigraphy","container-title":"American journal of veterinary research","page":"903-908","volume":"71","issue":"8","source":"NCBI PubMed","abstract":"OBJECTIVE: To compare repeatability of measurements of gastrointestinal tract motility in healthy dogs obtained by use of a wireless motility capsule (WMC) and scintigraphy.\nANIMALS: 6 healthy adult dogs (mean +/- SD body weight, 21.5 +/- 1.8 kg).\nPROCEDURES: A radiolabeled test meal was offered immediately after oral administration of a WMC. Serial static scintigraphic abdominal images were acquired for 270 minutes. A dedicated remote receiver was used for data collection from the WMC until the WMC was expelled in the feces. Each dog was evaluated 3 times at intervals of 1 to 2 weeks.\nRESULTS: Mean gastric emptying half-time measured by use of scintigraphy (T(1/2)-GES) for each dog ranged from 99.9 to 181.2 minutes. Mean gastric emptying time (GET) measured by use of the WMC (GET-WMC) in each dog ranged from 385.3 to 669.7 minutes. Mean coefficient of variation was 11.8% for T(1/2)-GES and 7.8% for GET-WMC. The intraclass correlation coefficient was 69% for T(1/2)-GES and 71% for GET-WMC. Results for a nested analysis of covariance suggested that both methods were comparable for the evaluation of gastric emptying.\nCONCLUSIONS AND CLINICAL RELEVANCE: Scintigraphy and a WMC system had similar variation for assessment of gastric emptying. Moderate intraindividual variability was detected for both methods and must be considered when interpreting test results for individual dogs. Repeatability of measurements obtained by use of the WMC was equivalent to that obtained by use of scintigraphy. The WMC system offers a nonradioactive, user-friendly method for assessment of gastric emptying in dogs.","DOI":"10.2460/ajvr.71.8.903","ISSN":"0002-9645","note":"PMID: 20673089","journalAbbreviation":"Am. J. Vet. Res.","language":"eng","author":[{"family":"Boillat","given":"Carol S"},{"family":"Gaschen","given":"Frédéric P"},{"family":"Gaschen","given":"Lorrie"},{"family":"Stout","given":"Rhett W"},{"family":"Hosgood","given":"Giselle L"}],"issued":{"date-parts":[["2010",8]]},"PMID":"20673089"}}],"schema":"https://github.com/citation-style-language/schema/raw/master/csl-citation.json"} </w:instrText>
      </w:r>
      <w:r>
        <w:fldChar w:fldCharType="separate"/>
      </w:r>
      <w:r w:rsidR="000A492A" w:rsidRPr="000A492A">
        <w:rPr>
          <w:vertAlign w:val="superscript"/>
        </w:rPr>
        <w:t>427–429</w:t>
      </w:r>
      <w:r>
        <w:fldChar w:fldCharType="end"/>
      </w:r>
      <w:r>
        <w:t xml:space="preserve">  Based on the half time information, a 75 minute intrusion meal should be considered an indicator of short term satiety, likely to be highly responsive to gastric distention.  At 3 hours (180 minutes), the stomach emptying half time is approached and gastric distension is less likely a contributor to any perceived satiety effects.</w:t>
      </w:r>
    </w:p>
    <w:p w:rsidR="00F24665" w:rsidRPr="00DC5B88" w:rsidRDefault="00F24665" w:rsidP="00F24665">
      <w:pPr>
        <w:ind w:firstLine="720"/>
      </w:pPr>
      <w:r>
        <w:t>An interesting, but not unexpected intrusion intake pattern emerged involving comparisons across the three study arms.  When dogs were being fed excess calories during obesification or treatment, intrusion meal consumption was lower than when fed to MER</w:t>
      </w:r>
      <w:r>
        <w:rPr>
          <w:vertAlign w:val="subscript"/>
        </w:rPr>
        <w:t>ideal</w:t>
      </w:r>
      <w:r>
        <w:t>. Dogs maintaining ideal body weight ate similar amounts of food during intrusion feedings as other dogs being fed to MER</w:t>
      </w:r>
      <w:r>
        <w:rPr>
          <w:vertAlign w:val="subscript"/>
        </w:rPr>
        <w:t>ideal</w:t>
      </w:r>
      <w:r>
        <w:t>.  So while nutraceutical, placebo, or WLD treatment did not affect satiety, overall average daily food consumption did have an effect, with MER feeding being associated with increased voluntary food intake.</w:t>
      </w:r>
    </w:p>
    <w:p w:rsidR="00F24665" w:rsidRDefault="00F24665" w:rsidP="00F24665">
      <w:pPr>
        <w:ind w:firstLine="720"/>
      </w:pPr>
      <w:r>
        <w:t>In addition to intrusion meal intake, canine satiety may also be perceived based on food seeking behavior and other behavioral characteristics.  Butterwick assessed feeding behavior via 30 minute videotape recordings starting at the introduction of the meal.</w:t>
      </w:r>
      <w:r>
        <w:fldChar w:fldCharType="begin"/>
      </w:r>
      <w:r w:rsidR="000A492A">
        <w:instrText xml:space="preserve"> ADDIN ZOTERO_ITEM CSL_CITATION {"citationID":"VQ2G5LJx","properties":{"formattedCitation":"{\\rtf \\super 424\\nosupersub{}}","plainCitation":"424"},"citationItems":[{"id":922,"uris":["http://zotero.org/users/171999/items/VT7S522W"],"uri":["http://zotero.org/users/171999/items/VT7S522W"],"itemData":{"id":922,"type":"article-journal","title":"Effect of level and source of dietary fiber on food intake in the dog","container-title":"The Journal of nutrition","page":"2695S-2700S","volume":"124","issue":"12 Suppl","source":"NCBI PubMed","abstract":"The effects of dietary fiber on challenge meal intake and on the perception of hunger in dogs were evaluated. A program of testing variants of a standard low energy diet, to which one of five fiber containing raw materials was added, was undertaken. Diets were fed to a group of six dogs for 12-d periods in a latin square design and in amounts that corresponded to the food allowance for weight reduction. Behavioral characteristics of dogs were recorded on videotape for 30-min periods after introduction of test diets. On two occasions during each 12-d feeding period dogs were presented with a challenge meal. At the end of each 12-d feeding period all dogs entered a 6-d washout period. There was no significant effect of diet on the intake of the challenge meal or on intake of food during the subsequent washout period. In addition, diet had no apparent effect on the perception of hunger, as represented by behavioral characteristics during the 30-min period after presentation of test diets. It was concluded that inclusion of moderate levels of raw materials, composed primarily of insoluble fiber, in a commercial low energy diet had no apparent beneficial effects on satiety, when fed to dogs on an energy intake corresponding to allowances for weight reduction.","ISSN":"0022-3166","note":"PMID: 7996272","journalAbbreviation":"J. Nutr.","author":[{"family":"Butterwick","given":"R F"},{"family":"Markwell","given":"P J"},{"family":"Thorne","given":"C J"}],"issued":{"date-parts":[["1994",12]]},"PMID":"7996272"}}],"schema":"https://github.com/citation-style-language/schema/raw/master/csl-citation.json"} </w:instrText>
      </w:r>
      <w:r>
        <w:fldChar w:fldCharType="separate"/>
      </w:r>
      <w:r w:rsidR="000A492A" w:rsidRPr="000A492A">
        <w:rPr>
          <w:vertAlign w:val="superscript"/>
        </w:rPr>
        <w:t>424</w:t>
      </w:r>
      <w:r>
        <w:fldChar w:fldCharType="end"/>
      </w:r>
      <w:r>
        <w:t xml:space="preserve">  Bosch and colleagues also used video recordings to assess activity patterns within a 24 hour period and to assess interprandial behavior 30 minutes after the morning meal and 30 minutes before the evening meal.</w:t>
      </w:r>
      <w:r>
        <w:fldChar w:fldCharType="begin"/>
      </w:r>
      <w:r w:rsidR="000A492A">
        <w:instrText xml:space="preserve"> ADDIN ZOTERO_ITEM CSL_CITATION {"citationID":"WsB6wdsf","properties":{"formattedCitation":"{\\rtf \\super 430\\nosupersub{}}","plainCitation":"430"},"citationItems":[{"id":457,"uris":["http://zotero.org/users/171999/items/5R9NQ4AT"],"uri":["http://zotero.org/users/171999/items/5R9NQ4AT"],"itemData":{"id":457,"type":"article-journal","title":"Effect of dietary fibre type on physical activity and behaviour in   kennelled dogs.","container-title":"Applied Animal Behaviour Science","volume":"121","issue":"1","abstract":"Dog diets may differ in their effectiveness of maintaining satiety after   a meal. Consequently, sensations of hunger, feeding motivation, physical   activity, and sensitivity to environmental stressors may be increased.   Dietary fibre may be effective in prolonging postprandial satiety   depending on type and inclusion level. This study evaluated the effect   of fibre fermentability on behaviour in dogs. Sixteen healthy adult dogs   were housed individually and fed a low-fermentable fibre (LFF) diet   containing 8.5% cellulose or a high-fermentable fibre (HFF) diet   containing 8.5% sugar beet pulp and 2% inulin. Dogs were fed two equal   portions at 8:30 and 18:30 according to energy requirements. Behaviour   of dogs in their home-cage was recorded and analyzed by instantaneous   scan sampling (2*24 h with 15 min intervals) and focal sampling   continuous recordings (10 min per animal per hour, from 9:00 until   18:00). Dogs were subjected to a behaviour test composed of the subtests   open-field, sudden-silence, novel-object, and acoustic-startle. The   behavioural responses of each dog were recorded. Scores for the scan and   focal samples were expressed per clock hour and DIET * TIME effects were   tested statistically using Residual Maximum Likelihood (REML). Data from   the tests were examined using principal component analysis resulting in   the compilation of two components. Data were tested statistically for   DIET and DIET * SUBTEST effects using REML. Variables specific for the   open-field and novel-object test were analyzed using analysis of   variance. For the scans, a significant DIET * TIME effect was found for   resting. At night and in the morning, HFF dogs rested more compared to   LFF dogs, but they rested less between 14:00 and 17:00. For the   continuous recordings, the main findings were a tendency for DIET * TIME   effect for time spent resting with a pattern consistent with that for   the scans. The interaction was significant for inactive-alert (lie with   head up or sitting) with HFF-fed dogs having lower values around   10:00-11:00 and higher values hereafter. Finally, time spent tail   wagging was significantly higher for LFF-fed dogs just before the   evening meal that may indicate higher level of arousal. For the   behaviour tests, no significant DIET or DIET * SUBTEST effects were   detected. It is concluded that compared to the LFF diet, the HFF diet   increased inactivity in kennelled beagle dogs likely through the   prolongation of postprandial satiety. This effect did not change the   reaction to stressful events in kennelled laboratory dogs. Enhanced   susceptibility to environmental stressors at times of hunger in   sensitive companion dogs may occur but requires further study.","DOI":"10.1016/j.applanim.2009.08.001","ISSN":"0168-1591","note":"CABI:20093347959","author":[{"family":"Bosch","given":"G."},{"family":"Beerda","given":"B."},{"family":"Hoek","given":"E. van de"},{"family":"Hesta","given":"M."},{"family":"Poel","given":"A. F. B. van der"},{"family":"Janssens","given":"G. P. J."},{"family":"Hendriks","given":"W. H."}],"issued":{"date-parts":[["2009"]]}}}],"schema":"https://github.com/citation-style-language/schema/raw/master/csl-citation.json"} </w:instrText>
      </w:r>
      <w:r>
        <w:fldChar w:fldCharType="separate"/>
      </w:r>
      <w:r w:rsidR="000A492A" w:rsidRPr="000A492A">
        <w:rPr>
          <w:vertAlign w:val="superscript"/>
        </w:rPr>
        <w:t>430</w:t>
      </w:r>
      <w:r>
        <w:fldChar w:fldCharType="end"/>
      </w:r>
      <w:r>
        <w:t xml:space="preserve">  The ability to review recordings allowed for accurate accounting of the number of visits to the bowl, total time spent at the bowl, and occurrences of individual behaviors.  In the current study, the recording design was for individual observers to focus on accurately accounting for the amount of time dogs spent eating and/or with their head in the food bowl, providing a total duration measure of food consumption over 45 minutes.  For specific behavior information, instantaneous sampling every two minutes was employed.  This type of protocol allows one to record several different categories of behavior and total duration information simultaneously.</w:t>
      </w:r>
      <w:r>
        <w:fldChar w:fldCharType="begin"/>
      </w:r>
      <w:r w:rsidR="000A492A">
        <w:instrText xml:space="preserve"> ADDIN ZOTERO_ITEM CSL_CITATION {"citationID":"NDljByec","properties":{"formattedCitation":"{\\rtf \\super 431\\nosupersub{}}","plainCitation":"431"},"citationItems":[{"id":534,"uris":["http://zotero.org/users/171999/items/M85U4RTI"],"uri":["http://zotero.org/users/171999/items/M85U4RTI"],"itemData":{"id":534,"type":"book","title":"Measuring Behaviour : An Introductory Guide","publisher":"Cambridge University Press","publisher-place":"Cambridge","number-of-pages":"176","edition":"3rd ed..","source":"Primo","event-place":"Cambridge","ISBN":"9780521828680","call-number":"QL751","shortTitle":"Measuring behaviour","language":"eng","author":[{"family":"Paul Martin","given":""}],"issued":{"date-parts":[["2007"]]}}}],"schema":"https://github.com/citation-style-language/schema/raw/master/csl-citation.json"} </w:instrText>
      </w:r>
      <w:r>
        <w:fldChar w:fldCharType="separate"/>
      </w:r>
      <w:r w:rsidR="000A492A" w:rsidRPr="000A492A">
        <w:rPr>
          <w:vertAlign w:val="superscript"/>
        </w:rPr>
        <w:t>431</w:t>
      </w:r>
      <w:r>
        <w:fldChar w:fldCharType="end"/>
      </w:r>
      <w:r>
        <w:t xml:space="preserve">  Several novel categories, along with behaviors previously described by Bosch et al, were assessed to gather information regarding behaviors related to canine food consumption.</w:t>
      </w:r>
      <w:r>
        <w:fldChar w:fldCharType="begin"/>
      </w:r>
      <w:r w:rsidR="000A492A">
        <w:instrText xml:space="preserve"> ADDIN ZOTERO_ITEM CSL_CITATION {"citationID":"ihrivWPg","properties":{"formattedCitation":"{\\rtf \\super 430\\nosupersub{}}","plainCitation":"430"},"citationItems":[{"id":457,"uris":["http://zotero.org/users/171999/items/5R9NQ4AT"],"uri":["http://zotero.org/users/171999/items/5R9NQ4AT"],"itemData":{"id":457,"type":"article-journal","title":"Effect of dietary fibre type on physical activity and behaviour in   kennelled dogs.","container-title":"Applied Animal Behaviour Science","volume":"121","issue":"1","abstract":"Dog diets may differ in their effectiveness of maintaining satiety after   a meal. Consequently, sensations of hunger, feeding motivation, physical   activity, and sensitivity to environmental stressors may be increased.   Dietary fibre may be effective in prolonging postprandial satiety   depending on type and inclusion level. This study evaluated the effect   of fibre fermentability on behaviour in dogs. Sixteen healthy adult dogs   were housed individually and fed a low-fermentable fibre (LFF) diet   containing 8.5% cellulose or a high-fermentable fibre (HFF) diet   containing 8.5% sugar beet pulp and 2% inulin. Dogs were fed two equal   portions at 8:30 and 18:30 according to energy requirements. Behaviour   of dogs in their home-cage was recorded and analyzed by instantaneous   scan sampling (2*24 h with 15 min intervals) and focal sampling   continuous recordings (10 min per animal per hour, from 9:00 until   18:00). Dogs were subjected to a behaviour test composed of the subtests   open-field, sudden-silence, novel-object, and acoustic-startle. The   behavioural responses of each dog were recorded. Scores for the scan and   focal samples were expressed per clock hour and DIET * TIME effects were   tested statistically using Residual Maximum Likelihood (REML). Data from   the tests were examined using principal component analysis resulting in   the compilation of two components. Data were tested statistically for   DIET and DIET * SUBTEST effects using REML. Variables specific for the   open-field and novel-object test were analyzed using analysis of   variance. For the scans, a significant DIET * TIME effect was found for   resting. At night and in the morning, HFF dogs rested more compared to   LFF dogs, but they rested less between 14:00 and 17:00. For the   continuous recordings, the main findings were a tendency for DIET * TIME   effect for time spent resting with a pattern consistent with that for   the scans. The interaction was significant for inactive-alert (lie with   head up or sitting) with HFF-fed dogs having lower values around   10:00-11:00 and higher values hereafter. Finally, time spent tail   wagging was significantly higher for LFF-fed dogs just before the   evening meal that may indicate higher level of arousal. For the   behaviour tests, no significant DIET or DIET * SUBTEST effects were   detected. It is concluded that compared to the LFF diet, the HFF diet   increased inactivity in kennelled beagle dogs likely through the   prolongation of postprandial satiety. This effect did not change the   reaction to stressful events in kennelled laboratory dogs. Enhanced   susceptibility to environmental stressors at times of hunger in   sensitive companion dogs may occur but requires further study.","DOI":"10.1016/j.applanim.2009.08.001","ISSN":"0168-1591","note":"CABI:20093347959","author":[{"family":"Bosch","given":"G."},{"family":"Beerda","given":"B."},{"family":"Hoek","given":"E. van de"},{"family":"Hesta","given":"M."},{"family":"Poel","given":"A. F. B. van der"},{"family":"Janssens","given":"G. P. J."},{"family":"Hendriks","given":"W. H."}],"issued":{"date-parts":[["2009"]]}}}],"schema":"https://github.com/citation-style-language/schema/raw/master/csl-citation.json"} </w:instrText>
      </w:r>
      <w:r>
        <w:fldChar w:fldCharType="separate"/>
      </w:r>
      <w:r w:rsidR="000A492A" w:rsidRPr="000A492A">
        <w:rPr>
          <w:vertAlign w:val="superscript"/>
        </w:rPr>
        <w:t>430</w:t>
      </w:r>
      <w:r>
        <w:fldChar w:fldCharType="end"/>
      </w:r>
      <w:r>
        <w:t xml:space="preserve">  </w:t>
      </w:r>
    </w:p>
    <w:p w:rsidR="00F24665" w:rsidRDefault="00F24665" w:rsidP="00F24665">
      <w:pPr>
        <w:ind w:firstLine="720"/>
      </w:pPr>
      <w:r>
        <w:t>Unfortunately, due to recording inconsistencies in total duration observations, total time spent at the bowl could not be assessed.  Instantaneous sampling of eating found all groups to be similar at all time points with the exception of obese placebo dogs.  This group had significantly higher within group counts during treatment than at baseline, correlating with both intrusion meal and average daily consumption patterns.  Clinical significance of this pattern is doubtful, however, because the nutraceutical and WLD obesification groups also consumed increasing volumes of food over the treatment period and at intrusion, but their eating counts were consistent.  These results echo Butterwick’s data, indicating caloric allotment and weight change status do not influence the time a dog spends eating a medium satiety intrusion meal.</w:t>
      </w:r>
      <w:r>
        <w:fldChar w:fldCharType="begin"/>
      </w:r>
      <w:r w:rsidR="000A492A">
        <w:instrText xml:space="preserve"> ADDIN ZOTERO_ITEM CSL_CITATION {"citationID":"H2T2k27I","properties":{"formattedCitation":"{\\rtf \\super 432\\nosupersub{}}","plainCitation":"432"},"citationItems":[{"id":1588,"uris":["http://zotero.org/users/171999/items/ECKXS95P"],"uri":["http://zotero.org/users/171999/items/ECKXS95P"],"itemData":{"id":1588,"type":"article-journal","title":"Effect of amount and type of dietary fiber on food intake in energy-restricted dogs","container-title":"American journal of veterinary research","page":"272-276","volume":"58","issue":"3","source":"NCBI PubMed","abstract":"OBJECTIVE: To evaluate the effect of adding different amounts of insoluble (IF) or soluble (SF) dietary fiber to a commercial diet formulated for weight reduction on satiety and perception of hunger in dogs.\nANIMALS: 6 adult dogs.\nPROCEDURE: Test diets included 2 low-fiber control diets (CL1 and CL2), 2 diets with increased amount of IF (IF1 and IF2), and 2 diets with increased amount of SF (SF1 and SF2). Each test diet was fed for 12 days to 6 dogs in a Latin square design, and in amounts that correspond to the food allowance recommended for weight reduction. Behavioral characteristics of dogs were recorded for 30-minute periods after introduction of test diets. On 2 occasions during each test period, exactly 3 hours after feeding of the test diet, dogs were given a challenge meal consisting of a standard commercial canned dog food ad libitum. At the end of each 12-day feeding period, all dogs entered a 6-day washout period in which they were offered a standard commercial canned dog food ad libitum.\nRESULTS: Diet had no significant effect on intake of the challenge meal, intake of food during the subsequent washout period, or perception of hunger, as represented by behavioral characteristics during the 30-minute period after presentation of test diets. In addition, diet had no significant effect on percentage of weight loss.\nCONCLUSIONS: Inclusion of high amounts of IF or SF in a commercial low-energy diet has no apparent beneficial effects on satiety when fed to dogs on an energy intake regimen corresponding to allowances for weight reduction.","ISSN":"0002-9645","note":"PMID: 9055973","journalAbbreviation":"Am. J. Vet. Res.","language":"eng","author":[{"family":"Butterwick","given":"R F"},{"family":"Markwell","given":"P J"}],"issued":{"date-parts":[["1997",3]]},"PMID":"9055973"}}],"schema":"https://github.com/citation-style-language/schema/raw/master/csl-citation.json"} </w:instrText>
      </w:r>
      <w:r>
        <w:fldChar w:fldCharType="separate"/>
      </w:r>
      <w:r w:rsidR="000A492A" w:rsidRPr="000A492A">
        <w:rPr>
          <w:vertAlign w:val="superscript"/>
        </w:rPr>
        <w:t>432</w:t>
      </w:r>
      <w:r>
        <w:fldChar w:fldCharType="end"/>
      </w:r>
    </w:p>
    <w:p w:rsidR="00F24665" w:rsidRDefault="00F24665" w:rsidP="00F24665">
      <w:pPr>
        <w:ind w:firstLine="720"/>
      </w:pPr>
      <w:r>
        <w:t xml:space="preserve">While some other behavior categories showed significant differences, the importance of these differences is unclear.  If these behaviors offered insight into actions more likely to be associated with satiety, or a lack thereof, one would expect differences between excess calorie fed dogs and the other dogs, which all were being meal fed based on caloric needs.  Since a consistent difference did not exist, a problem with the sampling method should be considered.  Electronic recording of intrusion feedings and analysis by a single observer would be a more reliable method than datasheet recording by multiple observers.  Because this study used various observers, between observer reliability should have been assessed.  Observer fatigue due to the both the length of the session and the time between instantaneous sampling could have contributed to fatigue and loss of concentration.  Finally, observer presence in the room during feedings could have altered dog behavior, despite attempts to habituate them before true recordings started.  This concept is supported by significantly </w:t>
      </w:r>
      <w:commentRangeStart w:id="173"/>
      <w:r>
        <w:t>greater total resting with head down counts across all groups at the end of treatment versus baseline</w:t>
      </w:r>
      <w:commentRangeEnd w:id="173"/>
      <w:r>
        <w:rPr>
          <w:rStyle w:val="CommentReference"/>
        </w:rPr>
        <w:commentReference w:id="173"/>
      </w:r>
      <w:r>
        <w:t>.  This supports the hypothesis that regardless of treatment, dogs were more comfortable with observer presence after repetitive exposure.</w:t>
      </w:r>
    </w:p>
    <w:p w:rsidR="00F24665" w:rsidRDefault="00F24665" w:rsidP="00F24665">
      <w:pPr>
        <w:ind w:firstLine="720"/>
        <w:contextualSpacing/>
      </w:pPr>
      <w:r>
        <w:t>In relation to fixed meal times, the orexigenic hormone, ghrelin, is expected to be elevated with meal anticipation and should return to baseline levels postprandially.</w:t>
      </w:r>
      <w:r>
        <w:fldChar w:fldCharType="begin"/>
      </w:r>
      <w:r w:rsidR="000A492A">
        <w:instrText xml:space="preserve"> ADDIN ZOTERO_ITEM CSL_CITATION {"citationID":"zwBS7es0","properties":{"formattedCitation":"{\\rtf \\super 95,96\\nosupersub{}}","plainCitation":"95,96"},"citationItems":[{"id":"Gpwq8jj7/sGI0KS0q","uris":["http://zotero.org/users/local/Ry4zHLbn/items/9PSQ4S2E"],"uri":["http://zotero.org/users/local/Ry4zHLbn/items/9PSQ4S2E"],"itemData":{"id":"Gpwq8jj7/sGI0KS0q","type":"article-journal","title":"Effects of food intake and food withholding on plasma ghrelin concentrations in healthy dogs","container-title":"American journal of veterinary research","page":"1557-1563","volume":"67","issue":"9","source":"NCBI PubMed","abstract":"OBJECTIVE: To investigate the physiologic endocrine effects of food intake and food withholding via measurement of the circulating concentrations of acylated ghrelin, growth hormone (GH), insulin-like growth factor-I (IGF-I), glucose, and insulin when food was administered at the usual time, after 1 day's withholding, after 3 days' withholding and after refeeding the next day in healthy Beagles.\nANIMALS: 9 healthy Beagles.\nPROCEDURES: Blood samples were collected from 8:30 AM to 5 PM from Beagles when food was administered as usual at 10 AM, after 1 day's withholding, after 3 days' withholding, and after refeeding at 10 AM the next day.\nRESULTS: Overall mean plasma ghrelin concentrations were significantly lower when food was administered than after food withholding. Overall mean plasma GH and IGF-I concentrations did not differ significantly among the 4 periods. Circulating overall mean glucose and insulin concentrations were significantly higher after refeeding, compared with the 3 other periods.\nCONCLUSIONS AND CLINICAL RELEVANCE: In dogs, food withholding and food intake were associated with higher and lower circulating ghrelin concentrations, respectively, suggesting that, in dogs, ghrelin participates in the control of feeding behavior and energy homeostasis. Changes in plasma ghrelin concentrations were not associated with similar changes in plasma GH concentrations, whereas insulin and glucose concentrations appeared to change reciprocally with the ghrelin concentrations.","DOI":"10.2460/ajvr.67.9.1557","ISSN":"0002-9645","note":"PMID: 16948601","journalAbbreviation":"Am. J. Vet. Res.","language":"eng","author":[{"family":"Bhatti","given":"Sofie F"},{"family":"Hofland","given":"Leo J"},{"family":"van Koetsveld","given":"Peter M"},{"family":"Van Ham","given":"Luc M"},{"family":"Duchateau","given":"Luc"},{"family":"Mol","given":"Jan A"},{"family":"van der Lely","given":"Aart Jan"},{"family":"Kooistra","given":"Hans S"}],"issued":{"year":2006,"month":9},"PMID":"16948601","page-first":"1557","container-title-short":"Am. J. Vet. Res."}},{"id":"Gpwq8jj7/a3zMFfyU","uris":["http://zotero.org/users/local/Ry4zHLbn/items/NQWE85G2"],"uri":["http://zotero.org/users/local/Ry4zHLbn/items/NQWE85G2"],"itemData":{"id":"Gpwq8jj7/a3zMFfyU","type":"article-journal","title":"Influencing the between-feeding and endocrine responses of plasma ghrelin in healthy dogs","container-title":"European journal of endocrinology / European Federation of Endocrine Societies","page":"155-160","volume":"152","issue":"1","source":"NCBI PubMed","abstract":"OBJECTIVES: Ghrelin has recently been isolated from rat and human stomach as an endogenous ligand for the growth hormone (GH) secretagog receptor. Using beagle dogs, we investigated the distribution of ghrelin in the stomach and its possible role.\nMETHODS: We examined: (i) GH release in response to ghrelin injection (0.5 or 5 microg/kg, i.v.), (ii) gastric localization of ghrelin-immunostained cells, (iii) changes in daily food consumption after ghrelin injection (3, 10, and 20 microg/kg, i.v.), (iv) plasma ghrelin levels under regular, but restricted feeding conditions, and (v) variations in plasma ghrelin levels in relatively lean, normal and obese dogs.\nRESULTS: Administration of ghrelin to dogs promptly increased circulating GH concentrations, although this effect was transitory and was maintained for only 20 min. Ghrelin was localized in the stomach fundus and body, but none was detected in either the pylorus or cardia. Administration of ghrelin at a dose of 20 microg/kg increased the daily food intake of beagle dogs. Plasma ghrelin levels peaked just before meal times, and then returned to basal levels. Obese dogs had higher plasma ghrelin levels than did normal and lean dogs.\nCONCLUSIONS: These results indicate that ghrelin is a potent GH secretagog in dogs. The distribution of ghrelin-immunoreactive cells in the canine stomach resembles that of both the murine and human stomach. Ghrelin participates in the control of feeding behavior and energy homeostasis in dogs and may, therefore, be involved in the development of obesity.","ISSN":"0804-4643","note":"PMID: 15762199","journalAbbreviation":"Eur. J. Endocrinol.","language":"eng","author":[{"family":"Yokoyama","given":"Masayuki"},{"family":"Nakahara","given":"Keiko"},{"family":"Kojima","given":"Masayasu"},{"family":"Hosoda","given":"Hiroshi"},{"family":"Kangawa","given":"Kenji"},{"family":"Murakami","given":"Noboru"}],"issued":{"year":2005,"month":1},"PMID":"15762199","page-first":"155","container-title-short":"Eur. J. Endocrinol."}}],"schema":"https://github.com/citation-style-language/schema/raw/master/csl-citation.json"} </w:instrText>
      </w:r>
      <w:r>
        <w:fldChar w:fldCharType="separate"/>
      </w:r>
      <w:r w:rsidRPr="008E47BD">
        <w:rPr>
          <w:vertAlign w:val="superscript"/>
        </w:rPr>
        <w:t>95</w:t>
      </w:r>
      <w:proofErr w:type="gramStart"/>
      <w:r w:rsidRPr="008E47BD">
        <w:rPr>
          <w:vertAlign w:val="superscript"/>
        </w:rPr>
        <w:t>,96</w:t>
      </w:r>
      <w:proofErr w:type="gramEnd"/>
      <w:r>
        <w:fldChar w:fldCharType="end"/>
      </w:r>
      <w:r>
        <w:t xml:space="preserve">  </w:t>
      </w:r>
      <w:r w:rsidRPr="003A0EF9">
        <w:t>In chronically obese dogs, fasting ghrelin is lower versus lean dogs, but is significantly higher during weight loss.  After maintaining weight loss for six m</w:t>
      </w:r>
      <w:r>
        <w:t>onths, plasma ghrelin</w:t>
      </w:r>
      <w:r w:rsidRPr="003A0EF9">
        <w:t xml:space="preserve"> return</w:t>
      </w:r>
      <w:r>
        <w:t>s</w:t>
      </w:r>
      <w:r w:rsidRPr="003A0EF9">
        <w:t xml:space="preserve"> to l</w:t>
      </w:r>
      <w:r>
        <w:t>evels comparable to those of</w:t>
      </w:r>
      <w:r w:rsidRPr="003A0EF9">
        <w:t xml:space="preserve"> lean animals.</w:t>
      </w:r>
      <w:r w:rsidRPr="003A0EF9">
        <w:fldChar w:fldCharType="begin"/>
      </w:r>
      <w:r w:rsidR="000A492A">
        <w:instrText xml:space="preserve"> ADDIN ZOTERO_ITEM CSL_CITATION {"citationID":"pNqdaK8F","properties":{"formattedCitation":"{\\rtf \\super 103\\nosupersub{}}","plainCitation":"103"},"citationItems":[{"id":191,"uris":["http://zotero.org/users/local/Ry4zHLbn/items/B3FJ9CVI"],"uri":["http://zotero.org/users/local/Ry4zHLbn/items/B3FJ9CVI"],"itemData":{"id":191,"type":"article-journal","title":"Effects of chronic obesity and weight loss on plasma ghrelin and leptin concentrations in dogs","container-title":"Research in veterinary science","page":"169-175","volume":"79","issue":"2","source":"NCBI PubMed","abstract":"The objective of this study was to evaluate, in dogs, the effects of obesity and weight loss on plasma total ghrelin and leptin concentrations. Twenty-four Beagle dogs, 12 control lean and 12 obese dogs of both genders and aged between 1 and 9 years, were used for the experiments. Mean body weight was 12.7+/-0.7 kg for the lean group and 21.9+/-0.8 kg for the obese group. The trial was divided into three phases. During phase 1, all 24 Beagle dogs were fed a maintenance diet. During phase 2, the obese dogs were submitted to a weight loss protocol with a high protein-low energy diet. The weight loss protocol ended once dogs reached optimal body weight. During phase 3, the dogs that were submitted to the weight loss protocol were maintained at their optimal body weight for 6 months. Plasma total ghrelin, leptin, insulin and glucose concentrations were measured to evaluate the effects of obesity and weight loss on these parameters in dogs. Body weight, body condition score, thoracic and pelvic perimeters, and ingested food amounts were also recorded during the study. Obese dogs demonstrated a significant decrease in plasma ghrelin and a significant increase in plasma leptin and insulin concentrations when compared with control dogs. During weight loss, significant increases in plasma total ghrelin and glucose and significant decreases in plasma leptin and insulin were observed. The increase in plasma ghrelin concentrations seemed to be transient. Body weight and the morphometric parameters correlated positively with leptin concentrations and negatively with total ghrelin concentrations. These results suggest that ghrelin and leptin could play a role in dogs in the adaptation to a positive or negative energy balance, as observed in humans.","DOI":"10.1016/j.rvsc.2004.11.012","ISSN":"0034-5288","note":"PMID: 15924935","journalAbbreviation":"Res. Vet. Sci.","language":"eng","author":[{"family":"Jeusette","given":"Isabelle C"},{"family":"Detilleux","given":"Johanne"},{"family":"Shibata","given":"Haruki"},{"family":"Saito","given":"Masayuki"},{"family":"Honjoh","given":"Tsutomu"},{"family":"Delobel","given":"Agathe"},{"family":"Istasse","given":"Louis"},{"family":"Diez","given":"Marianne"}],"issued":{"date-parts":[["2005",10]]},"PMID":"15924935"}}],"schema":"https://github.com/citation-style-language/schema/raw/master/csl-citation.json"} </w:instrText>
      </w:r>
      <w:r w:rsidRPr="003A0EF9">
        <w:fldChar w:fldCharType="separate"/>
      </w:r>
      <w:r w:rsidR="000A492A" w:rsidRPr="000A492A">
        <w:rPr>
          <w:vertAlign w:val="superscript"/>
        </w:rPr>
        <w:t>103</w:t>
      </w:r>
      <w:r w:rsidRPr="003A0EF9">
        <w:fldChar w:fldCharType="end"/>
      </w:r>
      <w:r>
        <w:t xml:space="preserve">  In the current study, a fasting sample was not obtained, although 420 minute samples have been associated with return to fasting levels of ghrelin and glucose.</w:t>
      </w:r>
      <w:r>
        <w:fldChar w:fldCharType="begin"/>
      </w:r>
      <w:r w:rsidR="000A492A">
        <w:instrText xml:space="preserve"> ADDIN ZOTERO_ITEM CSL_CITATION {"citationID":"LBU496ac","properties":{"formattedCitation":"{\\rtf \\super 96\\nosupersub{}}","plainCitation":"96"},"citationItems":[{"id":"Gpwq8jj7/sGI0KS0q","uris":["http://zotero.org/users/local/Ry4zHLbn/items/9PSQ4S2E"],"uri":["http://zotero.org/users/local/Ry4zHLbn/items/9PSQ4S2E"],"itemData":{"id":"Gpwq8jj7/sGI0KS0q","type":"article-journal","title":"Effects of food intake and food withholding on plasma ghrelin concentrations in healthy dogs","container-title":"American journal of veterinary research","page":"1557-1563","volume":"67","issue":"9","source":"NCBI PubMed","abstract":"OBJECTIVE: To investigate the physiologic endocrine effects of food intake and food withholding via measurement of the circulating concentrations of acylated ghrelin, growth hormone (GH), insulin-like growth factor-I (IGF-I), glucose, and insulin when food was administered at the usual time, after 1 day's withholding, after 3 days' withholding and after refeeding the next day in healthy Beagles.\nANIMALS: 9 healthy Beagles.\nPROCEDURES: Blood samples were collected from 8:30 AM to 5 PM from Beagles when food was administered as usual at 10 AM, after 1 day's withholding, after 3 days' withholding, and after refeeding at 10 AM the next day.\nRESULTS: Overall mean plasma ghrelin concentrations were significantly lower when food was administered than after food withholding. Overall mean plasma GH and IGF-I concentrations did not differ significantly among the 4 periods. Circulating overall mean glucose and insulin concentrations were significantly higher after refeeding, compared with the 3 other periods.\nCONCLUSIONS AND CLINICAL RELEVANCE: In dogs, food withholding and food intake were associated with higher and lower circulating ghrelin concentrations, respectively, suggesting that, in dogs, ghrelin participates in the control of feeding behavior and energy homeostasis. Changes in plasma ghrelin concentrations were not associated with similar changes in plasma GH concentrations, whereas insulin and glucose concentrations appeared to change reciprocally with the ghrelin concentrations.","DOI":"10.2460/ajvr.67.9.1557","ISSN":"0002-9645","note":"PMID: 16948601","journalAbbreviation":"Am. J. Vet. Res.","language":"eng","author":[{"family":"Bhatti","given":"Sofie F"},{"family":"Hofland","given":"Leo J"},{"family":"van Koetsveld","given":"Peter M"},{"family":"Van Ham","given":"Luc M"},{"family":"Duchateau","given":"Luc"},{"family":"Mol","given":"Jan A"},{"family":"van der Lely","given":"Aart Jan"},{"family":"Kooistra","given":"Hans S"}],"issued":{"year":2006,"month":9},"PMID":"16948601","page-first":"1557","container-title-short":"Am. J. Vet. Res."}}],"schema":"https://github.com/citation-style-language/schema/raw/master/csl-citation.json"} </w:instrText>
      </w:r>
      <w:r>
        <w:fldChar w:fldCharType="separate"/>
      </w:r>
      <w:r w:rsidRPr="00186185">
        <w:rPr>
          <w:vertAlign w:val="superscript"/>
        </w:rPr>
        <w:t>96</w:t>
      </w:r>
      <w:r>
        <w:fldChar w:fldCharType="end"/>
      </w:r>
      <w:r>
        <w:t xml:space="preserve">  Because these dogs were habituated to 8am and 4pm feedings, ghrelin levels that did not decrease by 420 minutes may be due to anticipation of the afternoon meal, which was not provided until the final sample was collected and was 3 hours later than normal.  In contrast to the Bhatti paper, obese dogs in the present study had higher ghrelin levels initially, which then decreased over 12 weeks.  All of the nutraceutical and placebo groups (ObN, ObP, ExN, </w:t>
      </w:r>
      <w:proofErr w:type="gramStart"/>
      <w:r>
        <w:t>ExP</w:t>
      </w:r>
      <w:proofErr w:type="gramEnd"/>
      <w:r>
        <w:t>) exhibited lower end point ghrelin compared to baseline.  This is especially surprising since the expectation was for dogs undergoing weight loss (ObN, ObP) to have higher values at study termination.  When isolated for 420 minute samples, every group actually had numerically decreased ghrelin levels by study termination, although this was only significant in both nutraceutical and the obese placebo groups.  The most plausible explanation is that by the third exposure to an intrusion meal and blood sampling protocol, the dogs had become habituated to afternoon feedings being provided much later than was part of the general daily routine.</w:t>
      </w:r>
    </w:p>
    <w:p w:rsidR="00F24665" w:rsidRDefault="00F24665" w:rsidP="00F24665">
      <w:pPr>
        <w:ind w:firstLine="720"/>
      </w:pPr>
      <w:r>
        <w:t xml:space="preserve">GLP-1 </w:t>
      </w:r>
      <w:r w:rsidRPr="003A0EF9">
        <w:t>is released after a meal to inhibit gastric acid secretion via an additive effect with PYY and to inhibit gastric emptying via the ileal brake mechanism.</w:t>
      </w:r>
      <w:r w:rsidRPr="003A0EF9">
        <w:fldChar w:fldCharType="begin"/>
      </w:r>
      <w:r w:rsidR="000A492A">
        <w:instrText xml:space="preserve"> ADDIN ZOTERO_ITEM CSL_CITATION {"citationID":"2OcMxSr2","properties":{"formattedCitation":"{\\rtf \\super 115,122,123\\nosupersub{}}","plainCitation":"115,122,123"},"citationItems":[{"id":223,"uris":["http://zotero.org/users/local/Ry4zHLbn/items/U3QXJ4G5"],"uri":["http://zotero.org/users/local/Ry4zHLbn/items/U3QXJ4G5"],"itemData":{"id":223,"type":"article-journal","title":"Glucagon-like peptide-1 7-36 amide and peptide YY have additive inhibitory effect on gastric acid secretion in man","container-title":"Scandinavian journal of gastroenterology","page":"552-555","volume":"32","issue":"6","source":"NCBI PubMed","abstract":"BACKGROUND: Glucagon-like peptide-1 7-36 amide (GLP-1) and peptide YY (PYY) are colocalized in the L-cell of the ileal mucosa, and both peptides may function as enterogastrone hormones. However, it is not known whether they interact with regard to the effect on acid secretion.\nMETHODS: The effect of intravenous infusion of GLP-1 and PYY, either alone or in combination, on pentagastrin-induced acid secretion in eight healthy volunteers was examined. The peptides were infused at two different rates: 0.25 pmol/kg/min (low rate) and 0.5 pmol/kg/min (high rate).\nRESULTS: Given alone, GLP-1 and PYY inhibited acid secretion by 26 +/- 5% and 18 +/- 5% (low rate) and 45 +/- 8% and 38 +/- 7% (high rate), respectively. Combined infusion resulted in an inhibition of 32 +/- 5% (low rate) and 62 +/- 7% (high rate). Both infusion rates resulted in GLP-1 and PYY plasma concentrations below or similar to postprandial levels.\nCONCLUSION: The present study suggests that the interaction between GLP-1 and PYY in man is of the additive type. The results indicate that GLP-1 and PYY have an important role in the physiologic control of gastric acid secretion.","ISSN":"0036-5521","note":"PMID: 9200286","journalAbbreviation":"Scand. J. Gastroenterol.","language":"eng","author":[{"family":"Wettergren","given":"A"},{"family":"Maina","given":"P"},{"family":"Boesby","given":"S"},{"family":"Holst","given":"J J"}],"issued":{"date-parts":[["1997",6]]},"PMID":"9200286"}},{"id":215,"uris":["http://zotero.org/users/local/Ry4zHLbn/items/8JN6R7VC"],"uri":["http://zotero.org/users/local/Ry4zHLbn/items/8JN6R7VC"],"itemData":{"id":215,"type":"article-journal","title":"GLP-1 slows solid gastric emptying and inhibits insulin, glucagon, and PYY release in humans","container-title":"The American journal of physiology","page":"R910-916","volume":"277","issue":"3 Pt 2","source":"NCBI PubMed","abstract":"The aim of the present study was to assess the effect of glucagon-like peptide-1 (GLP-1) on solid gastric emptying and the subsequent release of pancreatic and intestinal hormones. In eight men [age 33.6 +/- 2.5 yr, body mass index 24.1 +/- 0.9 (means +/- SE)], scintigraphic solid gastric emptying during infusion of GLP-1 (0.75 pmol. kg(-1). min(-1)) or saline was studied for 180 min. Concomitantly, plasma concentrations of C- and N-terminal GLP-1, glucose, insulin, C-peptide, glucagon, and peptide YY (PYY) were assessed. Infusion of GLP-1 resulted in a profound inhibition of both the lag phase (GLP-1: 91.5, range 73.3-103.6 min vs. saline: 19. 5, range 10.2-43.4 min) and emptying rate (GLP-1: 0.34, range 0.06-0. 56 %/min vs. saline: 0.84, range 0.54-1.33 %/min; P &lt; 0.01 for both) of solid gastric emptying. Concentrations of both intact and total GLP-1 were elevated to supraphysiological levels. Plasma glucose and glucagon concentrations were below baseline during infusion of GLP-1 in contrast to saline infusion, where concentrations were elevated above baseline (both P &lt; 0.001). The insulin and C-peptide responses were lower during infusion with GLP-1 than with saline (P &lt; 0.004 and P &lt; 0.001, respectively). Plasma PYY concentrations decreased below baseline during GLP-1 infusion in contrast to saline, where concentrations were elevated above baseline (P = 0.04). Infusion of GLP-1 inhibits solid gastric emptying with secondary effects on the release of insulin, C-peptide, and glucagon, resulting in lower plasma glucose concentrations. In addition, the release of PYY into the circulation is inhibited by GLP-1 infusion, suggesting a negative feedback of GLP-1 on the function of the L-cell.","ISSN":"0002-9513","note":"PMID: 10484511","journalAbbreviation":"Am. J. Physiol.","language":"eng","author":[{"family":"Näslund","given":"E"},{"family":"Bogefors","given":"J"},{"family":"Skogar","given":"S"},{"family":"Grybäck","given":"P"},{"family":"Jacobsson","given":"H"},{"family":"Holst","given":"J J"},{"family":"Hellström","given":"P M"}],"issued":{"date-parts":[["1999",9]]},"PMID":"10484511"}},{"id":227,"uris":["http://zotero.org/users/local/Ry4zHLbn/items/24JPCQJ9"],"uri":["http://zotero.org/users/local/Ry4zHLbn/items/24JPCQJ9"],"itemData":{"id":227,"type":"article-journal","title":"Glucagon-like peptide 1 increases the period of postprandial satiety and slows gastric emptying in obese men","container-title":"The American journal of clinical nutrition","page":"525-530","volume":"68","issue":"3","source":"NCBI PubMed","abstract":"The gut peptide glucagon-like peptide 1(7-36) amide (GLP-1) is released into the circulation after food intake. GLP-1 has been shown to have an incretin effect and inhibits gastrointestinal motility in humans. In rats, intracerebral administration of GLP-1 results in reduced food intake. Obese humans have been found to have an attenuated plasma GLP-1 response to a mixed meal. To approximate the physiologic state, GLP-1 or saline was administered intravenously and randomly at the beginning of a test meal served on a universal eating monitor to 6 obese subjects to test our hypothesis that GLP-1 influences termination of food intake (and thus food intake during a meal) and feelings of satiety in humans. As a marker for gastric emptying, 1.5 g acetaminophen was given at the start of the meal. Blood samples for analysis of acetaminophen, insulin, glucose, glucagon, and C-peptide were obtained. Hunger, fullness, and food choice were assessed with visual analogue scales and food-choice questionnaires. GLP-1 infusion resulted in a prolonged period of reduced feelings of hunger, desire to eat, and prospective consumption after the meal. The rate of gastric emptying was slower during infusion of GLP-1. Postprandial blood glucose concentrations were reduced during the GLP-1 infusion, but the amount of energy consumed, eating rate, and plasma concentrations of insulin, glucagon, and C-peptide were unchanged. GLP-1 given exogenously at the start of a meal did not seem to affect meal termination or the amount of food eaten. However, postprandial feelings of hunger decreased, suggesting that exogenous GLP-1 may influence feelings of hunger and satiety in humans.","ISSN":"0002-9165","note":"PMID: 9734726","journalAbbreviation":"Am. J. Clin. Nutr.","language":"eng","author":[{"family":"Näslund","given":"E"},{"family":"Gutniak","given":"M"},{"family":"Skogar","given":"S"},{"family":"Rössner","given":"S"},{"family":"Hellström","given":"P M"}],"issued":{"date-parts":[["1998",9]]},"PMID":"9734726"}}],"schema":"https://github.com/citation-style-language/schema/raw/master/csl-citation.json"} </w:instrText>
      </w:r>
      <w:r w:rsidRPr="003A0EF9">
        <w:fldChar w:fldCharType="separate"/>
      </w:r>
      <w:r w:rsidR="000A492A" w:rsidRPr="000A492A">
        <w:rPr>
          <w:vertAlign w:val="superscript"/>
        </w:rPr>
        <w:t>115,122,123</w:t>
      </w:r>
      <w:r w:rsidRPr="003A0EF9">
        <w:fldChar w:fldCharType="end"/>
      </w:r>
      <w:r w:rsidRPr="003A0EF9">
        <w:t xml:space="preserve"> As body mass rises, circulating GLP-1 levels </w:t>
      </w:r>
      <w:r>
        <w:t>decrease, with obese people</w:t>
      </w:r>
      <w:r w:rsidRPr="003A0EF9">
        <w:t xml:space="preserve"> showing a blunted GLP-1 response.</w:t>
      </w:r>
      <w:r w:rsidRPr="003A0EF9">
        <w:fldChar w:fldCharType="begin"/>
      </w:r>
      <w:r w:rsidR="000A492A">
        <w:instrText xml:space="preserve"> ADDIN ZOTERO_ITEM CSL_CITATION {"citationID":"MYel0Bz6","properties":{"formattedCitation":"{\\rtf \\super 126\\uc0\\u8211{}129\\nosupersub{}}","plainCitation":"126–129"},"citationItems":[{"id":233,"uris":["http://zotero.org/users/local/Ry4zHLbn/items/QEHDRZFP"],"uri":["http://zotero.org/users/local/Ry4zHLbn/items/QEHDRZFP"],"itemData":{"id":233,"type":"article-journal","title":"Diurnal profile of pancreatic polypeptide, pancreatic glucagon, gut glucagon and insulin in human morbid obesity","container-title":"International journal of obesity","page":"529-538","volume":"7","issue":"6","source":"NCBI PubMed","abstract":"The diurnal profiles of pancreatic glucagon, insulin, pancreatic polypeptide (PP), and enteroglucagon were studied in five obese non-diabetic subjects (195 +/- 11 per cent of ideal body weight) and in six age matched controls. All the subjects were served with ordinary mixed meals five times during the day. The obese subjects were normoglycemic but hyperinsulinemic. Both groups showed rapid increases in PP to all meals, but the PP-response was significantly impaired in the obese group during the first part of the day. Normal subjects showed significant enteroglucagon responses to all meals, and had elevated levels throughout the day. In obese subjects, levels and responses were much lower at all times. Pancreatic glucagon profiles were similar. It is concluded that the possible role of abnormalities of PP and enteroglucagon secretion in the pathogenesis of human obesity deserves further study.","ISSN":"0307-0565","note":"PMID: 6360922","journalAbbreviation":"Int J Obes","language":"eng","author":[{"family":"Holst","given":"J J"},{"family":"Schwartz","given":"T W"},{"family":"Lovgreen","given":"N A"},{"family":"Pedersen","given":"O"},{"family":"Beck-Nielsen","given":"H"}],"issued":{"date-parts":[["1983"]]},"PMID":"6360922"}},{"id":235,"uris":["http://zotero.org/users/local/Ry4zHLbn/items/Z4HWE5DC"],"uri":["http://zotero.org/users/local/Ry4zHLbn/items/Z4HWE5DC"],"itemData":{"id":235,"type":"article-journal","title":"Energy intake and appetite are suppressed by glucagon-like peptide-1 (GLP-1) in obese men","container-title":"International journal of obesity and related metabolic disorders: journal of the International Association for the Study of Obesity","page":"304-311","volume":"23","issue":"3","source":"NCBI PubMed","abstract":"BACKGROUND: Peripheral administration of glucagon-like peptide-1 (GLP-1) for four hours, to normal weight and obese humans, decreases food intake and suppresses appetite.\nOBJECTIVE: The aim of this study was to assess the effect of an eight hour infusion of GLP-1 on appetite and energy intake at lunch and dinner in obese subjects.\nDESIGN: Randomised, blinded cross-over design with intravenous infusion of GLP-1 (0.75 pmol x kg(-1) min(-1)) or saline.\nSUBJECTS: Eight obese (body mass index, BMI, 45.5 +/- 2.3 kg/m2) male subjects.\nMEASUREMENTS: Ad libitum energy intake at lunch (12.00 h) and dinner (16.00 h) after an energy fixed breakfast (2.4 MJ) at 08.00 h. Appetite sensations using visual analogue scales, (VAS) immediately before and after meals and hourly in-between. Blood samples for the analysis of glucose, insulin, C-peptide, GLP-1 and peptide YY. Gastric emptying after breakfast and lunch using a paracetamol absorption technique.\nRESULTS: Hunger ratings were significantly lower with GLP-1 infusion. The summed ad libitum energy intake at lunch and dinner was reduced by 1.7 +/- 0.5 MJ (21 +/- 6%) by GLP-1 infusion (P = 0.01). Gastric emptying was delayed by GLP-1 infusion, and plasma glucose concentrations decreased (baseline: 6.6 +/- 0.35 mmol/L; nadir: 5.3 +/- 0.15 mmol/L). No nausea was recorded during GLP-1 infusion.\nCONCLUSIONS: Our results demonstrate that GLP-1 decreases feelings of hunger and reduces energy intake in obese humans. One possible mechanism for this finding might be an increased satiety primarily mediated by gastric vagal afferent signals.","ISSN":"0307-0565","note":"PMID: 10193877","journalAbbreviation":"Int. J. Obes. Relat. Metab. Disord.","language":"eng","author":[{"family":"Näslund","given":"E"},{"family":"Barkeling","given":"B"},{"family":"King","given":"N"},{"family":"Gutniak","given":"M"},{"family":"Blundell","given":"J E"},{"family":"Holst","given":"J J"},{"family":"Rössner","given":"S"},{"family":"Hellström","given":"P M"}],"issued":{"date-parts":[["1999",3]]},"PMID":"10193877"}},{"id":237,"uris":["http://zotero.org/users/local/Ry4zHLbn/items/WRGBM4JS"],"uri":["http://zotero.org/users/local/Ry4zHLbn/items/WRGBM4JS"],"itemData":{"id":237,"type":"article-journal","title":"Attenuated GLP-1 secretion in obesity: cause or consequence?","container-title":"Gut","page":"916-919","volume":"38","issue":"6","source":"NCBI PubMed","abstract":"BACKGROUND: Hypersecretion of insulinotropic factors such as glucose dependent insulinotropic polypeptide (GIP) and glucagon-like peptide-1(7-36)amide (GLP-1) have been postulated to account for the hyperinsulinaemia of obesity.\nAIMS: To examine the role of GLP-1 and GIP in obese women and matched controls.\nSUBJECTS: Six lean and six obese women subjects matched for age.\nMETHODS: The gut hormone, plasma glucose, and serum triglyceride responses were studied over 180 minutes after oral carbohydrate and fat meals. Heparin (10,000 units) was given intravenously at 120 minutes.\nRESULTS: There was pronounced attenuation of plasma GLP-1 secretion to oral carbohydrate in the obese compared with lean subjects but no such difference in response to oral fat load. There were no differences in the plasma GIP responses to carbohydrate or fat feeding. There was an apparent fall in plasma GLP-1 values in all subjects after administration of heparin.\nCONCLUSION: Postprandial GLP-1 secretion in response to oral carbohydrate is considerably attenuated in obese subjects. The cause of this attenuation of GLP-1 secretion is not known although we suggest that both this fall and the overall reduction in GLP-1 values in obese subjects may be related to an increase in plasma non-esterified fatty acids.","ISSN":"0017-5749","note":"PMID: 8984033","shortTitle":"Attenuated GLP-1 secretion in obesity","journalAbbreviation":"Gut","language":"eng","author":[{"family":"Ranganath","given":"L R"},{"family":"Beety","given":"J M"},{"family":"Morgan","given":"L M"},{"family":"Wright","given":"J W"},{"family":"Howland","given":"R"},{"family":"Marks","given":"V"}],"issued":{"date-parts":[["1996",6]]},"PMID":"8984033"}},{"id":239,"uris":["http://zotero.org/users/local/Ry4zHLbn/items/XR5WRV4C"],"uri":["http://zotero.org/users/local/Ry4zHLbn/items/XR5WRV4C"],"itemData":{"id":239,"type":"article-journal","title":"The role of postprandial releases of insulin and incretin hormones in meal-induced satiety--effect of obesity and weight reduction","container-title":"International journal of obesity and related metabolic disorders: journal of the International Association for the Study of Obesity","page":"1206-1214","volume":"25","issue":"8","source":"NCBI PubMed","abstract":"BACKGROUND: Previous studies have indicated that the secretion of the intestinal satiety hormone glucagon-like peptide-1 (GLP-1) is attenuated in obese subjects.\nOBJECTIVE: To compare meal-induced response of GLP-1 and glucose-dependent insulinotropic polypeptide (GIP) in obese and lean male subjects, to investigate the effect of a major weight reduction in the obese subjects, and to look for an association between these hormones and ad libitum food intake.\nMETHOD: Plasma concentrations of intestinal hormones and appetite sensations were measured prior to, and every 30 min for 180 min after, ingestion of a 2.5 MJ solid test meal. Gastric emptying was estimated scintigraphically. An ad libitum lunch was served 3 h after the test meal.\nSUBJECTS: Nineteen non-diabetic obese (body mass index (BMI) 34.1--43.8 kg/m(2)) and 12 lean (BMI 20.4--24.7 kg/m(2)) males. All obese subjects were re-examined after a mean stabilised weight loss of 18.8 kg (95% CI 14.4--23.2).\nRESULTS: Total area under the GLP-1 response curve (AUC(total, GLP-1)) was lower in obese before and after the weight loss compared to lean subjects (P&lt;0.05), although weight loss improved the response from 80 to 88% of that of the lean subjects (P=0.003). The GIP response was similar in obese and lean subjects. However, after the weight loss both AUC(total, GIP) and AUC(incremental, GIP) were lowered (P&lt;0.05). An inverse correlation was observed between AUC(incremental, GIP) and energy intake at the subsequent ad libitum meal in all groups. In lean subjects ad libitum energy intake was largely predicted by the insulin response to the preceding meal (r(2)=0.67, P=0.001).\nCONCLUSION: Our study confirmed previous findings of a reduced postprandial GLP-1 response in severely obese subjects. Following weight reduction, GLP-1 response in the obese subjects apparently rose to a level between that of obese and lean subjects. The data suggests that postprandial insulin and GIP responses are key players in short-term appetite regulation.","DOI":"10.1038/sj.ijo.0801655","ISSN":"0307-0565","note":"PMID: 11477506","journalAbbreviation":"Int. J. Obes. Relat. Metab. Disord.","language":"eng","author":[{"family":"Verdich","given":"C"},{"family":"Toubro","given":"S"},{"family":"Buemann","given":"B"},{"family":"Lysgård Madsen","given":"J"},{"family":"Juul Holst","given":"J"},{"family":"Astrup","given":"A"}],"issued":{"date-parts":[["2001",8]]},"PMID":"11477506"}}],"schema":"https://github.com/citation-style-language/schema/raw/master/csl-citation.json"} </w:instrText>
      </w:r>
      <w:r w:rsidRPr="003A0EF9">
        <w:fldChar w:fldCharType="separate"/>
      </w:r>
      <w:r w:rsidR="000A492A" w:rsidRPr="000A492A">
        <w:rPr>
          <w:vertAlign w:val="superscript"/>
        </w:rPr>
        <w:t>126–129</w:t>
      </w:r>
      <w:r w:rsidRPr="003A0EF9">
        <w:fldChar w:fldCharType="end"/>
      </w:r>
      <w:r w:rsidRPr="003A0EF9">
        <w:t xml:space="preserve">  </w:t>
      </w:r>
      <w:r>
        <w:t>In dogs, however, GLP-1 has been shown to increase with weight gain and decrease after weight loss.</w:t>
      </w:r>
      <w:r>
        <w:fldChar w:fldCharType="begin"/>
      </w:r>
      <w:r w:rsidR="000A492A">
        <w:instrText xml:space="preserve"> ADDIN ZOTERO_ITEM CSL_CITATION {"citationID":"bt6InlVu","properties":{"formattedCitation":"{\\rtf \\super 130,131\\nosupersub{}}","plainCitation":"130,131"},"citationItems":[{"id":395,"uris":["http://zotero.org/users/171999/items/HJRUJRIW"],"uri":["http://zotero.org/users/171999/items/HJRUJRIW"],"itemData":{"id":395,"type":"article-journal","title":"Metabolic and hormonal alterations with diacylglycerol and low glycemic index starch during canine weight loss.","container-title":"ISRN Veterinary Science","volume":"2012","source":"ISI Web of Knowledge","abstract":"Obesity increases insulin resistance and disregulation of glucose homeostasis. This study investigated low glycemic index starch (LGIS)/diacylglycerol (DAG) diet on plasma insulin and circulating incretin hormones during canine weight loss. Obese Beagle dogs were fed one of four starch/oil combination diets (LGIS/DAG; LGIS/triacylglycerol (TAG); high glycemic index starch (HGIS)/DAG; and HGIS/TAG) for 9 weeks during the weight loss period. At weeks 1 and 8, fasting plasma insulin, glucose, nonesterified fatty acid (NEFA), glucose-dependent insulinotropic polypeptide (GIP), and glucagon-like peptide-1 (GLP-1) were determined. Weight loss did not affect fasting insulin, glucose, and NEFA, but fasting GIP increased and GLP-1 decreased. LGIS affected postprandial insulin at both times and glucose was similar to insulin, except 60 min postprandially with DAG at week 8. NEFA lowering was less with the LGIS diets initially but not thereafter. At 60 min postprandially on week 8, GIP was significantly elevated by DAG, while GLP-1 was increased only with the HD diet. LGIS suppressed insulin and glucose responses up to 180 min postprandially at both sample times. DAG increased incretin hormones as did the DAG/HGIS combination but only at week 8. This latter finding appeared to be related to the glucose response but not to insulin at 60 min.","ISSN":"2090-4452","language":"English","author":[{"family":"Mitsuhashi","given":"Y."},{"family":"Nagaoka","given":"D."},{"family":"Bigley","given":"K. E."},{"family":"Umeda","given":"T."},{"family":"Otsuji","given":"K."},{"family":"Bauer","given":"J. E."}],"issued":{"date-parts":[["2012"]]}}},{"id":399,"uris":["http://zotero.org/users/171999/items/MVSENSMF"],"uri":["http://zotero.org/users/171999/items/MVSENSMF"],"itemData":{"id":399,"type":"article-journal","title":"Elevated glucagon-like peptide-1-(7-36)-amide, but not glucose, associated with hyperinsulinemic compensation for fat feeding","container-title":"The Journal of clinical endocrinology and metabolism","page":"5191-5198","volume":"87","issue":"11","source":"NCBI PubMed","abstract":"We previously developed a canine model of central obesity and insulin resistance by supplementing the normal chow diet with 2 g cooked bacon grease/kg body weight. Dogs fed this fatty diet maintained glucose tolerance with compensatory hyperinsulinemia. The signal(s) responsible for this up-regulation of plasma insulin is unknown. We hypothesized that meal-derived factors such as glucose, fatty acids, or incretin hormones may signal beta-cell compensation in the fat-fed dog. We fed the same fat-supplemented diet for 12 wk to six dogs and compared metabolic responses with seven control dogs fed a normal diet. Fasting and stimulated fatty acid and glucose-dependent insulinotropic peptide concentrations were not increased by fat feeding, whereas glucose was paradoxically decreased, ruling out those three factors as signals for compensatory hyperinsulinemia. Fasting plasma glucagon-like peptide-1 (GLP-1) concentration was 2.5-fold higher in the fat-fed animals, compared with controls, and 3.4-fold higher after a mixed meal. Additionally, expression of the GLP-1 receptor in whole pancreas was increased 2.3-fold in the fat-fed dogs. The increase in both circulating GLP-1 and its target receptor may have increased beta-cell responsiveness to lower glucose. Glucose is not the primary cause of hyperinsulinemia in the fat-fed dog. Corequisite meal-related signals may be permissive for development of hyperinsulinemia.","ISSN":"0021-972X","note":"PMID: 12414891","journalAbbreviation":"J. Clin. Endocrinol. Metab.","language":"eng","author":[{"family":"van Citters","given":"Gregg W"},{"family":"Kabir","given":"Morvarid"},{"family":"Kim","given":"Stella P"},{"family":"Mittelman","given":"Steven D"},{"family":"Dea","given":"Melvin K"},{"family":"Brubaker","given":"Patricia L"},{"family":"Bergman","given":"Richard N"}],"issued":{"date-parts":[["2002",11]]},"PMID":"12414891"}}],"schema":"https://github.com/citation-style-language/schema/raw/master/csl-citation.json"} </w:instrText>
      </w:r>
      <w:r>
        <w:fldChar w:fldCharType="separate"/>
      </w:r>
      <w:r w:rsidR="000A492A" w:rsidRPr="000A492A">
        <w:rPr>
          <w:vertAlign w:val="superscript"/>
        </w:rPr>
        <w:t>130,131</w:t>
      </w:r>
      <w:r>
        <w:fldChar w:fldCharType="end"/>
      </w:r>
      <w:r>
        <w:t xml:space="preserve">  Another study initially indicated GLP-1 levels were associated with the level of adiposity, but no significant effect remained after two extreme outliers were removed from analysis.</w:t>
      </w:r>
      <w:r>
        <w:fldChar w:fldCharType="begin"/>
      </w:r>
      <w:r w:rsidR="000A492A">
        <w:instrText xml:space="preserve"> ADDIN ZOTERO_ITEM CSL_CITATION {"citationID":"Kplq40E2","properties":{"formattedCitation":"{\\rtf \\super 132\\nosupersub{}}","plainCitation":"132"},"citationItems":[{"id":"sfRcBkgw/HNI7LvFY","uris":["http://zotero.org/users/local/Ry4zHLbn/items/IV9PNVC8"],"uri":["http://zotero.org/users/local/Ry4zHLbn/items/IV9PNVC8"],"itemData":{"id":"sfRcBkgw/HNI7LvFY","type":"article-journal","title":"Compensation for obesity-induced insulin resistance in dogs: assessment of the effects of leptin, adiponectin, and glucagon-like peptide-1 using path analysis","container-title":"Domestic animal endocrinology","page":"24-34","volume":"41","issue":"1","source":"NCBI PubMed","abstract":"The hormonal mediators of obesity-induced insulin resistance and compensatory hyperinsulinemia in dogs have not been identified. Plasma samples were obtained after a 24-h fast from 104 client-owned lean, overweight, and obese dogs. Plasma glucose and insulin concentrations were used to calculate insulin sensitivity and β-cell function with the use of the homeostasis model assessment (HOMA(insulin sensitivity) and HOMA(β-cell function), respectively). Path analysis with multivariable linear regression was used to identify whether fasting plasma leptin, adiponectin, or glucagon-like peptide-1 concentrations were associated with adiposity, insulin sensitivity, and basal insulin secretion. None of the dogs were hyperglycemic. In the final path model, adiposity was positively associated with leptin (P &lt; 0.01) and glucagon-like peptide-1 (P = 0.04) concentrations. No significant total effect of adiposity on adiponectin in dogs (P = 0.24) was observed. If there is a direct effect of leptin on adiponectin, then our results indicate that this is a positive relationship, which at least partly counters a negative direct relationship between adiposity and adiponectin. Fasting plasma leptin concentration was directly negatively associated with fasting insulin sensitivity (P = 0.01) and positively associated with β-cell function (P &lt; 0.01), but no direct association was observed between adiponectin concentration and either insulin sensitivity or β-cell function (P = 0.42 and 0.11, respectively). We conclude that dogs compensate effectively for obesity-induced insulin resistance. Fasting plasma leptin concentrations appear to be associated with obesity-associated changes in insulin sensitivity and compensatory hyperinsulinemia in naturally occurring obese dogs. Adiponectin does not appear to be involved in the pathophysiology of obesity-associated changes in insulin sensitivity.","DOI":"10.1016/j.domaniend.2011.02.001","ISSN":"1879-0054","note":"PMID: 21474268","shortTitle":"Compensation for obesity-induced insulin resistance in dogs","journalAbbreviation":"Domest. Anim. Endocrinol.","language":"eng","author":[{"family":"Verkest","given":"K R"},{"family":"Fleeman","given":"L M"},{"family":"Morton","given":"J M"},{"family":"Ishioka","given":"K"},{"family":"Rand","given":"J S"}],"issued":{"year":2011,"month":7},"PMID":"21474268","page-first":"24","title-short":"Compensation for obesity-induced insulin resistance in dogs","container-title-short":"Domest. Anim. Endocrinol."}}],"schema":"https://github.com/citation-style-language/schema/raw/master/csl-citation.json"} </w:instrText>
      </w:r>
      <w:r>
        <w:fldChar w:fldCharType="separate"/>
      </w:r>
      <w:r w:rsidR="000A492A" w:rsidRPr="000A492A">
        <w:rPr>
          <w:vertAlign w:val="superscript"/>
        </w:rPr>
        <w:t>132</w:t>
      </w:r>
      <w:r>
        <w:fldChar w:fldCharType="end"/>
      </w:r>
      <w:r>
        <w:t xml:space="preserve">  The study reported here supports this second pattern of GLP-1 response to obesity, in agreement with data in people.</w:t>
      </w:r>
      <w:r w:rsidRPr="003A0EF9">
        <w:fldChar w:fldCharType="begin"/>
      </w:r>
      <w:r w:rsidR="000A492A">
        <w:instrText xml:space="preserve"> ADDIN ZOTERO_ITEM CSL_CITATION {"citationID":"ye7xsaOK","properties":{"formattedCitation":"{\\rtf \\super 126\\uc0\\u8211{}129\\nosupersub{}}","plainCitation":"126–129"},"citationItems":[{"id":233,"uris":["http://zotero.org/users/local/Ry4zHLbn/items/QEHDRZFP"],"uri":["http://zotero.org/users/local/Ry4zHLbn/items/QEHDRZFP"],"itemData":{"id":233,"type":"article-journal","title":"Diurnal profile of pancreatic polypeptide, pancreatic glucagon, gut glucagon and insulin in human morbid obesity","container-title":"International journal of obesity","page":"529-538","volume":"7","issue":"6","source":"NCBI PubMed","abstract":"The diurnal profiles of pancreatic glucagon, insulin, pancreatic polypeptide (PP), and enteroglucagon were studied in five obese non-diabetic subjects (195 +/- 11 per cent of ideal body weight) and in six age matched controls. All the subjects were served with ordinary mixed meals five times during the day. The obese subjects were normoglycemic but hyperinsulinemic. Both groups showed rapid increases in PP to all meals, but the PP-response was significantly impaired in the obese group during the first part of the day. Normal subjects showed significant enteroglucagon responses to all meals, and had elevated levels throughout the day. In obese subjects, levels and responses were much lower at all times. Pancreatic glucagon profiles were similar. It is concluded that the possible role of abnormalities of PP and enteroglucagon secretion in the pathogenesis of human obesity deserves further study.","ISSN":"0307-0565","note":"PMID: 6360922","journalAbbreviation":"Int J Obes","language":"eng","author":[{"family":"Holst","given":"J J"},{"family":"Schwartz","given":"T W"},{"family":"Lovgreen","given":"N A"},{"family":"Pedersen","given":"O"},{"family":"Beck-Nielsen","given":"H"}],"issued":{"date-parts":[["1983"]]},"PMID":"6360922"}},{"id":235,"uris":["http://zotero.org/users/local/Ry4zHLbn/items/Z4HWE5DC"],"uri":["http://zotero.org/users/local/Ry4zHLbn/items/Z4HWE5DC"],"itemData":{"id":235,"type":"article-journal","title":"Energy intake and appetite are suppressed by glucagon-like peptide-1 (GLP-1) in obese men","container-title":"International journal of obesity and related metabolic disorders: journal of the International Association for the Study of Obesity","page":"304-311","volume":"23","issue":"3","source":"NCBI PubMed","abstract":"BACKGROUND: Peripheral administration of glucagon-like peptide-1 (GLP-1) for four hours, to normal weight and obese humans, decreases food intake and suppresses appetite.\nOBJECTIVE: The aim of this study was to assess the effect of an eight hour infusion of GLP-1 on appetite and energy intake at lunch and dinner in obese subjects.\nDESIGN: Randomised, blinded cross-over design with intravenous infusion of GLP-1 (0.75 pmol x kg(-1) min(-1)) or saline.\nSUBJECTS: Eight obese (body mass index, BMI, 45.5 +/- 2.3 kg/m2) male subjects.\nMEASUREMENTS: Ad libitum energy intake at lunch (12.00 h) and dinner (16.00 h) after an energy fixed breakfast (2.4 MJ) at 08.00 h. Appetite sensations using visual analogue scales, (VAS) immediately before and after meals and hourly in-between. Blood samples for the analysis of glucose, insulin, C-peptide, GLP-1 and peptide YY. Gastric emptying after breakfast and lunch using a paracetamol absorption technique.\nRESULTS: Hunger ratings were significantly lower with GLP-1 infusion. The summed ad libitum energy intake at lunch and dinner was reduced by 1.7 +/- 0.5 MJ (21 +/- 6%) by GLP-1 infusion (P = 0.01). Gastric emptying was delayed by GLP-1 infusion, and plasma glucose concentrations decreased (baseline: 6.6 +/- 0.35 mmol/L; nadir: 5.3 +/- 0.15 mmol/L). No nausea was recorded during GLP-1 infusion.\nCONCLUSIONS: Our results demonstrate that GLP-1 decreases feelings of hunger and reduces energy intake in obese humans. One possible mechanism for this finding might be an increased satiety primarily mediated by gastric vagal afferent signals.","ISSN":"0307-0565","note":"PMID: 10193877","journalAbbreviation":"Int. J. Obes. Relat. Metab. Disord.","language":"eng","author":[{"family":"Näslund","given":"E"},{"family":"Barkeling","given":"B"},{"family":"King","given":"N"},{"family":"Gutniak","given":"M"},{"family":"Blundell","given":"J E"},{"family":"Holst","given":"J J"},{"family":"Rössner","given":"S"},{"family":"Hellström","given":"P M"}],"issued":{"date-parts":[["1999",3]]},"PMID":"10193877"}},{"id":237,"uris":["http://zotero.org/users/local/Ry4zHLbn/items/WRGBM4JS"],"uri":["http://zotero.org/users/local/Ry4zHLbn/items/WRGBM4JS"],"itemData":{"id":237,"type":"article-journal","title":"Attenuated GLP-1 secretion in obesity: cause or consequence?","container-title":"Gut","page":"916-919","volume":"38","issue":"6","source":"NCBI PubMed","abstract":"BACKGROUND: Hypersecretion of insulinotropic factors such as glucose dependent insulinotropic polypeptide (GIP) and glucagon-like peptide-1(7-36)amide (GLP-1) have been postulated to account for the hyperinsulinaemia of obesity.\nAIMS: To examine the role of GLP-1 and GIP in obese women and matched controls.\nSUBJECTS: Six lean and six obese women subjects matched for age.\nMETHODS: The gut hormone, plasma glucose, and serum triglyceride responses were studied over 180 minutes after oral carbohydrate and fat meals. Heparin (10,000 units) was given intravenously at 120 minutes.\nRESULTS: There was pronounced attenuation of plasma GLP-1 secretion to oral carbohydrate in the obese compared with lean subjects but no such difference in response to oral fat load. There were no differences in the plasma GIP responses to carbohydrate or fat feeding. There was an apparent fall in plasma GLP-1 values in all subjects after administration of heparin.\nCONCLUSION: Postprandial GLP-1 secretion in response to oral carbohydrate is considerably attenuated in obese subjects. The cause of this attenuation of GLP-1 secretion is not known although we suggest that both this fall and the overall reduction in GLP-1 values in obese subjects may be related to an increase in plasma non-esterified fatty acids.","ISSN":"0017-5749","note":"PMID: 8984033","shortTitle":"Attenuated GLP-1 secretion in obesity","journalAbbreviation":"Gut","language":"eng","author":[{"family":"Ranganath","given":"L R"},{"family":"Beety","given":"J M"},{"family":"Morgan","given":"L M"},{"family":"Wright","given":"J W"},{"family":"Howland","given":"R"},{"family":"Marks","given":"V"}],"issued":{"date-parts":[["1996",6]]},"PMID":"8984033"}},{"id":239,"uris":["http://zotero.org/users/local/Ry4zHLbn/items/XR5WRV4C"],"uri":["http://zotero.org/users/local/Ry4zHLbn/items/XR5WRV4C"],"itemData":{"id":239,"type":"article-journal","title":"The role of postprandial releases of insulin and incretin hormones in meal-induced satiety--effect of obesity and weight reduction","container-title":"International journal of obesity and related metabolic disorders: journal of the International Association for the Study of Obesity","page":"1206-1214","volume":"25","issue":"8","source":"NCBI PubMed","abstract":"BACKGROUND: Previous studies have indicated that the secretion of the intestinal satiety hormone glucagon-like peptide-1 (GLP-1) is attenuated in obese subjects.\nOBJECTIVE: To compare meal-induced response of GLP-1 and glucose-dependent insulinotropic polypeptide (GIP) in obese and lean male subjects, to investigate the effect of a major weight reduction in the obese subjects, and to look for an association between these hormones and ad libitum food intake.\nMETHOD: Plasma concentrations of intestinal hormones and appetite sensations were measured prior to, and every 30 min for 180 min after, ingestion of a 2.5 MJ solid test meal. Gastric emptying was estimated scintigraphically. An ad libitum lunch was served 3 h after the test meal.\nSUBJECTS: Nineteen non-diabetic obese (body mass index (BMI) 34.1--43.8 kg/m(2)) and 12 lean (BMI 20.4--24.7 kg/m(2)) males. All obese subjects were re-examined after a mean stabilised weight loss of 18.8 kg (95% CI 14.4--23.2).\nRESULTS: Total area under the GLP-1 response curve (AUC(total, GLP-1)) was lower in obese before and after the weight loss compared to lean subjects (P&lt;0.05), although weight loss improved the response from 80 to 88% of that of the lean subjects (P=0.003). The GIP response was similar in obese and lean subjects. However, after the weight loss both AUC(total, GIP) and AUC(incremental, GIP) were lowered (P&lt;0.05). An inverse correlation was observed between AUC(incremental, GIP) and energy intake at the subsequent ad libitum meal in all groups. In lean subjects ad libitum energy intake was largely predicted by the insulin response to the preceding meal (r(2)=0.67, P=0.001).\nCONCLUSION: Our study confirmed previous findings of a reduced postprandial GLP-1 response in severely obese subjects. Following weight reduction, GLP-1 response in the obese subjects apparently rose to a level between that of obese and lean subjects. The data suggests that postprandial insulin and GIP responses are key players in short-term appetite regulation.","DOI":"10.1038/sj.ijo.0801655","ISSN":"0307-0565","note":"PMID: 11477506","journalAbbreviation":"Int. J. Obes. Relat. Metab. Disord.","language":"eng","author":[{"family":"Verdich","given":"C"},{"family":"Toubro","given":"S"},{"family":"Buemann","given":"B"},{"family":"Lysgård Madsen","given":"J"},{"family":"Juul Holst","given":"J"},{"family":"Astrup","given":"A"}],"issued":{"date-parts":[["2001",8]]},"PMID":"11477506"}}],"schema":"https://github.com/citation-style-language/schema/raw/master/csl-citation.json"} </w:instrText>
      </w:r>
      <w:r w:rsidRPr="003A0EF9">
        <w:fldChar w:fldCharType="separate"/>
      </w:r>
      <w:r w:rsidR="000A492A" w:rsidRPr="000A492A">
        <w:rPr>
          <w:vertAlign w:val="superscript"/>
        </w:rPr>
        <w:t>126–129</w:t>
      </w:r>
      <w:r w:rsidRPr="003A0EF9">
        <w:fldChar w:fldCharType="end"/>
      </w:r>
      <w:r>
        <w:t xml:space="preserve">  All three groups undergoing weight loss followed this pattern, although the difference was only significant for the placebo and therapeutic weight loss diet dogs over all timed samples, and only WLD when isolated for 420 minute collections.  Both excess calorie groups showed reciprocal trends over all timed samples, with a significant change in placebo dogs when timed samples were isolated.  Dogs maintaining lean body weight had a significantly higher group affect for GLP-1 against all other groups, also supporting the idea that circulating GLP-1 decreases with obesity.</w:t>
      </w:r>
    </w:p>
    <w:p w:rsidR="00F24665" w:rsidRDefault="00F24665" w:rsidP="00F24665">
      <w:pPr>
        <w:ind w:firstLine="720"/>
      </w:pPr>
      <w:r>
        <w:t>As PYY is associated with an anorexigenic effect, levels would be expected to be higher in groups exhibiting meal intake changes attributed to satiation.  Since intrusion meal intake did not exhibit effects associated with medium term satiety in any groups, it is not surprising that there were few between group differences.  Obese placebo dogs had significantly lower PYY levels than all other groups, attributable to their baseline values.  Their average daily consumption was similar to that of other obesification dogs and was less than excess calorie and ideal weight groups at baseline.  Their mean baseline intrusion meal consumption was also the lowest numerically, but was not significantly different from the other obesification groups.  A modified picture emerges when samples were isolated for 420 minutes as an approximation of fasting values.  There was a consistent pattern of lower 420 minute PYY levels when obese/gaining weight compared to when lean/losing weight.  Lower fasting PYY has been noted in obese people and levels increase in correlation to the level of weight loss, which is supported by the current study in dogs.</w:t>
      </w:r>
      <w:r w:rsidRPr="003A0EF9">
        <w:fldChar w:fldCharType="begin"/>
      </w:r>
      <w:r w:rsidR="000A492A">
        <w:instrText xml:space="preserve"> ADDIN ZOTERO_ITEM CSL_CITATION {"citationID":"ZuXViYdx","properties":{"formattedCitation":"{\\rtf \\super 110,117\\nosupersub{}}","plainCitation":"110,117"},"citationItems":[{"id":205,"uris":["http://zotero.org/users/local/Ry4zHLbn/items/EFQ328B9"],"uri":["http://zotero.org/users/local/Ry4zHLbn/items/EFQ328B9"],"itemData":{"id":205,"type":"article-journal","title":"Inhibition of food intake in obese subjects by peptide YY3-36","container-title":"The New England journal of medicine","page":"941-948","volume":"349","issue":"10","source":"NCBI PubMed","abstract":"BACKGROUND: The gut hormone fragment peptide YY3-36 (PYY) reduces appetite and food intake when infused into subjects of normal weight. In common with the adipocyte hormone leptin, PYY reduces food intake by modulating appetite circuits in the hypothalamus. However, in obesity there is a marked resistance to the action of leptin, which greatly limits its therapeutic effectiveness. We investigated whether obese subjects were also resistant to the anorectic effects of PYY.\nMETHODS: We compared the effects of PYY infusion on appetite and food intake in 12 obese and 12 lean subjects in a double-blind, placebo-controlled, crossover study. The plasma levels of PYY, ghrelin, leptin, and insulin were also determined.\nRESULTS: Caloric intake during a buffet lunch offered two hours after the infusion of PYY was decreased by 30 percent in the obese subjects (P&lt;0.001) and 31 percent in the lean subjects (P&lt;0.001). PYY infusion also caused a significant decrease in the cumulative 24-hour caloric intake in both obese and lean subjects. PYY infusion reduced plasma levels of the appetite-stimulatory hormone ghrelin. Endogenous fasting and postprandial levels of PYY were significantly lower in obese subjects (the mean [+/-SE] fasting PYY levels were 10.2+/-0.7 pmol per liter in the obese group and 16.9+/-0.8 pmol per liter in the lean group, P&lt;0.001). Furthermore, the fasting PYY levels correlated negatively with the body-mass index (r = -0.84, P&lt;0.001).\nCONCLUSIONS: We found that obese subjects were not resistant to the anorectic effects of PYY. Endogenous PYY levels were low in the obese subjects, suggesting that PYY deficiency may contribute to the pathogenesis of obesity.","DOI":"10.1056/NEJMoa030204","ISSN":"1533-4406","note":"PMID: 12954742","journalAbbreviation":"N. Engl. J. Med.","language":"eng","author":[{"family":"Batterham","given":"Rachel L"},{"family":"Cohen","given":"Mark A"},{"family":"Ellis","given":"Sandra M"},{"family":"Le Roux","given":"Carel W"},{"family":"Withers","given":"Dominic J"},{"family":"Frost","given":"Gary S"},{"family":"Ghatei","given":"Mohammad A"},{"family":"Bloom","given":"Stephen R"}],"issued":{"date-parts":[["2003",9,4]]},"PMID":"12954742"}},{"id":"Gpwq8jj7/JG5h9iuN","uris":["http://zotero.org/users/local/Ry4zHLbn/items/UFDBU585"],"uri":["http://zotero.org/users/local/Ry4zHLbn/items/UFDBU585"],"itemData":{"id":"Gpwq8jj7/JG5h9iuN","type":"article-journal","title":"Peptide YY is a regulator of energy homeostasis in obese children before and after weight loss","container-title":"The Journal of clinical endocrinology and metabolism","page":"6386-6391","volume":"90","issue":"12","source":"NCBI PubMed","abstract":"CONTEXT: The gut hormone peptide YY(3-36) (PYY) reduces food intake via hypothalamic Y2 receptors in the brain. There is not much known about PYY in obese children.\nOBJECTIVE: The objective of this study was to investigate the role of PYY in the metabolic changes in obese children and its change during weight loss.\nSETTING: The study was performed at a university medical center.\nPARTICIPANTS: We studied 73 obese children and 45 age-matched normal-weight children.\nINTERVENTIONS: We determined fasting serum total PYY and leptin by RIA in obese and normal-weight children. Fasting PYY was also measured in 28 obese children before and after completion of a 1-yr outpatient weight reduction program.\nMAIN OUTCOME MEASURES: PYY, insulin, and body mass index were the main outcome measures.\nRESULTS: Obese children demonstrated significantly lower PYY levels than lean children (median, 67 vs. 124 pg/ml; P &lt; 0.001). Fasting PYY correlated negatively to the degree of overweight. PYY levels did not differ significantly between boys and girls, nor between prepubertal and pubertal children. The group of patients participating in the outpatient weight reduction program was divided into four quartiles according to their changes in body mass index SD score over a 1-yr period. PYY increased significantly in patients with the most effective weight loss, but decreased in the subgroup of children with weight gain.\nCONCLUSIONS: PYY is negatively correlated to the degree of overweight, with reduced values in obese compared with normal-weight children. Decreased PYY levels could predispose subjects to develop obesity. Our results indicate that low pretreatment PYY levels that increase during weight loss may be a predictor of maintained weight loss.","DOI":"10.1210/jc.2005-1357","ISSN":"0021-972X","note":"PMID: 16204364","journalAbbreviation":"J. Clin. Endocrinol. Metab.","language":"eng","author":[{"family":"Roth","given":"Christian L"},{"family":"Enriori","given":"Pablo J"},{"family":"Harz","given":"Katia"},{"family":"Woelfle","given":"Joachim"},{"family":"Cowley","given":"Michael A"},{"family":"Reinehr","given":"Thomas"}],"issued":{"year":2005,"month":12},"PMID":"16204364","page-first":"6386","container-title-short":"J. Clin. Endocrinol. Metab."}}],"schema":"https://github.com/citation-style-language/schema/raw/master/csl-citation.json"} </w:instrText>
      </w:r>
      <w:r w:rsidRPr="003A0EF9">
        <w:fldChar w:fldCharType="separate"/>
      </w:r>
      <w:r w:rsidR="000A492A" w:rsidRPr="000A492A">
        <w:rPr>
          <w:vertAlign w:val="superscript"/>
        </w:rPr>
        <w:t>110,117</w:t>
      </w:r>
      <w:r w:rsidRPr="003A0EF9">
        <w:fldChar w:fldCharType="end"/>
      </w:r>
      <w:r>
        <w:t xml:space="preserve">  GLP-1 can inhibit PYY release, but the groups with the lowest numerical GLP-1 concentrations out of all the groups also had the lowest PYY concentrations.</w:t>
      </w:r>
      <w:r>
        <w:fldChar w:fldCharType="begin"/>
      </w:r>
      <w:r w:rsidR="000A492A">
        <w:instrText xml:space="preserve"> ADDIN ZOTERO_ITEM CSL_CITATION {"citationID":"5C82fCxU","properties":{"formattedCitation":"{\\rtf \\super 115\\nosupersub{}}","plainCitation":"115"},"citationItems":[{"id":"Gpwq8jj7/DmC0rl9x","uris":["http://zotero.org/users/local/Ry4zHLbn/items/8JN6R7VC"],"uri":["http://zotero.org/users/local/Ry4zHLbn/items/8JN6R7VC"],"itemData":{"id":"Gpwq8jj7/DmC0rl9x","type":"article-journal","title":"GLP-1 slows solid gastric emptying and inhibits insulin, glucagon, and PYY release in humans","container-title":"The American journal of physiology","page":"R910-916","volume":"277","issue":"3 Pt 2","source":"NCBI PubMed","abstract":"The aim of the present study was to assess the effect of glucagon-like peptide-1 (GLP-1) on solid gastric emptying and the subsequent release of pancreatic and intestinal hormones. In eight men [age 33.6 +/- 2.5 yr, body mass index 24.1 +/- 0.9 (means +/- SE)], scintigraphic solid gastric emptying during infusion of GLP-1 (0.75 pmol. kg(-1). min(-1)) or saline was studied for 180 min. Concomitantly, plasma concentrations of C- and N-terminal GLP-1, glucose, insulin, C-peptide, glucagon, and peptide YY (PYY) were assessed. Infusion of GLP-1 resulted in a profound inhibition of both the lag phase (GLP-1: 91.5, range 73.3-103.6 min vs. saline: 19. 5, range 10.2-43.4 min) and emptying rate (GLP-1: 0.34, range 0.06-0. 56 %/min vs. saline: 0.84, range 0.54-1.33 %/min; P &lt; 0.01 for both) of solid gastric emptying. Concentrations of both intact and total GLP-1 were elevated to supraphysiological levels. Plasma glucose and glucagon concentrations were below baseline during infusion of GLP-1 in contrast to saline infusion, where concentrations were elevated above baseline (both P &lt; 0.001). The insulin and C-peptide responses were lower during infusion with GLP-1 than with saline (P &lt; 0.004 and P &lt; 0.001, respectively). Plasma PYY concentrations decreased below baseline during GLP-1 infusion in contrast to saline, where concentrations were elevated above baseline (P = 0.04). Infusion of GLP-1 inhibits solid gastric emptying with secondary effects on the release of insulin, C-peptide, and glucagon, resulting in lower plasma glucose concentrations. In addition, the release of PYY into the circulation is inhibited by GLP-1 infusion, suggesting a negative feedback of GLP-1 on the function of the L-cell.","ISSN":"0002-9513","note":"PMID: 10484511","journalAbbreviation":"Am. J. Physiol.","language":"eng","author":[{"family":"Näslund","given":"E"},{"family":"Bogefors","given":"J"},{"family":"Skogar","given":"S"},{"family":"Grybäck","given":"P"},{"family":"Jacobsson","given":"H"},{"family":"Holst","given":"J J"},{"family":"Hellström","given":"P M"}],"issued":{"year":1999,"month":9},"PMID":"10484511","page-first":"R910","container-title-short":"Am. J. Physiol."}}],"schema":"https://github.com/citation-style-language/schema/raw/master/csl-citation.json"} </w:instrText>
      </w:r>
      <w:r>
        <w:fldChar w:fldCharType="separate"/>
      </w:r>
      <w:r w:rsidR="000A492A" w:rsidRPr="000A492A">
        <w:rPr>
          <w:vertAlign w:val="superscript"/>
        </w:rPr>
        <w:t>115</w:t>
      </w:r>
      <w:r>
        <w:fldChar w:fldCharType="end"/>
      </w:r>
    </w:p>
    <w:p w:rsidR="00F24665" w:rsidRPr="003A0EF9" w:rsidRDefault="00F24665" w:rsidP="00F24665">
      <w:pPr>
        <w:ind w:firstLine="720"/>
        <w:contextualSpacing/>
      </w:pPr>
      <w:r>
        <w:t>Glucose values exhibited a group affect for obese nutraceutical versus all other groups.  This relationship was not seen when 420 minute samples were analyzed, however, and lean maintenance dogs actually had lower glucose values at the end of twelve weeks.  Insulin is an adiposity signal</w:t>
      </w:r>
      <w:r w:rsidRPr="003A0EF9">
        <w:t xml:space="preserve"> released in a pulsatile fashion, leading to decreases in plasma glucose levels.  </w:t>
      </w:r>
      <w:r>
        <w:t>When insulin binds its receptor, the GLUT4 transporter moves to the plasma membrane and allows adipose and striated muscle cells to move glucose intracellularly and decreases the amount of glucose present in plas</w:t>
      </w:r>
      <w:r w:rsidRPr="00332248">
        <w:t>ma.</w:t>
      </w:r>
      <w:r w:rsidRPr="00332248">
        <w:fldChar w:fldCharType="begin"/>
      </w:r>
      <w:r w:rsidR="000A492A">
        <w:instrText xml:space="preserve"> ADDIN ZOTERO_ITEM CSL_CITATION {"citationID":"WACkWddQ","properties":{"formattedCitation":"{\\rtf \\super 139,140\\nosupersub{}}","plainCitation":"139,140"},"citationItems":[{"id":1774,"uris":["http://zotero.org/users/171999/items/ZDI6WP2K"],"uri":["http://zotero.org/users/171999/items/ZDI6WP2K"],"itemData":{"id":1774,"type":"article-journal","title":"Inhibition of the mTOR/p70S6K pathway is not involved in the insulin-sensitizing effect of AMPK on cardiac glucose uptake","container-title":"American Journal of Physiology - Heart and Circulatory Physiology","page":"H469-H477","volume":"301","issue":"2","source":"ajpheart.physiology.org","abstract":"The AMP-activated protein kinase (AMPK) is known to increase cardiac insulin sensitivity on glucose uptake. AMPK also inhibits the mammalian target of rapamycin (mTOR)/p70 ribosomal S6 kinase (p70S6K) pathway. Once activated by insulin, mTOR/p70S6K phosphorylates insulin receptor substrate-1 (IRS-1) on serine residues, resulting in its inhibition and reduction of insulin signaling. AMPK was postulated to act on insulin by inhibiting this mTOR/p70S6K-mediated negative feedback loop. We tested this hypothesis in cardiomyocytes. The stimulation of glucose uptake by AMPK activators and insulin correlated with AMPK and protein kinase B (PKB/Akt) activation, respectively. Both treatments induced the phosphorylation of Akt substrate 160 (AS160) known to control glucose uptake. Together, insulin and AMPK activators acted synergistically to induce PKB/Akt overactivation, AS160 overphosphorylation, and glucose uptake overstimulation. This correlated with p70S6K inhibition and with a decrease in serine phosphorylation of IRS-1, indicating the inhibition of the negative feedback loop. We used the mTOR inhibitor rapamycin to confirm these results. Mimicking AMPK activators in the presence of insulin, rapamycin inhibited p70S6K and reduced IRS-1 phosphorylation on serine, resulting in the overphosphorylation of PKB/Akt and AS160. However, rapamycin did not enhance the insulin-induced stimulation of glucose uptake. In conclusion, although the insulin-sensitizing effect of AMPK on PKB/Akt is explained by the inhibition of the insulin-induced negative feedback loop, its effect on glucose uptake is independent of this mechanism. This disconnection revealed that the PKB/Akt/AS160 pathway does not seem to be the rate-limiting step in the control of glucose uptake under insulin treatment.","DOI":"10.1152/ajpheart.00986.2010","note":"The AMP-activated protein kinase (AMPK) is known to increase cardiac insulin sensitivity on glucose uptake. AMPK also inhibits the mammalian target of rapamycin (mTOR)/p70 ribosomal S6 kinase (p70S6K) pathway. Once activated by insulin, mTOR/p70S6K phosphorylates insulin receptor substrate-1 (IRS-1) on serine residues, resulting in its inhibition and reduction of insulin signaling. AMPK was postulated to act on insulin by inhibiting this mTOR/p70S6K-mediated negative feedback loop. We tested this hypothesis in cardiomyocytes. The stimulation of glucose uptake by AMPK activators and insulin correlated with AMPK and protein kinase B (PKB/Akt) activation, respectively. Both treatments induced the phosphorylation of Akt substrate 160 (AS160) known to control glucose uptake. Together, insulin and AMPK activators acted synergistically to induce PKB/Akt overactivation, AS160 overphosphorylation, and glucose uptake overstimulation. This correlated with p70S6K inhibition and with a decrease in serine phosphorylation of IRS-1, indicating the inhibition of the negative feedback loop. We used the mTOR inhibitor rapamycin to confirm these results. Mimicking AMPK activators in the presence of insulin, rapamycin inhibited p70S6K and reduced IRS-1 phosphorylation on serine, resulting in the overphosphorylation of PKB/Akt and AS160. However, rapamycin did not enhance the insulin-induced stimulation of glucose uptake. In conclusion, although the insulin-sensitizing effect of AMPK on PKB/Akt is explained by the inhibition of the insulin-induced negative feedback loop, its effect on glucose uptake is independent of this mechanism. This disconnection revealed that the PKB/Akt/AS160 pathway does not seem to be the rate-limiting step in the control of glucose uptake under insulin treatment.\nPMID: 21602475","language":"en","author":[{"family":"Ginion","given":"Audrey"},{"family":"Auquier","given":"Julien"},{"family":"Benton","given":"Carley R."},{"family":"Mouton","given":"Céline"},{"family":"Vanoverschelde","given":"Jean-Louis"},{"family":"Hue","given":"Louis"},{"family":"Horman","given":"Sandrine"},{"family":"Beauloye","given":"Christophe"},{"family":"Bertrand","given":"Luc"}],"issued":{"date-parts":[["2011",8,1]]},"accessed":{"date-parts":[["2013",11,11]]},"PMID":"21602475"}},{"id":1790,"uris":["http://zotero.org/users/171999/items/BUE597FG"],"uri":["http://zotero.org/users/171999/items/BUE597FG"],"itemData":{"id":1790,"type":"article-journal","title":"Review of insulin and insulin-like growth factor expression, signaling, and malfunction in the central nervous system: relevance to Alzheimer's disease","container-title":"Journal of Alzheimer's disease: JAD","page":"45-61","volume":"7","issue":"1","source":"NCBI PubMed","abstract":"Interest in characterizing the role of impaired insulin actions in Alzheimer's disease (AD) and vascular dementia is growing exponentially. This review details what is currently known about insulin, insulin-like growth factor type I (IGF-I) and IGF-II proteins and their corresponding receptors in the brain, and delineates the major controversies pertaining to alterations in the expression and function of these molecules in AD. The various experimental animal models generated by over-expression, mutation, or depletion of genes that are critical to the insulin or IGF signaling cascades are summarized, noting the degrees to which they reproduce the histopathological, biochemical, molecular, or behavioral abnormalities associated with AD. Although no single model was determined to be truly representative of AD, depletion of the neuronal insulin receptor and intracerebroventricular injection of Streptozotocin reproduce a number of important aspects of AD-type neurodegeneration, and therefore provide supportive evidence that AD may be caused in part by neuronal insulin resistance, i.e. brain diabetes. The extant literature did not resolve whether the CNS insulin resistance in AD represents a local disease process, or complication/extension of peripheral insulin resistance, i.e. chronic hyperglycemia, hyperinsulinemia, and Type 2 diabetes mellitus. The available epidemiological data are largely inconclusive with regard to the contribution of Type 2 diabetes mellitus to cognitive impairment and AD-type neurodegeneration. A major conclusion drawn from this review is that there is a genuine need for thorough and comprehensive study of the neuropathological changes associated with diabetes mellitus, in the presence or absence of superimposed AD or vascular dementia. Strategies for intervention may depend entirely upon whether the CNS disease processes are mediated by peripheral, central, or both types of insulin resistance.","ISSN":"1387-2877","note":"PMID: 15750214","shortTitle":"Review of insulin and insulin-like growth factor expression, signaling, and malfunction in the central nervous system","journalAbbreviation":"J. Alzheimers Dis.","language":"eng","author":[{"family":"de la Monte","given":"Suzanne M"},{"family":"Wands","given":"Jack R"}],"issued":{"date-parts":[["2005",2]]},"PMID":"15750214"}}],"schema":"https://github.com/citation-style-language/schema/raw/master/csl-citation.json"} </w:instrText>
      </w:r>
      <w:r w:rsidRPr="00332248">
        <w:fldChar w:fldCharType="separate"/>
      </w:r>
      <w:r w:rsidRPr="00332248">
        <w:rPr>
          <w:vertAlign w:val="superscript"/>
        </w:rPr>
        <w:t>139,140</w:t>
      </w:r>
      <w:r w:rsidRPr="00332248">
        <w:fldChar w:fldCharType="end"/>
      </w:r>
      <w:r>
        <w:t xml:space="preserve">  </w:t>
      </w:r>
      <w:r w:rsidRPr="003A0EF9">
        <w:t>Obese individuals show pulsatile patterns similar to healthy weight individuals (release following meals and during overnight fasting), but the amplitude of insulin pulses are larger during obesity.</w:t>
      </w:r>
      <w:r w:rsidRPr="003A0EF9">
        <w:fldChar w:fldCharType="begin"/>
      </w:r>
      <w:r w:rsidR="000A492A">
        <w:instrText xml:space="preserve"> ADDIN ZOTERO_ITEM CSL_CITATION {"citationID":"vrnPK1g1","properties":{"formattedCitation":"{\\rtf \\super 143\\nosupersub{}}","plainCitation":"143"},"citationItems":[{"id":259,"uris":["http://zotero.org/users/local/Ry4zHLbn/items/S7EDNQ98"],"uri":["http://zotero.org/users/local/Ry4zHLbn/items/S7EDNQ98"],"itemData":{"id":259,"type":"article-journal","title":"Twenty-four-hour profiles and pulsatile patterns of insulin secretion in normal and obese subjects","container-title":"The Journal of clinical investigation","page":"442-448","volume":"81","issue":"2","source":"NCBI PubMed","abstract":"The pattern of endogenous insulin secretion over a 24-h period, which included three mixed meals, was evaluated in 14 normal volunteers and 15 obese subjects. Insulin secretory rates were calculated from plasma C-peptide levels using individually derived C-peptide kinetic parameters and a validated open two-compartment model of peripheral C-peptide kinetics. Insulin secretion rates were consistently elevated in the obese subjects under basal conditions (11.6 +/- 1.2 vs. 5.4 +/- 0.5 nmol/h) and in the 4 h after breakfast (139 +/- 15 vs. 63 +/- 5 nmol/4 h, P less than 0.001), lunch (152 +/- 16 vs. 67 +/- 5 nmol/4 h, P less than 0.001), and dinner (145 +/- 18 vs. 65 +/- 6 nmol/4 h, P less than 0.001). In the normal subjects, basal insulin secretion represented 50 +/- 2.1% of total 24-h insulin production, insulin secretion returned to baseline between meals, and equal quantities of insulin were secreted in the 4 h after breakfast, lunch, and dinner, despite the fact that subjects consumed half the number of calories at breakfast compared to lunch and dinner. Overall glucose responses were also similar after the three meals. In contrast, the pattern of insulin secretion in obese subjects was largely normal, albeit set at a higher level. However, the insulin secretion rate after meals did not return to baseline, and the secretion rate immediately before lunch (350.5 +/- 81.9 pmol/min) and dinner (373.6 +/- 64.8 pmol/min) was considerably higher than the secretion rate immediately before breakfast (175.5 +/- 18.5 pmol/min). In these overweight subjects, the glucose response after lunch was lower than after dinner. Analysis of individual 24-h insulin secretory profiles in the normal subjects revealed that insulin secretion was pulsatile. On average 11.1 +/- 0.5 pulses were produced in each 24-h period. The most prevalent temporal distribution of postmeal secretory pulses was two pulses after breakfast and three pulses after both lunch and dinner. Insulin secretion was also pulsatile during the period without meal stimuli: 3.9 +/- 0.3 pulses occurred during the period of overnight sampling and in the 3-h period before ingestion of the breakfast meal. In the obese subjects, the number and timing of secretory pulses was similar to those of normal volunteers, although the amplitude of the pulses was significantly greater. In both groups of subjects, greater than 80% of insulin pulses were concomitant with a pulse in glucose concentration in the postmeal period. The concomitancy rate was significantly lower in the interval without the meal stimuli, averaging 47% in both groups. Thus in obesity, although hypersecretion of insulin can be documented, the temporal pattern of secretion i s largely unaltered, which suggests that the functioning beta cell mass is enhance, but normal regulatory mechanisms influencing secretion are still operative.","DOI":"10.1172/JCI113339","ISSN":"0021-9738","note":"PMID: 3276730","journalAbbreviation":"J. Clin. Invest.","language":"eng","author":[{"family":"Polonsky","given":"K S"},{"family":"Given","given":"B D"},{"family":"Van Cauter","given":"E"}],"issued":{"date-parts":[["1988",2]]},"PMID":"3276730"}}],"schema":"https://github.com/citation-style-language/schema/raw/master/csl-citation.json"} </w:instrText>
      </w:r>
      <w:r w:rsidRPr="003A0EF9">
        <w:fldChar w:fldCharType="separate"/>
      </w:r>
      <w:r w:rsidRPr="00C13C7E">
        <w:rPr>
          <w:vertAlign w:val="superscript"/>
        </w:rPr>
        <w:t>143</w:t>
      </w:r>
      <w:r w:rsidRPr="003A0EF9">
        <w:fldChar w:fldCharType="end"/>
      </w:r>
      <w:r w:rsidRPr="003A0EF9">
        <w:t xml:space="preserve">  Insulin exhibits a diurnal release pattern, with peak levels 2 to 5 hours postprandial in dogs.</w:t>
      </w:r>
      <w:r w:rsidRPr="003A0EF9">
        <w:fldChar w:fldCharType="begin"/>
      </w:r>
      <w:r w:rsidR="000A492A">
        <w:instrText xml:space="preserve"> ADDIN ZOTERO_ITEM CSL_CITATION {"citationID":"yAra3RYa","properties":{"formattedCitation":"{\\rtf \\super 144\\nosupersub{}}","plainCitation":"144"},"citationItems":[{"id":261,"uris":["http://zotero.org/users/local/Ry4zHLbn/items/GTC6WIUN"],"uri":["http://zotero.org/users/local/Ry4zHLbn/items/GTC6WIUN"],"itemData":{"id":261,"type":"article-journal","title":"Diurnal variations of serum leptin in dogs: effects of fasting and re-feeding","container-title":"Veterinary journal (London, England: 1997)","page":"85-90","volume":"169","issue":"1","source":"NCBI PubMed","abstract":"Leptin is a protein synthesized and secreted primarily by adipocytes, and plays a key role in the regulation of energy balance. We have reported that serum leptin is elevated in obese dogs. In the present study, we examined diurnal variations of serum leptin in the dog, with special references to feeding and fasting cycles. Four male beagles were accustomed to feed once a day at 10:00 h, and blood samples were taken every 3 h for 24-36 h. Serum leptin concentration showed clear diurnal variations, being lowest before food intake (2.3+/-0.5 ng/mL) at 09:00 h, and highest (10.5+/-2.4 ng/mL) at 18:00 h. Such diurnal variations disappeared when the dogs were fasted. Serum insulin also showed diurnal variation with higher levels at 12:00-15:00 h. When insulin or glucose was injected in the fasted dogs to mimic the post-prandial insulin rise, serum leptin concentration was significantly increased in 4-8 h, but in both cases to a lesser extents than those after food intake. The results indicate that serum leptin concentrations change diurnally in association with feeding-fasting cycles in the dog, partially due to changes in insulin secretion.","DOI":"10.1016/j.tvjl.2004.01.003","ISSN":"1090-0233","note":"PMID: 15683767","shortTitle":"Diurnal variations of serum leptin in dogs","journalAbbreviation":"Vet. J.","language":"eng","author":[{"family":"Ishioka","given":"K"},{"family":"Hatai","given":"H"},{"family":"Komabayashi","given":"K"},{"family":"Soliman","given":"M M"},{"family":"Shibata","given":"H"},{"family":"Honjoh","given":"T"},{"family":"Kimura","given":"K"},{"family":"Saito","given":"M"}],"issued":{"date-parts":[["2005",1]]},"PMID":"15683767"}}],"schema":"https://github.com/citation-style-language/schema/raw/master/csl-citation.json"} </w:instrText>
      </w:r>
      <w:r w:rsidRPr="003A0EF9">
        <w:fldChar w:fldCharType="separate"/>
      </w:r>
      <w:r w:rsidRPr="00C13C7E">
        <w:rPr>
          <w:vertAlign w:val="superscript"/>
        </w:rPr>
        <w:t>144</w:t>
      </w:r>
      <w:r w:rsidRPr="003A0EF9">
        <w:fldChar w:fldCharType="end"/>
      </w:r>
      <w:r w:rsidRPr="003A0EF9">
        <w:t xml:space="preserve">  </w:t>
      </w:r>
      <w:r>
        <w:t>Insulin resistance is a common manifestation in obese people and has also been found in dogs.</w:t>
      </w:r>
      <w:r>
        <w:fldChar w:fldCharType="begin"/>
      </w:r>
      <w:r w:rsidR="000A492A">
        <w:instrText xml:space="preserve"> ADDIN ZOTERO_ITEM CSL_CITATION {"citationID":"eKatAbwZ","properties":{"formattedCitation":"{\\rtf \\super 145\\uc0\\u8211{}148\\nosupersub{}}","plainCitation":"145–148"},"citationItems":[{"id":"sfRcBkgw/Mv2E0of4","uris":["http://zotero.org/users/local/Ry4zHLbn/items/T3HJ3BEN"],"uri":["http://zotero.org/users/local/Ry4zHLbn/items/T3HJ3BEN"],"itemData":{"id":"sfRcBkgw/Mv2E0of4","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Endocrinol."}},{"id":410,"uris":["http://zotero.org/users/171999/items/HISNJAIQ"],"uri":["http://zotero.org/users/171999/items/HISNJAIQ"],"itemData":{"id":410,"type":"article-journal","title":"Longitudinal compensation for fat-induced insulin resistance includes reduced insulin clearance and enhanced beta-cell response","container-title":"Diabetes","page":"2116-2125","volume":"49","issue":"12","source":"NCBI PubMed","abstract":"Central adiposity is highly correlated with insulin resistance, which is an important risk factor for type 2 diabetes and other chronic diseases. However, in normal individuals, central adiposity can be tolerated for many years without development of impaired glucose tolerance or diabetes. Here we examine longitudinally the mechanisms by which glucose tolerance can be maintained in the face of substantial insulin resistance. Normal dogs were fed a diet enriched with moderate amounts of fat (2 g x kg(-1) x day(-1)), similar to that seen in modern \"cafeteria\" diets, and the time course of metabolic changes in these animals was examined over 12 weeks. Trunk adiposity as assessed by magnetic resonance imaging increased from 12 to 19%, but body weight remained unchanged. Insulin sensitivity (SI) as determined by frequently sampled intravenous glucose tolerance tests was measured over a 12-week period. SI decreased 35% by week 1 and remained impaired for the entire 12 weeks. Intravenous glucose tolerance was reduced transiently for 1 week, recovered to baseline, and then again began to decline after 8 weeks. First-phase insulin response began to increase after week 2, peaked by week 6 (190% of basal), and then declined. The increase in insulin response was due partially to enhanced beta-cell function (22%) but due also to an approximately 50% reduction in insulin clearance. This compensation by insulin clearance was also confirmed with insulin clamps performed in fat-fed versus control dogs. The present study confirms the ability of the normal individual to compensate for fat-induced insulin resistance by enhanced insulin response, such that the product of insulin sensitivity x secretion is little changed. However, the compensation is due as much to reduced insulin clearance as increased beta-cell sensitivity to glucose. Reduced hepatic extraction of insulin may be the first line of defense providing a higher proportion of secreted insulin to the periphery and sparing the beta-cells during compensation for the insulin-resistant state.","ISSN":"0012-1797","note":"PMID: 11118015","journalAbbreviation":"Diabetes","language":"eng","author":[{"family":"Mittelman","given":"S D"},{"family":"Van Citters","given":"G W"},{"family":"Kim","given":"S P"},{"family":"Davis","given":"D A"},{"family":"Dea","given":"M K"},{"family":"Hamilton-Wessler","given":"M"},{"family":"Bergman","given":"R N"}],"issued":{"date-parts":[["2000",12]]},"PMID":"11118015"}},{"id":402,"uris":["http://zotero.org/users/171999/items/XHNSVAQZ"],"uri":["http://zotero.org/users/171999/items/XHNSVAQZ"],"itemData":{"id":402,"type":"article-journal","title":"Primacy of hepatic insulin resistance in the development of the metabolic syndrome induced by an isocaloric moderate-fat diet in the dog","container-title":"Diabetes","page":"2453-2460","volume":"52","issue":"10","source":"NCBI PubMed","abstract":"Obesity is highly correlated with insulin resistance and the development of type 2 diabetes. Insulin resistance will result in a decrease in insulin's ability to stimulate glucose uptake into peripheral tissue and will suppress glucose production by the liver. However, the development of peripheral and hepatic insulin resistance relative to one another in the context of obesity-associated insulin resistance is not well understood. To examine this phenomena, we used the moderate fat-fed dog model, which has been shown to develop both subcutaneous and visceral adiposity and severe insulin resistance. Six normal dogs were fed an isocaloric diet with a modest increase in fat content for 12 weeks, and they were assessed at weeks 0, 6, and 12 for changes in insulin sensitivity and glucose turnover. By week 12 of the diet, there was a more than twofold increase in trunk adiposity as assessed by magnetic resonance imaging because of an accumulation in both subcutaneous and visceral fat depots with very little change in body weight. Fasting plasma insulin had increased by week 6 (150% of week 0) and remained increased up to week 12 of the study (170% of week 0). Surprisingly, there appeared to be no change in the rates of insulin-stimulated glucose uptake as measured by euglycemic-hyperinsulinemic clamps throughout the course of fat feeding. However, there was an increase in steady-state plasma insulin levels at weeks 6 and 12, indicating a moderate degree of peripheral insulin resistance. In contrast to the moderate defect seen in the periphery, there was a marked impairment in insulin's ability to suppress endogenous glucose production during the clamp such that by week 12 of the study, there was a complete inability of insulin to suppress glucose production. Our results indicate that a diet enriched with a moderate amount of fat results in the development of both subcutaneous and visceral adiposity, hyperinsulinemia, and a modest degree of peripheral insulin resistance. However, there is a complete inability of insulin to suppress hepatic glucose production during the clamp, suggesting that insulin resistance of the liver may be the primary defect in the development of insulin resistance associated with obesity.","ISSN":"0012-1797","note":"PMID: 14514627","journalAbbreviation":"Diabetes","language":"eng","author":[{"family":"Kim","given":"Stella P"},{"family":"Ellmerer","given":"Martin"},{"family":"Van Citters","given":"Gregg W"},{"family":"Bergman","given":"Richard N"}],"issued":{"date-parts":[["2003",10]]},"PMID":"14514627"}},{"id":422,"uris":["http://zotero.org/users/171999/items/EWHIZQ5J"],"uri":["http://zotero.org/users/171999/items/EWHIZQ5J"],"itemData":{"id":422,"type":"article-journal","title":"Glucose-Tolerance and Insulin-Response in Obese Dogs","container-title":"Journal of the American Animal Hospital Association","page":"287-293","volume":"20","issue":"2","source":"ISI Web of Knowledge","ISSN":"0587-2871","note":"WOS:A1984SJ53700014","journalAbbreviation":"J. Am. Anim. Hosp. Assoc.","language":"English","author":[{"family":"Mattheeuws","given":"D."},{"family":"Rottiers","given":"R."},{"family":"Baeyens","given":"D."},{"family":"Vermeulen","given":"A."}],"issued":{"date-parts":[["1984"]]}}}],"schema":"https://github.com/citation-style-language/schema/raw/master/csl-citation.json"} </w:instrText>
      </w:r>
      <w:r>
        <w:fldChar w:fldCharType="separate"/>
      </w:r>
      <w:r w:rsidRPr="00636862">
        <w:rPr>
          <w:vertAlign w:val="superscript"/>
        </w:rPr>
        <w:t>145–148</w:t>
      </w:r>
      <w:r>
        <w:fldChar w:fldCharType="end"/>
      </w:r>
      <w:r>
        <w:t xml:space="preserve">  The insulin:glucose ratio can be used as an indirect assessment of insulin resistance based on fasting samples.</w:t>
      </w:r>
      <w:r>
        <w:fldChar w:fldCharType="begin"/>
      </w:r>
      <w:r w:rsidR="000A492A">
        <w:instrText xml:space="preserve"> ADDIN ZOTERO_ITEM CSL_CITATION {"citationID":"BKTMI5st","properties":{"formattedCitation":"{\\rtf \\super 145\\nosupersub{}}","plainCitation":"145"},"citationItems":[{"id":"Gpwq8jj7/QN4EDEKg","uris":["http://zotero.org/users/local/Ry4zHLbn/items/T3HJ3BEN"],"uri":["http://zotero.org/users/local/Ry4zHLbn/items/T3HJ3BEN"],"itemData":{"id":"Gpwq8jj7/QN4EDEKg","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Endocrinol."}}],"schema":"https://github.com/citation-style-language/schema/raw/master/csl-citation.json"} </w:instrText>
      </w:r>
      <w:r>
        <w:fldChar w:fldCharType="separate"/>
      </w:r>
      <w:r w:rsidRPr="00BA0975">
        <w:rPr>
          <w:vertAlign w:val="superscript"/>
        </w:rPr>
        <w:t>145</w:t>
      </w:r>
      <w:r>
        <w:fldChar w:fldCharType="end"/>
      </w:r>
      <w:r>
        <w:t xml:space="preserve">  While true fasted samples were not collected in the present project, samples obtained 420 minutes (7 hours) after a meal were used as an approximate representation of fasting conditions.  Due to trend disagreements with other published research in dogs, the final analysis is considered nonvalid.  In the current study, “fasting” insulin and insulin:glucose ratio were negatively associated with weight gain, while the opposite relationship has been observed in dogs with properly fasted samples.</w:t>
      </w:r>
      <w:r>
        <w:fldChar w:fldCharType="begin"/>
      </w:r>
      <w:r w:rsidR="000A492A">
        <w:instrText xml:space="preserve"> ADDIN ZOTERO_ITEM CSL_CITATION {"citationID":"aOv2Kogh","properties":{"formattedCitation":"{\\rtf \\super 145\\uc0\\u8211{}148,251\\nosupersub{}}","plainCitation":"145–148,251"},"citationItems":[{"id":"sfRcBkgw/Mv2E0of4","uris":["http://zotero.org/users/local/Ry4zHLbn/items/T3HJ3BEN"],"uri":["http://zotero.org/users/local/Ry4zHLbn/items/T3HJ3BEN"],"itemData":{"id":"sfRcBkgw/Mv2E0of4","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Endocrinol."}},{"id":410,"uris":["http://zotero.org/users/171999/items/HISNJAIQ"],"uri":["http://zotero.org/users/171999/items/HISNJAIQ"],"itemData":{"id":410,"type":"article-journal","title":"Longitudinal compensation for fat-induced insulin resistance includes reduced insulin clearance and enhanced beta-cell response","container-title":"Diabetes","page":"2116-2125","volume":"49","issue":"12","source":"NCBI PubMed","abstract":"Central adiposity is highly correlated with insulin resistance, which is an important risk factor for type 2 diabetes and other chronic diseases. However, in normal individuals, central adiposity can be tolerated for many years without development of impaired glucose tolerance or diabetes. Here we examine longitudinally the mechanisms by which glucose tolerance can be maintained in the face of substantial insulin resistance. Normal dogs were fed a diet enriched with moderate amounts of fat (2 g x kg(-1) x day(-1)), similar to that seen in modern \"cafeteria\" diets, and the time course of metabolic changes in these animals was examined over 12 weeks. Trunk adiposity as assessed by magnetic resonance imaging increased from 12 to 19%, but body weight remained unchanged. Insulin sensitivity (SI) as determined by frequently sampled intravenous glucose tolerance tests was measured over a 12-week period. SI decreased 35% by week 1 and remained impaired for the entire 12 weeks. Intravenous glucose tolerance was reduced transiently for 1 week, recovered to baseline, and then again began to decline after 8 weeks. First-phase insulin response began to increase after week 2, peaked by week 6 (190% of basal), and then declined. The increase in insulin response was due partially to enhanced beta-cell function (22%) but due also to an approximately 50% reduction in insulin clearance. This compensation by insulin clearance was also confirmed with insulin clamps performed in fat-fed versus control dogs. The present study confirms the ability of the normal individual to compensate for fat-induced insulin resistance by enhanced insulin response, such that the product of insulin sensitivity x secretion is little changed. However, the compensation is due as much to reduced insulin clearance as increased beta-cell sensitivity to glucose. Reduced hepatic extraction of insulin may be the first line of defense providing a higher proportion of secreted insulin to the periphery and sparing the beta-cells during compensation for the insulin-resistant state.","ISSN":"0012-1797","note":"PMID: 11118015","journalAbbreviation":"Diabetes","language":"eng","author":[{"family":"Mittelman","given":"S D"},{"family":"Van Citters","given":"G W"},{"family":"Kim","given":"S P"},{"family":"Davis","given":"D A"},{"family":"Dea","given":"M K"},{"family":"Hamilton-Wessler","given":"M"},{"family":"Bergman","given":"R N"}],"issued":{"date-parts":[["2000",12]]},"PMID":"11118015"}},{"id":402,"uris":["http://zotero.org/users/171999/items/XHNSVAQZ"],"uri":["http://zotero.org/users/171999/items/XHNSVAQZ"],"itemData":{"id":402,"type":"article-journal","title":"Primacy of hepatic insulin resistance in the development of the metabolic syndrome induced by an isocaloric moderate-fat diet in the dog","container-title":"Diabetes","page":"2453-2460","volume":"52","issue":"10","source":"NCBI PubMed","abstract":"Obesity is highly correlated with insulin resistance and the development of type 2 diabetes. Insulin resistance will result in a decrease in insulin's ability to stimulate glucose uptake into peripheral tissue and will suppress glucose production by the liver. However, the development of peripheral and hepatic insulin resistance relative to one another in the context of obesity-associated insulin resistance is not well understood. To examine this phenomena, we used the moderate fat-fed dog model, which has been shown to develop both subcutaneous and visceral adiposity and severe insulin resistance. Six normal dogs were fed an isocaloric diet with a modest increase in fat content for 12 weeks, and they were assessed at weeks 0, 6, and 12 for changes in insulin sensitivity and glucose turnover. By week 12 of the diet, there was a more than twofold increase in trunk adiposity as assessed by magnetic resonance imaging because of an accumulation in both subcutaneous and visceral fat depots with very little change in body weight. Fasting plasma insulin had increased by week 6 (150% of week 0) and remained increased up to week 12 of the study (170% of week 0). Surprisingly, there appeared to be no change in the rates of insulin-stimulated glucose uptake as measured by euglycemic-hyperinsulinemic clamps throughout the course of fat feeding. However, there was an increase in steady-state plasma insulin levels at weeks 6 and 12, indicating a moderate degree of peripheral insulin resistance. In contrast to the moderate defect seen in the periphery, there was a marked impairment in insulin's ability to suppress endogenous glucose production during the clamp such that by week 12 of the study, there was a complete inability of insulin to suppress glucose production. Our results indicate that a diet enriched with a moderate amount of fat results in the development of both subcutaneous and visceral adiposity, hyperinsulinemia, and a modest degree of peripheral insulin resistance. However, there is a complete inability of insulin to suppress hepatic glucose production during the clamp, suggesting that insulin resistance of the liver may be the primary defect in the development of insulin resistance associated with obesity.","ISSN":"0012-1797","note":"PMID: 14514627","journalAbbreviation":"Diabetes","language":"eng","author":[{"family":"Kim","given":"Stella P"},{"family":"Ellmerer","given":"Martin"},{"family":"Van Citters","given":"Gregg W"},{"family":"Bergman","given":"Richard N"}],"issued":{"date-parts":[["2003",10]]},"PMID":"14514627"}},{"id":422,"uris":["http://zotero.org/users/171999/items/EWHIZQ5J"],"uri":["http://zotero.org/users/171999/items/EWHIZQ5J"],"itemData":{"id":422,"type":"article-journal","title":"Glucose-Tolerance and Insulin-Response in Obese Dogs","container-title":"Journal of the American Animal Hospital Association","page":"287-293","volume":"20","issue":"2","source":"ISI Web of Knowledge","ISSN":"0587-2871","note":"WOS:A1984SJ53700014","journalAbbreviation":"J. Am. Anim. Hosp. Assoc.","language":"English","author":[{"family":"Mattheeuws","given":"D."},{"family":"Rottiers","given":"R."},{"family":"Baeyens","given":"D."},{"family":"Vermeulen","given":"A."}],"issued":{"date-parts":[["1984"]]}}},{"id":384,"uris":["http://zotero.org/users/171999/items/26SKV3UZ"],"uri":["http://zotero.org/users/171999/items/26SKV3UZ"],"itemData":{"id":384,"type":"article-journal","title":"Effect of weight loss on inflammatory biomarkers in obese dogs","container-title":"Veterinary journal (London, England: 1997)","page":"570-572","volume":"193","issue":"2","source":"NCBI PubMed","abstract":"The objective of this study was to evaluate the effects of weight loss on selected serum inflammatory biomarkers in obese dogs. An experimentally induced bodyweight reduction of approximately 2.5%/week was accompanied by significant decreases in metabolic markers of obesity (lipidic profile, fructosamine, and insulin-like growth factor-1). The concentrations of acute phase proteins and of selected cytokines remained within reference ranges in obese dogs during weight loss, suggesting that significant inflammation was not a major component of this experimental model. However, adiponectin concentrations increased following the period of weight loss suggesting reduced susceptibility of these animals to obesity-related inflammation.","DOI":"10.1016/j.tvjl.2012.02.015","ISSN":"1532-2971","note":"PMID: 22464400","journalAbbreviation":"Vet. J.","language":"eng","author":[{"family":"Tvarijonaviciute","given":"Asta"},{"family":"Tecles","given":"Fernando"},{"family":"Martínez-Subiela","given":"Silvia"},{"family":"Cerón","given":"José J"}],"issued":{"date-parts":[["2012",8]]},"PMID":"22464400"}}],"schema":"https://github.com/citation-style-language/schema/raw/master/csl-citation.json"} </w:instrText>
      </w:r>
      <w:r>
        <w:fldChar w:fldCharType="separate"/>
      </w:r>
      <w:r w:rsidR="000A492A" w:rsidRPr="000A492A">
        <w:rPr>
          <w:vertAlign w:val="superscript"/>
        </w:rPr>
        <w:t>145–148,251</w:t>
      </w:r>
      <w:r>
        <w:fldChar w:fldCharType="end"/>
      </w:r>
    </w:p>
    <w:p w:rsidR="00F24665" w:rsidRDefault="00F24665" w:rsidP="00F24665">
      <w:pPr>
        <w:ind w:firstLine="720"/>
      </w:pPr>
      <w:r>
        <w:t xml:space="preserve">Leptin trends, on the other hand, did follow what has been previously published.  </w:t>
      </w:r>
      <w:r w:rsidRPr="003A0EF9">
        <w:t>Leptin is</w:t>
      </w:r>
      <w:r>
        <w:t xml:space="preserve"> an adiposity signal</w:t>
      </w:r>
      <w:r w:rsidRPr="003A0EF9">
        <w:t xml:space="preserve"> secreted from adipocytes via the </w:t>
      </w:r>
      <w:r w:rsidRPr="003A0EF9">
        <w:rPr>
          <w:i/>
        </w:rPr>
        <w:t>ob</w:t>
      </w:r>
      <w:r w:rsidRPr="003A0EF9">
        <w:t xml:space="preserve"> gene in direct proportion to the level of fat mass.</w:t>
      </w:r>
      <w:r w:rsidRPr="003A0EF9">
        <w:fldChar w:fldCharType="begin"/>
      </w:r>
      <w:r w:rsidR="000A492A">
        <w:instrText xml:space="preserve"> ADDIN ZOTERO_ITEM CSL_CITATION {"citationID":"zrNLafKE","properties":{"formattedCitation":"{\\rtf \\super 152\\uc0\\u8211{}157\\nosupersub{}}","plainCitation":"152–157"},"citationItems":[{"id":269,"uris":["http://zotero.org/users/local/Ry4zHLbn/items/B7KIJ56U"],"uri":["http://zotero.org/users/local/Ry4zHLbn/items/B7KIJ56U"],"itemData":{"id":269,"type":"article-journal","title":"Positional cloning of the mouse obese gene and its human homologue","container-title":"Nature","page":"425-432","volume":"372","issue":"6505","source":"NCBI PubMed","abstract":"The mechanisms that balance food intake and energy expenditure determine who will be obese and who will be lean. One of the molecules that regulates energy balance in the mouse is the obese (ob) gene. Mutation of ob results in profound obesity and type II diabetes as part of a syndrome that resembles morbid obesity in humans. The ob gene product may function as part of a signalling pathway from adipose tissue that acts to regulate the size of the body fat depot.","DOI":"10.1038/372425a0","ISSN":"0028-0836","note":"PMID: 7984236","journalAbbreviation":"Nature","language":"eng","author":[{"family":"Zhang","given":"Y"},{"family":"Proenca","given":"R"},{"family":"Maffei","given":"M"},{"family":"Barone","given":"M"},{"family":"Leopold","given":"L"},{"family":"Friedman","given":"J M"}],"issued":{"date-parts":[["1994",12,1]]},"PMID":"7984236"}},{"id":271,"uris":["http://zotero.org/users/local/Ry4zHLbn/items/MI4TTAGJ"],"uri":["http://zotero.org/users/local/Ry4zHLbn/items/MI4TTAGJ"],"itemData":{"id":271,"type":"article-journal","title":"Serum immunoreactive-leptin concentrations in normal-weight and obese humans","container-title":"The New England journal of medicine","page":"292-295","volume":"334","issue":"5","source":"NCBI PubMed","abstract":"BACKGROUND: Leptin, the product of the ob gene, is a hormone secreted by adipocytes. Animals with mutations in the ob gene are obese and lose weight when given leptin, but little is known about the physiologic actions of leptin in humans.\nMETHODS: Using a newly developed radioimmunoassay, wer measured serum concentrations of leptin in 136 normal-weight subjects and 139 obese subjects (body-mass index, &gt; or = 27.3 for men and &gt; or = 27.8 for women; the body-mass index was defined as the weight in kilograms divided by the square of the height in meters). The measurements were repeated in seven obese subjects after weight loss and during maintenance of the lower weight. The ob messenger RNA (mRNA) content of adipocytes was determined in 27 normal-weight and 27 obese subjects.\nRESULTS: The mean (+/- SD) serum leptin concentrations were 31.3 +/- 24.1 ng per milliliter in the obese subjects and 7.5 +/- 9.3 ng per milliliter in the normal-weight subjects (P &lt; 0.001). There was a strong positive correlation between serum leptin concentrations and the percentage of body fat (r = 0.85, P &lt; 0.001). The ob mRNA content of adipocytes was about twice as high in the obese subjects as in the normal-weight subjects (P &lt; 0.001) and was correlated with the percentage of body fat (r = 0.68, P &lt; 0.001) in the 54 subjects in whom it was measured. In the seven obese subjects studied after weight loss, both serum leptin concentrations and ob mRNA content of adipocytes declined, but these measures increased again during the maintenance of the lower weight.\nCONCLUSIONS: Serum leptin concentrations are correlated with the percentage of body fat, suggesting that most obese persons are insensitive to endogenous leptin production.","DOI":"10.1056/NEJM199602013340503","ISSN":"0028-4793","note":"PMID: 8532024","journalAbbreviation":"N. Engl. J. Med.","language":"eng","author":[{"family":"Considine","given":"R V"},{"family":"Sinha","given":"M K"},{"family":"Heiman","given":"M L"},{"family":"Kriauciunas","given":"A"},{"family":"Stephens","given":"T W"},{"family":"Nyce","given":"M R"},{"family":"Ohannesian","given":"J P"},{"family":"Marco","given":"C C"},{"family":"McKee","given":"L J"},{"family":"Bauer","given":"T L"}],"issued":{"date-parts":[["1996",2,1]]},"PMID":"8532024"}},{"id":273,"uris":["http://zotero.org/users/local/Ry4zHLbn/items/4M27QUAB"],"uri":["http://zotero.org/users/local/Ry4zHLbn/items/4M27QUAB"],"itemData":{"id":273,"type":"article-journal","title":"Leptin levels in human and rodent: measurement of plasma leptin and ob RNA in obese and weight-reduced subjects","container-title":"Nature medicine","page":"1155-1161","volume":"1","issue":"11","source":"NCBI PubMed","abstract":"Leptin, the gene product of the obese gene, may play an important role in regulating body weight by signalling the size of the adipose tissue mass. Plasma leptin was found to be highly correlated with body mass index (BMI) in rodents and in 87 lean and obese humans. In humans, there was variability in plasma leptin at each BMI suggesting that there are differences in its secretion rate from fat. Weight loss due to food restriction was associated with a decrease in plasma leptin in samples from mice and obese humans.","ISSN":"1078-8956","note":"PMID: 7584987","shortTitle":"Leptin levels in human and rodent","journalAbbreviation":"Nat. Med.","language":"eng","author":[{"family":"Maffei","given":"M"},{"family":"Halaas","given":"J"},{"family":"Ravussin","given":"E"},{"family":"Pratley","given":"R E"},{"family":"Lee","given":"G H"},{"family":"Zhang","given":"Y"},{"family":"Fei","given":"H"},{"family":"Kim","given":"S"},{"family":"Lallone","given":"R"},{"family":"Ranganathan","given":"S"}],"issued":{"date-parts":[["1995",11]]},"PMID":"7584987"}},{"id":275,"uris":["http://zotero.org/users/local/Ry4zHLbn/items/SXXM3WXK"],"uri":["http://zotero.org/users/local/Ry4zHLbn/items/SXXM3WXK"],"itemData":{"id":275,"type":"article-journal","title":"Correlation between plasma leptin concentration and body fat content in dogs","container-title":"American journal of veterinary research","page":"7-10","volume":"63","issue":"1","source":"NCBI PubMed","abstract":"OBJECTIVE: To evaluate the relationship between plasma leptin concentration and body fat content in dogs.\nANIMALS: 20 spayed female Beagles that were 10 months old at the start of the experiment.\nPROCEDURE: Dogs were kept under regulated feeding and exercise conditions for 21 weeks, resulting in a wide range of body weights, body condition scores (BCS), and subcutaneous thicknesses. Plasma leptin concentration was measured by use of a canine leptin-specific ELISA test to evaluate its correlation to body fat content estimated by the deuterium oxide dilution method. Plasma concentrations of glucose, cholesterol, triglycerides (TG), and nonesterified fatty acids (NEFA) were also measured.\nRESULTS: Body fat content (9 to 60% of body weight) was positively and closely correlated (r = 0.920; n = 20; P &lt; 0.001) to plasma leptin concentration (0.67 to 8.06 ng/ml), compared with other variables (ie, glucose, cholesterol, TG, and NEFA; r = 0.142, 0.412, 0.074, and 0.182, respectively).\nCONCLUSIONS AND CLINICAL RELEVANCE: The positive relationship between plasma leptin concentration and body fat content in dogs was similar to correlations reported for humans and rodents, suggesting that plasma leptin is a quantitative marker of adiposity in dogs.","ISSN":"0002-9645","note":"PMID: 16206772","journalAbbreviation":"Am. J. Vet. Res.","language":"eng","author":[{"family":"Sagawa","given":"Mayumi M"},{"family":"Nakadomo","given":"Fumio"},{"family":"Honjoh","given":"Tsutomu"},{"family":"Ishioka","given":"Katsumi"},{"family":"Saito","given":"Masayuki"}],"issued":{"date-parts":[["2002",1]]},"PMID":"16206772"}},{"id":277,"uris":["http://zotero.org/users/local/Ry4zHLbn/items/C86UJ9T2"],"uri":["http://zotero.org/users/local/Ry4zHLbn/items/C86UJ9T2"],"itemData":{"id":277,"type":"article-journal","title":"Experimental and clinical studies on plasma leptin in obese dogs","container-title":"The Journal of veterinary medical science / the Japanese Society of Veterinary Science","page":"349-353","volume":"64","issue":"4","source":"NCBI PubMed","abstract":"Leptin is a protein synthesized and secreted primarily by adipocytes, and the circulating leptin concentration is elevated in obese humans and rodents. Recently, we have established a sandwich enzyme-linked immunosorbent assay for canine leptin. In the present study, plasma leptin concentrations were measured in experimentally developed obese beagles and in clinically obese dogs. When 5 male beagles were given a high-energy diet for 3 months, all of them became obese and the plasma leptin concentration significantly increased from 2.4+/-1.2 to 4.9+/-0.9 ng/ml, positively correlating with body fat content estimated by the deuterium oxide dilution method (r=0.87). The leptin concentrations of plasma samples collected from 59 dogs in veterinary practices were compared with their body condition scores (BCS). The plasma leptin concentrations of obese dogs were 9.7+/-0.7 and 12.3+/-1.5 ng/ml at BCS=4 and BCS=5, respectively, which were significantly higher than those of optimal (BCS=3) dogs (2.7+/-0.3 ng/ml). There was no significant effect of sex and breed. A weak positive correlation (r=0.37) was found between the plasma leptin concentration and age, probably due to the lesser content of visceral fat in puppies younger than 1 year old. These results indicate that plasma leptin is a good index of adiposity in dogs regardless of breed, age and sex, and may be useful for quantitative assessment of obesity in small animal practice.","ISSN":"0916-7250","note":"PMID: 12014581","journalAbbreviation":"J. Vet. Med. Sci.","language":"eng","author":[{"family":"Ishioka","given":"Katsumi"},{"family":"Soliman","given":"Mohamed M"},{"family":"Sagawa","given":"Mayumi"},{"family":"Nakadomo","given":"Fumio"},{"family":"Shibata","given":"Haruki"},{"family":"Honjoh","given":"Tsutomu"},{"family":"Hashimoto","given":"Akira"},{"family":"Kitamura","given":"Hiroshi"},{"family":"Kimura","given":"Kazuhiro"},{"family":"Saito","given":"Masayuki"}],"issued":{"date-parts":[["2002",4]]},"PMID":"12014581"}},{"id":279,"uris":["http://zotero.org/users/local/Ry4zHLbn/items/8B467TE4"],"uri":["http://zotero.org/users/local/Ry4zHLbn/items/8B467TE4"],"itemData":{"id":279,"type":"article-journal","title":"Influence of obesity on plasma lipid and lipoprotein concentrations in dogs","container-title":"American journal of veterinary research","page":"81-86","volume":"66","issue":"1","source":"NCBI PubMed","abstract":"OBJECTIVE: To determine effects of obesity and diet in dogs on plasma lipid and lipoprotein concentrations by assaying plasma leptin and ghrelin concentrations and determining total plasma cholesterol and triglyceride concentrations as well as the concentrations of cholesterol and triglycerides in various lipoprotein classes (ie, very-low-density, low-density, and high-density lipoproteins).\nANIMALS: 24 Beagles; 12 lean (mean [+/- SEM] body weight, 12.7 +/- 0.7 kg) and 12 chronically obese (21.9 +/- 0.8 kg) dogs of both sexes, between 1 and 9 years old.\nPROCEDURES: Total plasma cholesterol and triglyceride concentrations; lipoprotein cholesterol and triglyceride concentrations; and plasma ghrelin, leptin, free fatty acids, insulin, and glucose concentrations were measured and compared between lean and obese dogs, both of which were fed a complete and balanced maintenance diet. Chronically obese dogs were subsequently fed a high-protein low-energy diet to evaluate effects of diet composition on plasma lipid and lipoprotein measurements.\nRESULTS: Chronic obesity resulted in a significant decrease in plasma ghrelin concentration and a significant increase in plasma leptin, cholesterol, and triglyceride concentrations in dogs. High total plasma cholesterol and triglyceride concentrations resulted from increased cholesterol and triglyceride concentrations in all lipoprotein fractions. In obese dogs, modification of diet composition resulted in beneficial effects on plasma lipid and leptin concentrations, even before weight loss was observed.\nCONCLUSIONS AND CLINICAL RELEVANCE: Correlations exist between obesity and plasma measurements (ie, lipoproteins, leptin, insulin, and ghrelin) commonly associated with obesity. Modification of diet composition to control energy intake improves plasma lipid and leptin concentrations in obese dogs.","ISSN":"0002-9645","note":"PMID: 15691040","journalAbbreviation":"Am. J. Vet. Res.","language":"eng","author":[{"family":"Jeusette","given":"Isabelle C"},{"family":"Lhoest","given":"Estelle T"},{"family":"Istasse","given":"Louis P"},{"family":"Diez","given":"Marianne O"}],"issued":{"date-parts":[["2005",1]]},"PMID":"15691040"}}],"schema":"https://github.com/citation-style-language/schema/raw/master/csl-citation.json"} </w:instrText>
      </w:r>
      <w:r w:rsidRPr="003A0EF9">
        <w:fldChar w:fldCharType="separate"/>
      </w:r>
      <w:r w:rsidRPr="00636862">
        <w:rPr>
          <w:vertAlign w:val="superscript"/>
        </w:rPr>
        <w:t>152–157</w:t>
      </w:r>
      <w:r w:rsidRPr="003A0EF9">
        <w:fldChar w:fldCharType="end"/>
      </w:r>
      <w:r w:rsidRPr="003A0EF9">
        <w:t xml:space="preserve">  </w:t>
      </w:r>
      <w:proofErr w:type="gramStart"/>
      <w:r>
        <w:t>In</w:t>
      </w:r>
      <w:proofErr w:type="gramEnd"/>
      <w:r>
        <w:t xml:space="preserve"> chronically obese mice</w:t>
      </w:r>
      <w:r w:rsidRPr="003A0EF9">
        <w:t>, leptin is elevated and unable to assert its antiobesity effects.  In people, serum leptin concentration is 4 times higher in obese individuals versus those with a normal weight, with a strong positive correlation  to the level of fat mass.</w:t>
      </w:r>
      <w:r w:rsidRPr="003A0EF9">
        <w:fldChar w:fldCharType="begin"/>
      </w:r>
      <w:r w:rsidR="000A492A">
        <w:instrText xml:space="preserve"> ADDIN ZOTERO_ITEM CSL_CITATION {"citationID":"qLPpysCY","properties":{"formattedCitation":"{\\rtf \\super 153\\nosupersub{}}","plainCitation":"153"},"citationItems":[{"id":271,"uris":["http://zotero.org/users/local/Ry4zHLbn/items/MI4TTAGJ"],"uri":["http://zotero.org/users/local/Ry4zHLbn/items/MI4TTAGJ"],"itemData":{"id":271,"type":"article-journal","title":"Serum immunoreactive-leptin concentrations in normal-weight and obese humans","container-title":"The New England journal of medicine","page":"292-295","volume":"334","issue":"5","source":"NCBI PubMed","abstract":"BACKGROUND: Leptin, the product of the ob gene, is a hormone secreted by adipocytes. Animals with mutations in the ob gene are obese and lose weight when given leptin, but little is known about the physiologic actions of leptin in humans.\nMETHODS: Using a newly developed radioimmunoassay, wer measured serum concentrations of leptin in 136 normal-weight subjects and 139 obese subjects (body-mass index, &gt; or = 27.3 for men and &gt; or = 27.8 for women; the body-mass index was defined as the weight in kilograms divided by the square of the height in meters). The measurements were repeated in seven obese subjects after weight loss and during maintenance of the lower weight. The ob messenger RNA (mRNA) content of adipocytes was determined in 27 normal-weight and 27 obese subjects.\nRESULTS: The mean (+/- SD) serum leptin concentrations were 31.3 +/- 24.1 ng per milliliter in the obese subjects and 7.5 +/- 9.3 ng per milliliter in the normal-weight subjects (P &lt; 0.001). There was a strong positive correlation between serum leptin concentrations and the percentage of body fat (r = 0.85, P &lt; 0.001). The ob mRNA content of adipocytes was about twice as high in the obese subjects as in the normal-weight subjects (P &lt; 0.001) and was correlated with the percentage of body fat (r = 0.68, P &lt; 0.001) in the 54 subjects in whom it was measured. In the seven obese subjects studied after weight loss, both serum leptin concentrations and ob mRNA content of adipocytes declined, but these measures increased again during the maintenance of the lower weight.\nCONCLUSIONS: Serum leptin concentrations are correlated with the percentage of body fat, suggesting that most obese persons are insensitive to endogenous leptin production.","DOI":"10.1056/NEJM199602013340503","ISSN":"0028-4793","note":"PMID: 8532024","journalAbbreviation":"N. Engl. J. Med.","language":"eng","author":[{"family":"Considine","given":"R V"},{"family":"Sinha","given":"M K"},{"family":"Heiman","given":"M L"},{"family":"Kriauciunas","given":"A"},{"family":"Stephens","given":"T W"},{"family":"Nyce","given":"M R"},{"family":"Ohannesian","given":"J P"},{"family":"Marco","given":"C C"},{"family":"McKee","given":"L J"},{"family":"Bauer","given":"T L"}],"issued":{"date-parts":[["1996",2,1]]},"PMID":"8532024"}}],"schema":"https://github.com/citation-style-language/schema/raw/master/csl-citation.json"} </w:instrText>
      </w:r>
      <w:r w:rsidRPr="003A0EF9">
        <w:fldChar w:fldCharType="separate"/>
      </w:r>
      <w:r w:rsidRPr="00636862">
        <w:rPr>
          <w:vertAlign w:val="superscript"/>
        </w:rPr>
        <w:t>153</w:t>
      </w:r>
      <w:r w:rsidRPr="003A0EF9">
        <w:fldChar w:fldCharType="end"/>
      </w:r>
      <w:r w:rsidRPr="003A0EF9">
        <w:t xml:space="preserve">  Similar results are seen when lean dogs (BCS 3/5) are compared to obese dogs (BCS 5/5), regardless of gender or breed.</w:t>
      </w:r>
      <w:r w:rsidRPr="003A0EF9">
        <w:fldChar w:fldCharType="begin"/>
      </w:r>
      <w:r w:rsidR="000A492A">
        <w:instrText xml:space="preserve"> ADDIN ZOTERO_ITEM CSL_CITATION {"citationID":"qhCOGHSK","properties":{"formattedCitation":"{\\rtf \\super 17,156\\nosupersub{}}","plainCitation":"17,156"},"citationItems":[{"id":277,"uris":["http://zotero.org/users/local/Ry4zHLbn/items/C86UJ9T2"],"uri":["http://zotero.org/users/local/Ry4zHLbn/items/C86UJ9T2"],"itemData":{"id":277,"type":"article-journal","title":"Experimental and clinical studies on plasma leptin in obese dogs","container-title":"The Journal of veterinary medical science / the Japanese Society of Veterinary Science","page":"349-353","volume":"64","issue":"4","source":"NCBI PubMed","abstract":"Leptin is a protein synthesized and secreted primarily by adipocytes, and the circulating leptin concentration is elevated in obese humans and rodents. Recently, we have established a sandwich enzyme-linked immunosorbent assay for canine leptin. In the present study, plasma leptin concentrations were measured in experimentally developed obese beagles and in clinically obese dogs. When 5 male beagles were given a high-energy diet for 3 months, all of them became obese and the plasma leptin concentration significantly increased from 2.4+/-1.2 to 4.9+/-0.9 ng/ml, positively correlating with body fat content estimated by the deuterium oxide dilution method (r=0.87). The leptin concentrations of plasma samples collected from 59 dogs in veterinary practices were compared with their body condition scores (BCS). The plasma leptin concentrations of obese dogs were 9.7+/-0.7 and 12.3+/-1.5 ng/ml at BCS=4 and BCS=5, respectively, which were significantly higher than those of optimal (BCS=3) dogs (2.7+/-0.3 ng/ml). There was no significant effect of sex and breed. A weak positive correlation (r=0.37) was found between the plasma leptin concentration and age, probably due to the lesser content of visceral fat in puppies younger than 1 year old. These results indicate that plasma leptin is a good index of adiposity in dogs regardless of breed, age and sex, and may be useful for quantitative assessment of obesity in small animal practice.","ISSN":"0916-7250","note":"PMID: 12014581","journalAbbreviation":"J. Vet. Med. Sci.","language":"eng","author":[{"family":"Ishioka","given":"Katsumi"},{"family":"Soliman","given":"Mohamed M"},{"family":"Sagawa","given":"Mayumi"},{"family":"Nakadomo","given":"Fumio"},{"family":"Shibata","given":"Haruki"},{"family":"Honjoh","given":"Tsutomu"},{"family":"Hashimoto","given":"Akira"},{"family":"Kitamura","given":"Hiroshi"},{"family":"Kimura","given":"Kazuhiro"},{"family":"Saito","given":"Masayuki"}],"issued":{"date-parts":[["2002",4]]},"PMID":"12014581"}},{"id":287,"uris":["http://zotero.org/users/local/Ry4zHLbn/items/CKGM6JWG"],"uri":["http://zotero.org/users/local/Ry4zHLbn/items/CKGM6JWG"],"itemData":{"id":287,"type":"article-journal","title":"Plasma leptin concentration in dogs: effects of body condition score, age, gender and breeds","container-title":"Research in veterinary science","page":"11-15","volume":"82","issue":"1","source":"NCBI PubMed","abstract":"Leptin is a cytokine produced by adipocytes, and plays a key role in the regulation of energy balance. In the present study, we measured plasma leptin concentrations of 166 normal and obese dogs visiting veterinary practices, and clarified the influence of age, gender and breed on plasma leptin levels in dogs. Leptin levels were higher in the dogs with higher body condition scores. There was no noticeable influence of age, gender and breed, but those in optimal puppies and obese Miniature Dachshund tended to be lower than those in corresponding groups. We conclude that plasma leptin is a reliable marker of adiposity in dogs regardless of age, gender and breed variations, and thereby useful as a blood biochemistry test for health examinations and treatment of obesity.","DOI":"10.1016/j.rvsc.2006.06.002","ISSN":"0034-5288","note":"PMID: 16919691","shortTitle":"Plasma leptin concentration in dogs","journalAbbreviation":"Res. Vet. Sci.","language":"eng","author":[{"family":"Ishioka","given":"K"},{"family":"Hosoya","given":"K"},{"family":"Kitagawa","given":"H"},{"family":"Shibata","given":"H"},{"family":"Honjoh","given":"T"},{"family":"Kimura","given":"K"},{"family":"Saito","given":"M"}],"issued":{"date-parts":[["2007",2]]},"PMID":"16919691"}}],"schema":"https://github.com/citation-style-language/schema/raw/master/csl-citation.json"} </w:instrText>
      </w:r>
      <w:r w:rsidRPr="003A0EF9">
        <w:fldChar w:fldCharType="separate"/>
      </w:r>
      <w:r w:rsidRPr="00636862">
        <w:rPr>
          <w:vertAlign w:val="superscript"/>
        </w:rPr>
        <w:t>17,156</w:t>
      </w:r>
      <w:r w:rsidRPr="003A0EF9">
        <w:fldChar w:fldCharType="end"/>
      </w:r>
      <w:r>
        <w:t xml:space="preserve">  In the dogs reported here, leptin levels were also associated with the level of fat mass, with a corresponding change as body mass evolved with treatment.  </w:t>
      </w:r>
      <w:r w:rsidRPr="003A0EF9">
        <w:t>In obese dogs, leptin levels decrease by 25% four weeks after consuming 45% less calories based on their target body weight</w:t>
      </w:r>
      <w:r>
        <w:t>,</w:t>
      </w:r>
      <w:r w:rsidRPr="003A0EF9">
        <w:t xml:space="preserve"> despite maintaining a consistent body weight over that time frame.</w:t>
      </w:r>
      <w:r w:rsidRPr="003A0EF9">
        <w:fldChar w:fldCharType="begin"/>
      </w:r>
      <w:r w:rsidR="000A492A">
        <w:instrText xml:space="preserve"> ADDIN ZOTERO_ITEM CSL_CITATION {"citationID":"nSVHgaWw","properties":{"formattedCitation":"{\\rtf \\super 157\\nosupersub{}}","plainCitation":"157"},"citationItems":[{"id":279,"uris":["http://zotero.org/users/local/Ry4zHLbn/items/8B467TE4"],"uri":["http://zotero.org/users/local/Ry4zHLbn/items/8B467TE4"],"itemData":{"id":279,"type":"article-journal","title":"Influence of obesity on plasma lipid and lipoprotein concentrations in dogs","container-title":"American journal of veterinary research","page":"81-86","volume":"66","issue":"1","source":"NCBI PubMed","abstract":"OBJECTIVE: To determine effects of obesity and diet in dogs on plasma lipid and lipoprotein concentrations by assaying plasma leptin and ghrelin concentrations and determining total plasma cholesterol and triglyceride concentrations as well as the concentrations of cholesterol and triglycerides in various lipoprotein classes (ie, very-low-density, low-density, and high-density lipoproteins).\nANIMALS: 24 Beagles; 12 lean (mean [+/- SEM] body weight, 12.7 +/- 0.7 kg) and 12 chronically obese (21.9 +/- 0.8 kg) dogs of both sexes, between 1 and 9 years old.\nPROCEDURES: Total plasma cholesterol and triglyceride concentrations; lipoprotein cholesterol and triglyceride concentrations; and plasma ghrelin, leptin, free fatty acids, insulin, and glucose concentrations were measured and compared between lean and obese dogs, both of which were fed a complete and balanced maintenance diet. Chronically obese dogs were subsequently fed a high-protein low-energy diet to evaluate effects of diet composition on plasma lipid and lipoprotein measurements.\nRESULTS: Chronic obesity resulted in a significant decrease in plasma ghrelin concentration and a significant increase in plasma leptin, cholesterol, and triglyceride concentrations in dogs. High total plasma cholesterol and triglyceride concentrations resulted from increased cholesterol and triglyceride concentrations in all lipoprotein fractions. In obese dogs, modification of diet composition resulted in beneficial effects on plasma lipid and leptin concentrations, even before weight loss was observed.\nCONCLUSIONS AND CLINICAL RELEVANCE: Correlations exist between obesity and plasma measurements (ie, lipoproteins, leptin, insulin, and ghrelin) commonly associated with obesity. Modification of diet composition to control energy intake improves plasma lipid and leptin concentrations in obese dogs.","ISSN":"0002-9645","note":"PMID: 15691040","journalAbbreviation":"Am. J. Vet. Res.","language":"eng","author":[{"family":"Jeusette","given":"Isabelle C"},{"family":"Lhoest","given":"Estelle T"},{"family":"Istasse","given":"Louis P"},{"family":"Diez","given":"Marianne O"}],"issued":{"date-parts":[["2005",1]]},"PMID":"15691040"}}],"schema":"https://github.com/citation-style-language/schema/raw/master/csl-citation.json"} </w:instrText>
      </w:r>
      <w:r w:rsidRPr="003A0EF9">
        <w:fldChar w:fldCharType="separate"/>
      </w:r>
      <w:r w:rsidRPr="00636862">
        <w:rPr>
          <w:vertAlign w:val="superscript"/>
        </w:rPr>
        <w:t>157</w:t>
      </w:r>
      <w:r w:rsidRPr="003A0EF9">
        <w:fldChar w:fldCharType="end"/>
      </w:r>
      <w:r w:rsidRPr="003A0EF9">
        <w:t xml:space="preserve">  After weight loss is achiev</w:t>
      </w:r>
      <w:r>
        <w:t>ed, leptin levels decrease 74.5</w:t>
      </w:r>
      <w:r w:rsidRPr="003A0EF9">
        <w:t>%, but weight maintenance values in dogs have not been determined.</w:t>
      </w:r>
      <w:r w:rsidRPr="003A0EF9">
        <w:fldChar w:fldCharType="begin"/>
      </w:r>
      <w:r w:rsidR="000A492A">
        <w:instrText xml:space="preserve"> ADDIN ZOTERO_ITEM CSL_CITATION {"citationID":"0fbynY5a","properties":{"formattedCitation":"{\\rtf \\super 103\\nosupersub{}}","plainCitation":"103"},"citationItems":[{"id":191,"uris":["http://zotero.org/users/local/Ry4zHLbn/items/B3FJ9CVI"],"uri":["http://zotero.org/users/local/Ry4zHLbn/items/B3FJ9CVI"],"itemData":{"id":191,"type":"article-journal","title":"Effects of chronic obesity and weight loss on plasma ghrelin and leptin concentrations in dogs","container-title":"Research in veterinary science","page":"169-175","volume":"79","issue":"2","source":"NCBI PubMed","abstract":"The objective of this study was to evaluate, in dogs, the effects of obesity and weight loss on plasma total ghrelin and leptin concentrations. Twenty-four Beagle dogs, 12 control lean and 12 obese dogs of both genders and aged between 1 and 9 years, were used for the experiments. Mean body weight was 12.7+/-0.7 kg for the lean group and 21.9+/-0.8 kg for the obese group. The trial was divided into three phases. During phase 1, all 24 Beagle dogs were fed a maintenance diet. During phase 2, the obese dogs were submitted to a weight loss protocol with a high protein-low energy diet. The weight loss protocol ended once dogs reached optimal body weight. During phase 3, the dogs that were submitted to the weight loss protocol were maintained at their optimal body weight for 6 months. Plasma total ghrelin, leptin, insulin and glucose concentrations were measured to evaluate the effects of obesity and weight loss on these parameters in dogs. Body weight, body condition score, thoracic and pelvic perimeters, and ingested food amounts were also recorded during the study. Obese dogs demonstrated a significant decrease in plasma ghrelin and a significant increase in plasma leptin and insulin concentrations when compared with control dogs. During weight loss, significant increases in plasma total ghrelin and glucose and significant decreases in plasma leptin and insulin were observed. The increase in plasma ghrelin concentrations seemed to be transient. Body weight and the morphometric parameters correlated positively with leptin concentrations and negatively with total ghrelin concentrations. These results suggest that ghrelin and leptin could play a role in dogs in the adaptation to a positive or negative energy balance, as observed in humans.","DOI":"10.1016/j.rvsc.2004.11.012","ISSN":"0034-5288","note":"PMID: 15924935","journalAbbreviation":"Res. Vet. Sci.","language":"eng","author":[{"family":"Jeusette","given":"Isabelle C"},{"family":"Detilleux","given":"Johanne"},{"family":"Shibata","given":"Haruki"},{"family":"Saito","given":"Masayuki"},{"family":"Honjoh","given":"Tsutomu"},{"family":"Delobel","given":"Agathe"},{"family":"Istasse","given":"Louis"},{"family":"Diez","given":"Marianne"}],"issued":{"date-parts":[["2005",10]]},"PMID":"15924935"}}],"schema":"https://github.com/citation-style-language/schema/raw/master/csl-citation.json"} </w:instrText>
      </w:r>
      <w:r w:rsidRPr="003A0EF9">
        <w:fldChar w:fldCharType="separate"/>
      </w:r>
      <w:r w:rsidR="000A492A" w:rsidRPr="000A492A">
        <w:rPr>
          <w:vertAlign w:val="superscript"/>
        </w:rPr>
        <w:t>103</w:t>
      </w:r>
      <w:r w:rsidRPr="003A0EF9">
        <w:fldChar w:fldCharType="end"/>
      </w:r>
      <w:r w:rsidRPr="003A0EF9">
        <w:t xml:space="preserve">  </w:t>
      </w:r>
      <w:r>
        <w:t>Over twelve weeks, overall leptin values increased in current dogs maintaining body weight; even though their body weight and fat mass remained relatively stable (</w:t>
      </w:r>
      <w:r>
        <w:rPr>
          <w:color w:val="FF0000"/>
        </w:rPr>
        <w:t>Chapter I and II)</w:t>
      </w:r>
      <w:r>
        <w:t xml:space="preserve">. </w:t>
      </w:r>
      <w:r w:rsidRPr="003A0EF9">
        <w:t xml:space="preserve"> </w:t>
      </w:r>
      <w:r>
        <w:t>It</w:t>
      </w:r>
      <w:r w:rsidRPr="003A0EF9">
        <w:t xml:space="preserve"> exhibits diurnal variation, with lowest levels just prior to an accustomed feeding time, and highest levels 8 hours postprandial in dogs.</w:t>
      </w:r>
      <w:r w:rsidRPr="003A0EF9">
        <w:fldChar w:fldCharType="begin"/>
      </w:r>
      <w:r w:rsidR="000A492A">
        <w:instrText xml:space="preserve"> ADDIN ZOTERO_ITEM CSL_CITATION {"citationID":"06L5GG47","properties":{"formattedCitation":"{\\rtf \\super 144\\nosupersub{}}","plainCitation":"144"},"citationItems":[{"id":261,"uris":["http://zotero.org/users/local/Ry4zHLbn/items/GTC6WIUN"],"uri":["http://zotero.org/users/local/Ry4zHLbn/items/GTC6WIUN"],"itemData":{"id":261,"type":"article-journal","title":"Diurnal variations of serum leptin in dogs: effects of fasting and re-feeding","container-title":"Veterinary journal (London, England: 1997)","page":"85-90","volume":"169","issue":"1","source":"NCBI PubMed","abstract":"Leptin is a protein synthesized and secreted primarily by adipocytes, and plays a key role in the regulation of energy balance. We have reported that serum leptin is elevated in obese dogs. In the present study, we examined diurnal variations of serum leptin in the dog, with special references to feeding and fasting cycles. Four male beagles were accustomed to feed once a day at 10:00 h, and blood samples were taken every 3 h for 24-36 h. Serum leptin concentration showed clear diurnal variations, being lowest before food intake (2.3+/-0.5 ng/mL) at 09:00 h, and highest (10.5+/-2.4 ng/mL) at 18:00 h. Such diurnal variations disappeared when the dogs were fasted. Serum insulin also showed diurnal variation with higher levels at 12:00-15:00 h. When insulin or glucose was injected in the fasted dogs to mimic the post-prandial insulin rise, serum leptin concentration was significantly increased in 4-8 h, but in both cases to a lesser extents than those after food intake. The results indicate that serum leptin concentrations change diurnally in association with feeding-fasting cycles in the dog, partially due to changes in insulin secretion.","DOI":"10.1016/j.tvjl.2004.01.003","ISSN":"1090-0233","note":"PMID: 15683767","shortTitle":"Diurnal variations of serum leptin in dogs","journalAbbreviation":"Vet. J.","language":"eng","author":[{"family":"Ishioka","given":"K"},{"family":"Hatai","given":"H"},{"family":"Komabayashi","given":"K"},{"family":"Soliman","given":"M M"},{"family":"Shibata","given":"H"},{"family":"Honjoh","given":"T"},{"family":"Kimura","given":"K"},{"family":"Saito","given":"M"}],"issued":{"date-parts":[["2005",1]]},"PMID":"15683767"}}],"schema":"https://github.com/citation-style-language/schema/raw/master/csl-citation.json"} </w:instrText>
      </w:r>
      <w:r w:rsidRPr="003A0EF9">
        <w:fldChar w:fldCharType="separate"/>
      </w:r>
      <w:r w:rsidRPr="00C13C7E">
        <w:rPr>
          <w:vertAlign w:val="superscript"/>
        </w:rPr>
        <w:t>144</w:t>
      </w:r>
      <w:r w:rsidRPr="003A0EF9">
        <w:fldChar w:fldCharType="end"/>
      </w:r>
      <w:r>
        <w:t xml:space="preserve">  This overall pattern was also seen with the current dogs, regardless of treatment.</w:t>
      </w:r>
    </w:p>
    <w:p w:rsidR="00F24665" w:rsidRDefault="00F24665" w:rsidP="00F24665">
      <w:pPr>
        <w:ind w:firstLine="720"/>
      </w:pPr>
      <w:r w:rsidRPr="003A0EF9">
        <w:t>There is conflicting evidence regarding total adiponectin levels in obese dogs.  Some have found obese levels to be similar to levels seen in lean dogs</w:t>
      </w:r>
      <w:r>
        <w:t>,</w:t>
      </w:r>
      <w:r>
        <w:fldChar w:fldCharType="begin"/>
      </w:r>
      <w:r w:rsidR="000A492A">
        <w:instrText xml:space="preserve"> ADDIN ZOTERO_ITEM CSL_CITATION {"citationID":"Of78gFBw","properties":{"formattedCitation":"{\\rtf \\super 145,248,249\\nosupersub{}}","plainCitation":"145,248,249"},"citationItems":[{"id":"sfRcBkgw/imMslKgT","uris":["http://zotero.org/users/local/Ry4zHLbn/items/QCR9RKRK"],"uri":["http://zotero.org/users/local/Ry4zHLbn/items/QCR9RKRK"],"itemData":{"id":"sfRcBkgw/imMslKgT","type":"article-journal","title":"The effects of weight loss on adipokines and markers of inflammation in dogs","container-title":"The British journal of nutrition","page":"S11-14","volume":"106 Suppl 1","source":"NCBI PubMed","abstract":"Evidence suggests that adipose tissue-derived adipokines induce mild inflammation and may play a role in insulin resistance associated with diabetes. The present study was designed to examine a series of adipokines and markers of inflammation in dogs before and after a successful weight loss. The study included fasting serum samples from twenty-five dogs before and after a weight-loss programme. Serum C-reactive protein (CRP) and monocyte chemoattractant protein-1 (MCP-1) were measured as indicators of chronic inflammation, while serum adipokines including total adiponectin, high-molecular-weight (HMW) adiponectin, resistin and leptin were also examined. Medians for CRP (before, 10.0 (interquartile range 5.4-15.0) μg/ml; after, 5.6 (interquartile range 3.8-7.0) μg/ml) and MCP-1 (before, 212 (interquartile range 157-288) ng/ml; after, 185 (interquartile range 143-215) ng/ml) decreased significantly after weight loss. Medians for resistin showed a mild, yet significant reduction (before, 67.1 (interquartile range 44.4-88.5) pg/ml; after, 60.5 (interquartile range 32.3-67.1) pg/ml), while leptin showed a dramatic decrease after weight loss (before, 18.9 (interquartile range 10.8-35.4) ng/ml; after, 6.6 (interquartile range 3.9-10.2) ng/ml). Serum total adiponectin and HMW adiponectin were unchanged on all analyses performed. These data suggest that weight loss can decrease chronic inflammation; however, the clinical implications of this decrease are not well elucidated in dogs. Surprisingly, there was no increase in total or HMW serum adiponectin after weight loss, as observed previously in human subjects. The lack of change in total and HMW adiponectin might explain why insulin resistance and type 2 diabetes are less prevalent in obese dogs when compared with humans and cats.","DOI":"10.1017/S0007114511000560","ISSN":"1475-2662","note":"PMID: 22005402","journalAbbreviation":"Br. J. Nutr.","language":"eng","author":[{"family":"Wakshlag","given":"Joseph J"},{"family":"Struble","given":"Angela M"},{"family":"Levine","given":"Corri B"},{"family":"Bushey","given":"Jennifer J"},{"family":"Laflamme","given":"Dorothy P"},{"family":"Long","given":"Grace M"}],"issued":{"year":2011,"month":10},"PMID":"22005402","page-first":"S11","container-title-short":"Br. J. Nutr."}},{"id":"sfRcBkgw/0fwnw5vE","uris":["http://zotero.org/users/local/Ry4zHLbn/items/RBZIFQW7"],"uri":["http://zotero.org/users/local/Ry4zHLbn/items/RBZIFQW7"],"itemData":{"id":"sfRcBkgw/0fwnw5vE","type":"article-journal","title":"Distinct adiponectin profiles might contribute to differences in susceptibility to type 2 diabetes in dogs and humans","container-title":"Domestic animal endocrinology","page":"67-73","volume":"41","issue":"2","source":"NCBI PubMed","abstract":"Dogs develop obesity-associated insulin resistance but not type 2 diabetes mellitus. Low adiponectin is associated with progression to type 2 diabetes in obese humans. The aims of this study were to compare total and high molecular weight (HMW) adiponectin and the ratio of HMW to total adiponectin (S(A)) between dogs and humans and to examine whether total or HMW adiponectin or both are associated with insulin resistance in naturally occurring obese dogs. We compared adiponectin profiles between 10 lean dogs and 10 lean humans and between 6 lean dogs and 6 age- and sex-matched, client-owned obese dogs. Total adiponectin was measured with assays validated in each species. We measured S(A) with velocity centrifugation on sucrose gradients. The effect of total and HMW adiponectin concentrations on MINMOD-estimated insulin sensitivity was assessed with linear regression. Lean dogs had total and HMW adiponectin concentrations three to four times higher than lean humans (total: dogs 32 ± 5.6 mg/L, humans 10 ± 1.3 mg/L, P&lt;0.001; HMW: dogs 25 ± 4.5 mg/L, humans 6 ± 1.3 mg/L, P&lt;0.001) and a higher S(A) (dogs: 0.78 ± 0.05; humans: 0.54 ± 0.08, P = 0.002). Adiponectin concentrations and S(A) were not lower in obese dogs (0.76 ± 0.05 in both groups; P=1). Total adiponectin, HMW adiponectin, and S(A) were not associated with insulin sensitivity in dogs. We propose that differences in adiponectin profiles between humans and dogs might contribute to the propensity of humans but not dogs to develop type 2 diabetes. Dogs with chronic, naturally occurring obesity do not have selectively reduced HMW adiponectin, and adiponectin does not appear to be important in the development of canine obesity-associated insulin resistance.","DOI":"10.1016/j.domaniend.2011.03.003","ISSN":"1879-0054","note":"PMID: 21600725","journalAbbreviation":"Domest. Anim. Endocrinol.","language":"eng","author":[{"family":"Verkest","given":"K R"},{"family":"Rand","given":"J S"},{"family":"Fleeman","given":"L M"},{"family":"Morton","given":"J M"},{"family":"Richards","given":"A A"},{"family":"Rose","given":"F J"},{"family":"Whitehead","given":"J P"}],"issued":{"year":2011,"month":8},"PMID":"21600725","page-first":"67","container-title-short":"Domest. Anim. Endocrinol."}},{"id":"sfRcBkgw/Mv2E0of4","uris":["http://zotero.org/users/local/Ry4zHLbn/items/T3HJ3BEN"],"uri":["http://zotero.org/users/local/Ry4zHLbn/items/T3HJ3BEN"],"itemData":{"id":"sfRcBkgw/Mv2E0of4","type":"article-journal","title":"Improvement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Endocrinol."}}],"schema":"https://github.com/citation-style-language/schema/raw/master/csl-citation.json"} </w:instrText>
      </w:r>
      <w:r>
        <w:fldChar w:fldCharType="separate"/>
      </w:r>
      <w:r w:rsidR="000A492A" w:rsidRPr="000A492A">
        <w:rPr>
          <w:vertAlign w:val="superscript"/>
        </w:rPr>
        <w:t>145,248,249</w:t>
      </w:r>
      <w:r>
        <w:fldChar w:fldCharType="end"/>
      </w:r>
      <w:r w:rsidRPr="003A0EF9">
        <w:t xml:space="preserve"> while others have found lower levels in obese versus lean dogs.</w:t>
      </w:r>
      <w:r w:rsidRPr="003A0EF9">
        <w:fldChar w:fldCharType="begin"/>
      </w:r>
      <w:r w:rsidR="000A492A">
        <w:instrText xml:space="preserve"> ADDIN ZOTERO_ITEM CSL_CITATION {"citationID":"H208v1vw","properties":{"formattedCitation":"{\\rtf \\super 250\\uc0\\u8211{}252\\nosupersub{}}","plainCitation":"250–252"},"citationItems":[{"id":321,"uris":["http://zotero.org/users/local/Ry4zHLbn/items/SAVEQ6DH"],"uri":["http://zotero.org/users/local/Ry4zHLbn/items/SAVEQ6DH"],"itemData":{"id":321,"type":"article-journal","title":"Canine adiponectin: cDNA structure, mRNA expression in adipose tissues and reduced plasma levels in obesity","container-title":"Research in veterinary science","page":"127-132","volume":"80","issue":"2","source":"NCBI PubMed","abstract":"Adiponectin is a protein synthesized and secreted by adipocytes. Decreased adiponectin is responsible for insulin resistance and atherosclerosis associated with human obesity. We obtained a cDNA clone corresponding to canine adiponectin, whose nucleotide and deduced amino acid sequences were highly identical to those of other species. Adiponectin mRNA was detected in adipose tissues, but not in other tissues, of dogs. When 22 adult beagles were given a high-energy diet for 14 weeks, they became obese, showing heavier body weights, higher plasma leptin concentrations, but lower plasma adiponectin concentrations. The adiponectin concentrations of plasma samples collected from 71 dogs visiting veterinary practices were negatively correlated to plasma leptin concentrations, being lower in obese than non-obese dogs. These results are compatible with those reported in other species, and suggest that adiponectin is an index of adiposity and a target molecule for studies on diseases associated with obesity in dogs.","DOI":"10.1016/j.rvsc.2005.05.011","ISSN":"0034-5288","note":"PMID: 16051287","shortTitle":"Canine adiponectin","journalAbbreviation":"Res. Vet. Sci.","language":"eng","author":[{"family":"Ishioka","given":"K"},{"family":"Omachi","given":"A"},{"family":"Sagawa","given":"M"},{"family":"Shibata","given":"H"},{"family":"Honjoh","given":"T"},{"family":"Kimura","given":"K"},{"family":"Saito","given":"M"}],"issued":{"date-parts":[["2006",4]]},"PMID":"16051287"}},{"id":384,"uris":["http://zotero.org/users/171999/items/26SKV3UZ"],"uri":["http://zotero.org/users/171999/items/26SKV3UZ"],"itemData":{"id":384,"type":"article-journal","title":"Effect of weight loss on inflammatory biomarkers in obese dogs","container-title":"Veterinary journal (London, England: 1997)","page":"570-572","volume":"193","issue":"2","source":"NCBI PubMed","abstract":"The objective of this study was to evaluate the effects of weight loss on selected serum inflammatory biomarkers in obese dogs. An experimentally induced bodyweight reduction of approximately 2.5%/week was accompanied by significant decreases in metabolic markers of obesity (lipidic profile, fructosamine, and insulin-like growth factor-1). The concentrations of acute phase proteins and of selected cytokines remained within reference ranges in obese dogs during weight loss, suggesting that significant inflammation was not a major component of this experimental model. However, adiponectin concentrations increased following the period of weight loss suggesting reduced susceptibility of these animals to obesity-related inflammation.","DOI":"10.1016/j.tvjl.2012.02.015","ISSN":"1532-2971","note":"PMID: 22464400","journalAbbreviation":"Vet. J.","language":"eng","author":[{"family":"Tvarijonaviciute","given":"Asta"},{"family":"Tecles","given":"Fernando"},{"family":"Martínez-Subiela","given":"Silvia"},{"family":"Cerón","given":"José J"}],"issued":{"date-parts":[["2012",8]]},"PMID":"22464400"}},{"id":428,"uris":["http://zotero.org/users/171999/items/NVGTTF9T"],"uri":["http://zotero.org/users/171999/items/NVGTTF9T"],"itemData":{"id":428,"type":"article-journal","title":"Comparison of Adipokine Concentrations and Markers of Inflammation in Obese Versus Lean Dogs","container-title":"International Journal of Applied Research in Veterinary Medicine","page":"196-205","volume":"7","issue":"4","source":"ISI Web of Knowledge","abstract":"The purpose of this study was to compare the concentrations of key adipokines and markers of inflammation associated with obesity in a population of healthy lean versus obese pet dogs. Dogs were determined to be in good health based on medical history, physical examination, complete blood count, serum biochemistry profile, and urinalysis. Adult dogs between 2 and 7 years of age were assigned to either the lean group [body condition score (BCS) = 4-5/9; n=39] or the obese group [BCS= 7-9/9; n=37]. Sampling before daily feeding circulating concentrations of C-reactive protein (CRP), adiponectin, resistin, insulin, leptin, interleukin-6 (IL-6) and tumor necrosis factor-alpha (TNT were measured. Groups were compared using Chi-Square and Mann-Whitney U tests. No significant differences between groups were detected in age (p=0.16) or gender (p=0.34). Median CRP concentration was significantly higher in the obese group [median 0.94 ug/ml (0.47-6.22 ug/ml)], versus the lean group [median 0.72 ug/ml (0.45-6.04 ug/ml); p=0.03]. The lean group had higher median adiponectin concentration [median 21.84 ug/ml (3.08-79.14 ug/ml)] compared to the obese group [median 15.27 ug/ml (1.97-42.76 ug/ml); p=0.004]. Statistical analysis for IL-6 and TNF was not performed because &gt; 50% of samples either failed due to methodological issues or were below the level of detection. Differences between groups in insulin, glucose, insulin:glucose ratio, and leptin concentrations were not detected in this study.Additional studies in dogs are warranted to further evaluate mechanisms and clinical significance of adipokines and inflammatory mediators associated with obesity.","ISSN":"1542-2666","note":"WOS:000284802600008","journalAbbreviation":"Int. J. Appl. Res. Vet. Med.","language":"English","author":[{"family":"Eirmann","given":"Laura A."},{"family":"Freeman","given":"Lisa M."},{"family":"Laflamme","given":"Dorothy P."},{"family":"Michel","given":"Kathryn E."},{"family":"Satyaraj","given":"Ebenezer"}],"issued":{"date-parts":[["2009"]]}}}],"schema":"https://github.com/citation-style-language/schema/raw/master/csl-citation.json"} </w:instrText>
      </w:r>
      <w:r w:rsidRPr="003A0EF9">
        <w:fldChar w:fldCharType="separate"/>
      </w:r>
      <w:r w:rsidR="000A492A" w:rsidRPr="000A492A">
        <w:rPr>
          <w:vertAlign w:val="superscript"/>
        </w:rPr>
        <w:t>250–252</w:t>
      </w:r>
      <w:r w:rsidRPr="003A0EF9">
        <w:fldChar w:fldCharType="end"/>
      </w:r>
      <w:r w:rsidRPr="003A0EF9">
        <w:t xml:space="preserve">  </w:t>
      </w:r>
      <w:r>
        <w:t>A review of the two largest studies with conflicting results</w:t>
      </w:r>
      <w:r w:rsidRPr="003A0EF9">
        <w:t xml:space="preserve"> conclude</w:t>
      </w:r>
      <w:r>
        <w:t>d</w:t>
      </w:r>
      <w:r w:rsidRPr="003A0EF9">
        <w:t xml:space="preserve"> there </w:t>
      </w:r>
      <w:r>
        <w:t>is no</w:t>
      </w:r>
      <w:r w:rsidRPr="003A0EF9">
        <w:t xml:space="preserve"> sex-related difference in total adiponectin concentrations </w:t>
      </w:r>
      <w:r>
        <w:t xml:space="preserve">and </w:t>
      </w:r>
      <w:r w:rsidRPr="003A0EF9">
        <w:t>obesity may decrease concentrations in intact but not in neutered dogs</w:t>
      </w:r>
      <w:r>
        <w:t>.</w:t>
      </w:r>
      <w:r w:rsidRPr="003A0EF9">
        <w:fldChar w:fldCharType="begin"/>
      </w:r>
      <w:r w:rsidR="000A492A">
        <w:instrText xml:space="preserve"> ADDIN ZOTERO_ITEM CSL_CITATION {"citationID":"iB0zeGaT","properties":{"formattedCitation":"{\\rtf \\super 253\\nosupersub{}}","plainCitation":"253"},"citationItems":[{"id":329,"uris":["http://zotero.org/users/local/Ry4zHLbn/items/94U8UI9Z"],"uri":["http://zotero.org/users/local/Ry4zHLbn/items/94U8UI9Z"],"itemData":{"id":329,"type":"article-journal","title":"Adiposity and adiponectin in dogs: investigation of causes of discrepant results between two studies","container-title":"Domestic animal endocrinology","page":"35-41","volume":"41","issue":"1","source":"NCBI PubMed","abstract":"Although one study showed lower adiponectin concentrations in obese dogs, other recent studies indicate that adiponectin might not be decreased in obese dogs, raising the possibility that the physiology of adiponectin is different in dogs than in humans. The aim of this study was to investigate possible causes of the discrepancy between the two largest studies to date that assessed the association between adiposity and adiponectin concentration in dogs, including the validity of the assay, laboratory error, and the effects of breed, sex, and neuter status on the relationship between adiposity and adiponectin concentrations. Adiponectin concentrations measured with a previously validated adiponectin ELISA were compared with those estimated by Western blotting analysis of reduced and denatured plasma samples. The possibility of laboratory error and the effect of EDTA anticoagulant and aprotinin were tested. Adiponectin concentration was measured by ELISA in 20 lean dogs (10 male and 10 female, 5 neutered in each sex). There was close correlation between adiponectin concentrations measured by ELISA and those estimated by Western blotting analysis (r = 0.90; P &lt; 0.001). There was no substantial effect of EDTA, aprotinin, or laboratory error on the results. There was confounding by neuter status of the relationship between adiposity and adiponectin concentrations, but adiponectin concentrations were not significantly lower in male than in female lean dogs (females, 36 mg/L; males, 26 mg/L; P &gt; 0.20) and were not significantly lower in intact than in neutered lean male dogs (intact, 28 mg/L; neutered, 23 mg/L; P = 0.49). We conclude that the adiponectin ELISA previously validated for use in dogs appears to be suitable for determination of canine adiponectin concentrations and that testosterone does not appear to have a strong effect on plasma adiponectin concentrations in dogs. Obesity might decrease adiponectin concentrations in intact but not in neutered dogs.","DOI":"10.1016/j.domaniend.2011.03.004","ISSN":"1879-0054","note":"PMID: 21645805","shortTitle":"Adiposity and adiponectin in dogs","journalAbbreviation":"Domest. Anim. Endocrinol.","language":"eng","author":[{"family":"Verkest","given":"K R"},{"family":"Rose","given":"F J"},{"family":"Fleeman","given":"L M"},{"family":"Rand","given":"J S"},{"family":"Morton","given":"J M"},{"family":"Richards","given":"A A"},{"family":"Ishioka","given":"K"},{"family":"Whitehead","given":"J P"}],"issued":{"date-parts":[["2011",7]]},"PMID":"21645805"}}],"schema":"https://github.com/citation-style-language/schema/raw/master/csl-citation.json"} </w:instrText>
      </w:r>
      <w:r w:rsidRPr="003A0EF9">
        <w:fldChar w:fldCharType="separate"/>
      </w:r>
      <w:r w:rsidR="000A492A" w:rsidRPr="000A492A">
        <w:rPr>
          <w:vertAlign w:val="superscript"/>
        </w:rPr>
        <w:t>253</w:t>
      </w:r>
      <w:r w:rsidRPr="003A0EF9">
        <w:fldChar w:fldCharType="end"/>
      </w:r>
      <w:r>
        <w:t xml:space="preserve">  Adiponectin was largely unchanged in the dogs from the current study, although group differences did exist for excess calorie nutraceutical dogs and ideal maintenance dogs.  Both of these groups had higher overall levels, but also differed from each other.  Taken as a whole, dogs had similar total adiponectin levels, regardless of body mass, supporting the work of others.</w:t>
      </w:r>
      <w:r>
        <w:fldChar w:fldCharType="begin"/>
      </w:r>
      <w:r w:rsidR="000A492A">
        <w:instrText xml:space="preserve"> ADDIN ZOTERO_ITEM CSL_CITATION {"citationID":"xGntkl8s","properties":{"formattedCitation":"{\\rtf \\super 145,248,249\\nosupersub{}}","plainCitation":"145,248,249"},"citationItems":[{"id":"sfRcBkgw/imMslKgT","uris":["http://zotero.org/users/local/Ry4zHLbn/items/QCR9RKRK"],"uri":["http://zotero.org/users/local/Ry4zHLbn/items/QCR9RKRK"],"itemData":{"id":"sfRcBkgw/imMslKgT","type":"article-journal","title":"The effects of weight loss on adipokines and markers of inflammation in dogs","container-title":"The British journal of nutrition","page":"S11-14","volume":"106 Suppl 1","source":"NCBI PubMed","abstract":"Evidence suggests that adipose tissue-derived adipokines induce mild inflammation and may play a role in insulin resistance associated with diabetes. The present study was designed to examine a series of adipokines and markers of inflammation in dogs before and after a successful weight loss. The study included fasting serum samples from twenty-five dogs before and after a weight-loss programme. Serum C-reactive protein (CRP) and monocyte chemoattractant protein-1 (MCP-1) were measured as indicators of chronic inflammation, while serum adipokines including total adiponectin, high-molecular-weight (HMW) adiponectin, resistin and leptin were also examined. Medians for CRP (before, 10.0 (interquartile range 5.4-15.0) μg/ml; after, 5.6 (interquartile range 3.8-7.0) μg/ml) and MCP-1 (before, 212 (interquartile range 157-288) ng/ml; after, 185 (interquartile range 143-215) ng/ml) decreased significantly after weight loss. Medians for resistin showed a mild, yet significant reduction (before, 67.1 (interquartile range 44.4-88.5) pg/ml; after, 60.5 (interquartile range 32.3-67.1) pg/ml), while leptin showed a dramatic decrease after weight loss (before, 18.9 (interquartile range 10.8-35.4) ng/ml; after, 6.6 (interquartile range 3.9-10.2) ng/ml). Serum total adiponectin and HMW adiponectin were unchanged on all analyses performed. These data suggest that weight loss can decrease chronic inflammation; however, the clinical implications of this decrease are not well elucidated in dogs. Surprisingly, there was no increase in total or HMW serum adiponectin after weight loss, as observed previously in human subjects. The lack of change in total and HMW adiponectin might explain why insulin resistance and type 2 diabetes are less prevalent in obese dogs when compared with humans and cats.","DOI":"10.1017/S0007114511000560","ISSN":"1475-2662","note":"PMID: 22005402","journalAbbreviation":"Br. J. Nutr.","language":"eng","author":[{"family":"Wakshlag","given":"Joseph J"},{"family":"Struble","given":"Angela M"},{"family":"Levine","given":"Corri B"},{"family":"Bushey","given":"Jennifer J"},{"family":"Laflamme","given":"Dorothy P"},{"family":"Long","given":"Grace M"}],"issued":{"year":2011,"month":10},"PMID":"22005402","page-first":"S11","container-title-short":"Br. J. Nutr."}},{"id":"sfRcBkgw/0fwnw5vE","uris":["http://zotero.org/users/local/Ry4zHLbn/items/RBZIFQW7"],"uri":["http://zotero.org/users/local/Ry4zHLbn/items/RBZIFQW7"],"itemData":{"id":"sfRcBkgw/0fwnw5vE","type":"article-journal","title":"Distinct adiponectin profiles might contribute to differences in susceptibility to type 2 diabetes in dogs and humans","container-title":"Domestic animal endocrinology","page":"67-73","volume":"41","issue":"2","source":"NCBI PubMed","abstract":"Dogs develop obesity-associated insulin resistance but not type 2 diabetes mellitus. Low adiponectin is associated with progression to type 2 diabetes in obese humans. The aims of this study were to compare total and high molecular weight (HMW) adiponectin and the ratio of HMW to total adiponectin (S(A)) between dogs and humans and to examine whether total or HMW adiponectin or both are associated with insulin resistance in naturally occurring obese dogs. We compared adiponectin profiles between 10 lean dogs and 10 lean humans and between 6 lean dogs and 6 age- and sex-matched, client-owned obese dogs. Total adiponectin was measured with assays validated in each species. We measured S(A) with velocity centrifugation on sucrose gradients. The effect of total and HMW adiponectin concentrations on MINMOD-estimated insulin sensitivity was assessed with linear regression. Lean dogs had total and HMW adiponectin concentrations three to four times higher than lean humans (total: dogs 32 ± 5.6 mg/L, humans 10 ± 1.3 mg/L, P&lt;0.001; HMW: dogs 25 ± 4.5 mg/L, humans 6 ± 1.3 mg/L, P&lt;0.001) and a higher S(A) (dogs: 0.78 ± 0.05; humans: 0.54 ± 0.08, P = 0.002). Adiponectin concentrations and S(A) were not lower in obese dogs (0.76 ± 0.05 in both groups; P=1). Total adiponectin, HMW adiponectin, and S(A) were not associated with insulin sensitivity in dogs. We propose that differences in adiponectin profiles between humans and dogs might contribute to the propensity of humans but not dogs to develop type 2 diabetes. Dogs with chronic, naturally occurring obesity do not have selectively reduced HMW adiponectin, and adiponectin does not appear to be important in the development of canine obesity-associated insulin resistance.","DOI":"10.1016/j.domaniend.2011.03.003","ISSN":"1879-0054","note":"PMID: 21600725","journalAbbreviation":"Domest. Anim. Endocrinol.","language":"eng","author":[{"family":"Verkest","given":"K R"},{"family":"Rand","given":"J S"},{"family":"Fleeman","given":"L M"},{"family":"Morton","given":"J M"},{"family":"Richards","given":"A A"},{"family":"Rose","given":"F J"},{"family":"Whitehead","given":"J P"}],"issued":{"year":2011,"month":8},"PMID":"21600725","page-first":"67","container-title-short":"Domest. Anim. Endocrinol."}},{"id":"sfRcBkgw/Mv2E0of4","uris":["http://zotero.org/users/local/Ry4zHLbn/items/T3HJ3BEN"],"uri":["http://zotero.org/users/local/Ry4zHLbn/items/T3HJ3BEN"],"itemData":{"id":"sfRcBkgw/Mv2E0of4","type":"article-journal","title":"Improvement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Endocrinol."}}],"schema":"https://github.com/citation-style-language/schema/raw/master/csl-citation.json"} </w:instrText>
      </w:r>
      <w:r>
        <w:fldChar w:fldCharType="separate"/>
      </w:r>
      <w:r w:rsidR="000A492A" w:rsidRPr="000A492A">
        <w:rPr>
          <w:vertAlign w:val="superscript"/>
        </w:rPr>
        <w:t>145,248,249</w:t>
      </w:r>
      <w:r>
        <w:fldChar w:fldCharType="end"/>
      </w:r>
      <w:r>
        <w:t xml:space="preserve">  The current study utilized induced obesity from a high fat diet as well as more natural obesity from overconsumption of a standard maintenance diet, negating a difference in adiponectin related to the way in which obesity occurred.  This study did not look at obesity beyond 12 weeks of treatment, so it is still possible differences may exist between chronic, natural obesity and high fat diet induced obesity.</w:t>
      </w:r>
      <w:commentRangeEnd w:id="172"/>
      <w:r>
        <w:rPr>
          <w:rStyle w:val="CommentReference"/>
        </w:rPr>
        <w:commentReference w:id="172"/>
      </w:r>
    </w:p>
    <w:p w:rsidR="00F24665" w:rsidRDefault="00F24665" w:rsidP="00F24665">
      <w:pPr>
        <w:ind w:firstLine="720"/>
      </w:pPr>
    </w:p>
    <w:p w:rsidR="00F24665" w:rsidRPr="00945C83" w:rsidRDefault="00F24665" w:rsidP="00F24665">
      <w:pPr>
        <w:ind w:firstLine="720"/>
      </w:pPr>
      <w:commentRangeStart w:id="174"/>
      <w:r>
        <w:t>In people, a nutraceutical combining 2.25 g leucine and 30 mg pyridoxine (NuShape®, NuSirt Sciences, Nashville, TN) has shown promise as an effective aid to the management of obesity.</w:t>
      </w:r>
      <w:r>
        <w:fldChar w:fldCharType="begin"/>
      </w:r>
      <w:r w:rsidR="000A492A">
        <w:instrText xml:space="preserve"> ADDIN ZOTERO_ITEM CSL_CITATION {"citationID":"NgI4rlGt","properties":{"formattedCitation":"{\\rtf \\super 347,354\\nosupersub{}}","plainCitation":"347,354"},"citationItems":[{"id":"sfRcBkgw/unGO8au1","uris":["http://zotero.org/users/local/Ry4zHLbn/items/WZP424QN"],"uri":["http://zotero.org/users/local/Ry4zHLbn/items/WZP424QN"],"itemData":{"id":"sfRcBkgw/unGO8au1","type":"article-journal","title":"Effects of a leucine and pyridoxine-containing nutraceutical on fat oxidation, and oxidative and inflammatory stress in overweight and obese subjects","container-title":"Nutrients","page":"529-541","volume":"4","issue":"6","source":"NCBI PubMed","abstract":"Leucine stimulates tissue protein synthesis and may also attenuate adiposity by increasing fatty acid oxidation and mitochondrial biogenesis in muscle and adipocytes. Accordingly, the effects of a nutraceutical containing 2.25 g leucine and 30 mg pyridoxine (Vitamin B6) (NuFit active blend) were tested in cell culture and in a clinical trial. 3T3L1 adipocytes were treated with leucine (0.25 mM or 0.5 mM) and/or Pyridoxal Phosphate (PLP) (50 nM or 100 nM) for 48 h. For the clinical trial, twenty overweight or obese subjects received the NuFit active blend or placebo three times/day for 4 weeks without energy restriction. Leucine decreased fatty acid synthase (FAS) expression and triglyceride content in adipocytes, and PLP addition significantly augmented this effect. Administration of NuFit active blend in the clinical trial increased fat oxidation by 33.6 g/day (p &lt; 0.04), decreased respiratory quotient, improved HOMA(IR), reduced oxidative and inflammatory biomarkers (plasma MDA, 8-isoprostane-F(2α), TNF-α, C-reactive protein), and increased the anti-inflammatory marker adiponectin. These data indicate that the NuFit active blend significantly increased fat oxidation and insulin sensitivity, and reduced oxidative and inflammatory stress. Therefore, the NuFit active blend appears to be a useful nutraceutical in the management of obesity and associated co-morbidities.","DOI":"10.3390/nu4060529","ISSN":"2072-6643","note":"PMID: 22822451","journalAbbreviation":"Nutrients","language":"eng","author":[{"family":"Zemel","given":"Michael B"},{"family":"Bruckbauer","given":"Antje"}],"issued":{"year":2012,"month":6},"PMID":"22822451","page-first":"529","container-title-short":"Nutrients"}},{"id":"sfRcBkgw/s6z6ObuO","uris":["http://zotero.org/users/local/Ry4zHLbn/items/GJKIQNPJ"],"uri":["http://zotero.org/users/local/Ry4zHLbn/items/GJKIQNPJ"],"itemData":{"id":"sfRcBkgw/s6z6ObuO","type":"article-journal","title":"Effects of a leucine and pyridoxine-containing nutraceutical on body weight and composition in obese subjects","container-title":"Diabetes, metabolic syndrome and obesity: targets and therapy","page":"309-315","volume":"6","source":"NCBI PubMed","abstract":"BACKGROUND: We recently demonstrated leucine to modulate energy partitioning between adipose tissue and muscle. Further, leucine exhibits a synergy with B6, resulting in reduced adipocyte lipid storage coupled with increased muscle fat oxidation. Accordingly, a nutraceutical (NuShape™) containing 2.25 g leucine and 30 mg B6 increased fat oxidation by &gt;30 g/day in a 28-day randomized controlled trial. The present study evaluated the long-term efficacy of this combination in modulating body weight and composition.\nMETHODS: Two 24-week, placebo-controlled, randomized trials, one with weight maintenance (n = 20) and one hypocaloric (-500 kcal/day; n = 24), were conducted using the nutraceutical Nushape in obese subjects.\nRESULTS: The supplement resulted in fat loss in the maintenance study (-1.12 ± 0.36 and -1.82 ± 0.70 kg at 12 and 24 weeks, P &lt; 0.01 versus placebo) while no change was found in the placebo group. In the hypocaloric study, the supplement group lost up to twice as much weight (6.18 ± 1.02 versus 3.40 ± 0.81 kg at 12 weeks and 8.15 ± 1.33 versus 5.25 ± 1.13 kg at 24 weeks, P &lt; 0.01) and fat (4.96 ± 0.61 versus 2.31 ± 0.53 kg at 12 weeks and 7.00 ± 0.95 versus 4.22 ± 0.74 kg at 24 weeks, P &lt; 0.01) than the placebo group.\nCONCLUSION: This nutraceutical combination results in significant fat loss in the absence of caloric restriction and markedly enhances weight and fat loss by 50%-80% over a 24-week period.","DOI":"10.2147/DMSO.S49623","ISSN":"1178-7007","note":"PMID: 24003309","journalAbbreviation":"Diabetes Metab Syndr Obes","language":"eng","author":[{"family":"Zemel","given":"Michael B"},{"family":"Bruckbauer","given":"Antje"}],"issued":{"year":2013},"PMID":"24003309","page-first":"309","container-title-short":"Diabetes Metab Syndr Obes"}}],"schema":"https://github.com/citation-style-language/schema/raw/master/csl-citation.json"} </w:instrText>
      </w:r>
      <w:r>
        <w:fldChar w:fldCharType="separate"/>
      </w:r>
      <w:r w:rsidR="000A492A" w:rsidRPr="000A492A">
        <w:rPr>
          <w:vertAlign w:val="superscript"/>
        </w:rPr>
        <w:t>347,354</w:t>
      </w:r>
      <w:r>
        <w:fldChar w:fldCharType="end"/>
      </w:r>
      <w:r>
        <w:t xml:space="preserve">  The active ingredients are reported to have a synergistic ability to encourage lipolysis while maintaining lean tissue mass.  The aim of the current study was to determine if a dose modified for dogs (1 g leucine and 13 mg pyridoxine)</w:t>
      </w:r>
      <w:r w:rsidRPr="008D0218">
        <w:t xml:space="preserve"> </w:t>
      </w:r>
      <w:r>
        <w:t xml:space="preserve">would alter energy partitioning differently than a negative placebo control or therapeutic weight loss diet when losing, gaining, or maintaining weight.  The nutraceutical was associated with </w:t>
      </w:r>
      <w:r>
        <w:rPr>
          <w:rFonts w:cs="Times New Roman"/>
        </w:rPr>
        <w:t>weight loss similar to that achieved by dogs consuming lean maintenance levels of a therapeutic weight loss diet (</w:t>
      </w:r>
      <w:r>
        <w:rPr>
          <w:rFonts w:cs="Times New Roman"/>
          <w:color w:val="FF0000"/>
        </w:rPr>
        <w:t>Chapter I)</w:t>
      </w:r>
      <w:r>
        <w:rPr>
          <w:rFonts w:cs="Times New Roman"/>
        </w:rPr>
        <w:t xml:space="preserve">.  Both groups performed better than a placebo control, but all groups lost weight over twelve weeks.  The supplement did not affect voluntary food intake or weight gain in a different group of dogs when provided access to excess calories </w:t>
      </w:r>
      <w:r>
        <w:rPr>
          <w:rFonts w:cs="Times New Roman"/>
          <w:color w:val="FF0000"/>
        </w:rPr>
        <w:t xml:space="preserve">(Chapter II).  </w:t>
      </w:r>
      <w:r>
        <w:rPr>
          <w:rFonts w:cs="Times New Roman"/>
        </w:rPr>
        <w:t>Select gene expression was determined from muscle and fat samples in all dogs from both trials, along with a negative control group that maintained ideal weight for twelve weeks to determine product action at the cellular level.</w:t>
      </w:r>
    </w:p>
    <w:p w:rsidR="00F24665" w:rsidRDefault="00F24665" w:rsidP="00F24665">
      <w:pPr>
        <w:ind w:firstLine="720"/>
      </w:pPr>
      <w:r>
        <w:t xml:space="preserve">Leucine has been shown to increase muscle fatty acid oxidation and UCP3 expression and to decrease adipocyte fatty acid synthase (FASN) and PPARγ expression </w:t>
      </w:r>
      <w:r w:rsidRPr="00625917">
        <w:rPr>
          <w:i/>
        </w:rPr>
        <w:t>in vitro</w:t>
      </w:r>
      <w:r w:rsidRPr="000560D3">
        <w:t>.</w:t>
      </w:r>
      <w:r w:rsidRPr="00625917">
        <w:rPr>
          <w:i/>
        </w:rPr>
        <w:fldChar w:fldCharType="begin"/>
      </w:r>
      <w:r w:rsidR="000A492A">
        <w:rPr>
          <w:i/>
        </w:rPr>
        <w:instrText xml:space="preserve"> ADDIN ZOTERO_ITEM CSL_CITATION {"citationID":"T0EwVQxD","properties":{"formattedCitation":"{\\rtf \\super 348\\nosupersub{}}","plainCitation":"348"},"citationItems":[{"id":1693,"uris":["http://zotero.org/users/171999/items/7S98DPBI"],"uri":["http://zotero.org/users/171999/items/7S98DPBI"],"itemData":{"id":1693,"type":"article-journal","title":"Leucine and calcium regulate fat metabolism and energy partitioning in murine adipocytes and muscle cells","container-title":"Lipids","page":"297-305","volume":"42","issue":"4","source":"NCBI PubMed","abstract":"Dietary calcium modulation of adiposity is mediated, in part, by suppression of calcitriol, while the additional effect of dairy products is mediated by additional components; these include the high concentration of leucine, a key factor in the regulation of muscle protein turnover. We investigated the effect of leucine, calcitriol and calcium on energy metabolism in murine adipocytes and muscle cells and on energy partitioning between adipocytes and skeletal muscle. Leucine induced a marked increase in fatty acid oxidation in C2C12 muscle cells (P&lt;0.001) and decreased FAS expression by 66% (P&lt;0.001) in 3T3-L1 adipocytes. Calcitriol decreased muscle cell fatty acid oxidation by 37% (P&lt;0.001) and increased adipocyte FAS gene expression by threefold (P&lt;0.05); these effects were partially reversed by either leucine or calcium channel antagonism with nifedipine. Co-culture of muscle cells with adipocytes or incubation with 48-h adipocyte conditioned medium decreased muscle fatty acid oxidation by 62% (P&lt;0.001), but treating adipocytes with leucine and/or nifedipine attenuated this effect. Leucine, nifedipine and calcitriol also modulated adiponectin production and thereby exerted additional indirect effects on fatty acid oxidation in C2C12 myotubes. Adiponectin increased IL-15 and IL-6 release by myotubes and partially reversed the inhibitory effects of calcitriol. Comparable effects of leucine, calcitriol and adiponectin were found in myotubes treated with conditioned medium derived from adipocytes or co-cultured with adipocytes. These data suggest that leucine and nifedipine promote energy partitioning from adipocytes to muscle cells, resulting in decreased energy storage in adipocytes and increasing fatty acid utilization in muscle.","DOI":"10.1007/s11745-007-3029-5","ISSN":"0024-4201","note":"PMID: 17406924","journalAbbreviation":"Lipids","language":"eng","author":[{"family":"Sun","given":"Xiaocun"},{"family":"Zemel","given":"Michael B"}],"issued":{"date-parts":[["2007",4]]},"PMID":"17406924"}}],"schema":"https://github.com/citation-style-language/schema/raw/master/csl-citation.json"} </w:instrText>
      </w:r>
      <w:r w:rsidRPr="00625917">
        <w:rPr>
          <w:i/>
        </w:rPr>
        <w:fldChar w:fldCharType="separate"/>
      </w:r>
      <w:r w:rsidR="000A492A" w:rsidRPr="000A492A">
        <w:rPr>
          <w:vertAlign w:val="superscript"/>
        </w:rPr>
        <w:t>348</w:t>
      </w:r>
      <w:r w:rsidRPr="00625917">
        <w:rPr>
          <w:i/>
        </w:rPr>
        <w:fldChar w:fldCharType="end"/>
      </w:r>
      <w:r>
        <w:t xml:space="preserve">  FASN is integral to fat production by catalyzing palmitate production from acetyl CoA and malonyl CoA.  PPARγ stimulates lipid uptake and production within adipocytes and UCP3 causes oxidative phosphorylation, mainly in skeletal muscle.  PPARγ expression was not measured in this study, but it has previously been shown to be decreased in visceral adipose tissue of obese and insulin resistant dogs compared to expression before obesity.</w:t>
      </w:r>
      <w:r>
        <w:fldChar w:fldCharType="begin"/>
      </w:r>
      <w:r w:rsidR="000A492A">
        <w:instrText xml:space="preserve"> ADDIN ZOTERO_ITEM CSL_CITATION {"citationID":"SJV8GcMi","properties":{"formattedCitation":"{\\rtf \\super 433\\nosupersub{}}","plainCitation":"433"},"citationItems":[{"id":756,"uris":["http://zotero.org/users/171999/items/2GFQUEWS"],"uri":["http://zotero.org/users/171999/items/2GFQUEWS"],"itemData":{"id":756,"type":"article-journal","title":"Modulation of uncoupling protein 1 and peroxisome proliferator-activated receptor gamma expression in adipose tissue in obese insulin-resistant dogs","container-title":"Journal of Nutrition","page":"2154S-2157S","volume":"134","issue":"8","source":"ISI Web of Knowledge","ISSN":"0022-3166","note":"WOS:000223613200034","journalAbbreviation":"J. Nutr.","language":"English","author":[{"family":"Leray","given":"V."},{"family":"Gayet","given":"C."},{"family":"Martin","given":"L."},{"family":"Dumon","given":"H."},{"family":"Siliart","given":"B."},{"family":"Nguyen","given":"P."}],"issued":{"date-parts":[["2004",8]]}}}],"schema":"https://github.com/citation-style-language/schema/raw/master/csl-citation.json"} </w:instrText>
      </w:r>
      <w:r>
        <w:fldChar w:fldCharType="separate"/>
      </w:r>
      <w:r w:rsidR="000A492A" w:rsidRPr="000A492A">
        <w:rPr>
          <w:vertAlign w:val="superscript"/>
        </w:rPr>
        <w:t>433</w:t>
      </w:r>
      <w:r>
        <w:fldChar w:fldCharType="end"/>
      </w:r>
      <w:r>
        <w:t xml:space="preserve">  FASN (adipose tissue), UCP3 (skeletal muscle), and UCP2 (adipose tissue) were assessed in the current project, but expression levels were similar across and within all groups at both time points.  Subcutaneous fat expression of FASN has been shown to increase numerically, although not significantly, in dogs </w:t>
      </w:r>
      <w:commentRangeStart w:id="175"/>
      <w:r>
        <w:t xml:space="preserve">before and </w:t>
      </w:r>
      <w:commentRangeEnd w:id="175"/>
      <w:r>
        <w:rPr>
          <w:rStyle w:val="CommentReference"/>
        </w:rPr>
        <w:commentReference w:id="175"/>
      </w:r>
      <w:r>
        <w:t>after weight loss.</w:t>
      </w:r>
      <w:r>
        <w:fldChar w:fldCharType="begin"/>
      </w:r>
      <w:r w:rsidR="000A492A">
        <w:instrText xml:space="preserve"> ADDIN ZOTERO_ITEM CSL_CITATION {"citationID":"3SnCxyvG","properties":{"formattedCitation":"{\\rtf \\super 434\\nosupersub{}}","plainCitation":"434"},"citationItems":[{"id":775,"uris":["http://zotero.org/users/171999/items/ZCKRMFRF"],"uri":["http://zotero.org/users/171999/items/ZCKRMFRF"],"itemData":{"id":775,"type":"article-journal","title":"Adipose tissue gene expression in obese dogs after weight loss","container-title":"Journal of animal physiology and animal nutrition","page":"390-398","volume":"92","issue":"3","source":"NCBI PubMed","abstract":"Body weight (BW) mainly depends on a balance between fat storage (lipogenesis) and fat mobilization (lipolysis) in adipocytes. BW changes play a role in insulin resistance (IR), the inability of insulin target tissue to respond to physiological levels of insulin. This results in inhibition of lipogenesis and stimulation of lipolysis. Weight gain leads to IR whereas, weight loss improves insulin sensitivity (IS). The aim of this study was to evaluate the effect of weight loss and recovery of IS on the expression of genes involved in lipogenesis and lipolysis in weight losing dogs. Gene expression was studied in both subcutaneous and visceral adipose tissue. Obese dogs received a hypoenergetic low fat high protein diet (0.6 x NRC recommendation). Before and after weight loss, IS was assessed using the euglycaemic hyperinsulinaemic clamp. Gene expression of IRS-2, SREBP, intracellular insulin effectors, ACC, FAS, FABP, ADRP, PEPCK, lipogenesis key proteins, perilipin and HSL, lipolysis key proteins were quantified using real-time RT-PCR in subcutaneous and visceral fat. BW decreased from 15.2 +/- 0.5 to 11.4 +/- 0.4 kg (p &lt; 0.05) over 78 +/- 8 days. When obese, dogs were insulin resistant. After weight loss, IS was improved. In the subcutaneous adipose tissue, the expression of only the IRS-2 was increased. In the visceral adipose tissue, the expression of the genes involved in the lipogenesis was decreased whereas one of the genes implied in the lipolysis did not change. The expression profile of genes involved in lipid metabolism, as measured after weight loss, is indicative for a lower lipogenesis after weight loss than in obese dogs. Our results also confirm dramatic differences in the lipid metabolism of visceral and subcutaneous fat. They should be completed by comparing gene expression during weight losing and normal weight steady state.","DOI":"10.1111/j.1439-0396.2008.00818.x","ISSN":"1439-0396","note":"PMID: 18477322","journalAbbreviation":"J Anim Physiol Anim Nutr (Berl)","language":"eng","author":[{"family":"Leray","given":"V"},{"family":"Serisier","given":"S"},{"family":"Khosniat","given":"S"},{"family":"Martin","given":"L"},{"family":"Dumon","given":"H"},{"family":"Nguyen","given":"P"}],"issued":{"date-parts":[["2008",6]]},"PMID":"18477322"}}],"schema":"https://github.com/citation-style-language/schema/raw/master/csl-citation.json"} </w:instrText>
      </w:r>
      <w:r>
        <w:fldChar w:fldCharType="separate"/>
      </w:r>
      <w:r w:rsidR="000A492A" w:rsidRPr="000A492A">
        <w:rPr>
          <w:vertAlign w:val="superscript"/>
        </w:rPr>
        <w:t>434</w:t>
      </w:r>
      <w:r>
        <w:fldChar w:fldCharType="end"/>
      </w:r>
      <w:r>
        <w:t xml:space="preserve">  The nutraceutical and therapeutic weight loss diet dogs reported here followed this pattern, while placebo dogs actually exhibited numerically </w:t>
      </w:r>
      <w:commentRangeStart w:id="176"/>
      <w:r>
        <w:t>higher</w:t>
      </w:r>
      <w:commentRangeEnd w:id="176"/>
      <w:r>
        <w:rPr>
          <w:rStyle w:val="CommentReference"/>
        </w:rPr>
        <w:commentReference w:id="176"/>
      </w:r>
      <w:r>
        <w:t xml:space="preserve"> FASN expression at 12 weeks.  The lack of expression changes may be related to the type of adipose tissue analyzed.  Visceral adipose tissue, rather than subcutaneous tissue, has been associated with decreased FASN expresstion in dogs after weight loss.</w:t>
      </w:r>
      <w:r>
        <w:fldChar w:fldCharType="begin"/>
      </w:r>
      <w:r w:rsidR="000A492A">
        <w:instrText xml:space="preserve"> ADDIN ZOTERO_ITEM CSL_CITATION {"citationID":"bbru08kN","properties":{"formattedCitation":"{\\rtf \\super 434\\nosupersub{}}","plainCitation":"434"},"citationItems":[{"id":775,"uris":["http://zotero.org/users/171999/items/ZCKRMFRF"],"uri":["http://zotero.org/users/171999/items/ZCKRMFRF"],"itemData":{"id":775,"type":"article-journal","title":"Adipose tissue gene expression in obese dogs after weight loss","container-title":"Journal of animal physiology and animal nutrition","page":"390-398","volume":"92","issue":"3","source":"NCBI PubMed","abstract":"Body weight (BW) mainly depends on a balance between fat storage (lipogenesis) and fat mobilization (lipolysis) in adipocytes. BW changes play a role in insulin resistance (IR), the inability of insulin target tissue to respond to physiological levels of insulin. This results in inhibition of lipogenesis and stimulation of lipolysis. Weight gain leads to IR whereas, weight loss improves insulin sensitivity (IS). The aim of this study was to evaluate the effect of weight loss and recovery of IS on the expression of genes involved in lipogenesis and lipolysis in weight losing dogs. Gene expression was studied in both subcutaneous and visceral adipose tissue. Obese dogs received a hypoenergetic low fat high protein diet (0.6 x NRC recommendation). Before and after weight loss, IS was assessed using the euglycaemic hyperinsulinaemic clamp. Gene expression of IRS-2, SREBP, intracellular insulin effectors, ACC, FAS, FABP, ADRP, PEPCK, lipogenesis key proteins, perilipin and HSL, lipolysis key proteins were quantified using real-time RT-PCR in subcutaneous and visceral fat. BW decreased from 15.2 +/- 0.5 to 11.4 +/- 0.4 kg (p &lt; 0.05) over 78 +/- 8 days. When obese, dogs were insulin resistant. After weight loss, IS was improved. In the subcutaneous adipose tissue, the expression of only the IRS-2 was increased. In the visceral adipose tissue, the expression of the genes involved in the lipogenesis was decreased whereas one of the genes implied in the lipolysis did not change. The expression profile of genes involved in lipid metabolism, as measured after weight loss, is indicative for a lower lipogenesis after weight loss than in obese dogs. Our results also confirm dramatic differences in the lipid metabolism of visceral and subcutaneous fat. They should be completed by comparing gene expression during weight losing and normal weight steady state.","DOI":"10.1111/j.1439-0396.2008.00818.x","ISSN":"1439-0396","note":"PMID: 18477322","journalAbbreviation":"J Anim Physiol Anim Nutr (Berl)","language":"eng","author":[{"family":"Leray","given":"V"},{"family":"Serisier","given":"S"},{"family":"Khosniat","given":"S"},{"family":"Martin","given":"L"},{"family":"Dumon","given":"H"},{"family":"Nguyen","given":"P"}],"issued":{"date-parts":[["2008",6]]},"PMID":"18477322"}}],"schema":"https://github.com/citation-style-language/schema/raw/master/csl-citation.json"} </w:instrText>
      </w:r>
      <w:r>
        <w:fldChar w:fldCharType="separate"/>
      </w:r>
      <w:r w:rsidR="000A492A" w:rsidRPr="000A492A">
        <w:rPr>
          <w:vertAlign w:val="superscript"/>
        </w:rPr>
        <w:t>434</w:t>
      </w:r>
      <w:r>
        <w:fldChar w:fldCharType="end"/>
      </w:r>
      <w:r>
        <w:t xml:space="preserve">  In people, subcutaneous adipose tissue is the source of &gt; 80% of total body fat and is stored as large depots in abdominal, gluteal, and femoral regions.</w:t>
      </w:r>
      <w:r>
        <w:fldChar w:fldCharType="begin"/>
      </w:r>
      <w:r w:rsidR="000A492A">
        <w:instrText xml:space="preserve"> ADDIN ZOTERO_ITEM CSL_CITATION {"citationID":"iSVMEgug","properties":{"formattedCitation":"{\\rtf \\super 435\\nosupersub{}}","plainCitation":"435"},"citationItems":[{"id":785,"uris":["http://zotero.org/users/171999/items/SEJFUQR2"],"uri":["http://zotero.org/users/171999/items/SEJFUQR2"],"itemData":{"id":785,"type":"article-journal","title":"Adipose tissue heterogeneity: implication of depot differences in adipose tissue for obesity complications","container-title":"Molecular aspects of medicine","page":"1-11","volume":"34","issue":"1","source":"NCBI PubMed","abstract":"Obesity, defined as excess fat mass, increases risks for multiple metabolic diseases, such as type 2 diabetes, cardiovascular disease and several types of cancer. Over and above fat mass per se, the pattern of fat distribution, android or truncal as compared to gynoid or peripheral, has a profound influence on systemic metabolism and hence risk for metabolic diseases. Increases in upper body adipose tissue (visceral and abdominal subcutaneous) confer an independent risk, while the quantity of gluteofemoral adipose tissue is protective. Variations in the capacity of different depots to store and release fatty acids and to produce adipokines are important determinants of fat distribution and its metabolic consequences. Depot differences in cellular composition and physiology, including innervation and blood flow, likely influence their phenotypic properties. A number of lines of evidence also support the idea that adipocytes from different anatomical depots are intrinsically different as a result of genetic or developmental events. In this chapter, we will review the phenotypic characteristics of different adipose depots and mechanisms that link their depot-specific biology to metabolic complications in men and women.","DOI":"10.1016/j.mam.2012.10.001","ISSN":"1872-9452","note":"PMID: 23068073","shortTitle":"Adipose tissue heterogeneity","journalAbbreviation":"Mol. Aspects Med.","language":"eng","author":[{"family":"Lee","given":"Mi-Jeong"},{"family":"Wu","given":"Yuanyuan"},{"family":"Fried","given":"Susan K"}],"issued":{"date-parts":[["2013",2]]},"PMID":"23068073"}}],"schema":"https://github.com/citation-style-language/schema/raw/master/csl-citation.json"} </w:instrText>
      </w:r>
      <w:r>
        <w:fldChar w:fldCharType="separate"/>
      </w:r>
      <w:r w:rsidR="000A492A" w:rsidRPr="000A492A">
        <w:rPr>
          <w:vertAlign w:val="superscript"/>
        </w:rPr>
        <w:t>435</w:t>
      </w:r>
      <w:r>
        <w:fldChar w:fldCharType="end"/>
      </w:r>
      <w:r>
        <w:t xml:space="preserve">  Visceral fat comprises a minority of total body fat and is found associated with internal organs, but increased adiposity of this region (central obesity) is associated with risk of metabolic comorbidities develpoment.</w:t>
      </w:r>
      <w:r>
        <w:fldChar w:fldCharType="begin"/>
      </w:r>
      <w:r w:rsidR="000A492A">
        <w:instrText xml:space="preserve"> ADDIN ZOTERO_ITEM CSL_CITATION {"citationID":"xT8NxzL9","properties":{"formattedCitation":"{\\rtf \\super 435\\nosupersub{}}","plainCitation":"435"},"citationItems":[{"id":785,"uris":["http://zotero.org/users/171999/items/SEJFUQR2"],"uri":["http://zotero.org/users/171999/items/SEJFUQR2"],"itemData":{"id":785,"type":"article-journal","title":"Adipose tissue heterogeneity: implication of depot differences in adipose tissue for obesity complications","container-title":"Molecular aspects of medicine","page":"1-11","volume":"34","issue":"1","source":"NCBI PubMed","abstract":"Obesity, defined as excess fat mass, increases risks for multiple metabolic diseases, such as type 2 diabetes, cardiovascular disease and several types of cancer. Over and above fat mass per se, the pattern of fat distribution, android or truncal as compared to gynoid or peripheral, has a profound influence on systemic metabolism and hence risk for metabolic diseases. Increases in upper body adipose tissue (visceral and abdominal subcutaneous) confer an independent risk, while the quantity of gluteofemoral adipose tissue is protective. Variations in the capacity of different depots to store and release fatty acids and to produce adipokines are important determinants of fat distribution and its metabolic consequences. Depot differences in cellular composition and physiology, including innervation and blood flow, likely influence their phenotypic properties. A number of lines of evidence also support the idea that adipocytes from different anatomical depots are intrinsically different as a result of genetic or developmental events. In this chapter, we will review the phenotypic characteristics of different adipose depots and mechanisms that link their depot-specific biology to metabolic complications in men and women.","DOI":"10.1016/j.mam.2012.10.001","ISSN":"1872-9452","note":"PMID: 23068073","shortTitle":"Adipose tissue heterogeneity","journalAbbreviation":"Mol. Aspects Med.","language":"eng","author":[{"family":"Lee","given":"Mi-Jeong"},{"family":"Wu","given":"Yuanyuan"},{"family":"Fried","given":"Susan K"}],"issued":{"date-parts":[["2013",2]]},"PMID":"23068073"}}],"schema":"https://github.com/citation-style-language/schema/raw/master/csl-citation.json"} </w:instrText>
      </w:r>
      <w:r>
        <w:fldChar w:fldCharType="separate"/>
      </w:r>
      <w:r w:rsidR="000A492A" w:rsidRPr="000A492A">
        <w:rPr>
          <w:vertAlign w:val="superscript"/>
        </w:rPr>
        <w:t>435</w:t>
      </w:r>
      <w:r>
        <w:fldChar w:fldCharType="end"/>
      </w:r>
      <w:r>
        <w:t xml:space="preserve">  Obtaining visceral fat samples requires more invasive sampling proceedures and was not completed in this study, but it should be considered for future study of adipocyte gene expression.</w:t>
      </w:r>
    </w:p>
    <w:p w:rsidR="00F24665" w:rsidRDefault="00F24665" w:rsidP="00F24665">
      <w:pPr>
        <w:ind w:firstLine="720"/>
      </w:pPr>
      <w:r>
        <w:t xml:space="preserve">Leucine also increases mitochondrial mass in both muscle and fat cells </w:t>
      </w:r>
      <w:r w:rsidRPr="00347E50">
        <w:rPr>
          <w:i/>
        </w:rPr>
        <w:t>in vitro</w:t>
      </w:r>
      <w:r>
        <w:t xml:space="preserve"> with a corresponding increase in expression of mitochondrial biogenesis genes (SIRT1, PGC1α, and NRF1) and mitochondrial component genes (UCP3, Cox, and NADH).</w:t>
      </w:r>
      <w:r>
        <w:fldChar w:fldCharType="begin"/>
      </w:r>
      <w:r w:rsidR="000A492A">
        <w:instrText xml:space="preserve"> ADDIN ZOTERO_ITEM CSL_CITATION {"citationID":"RuIxr62l","properties":{"formattedCitation":"{\\rtf \\super 349,355\\nosupersub{}}","plainCitation":"349,355"},"citationItems":[{"id":1695,"uris":["http://zotero.org/users/171999/items/RCRVB9BJ"],"uri":["http://zotero.org/users/171999/items/RCRVB9BJ"],"itemData":{"id":1695,"type":"article-journal","title":"Leucine modulation of mitochondrial mass and oxygen consumption in skeletal muscle cells and adipocytes","container-title":"Nutrition &amp; metabolism","page":"26","volume":"6","source":"NCBI PubMed","abstract":"BACKGROUND: The effects of dairy on energy metabolism appear to be mediated, in part, by leucine and calcium which regulate both adipocyte and skeletal muscle energy metabolism. We recently demonstrated that leucine and calcitriol regulate fatty acid oxidation in skeletal muscle cells in vitro, with leucine promoting and calcitriol suppressing fatty acid oxidation. Moreover, leucine coordinately regulated adipocyte lipid metabolism to promote flux of lipid to skeletal muscle and regulate metabolic flexibility. We have now investigated the role of mitochondrial biogenesis in mediating these effects.\nMETHODS: We tested the effect of leucine, calcitriol and calcium in regulation of mitochondrial mass using a fluorescence method and tested mitochondrial biogenesis regulatory genes as well mitochondrial component genes using real-time PCR. We also evaluated the effect of leucine on oxygen consumption with a modified perfusion system.\nRESULTS: Leucine (0.5 mM) increased mitochondrial mass by 30% and 53% in C2C12 myocytes and 3T3-L1 adipocytes, respectively, while calcitriol (10 nM) decreased mitochondrial abundance by 37% and 27% (p &lt; 0.02). Leucine also stimulated mitochondrial biogenesis genes SIRT-1, PGC-1alpha and NRF-1 as well as mitochondrial component genes UCP3, COX, and NADH expression by 3-5 fold in C2C12 cells (p &lt; 0.003). Adipocyte-conditioned medium reduced mitochondrial abundance (p &lt; 0.001) and decreased UCP3 but increased PGC-1alpha expression in myocytes, suggesting a feedback stimulation of mitochondrial biogenesis. Similar data were observed in C2C12 myocytes co-cultured with adipocytes, with co-culture markedly suppressing mitochondrial abundance (p &lt; 0.02). Leucine stimulated oxygen consumption in both C2C12 cells and adipocytes compared with either control or valine-treated cells. Transfection of C2C12 myocytes with SIRT-1 siRNA resulted in parallel suppression of SIRT-1 expression and leucine-induced stimulation of PGC-1alpha and NRF-1, indicating that SIRT-1 mediates leucine induced mitochondrial biogenesis in muscle cells.\nCONCLUSION: These data suggest that leucine and calcitriol modulation of muscle and adipocyte energy metabolism is mediated, in part, by mitochondrial biogenesis.","DOI":"10.1186/1743-7075-6-26","ISSN":"1743-7075","note":"PMID: 19500359","journalAbbreviation":"Nutr Metab (Lond)","language":"eng","author":[{"family":"Sun","given":"Xiaocun"},{"family":"Zemel","given":"Michael B"}],"issued":{"date-parts":[["2009"]]},"PMID":"19500359"}},{"id":1778,"uris":["http://zotero.org/users/171999/items/HW346HK8"],"uri":["http://zotero.org/users/171999/items/HW346HK8"],"itemData":{"id":1778,"type":"article-journal","title":"Effects of dairy consumption on SIRT1 and mitochondrial biogenesis in adipocytes and muscle cells","container-title":"Nutrition &amp; metabolism","page":"91","volume":"8","source":"NCBI PubMed","abstract":"BACKGROUND: Recent data from this laboratory suggest that components of dairy foods may serve as activators of SIRT1 (Silent Information Regulator Transcript 1), and thereby participate in regulation of glucose and lipid metabolism. In this study, an ex-vivo/in-vitro approach was used to examine the integrated effects of dairy diets on SIRT1 activation in two key target tissues (adipose and muscle tissue).\nMETHODS: Serum from overweight and obese subjects fed low or high dairy diets for 28 days was added to culture medium (similar to conditioned media) to treat cultured adipocytes and muscle cells for 48 hours.\nRESULTS: Treatment with high dairy group conditioned media resulted in 40% increased SIRT1 gene expression in both tissues (p &lt; 0.01) and 13% increased enzyme activity in adipose tissue compared to baseline. This was associated with increased gene expression of peroxisome proliferator-activated receptor-gamma coactivator 1 alpha (PGC-1α), nuclear respiratory factor 1 (NRF1), cytochrome oxidase c subunit 7 (Cox 7), NADH dehydrogenase and uncoupling protein 2 (UCP2) in adipocytes as well as uncoupling protein 3 (UCP3), NRF1 and Cox 7 in muscle cells (p &lt; 0.05). Further, direct incubation of physiological concentrations of leucine and its metabolites α-Ketoisocaproic acid (KIC) and β-hydroxy-methylbuteric acid (HMB) with recombinant human SIRT1 enzyme resulted in 30 to 50% increase of SIRT1 activity (p &lt; 0.05).\nCONCLUSIONS: These data indicate that dairy consumption leads to systemic effects, which may promote mitochondrial biogenesis in key target tissues such as muscle and adipose tissue both by direct activation of SIRT1 as well as by SIRT1-independent pathways.","DOI":"10.1186/1743-7075-8-91","ISSN":"1743-7075","note":"PMID: 22185590","journalAbbreviation":"Nutr Metab (Lond)","language":"eng","author":[{"family":"Bruckbauer","given":"Antje"},{"family":"Zemel","given":"Michael B"}],"issued":{"date-parts":[["2011"]]},"PMID":"22185590"}}],"schema":"https://github.com/citation-style-language/schema/raw/master/csl-citation.json"} </w:instrText>
      </w:r>
      <w:r>
        <w:fldChar w:fldCharType="separate"/>
      </w:r>
      <w:r w:rsidR="000A492A" w:rsidRPr="000A492A">
        <w:rPr>
          <w:vertAlign w:val="superscript"/>
        </w:rPr>
        <w:t>349,355</w:t>
      </w:r>
      <w:r>
        <w:fldChar w:fldCharType="end"/>
      </w:r>
      <w:r>
        <w:t xml:space="preserve">  Decreased adiposity has been attributed to increased UCP3 expression and improved insulin sensitivity in mice.</w:t>
      </w:r>
      <w:r>
        <w:fldChar w:fldCharType="begin"/>
      </w:r>
      <w:r w:rsidR="000A492A">
        <w:instrText xml:space="preserve"> ADDIN ZOTERO_ITEM CSL_CITATION {"citationID":"yBnlJM3n","properties":{"formattedCitation":"{\\rtf \\super 351\\nosupersub{}}","plainCitation":"351"},"citationItems":[{"id":1701,"uris":["http://zotero.org/users/171999/items/GM59NI4T"],"uri":["http://zotero.org/users/171999/items/GM59NI4T"],"itemData":{"id":1701,"type":"article-journal","title":"Increasing dietary leucine intake reduces diet-induced obesity and improves glucose and cholesterol metabolism in mice via multimechanisms","container-title":"Diabetes","page":"1647-1654","volume":"56","issue":"6","source":"NCBI PubMed","abstract":"Leucine, as an essential amino acid and activator of mTOR (mammalian target of rapamycin), promotes protein synthesis and suppresses protein catabolism. However, the effect of leucine on overall glucose and energy metabolism remains unclear, and whether leucine has beneficial effects as a long-term dietary supplement has not been examined. In the present study, we doubled dietary leucine intake via leucine-containing drinking water in mice with free excess to either a rodent chow or a high-fat diet (HFD). While it produced no major metabolic effects in chow-fed mice, increasing leucine intake resulted in up to 32% reduction of weight gain (P &lt; 0.05) and a 25% decrease in adiposity (P &lt; 0.01) in HFD-fed mice. The reduction of adiposity resulted from increased resting energy expenditure associated with increased expression of uncoupling protein 3 in brown and white adipose tissues and in skeletal muscle, while food intake was not decreased. Increasing leucine intake also prevented HFD-induced hyperglycemia, which was associated with improved insulin sensitivity, decreased plasma concentrations of glucagon and glucogenic amino acids, and downregulation of hepatic glucose-6-phosphatase. Additionally, plasma levels of total and LDL cholesterol were decreased by 27% (P &lt; 0.001) and 53% (P &lt; 0.001), respectively, in leucine supplemented HFD-fed mice compared with the control mice fed the same diet. The reduction in cholesterol levels was largely independent of leucine-induced changes in adiposity. In conclusion, increases in dietary leucine intake substantially decrease diet-induced obesity, hyperglycemia, and hypercholesterolemia in mice with ad libitum consumption of HFD likely via multiple mechanisms.","DOI":"10.2337/db07-0123","ISSN":"1939-327X","note":"PMID: 17360978","journalAbbreviation":"Diabetes","language":"eng","author":[{"family":"Zhang","given":"Yiying"},{"family":"Guo","given":"Kaiying"},{"family":"LeBlanc","given":"Robert E"},{"family":"Loh","given":"Daniella"},{"family":"Schwartz","given":"Gary J"},{"family":"Yu","given":"Yi-Hao"}],"issued":{"date-parts":[["2007",6]]},"PMID":"17360978"}}],"schema":"https://github.com/citation-style-language/schema/raw/master/csl-citation.json"} </w:instrText>
      </w:r>
      <w:r>
        <w:fldChar w:fldCharType="separate"/>
      </w:r>
      <w:r w:rsidR="000A492A" w:rsidRPr="000A492A">
        <w:rPr>
          <w:vertAlign w:val="superscript"/>
        </w:rPr>
        <w:t>351</w:t>
      </w:r>
      <w:r>
        <w:fldChar w:fldCharType="end"/>
      </w:r>
      <w:r>
        <w:t xml:space="preserve">  Adipocytes exposed to serum from overweight people consuming a high dairy diet exhibited increased UCP2, PGC1α, NRF1, and UCP3 activity and expression, indicating increased mitochondrial biogenesis and component gene activation.</w:t>
      </w:r>
      <w:r>
        <w:fldChar w:fldCharType="begin"/>
      </w:r>
      <w:r w:rsidR="000A492A">
        <w:instrText xml:space="preserve"> ADDIN ZOTERO_ITEM CSL_CITATION {"citationID":"ZL4htMWx","properties":{"formattedCitation":"{\\rtf \\super 355\\nosupersub{}}","plainCitation":"355"},"citationItems":[{"id":1778,"uris":["http://zotero.org/users/171999/items/HW346HK8"],"uri":["http://zotero.org/users/171999/items/HW346HK8"],"itemData":{"id":1778,"type":"article-journal","title":"Effects of dairy consumption on SIRT1 and mitochondrial biogenesis in adipocytes and muscle cells","container-title":"Nutrition &amp; metabolism","page":"91","volume":"8","source":"NCBI PubMed","abstract":"BACKGROUND: Recent data from this laboratory suggest that components of dairy foods may serve as activators of SIRT1 (Silent Information Regulator Transcript 1), and thereby participate in regulation of glucose and lipid metabolism. In this study, an ex-vivo/in-vitro approach was used to examine the integrated effects of dairy diets on SIRT1 activation in two key target tissues (adipose and muscle tissue).\nMETHODS: Serum from overweight and obese subjects fed low or high dairy diets for 28 days was added to culture medium (similar to conditioned media) to treat cultured adipocytes and muscle cells for 48 hours.\nRESULTS: Treatment with high dairy group conditioned media resulted in 40% increased SIRT1 gene expression in both tissues (p &lt; 0.01) and 13% increased enzyme activity in adipose tissue compared to baseline. This was associated with increased gene expression of peroxisome proliferator-activated receptor-gamma coactivator 1 alpha (PGC-1α), nuclear respiratory factor 1 (NRF1), cytochrome oxidase c subunit 7 (Cox 7), NADH dehydrogenase and uncoupling protein 2 (UCP2) in adipocytes as well as uncoupling protein 3 (UCP3), NRF1 and Cox 7 in muscle cells (p &lt; 0.05). Further, direct incubation of physiological concentrations of leucine and its metabolites α-Ketoisocaproic acid (KIC) and β-hydroxy-methylbuteric acid (HMB) with recombinant human SIRT1 enzyme resulted in 30 to 50% increase of SIRT1 activity (p &lt; 0.05).\nCONCLUSIONS: These data indicate that dairy consumption leads to systemic effects, which may promote mitochondrial biogenesis in key target tissues such as muscle and adipose tissue both by direct activation of SIRT1 as well as by SIRT1-independent pathways.","DOI":"10.1186/1743-7075-8-91","ISSN":"1743-7075","note":"PMID: 22185590","journalAbbreviation":"Nutr Metab (Lond)","language":"eng","author":[{"family":"Bruckbauer","given":"Antje"},{"family":"Zemel","given":"Michael B"}],"issued":{"date-parts":[["2011"]]},"PMID":"22185590"}}],"schema":"https://github.com/citation-style-language/schema/raw/master/csl-citation.json"} </w:instrText>
      </w:r>
      <w:r>
        <w:fldChar w:fldCharType="separate"/>
      </w:r>
      <w:r w:rsidR="000A492A" w:rsidRPr="000A492A">
        <w:rPr>
          <w:vertAlign w:val="superscript"/>
        </w:rPr>
        <w:t>355</w:t>
      </w:r>
      <w:r>
        <w:fldChar w:fldCharType="end"/>
      </w:r>
      <w:r>
        <w:t xml:space="preserve">  UCP2 and UCP3 have been sequenced in dogs, but comparisons between expression levels based on body composition have not been published.</w:t>
      </w:r>
      <w:r>
        <w:fldChar w:fldCharType="begin"/>
      </w:r>
      <w:r w:rsidR="000A492A">
        <w:instrText xml:space="preserve"> ADDIN ZOTERO_ITEM CSL_CITATION {"citationID":"IU2HOVT5","properties":{"formattedCitation":"{\\rtf \\super 224\\nosupersub{}}","plainCitation":"224"},"citationItems":[{"id":1513,"uris":["http://zotero.org/users/171999/items/4ESKQKRV"],"uri":["http://zotero.org/users/171999/items/4ESKQKRV"],"itemData":{"id":1513,"type":"article-journal","title":"Canine mitochondrial uncoupling proteins: structure and mRNA expression of three isoforms in adult beagles","container-title":"Comparative biochemistry and physiology. Part B, Biochemistry &amp; molecular biology","page":"483-489","volume":"131","issue":"3","source":"NCBI PubMed","abstract":"Uncoupling proteins (UCPs) are members of the mitochondrial transporter family that dissipate the proton gradient as heat more than via ATP synthesis. In the present study, nucleotide and amino acid sequences of UCPs 1, 2 and 3 of a dog were determined, and their mRNA expression in various peripheral tissues was examined. The sequences were highly (76-97%) homologous to those of other species. Although lower homologies (60-74%) were found when compared among the three canine UCPs, their deduced amino acid sequences had some common domains, such as three mitochondrial carrier protein motifs, six transmembrane alpha-helix domains, and putative purine nucleotide binding domains. By Northern blot analyses, UCP1 mRNA was not detected in any tissues examined. UCP2 mRNA was expressed in most tissues, particularly abundantly in adipose tissue, spleen and lung. Two sizes of UCP3 mRNA were found exclusively in heart and skeletal muscle. These results suggest that canine UCPs have uncoupling activity, and are involved in the regulation of metabolic heat production and/or energy expenditure, as do those of other species.","ISSN":"1096-4959","note":"PMID: 11959030","shortTitle":"Canine mitochondrial uncoupling proteins","journalAbbreviation":"Comp. Biochem. Physiol. B, Biochem. Mol. Biol.","language":"eng","author":[{"family":"Ishioka","given":"Katsumi"},{"family":"Kanehira","given":"Katsushi"},{"family":"Sasaki","given":"Noriyasu"},{"family":"Kitamura","given":"Hiroshi"},{"family":"Kimura","given":"Kazuhiro"},{"family":"Saito","given":"Masayuki"}],"issued":{"date-parts":[["2002",3]]},"PMID":"11959030"}}],"schema":"https://github.com/citation-style-language/schema/raw/master/csl-citation.json"} </w:instrText>
      </w:r>
      <w:r>
        <w:fldChar w:fldCharType="separate"/>
      </w:r>
      <w:r w:rsidRPr="00D0029F">
        <w:rPr>
          <w:vertAlign w:val="superscript"/>
        </w:rPr>
        <w:t>224</w:t>
      </w:r>
      <w:r>
        <w:fldChar w:fldCharType="end"/>
      </w:r>
      <w:r>
        <w:t xml:space="preserve">  SIRT1 adipose tissue expression in the current dogs did not differ by group or time point, while muscle values were inititally increased in the obese nutraceutical dogs, but normalized to all other groups by week twelve.  A similar trend was seen with muscle PGC1α expression, which was initially greater in obese nutraceutical dogs compared to both excess calorie groups, but did not differ from other groups by study termination.  Adipocyte PGC1α and NFR1 muscle and fat expression did not differ within or across groups.</w:t>
      </w:r>
    </w:p>
    <w:p w:rsidR="00F24665" w:rsidRDefault="00F24665" w:rsidP="00F24665">
      <w:pPr>
        <w:ind w:firstLine="720"/>
      </w:pPr>
      <w:r>
        <w:t>Another function of leucine is its ability to stimulate protein synthesis in skeletal muscle via mammalian target of rapamycin (mTOR) dependent and independent pathways.</w:t>
      </w:r>
      <w:r>
        <w:fldChar w:fldCharType="begin"/>
      </w:r>
      <w:r w:rsidR="000A492A">
        <w:instrText xml:space="preserve"> ADDIN ZOTERO_ITEM CSL_CITATION {"citationID":"X4iQaCSF","properties":{"formattedCitation":"{\\rtf \\super 357,357\\uc0\\u8211{}362\\nosupersub{}}","plainCitation":"357,357–362"},"citationItems":[{"id":1717,"uris":["http://zotero.org/users/171999/items/DHV9VK5S"],"uri":["http://zotero.org/users/171999/items/DHV9VK5S"],"itemData":{"id":1717,"type":"article-journal","title":"Leucine. A possible regulator of protein turnover in muscle","container-title":"The Journal of clinical investigation","page":"1250-1261","volume":"56","issue":"5","source":"NCBI PubMed","abstract":"Incorporation of radiolabeled precursors into muscle proteins was studied in isolated rat hemidiaphragms. A mixture of three branched-chain amino acids (0.3 mM each) added to media containing glucose stimulated the incorporation of [14C]lysine into proteins. When tested separately, valine was ineffective, isoleucine was inhibitory, but 0.5 mM leucine increased the specific activity of muscle proteins during incubation with [14C]lysine or [14C]acetate in hemidiaphragms from fed or fasted rats incubated with or without insulin. Preincubation with 0.5 mM leucine increased the specific activity of muscle proteins during a subsequent 30- or 60-min incubation with [14C]lysine or [14C]pyruvate without leucine. Preincubation with other amino acids (glutamate, histidine, methionine, phenylalanine, or tryptophan) did not exert this effect. When hemidiaphragms were incubated with a mixture of amino acids at concentrations found in rat serum and a [14C]lysine tracer, the specific activity of muscle proteins increased when leucine in the medium was raised from 0.1 to 0.5 mM. Experiments with actinomycin D and cycloheximide suggested that neither RNA synthesis nor protein synthesis are required for the initiation of the leucine effect. Leucine was not effective when added after 1 h preincubation without leucine. The concentration of lysine in the tissue water of diaphragms decreased during incubation with 0.5 mM leucine in the presence or absence of cycloheximide, suggesting that leucine inhibited protein degradation. During incubation with [3h]tyrosine (0.35 mM) the addition of 0.5 mM leucine increased the specific activity of muscle proteins, while the specific activity of intracellular tyrosine remained constant and its concentration decreased, suggesting that leucine also promoted protein synthesis. The concentration of leucine in muscle cells or a compartment thereof may play a role in regulating the turnover of muscle proteins and influence the transition to negative nitrogen balance during fasting, uncontrolled diabetes, and the posttraumatic state. Leucine may play a pivotal role in the protein-sparing effect of amino aicds.","DOI":"10.1172/JCI108201","ISSN":"0021-9738","note":"PMID: 1237498","journalAbbreviation":"J. Clin. Invest.","language":"eng","author":[{"family":"Buse","given":"M G"},{"family":"Reid","given":"S S"}],"issued":{"date-parts":[["1975",11]]},"PMID":"1237498"}},{"id":1717,"uris":["http://zotero.org/users/171999/items/DHV9VK5S"],"uri":["http://zotero.org/users/171999/items/DHV9VK5S"],"itemData":{"id":1717,"type":"article-journal","title":"Leucine. A possible regulator of protein turnover in muscle","container-title":"The Journal of clinical investigation","page":"1250-1261","volume":"56","issue":"5","source":"NCBI PubMed","abstract":"Incorporation of radiolabeled precursors into muscle proteins was studied in isolated rat hemidiaphragms. A mixture of three branched-chain amino acids (0.3 mM each) added to media containing glucose stimulated the incorporation of [14C]lysine into proteins. When tested separately, valine was ineffective, isoleucine was inhibitory, but 0.5 mM leucine increased the specific activity of muscle proteins during incubation with [14C]lysine or [14C]acetate in hemidiaphragms from fed or fasted rats incubated with or without insulin. Preincubation with 0.5 mM leucine increased the specific activity of muscle proteins during a subsequent 30- or 60-min incubation with [14C]lysine or [14C]pyruvate without leucine. Preincubation with other amino acids (glutamate, histidine, methionine, phenylalanine, or tryptophan) did not exert this effect. When hemidiaphragms were incubated with a mixture of amino acids at concentrations found in rat serum and a [14C]lysine tracer, the specific activity of muscle proteins increased when leucine in the medium was raised from 0.1 to 0.5 mM. Experiments with actinomycin D and cycloheximide suggested that neither RNA synthesis nor protein synthesis are required for the initiation of the leucine effect. Leucine was not effective when added after 1 h preincubation without leucine. The concentration of lysine in the tissue water of diaphragms decreased during incubation with 0.5 mM leucine in the presence or absence of cycloheximide, suggesting that leucine inhibited protein degradation. During incubation with [3h]tyrosine (0.35 mM) the addition of 0.5 mM leucine increased the specific activity of muscle proteins, while the specific activity of intracellular tyrosine remained constant and its concentration decreased, suggesting that leucine also promoted protein synthesis. The concentration of leucine in muscle cells or a compartment thereof may play a role in regulating the turnover of muscle proteins and influence the transition to negative nitrogen balance during fasting, uncontrolled diabetes, and the posttraumatic state. Leucine may play a pivotal role in the protein-sparing effect of amino aicds.","DOI":"10.1172/JCI108201","ISSN":"0021-9738","note":"PMID: 1237498","journalAbbreviation":"J. Clin. Invest.","language":"eng","author":[{"family":"Buse","given":"M G"},{"family":"Reid","given":"S S"}],"issued":{"date-parts":[["1975",11]]},"PMID":"1237498"}},{"id":1719,"uris":["http://zotero.org/users/171999/items/GMA96WD5"],"uri":["http://zotero.org/users/171999/items/GMA96WD5"],"itemData":{"id":1719,"type":"article-journal","title":"Orally administered leucine stimulates protein synthesis in skeletal muscle of postabsorptive rats in association with increased eIF4F formation","container-title":"The Journal of nutrition","page":"139-145","volume":"130","issue":"2","source":"NCBI PubMed","abstract":"We investigated the protein synthetic response of skeletal muscle to an orally administered dose of leucine given alone or in combination with carbohydrate. Male rats were freely fed (F) or food deprived for 18 h; food-deprived rats were then administered saline (S), carbohydrate (CHO), leucine (L) or a combination of carbohydrate plus leucine (CL). CHO and CL meals were isocaloric and provided 15% of daily energy requirements. L and CL meals each delivered 270 mg leucine. Muscle protein synthesis in S was 65% of F (P&lt;0.01) 1 h after meal administration. Concomitant with lower rates of protein synthesis, phosphorylation of the translational repressor, eukaryotic initiation factor (eIF)4E-binding protein 1 (4E-BP1), was less in S, leading to greater association of 4E-BP1.eIF4E, and reduced formation of the active eIF4G.eIF4E complex compared with F (P&lt;0.01). Oral administration of leucine (L or CL), but not CHO, restored protein synthesis equal to that in F and resulted in 4E-BP1 phosphorylation that was threefold greater than that of S (P&lt;0.01). Consequently, formation of 4E-BP1.eIF4E was inhibited and eIF4G.eIF4E was not different from F. The amount of eIF4E in the phosphorylated form was greater in S and CHO (P&lt;0.01) than in all other groups. In contrast, no differences in the phosphorylation state of eIF2alpha or the activity of eIF2B were noted among treatment groups. Serum insulin was elevated 2.6- and 3.7-fold in CHO and CL, respectively, but was not different in L, compared with S (P&lt;0.05). These results suggest that leucine stimulates protein synthesis in skeletal muscle by enhancing eIF4F formation independently of increases in serum insulin.","ISSN":"0022-3166","note":"PMID: 10720160","journalAbbreviation":"J. Nutr.","language":"eng","author":[{"family":"Anthony","given":"J C"},{"family":"Anthony","given":"T G"},{"family":"Kimball","given":"S R"},{"family":"Vary","given":"T C"},{"family":"Jefferson","given":"L S"}],"issued":{"date-parts":[["2000",2]]},"PMID":"10720160"}},{"id":1723,"uris":["http://zotero.org/users/171999/items/GMPTRJJS"],"uri":["http://zotero.org/users/171999/items/GMPTRJJS"],"itemData":{"id":1723,"type":"article-journal","title":"Influence of amino acid availability on protein turnover in perfused skeletal muscle","container-title":"Biochimica et biophysica acta","page":"351-359","volume":"544","issue":"2","source":"NCBI PubMed","ISSN":"0006-3002","note":"PMID: 719005","journalAbbreviation":"Biochim. Biophys. Acta","language":"eng","author":[{"family":"Li","given":"J B"},{"family":"Jefferson","given":"L S"}],"issued":{"date-parts":[["1978",12,1]]},"PMID":"719005"}},{"id":1725,"uris":["http://zotero.org/users/171999/items/F29Q7D88"],"uri":["http://zotero.org/users/171999/items/F29Q7D88"],"itemData":{"id":1725,"type":"article-journal","title":"Effects of leucine on in vitro protein synthesis and degradation in rat skeletal muscles","container-title":"The Journal of nutrition","page":"1204-1212","volume":"114","issue":"7","source":"NCBI PubMed","abstract":"Weanling rats were used to examine the role of leucine in in vitro protein turnover in skeletal muscles. In three experiments, rats were subjected to 24 or 72 hours of food deprivation or 5 days of consuming a protein-free diet or injection of streptozotocin. The soleus and extensor digitorum longus muscles were removed and utilized for measures of protein synthesis or degradation by using the isolated, incubated muscle technique of Li et al. These experiments demonstrate that supplementation of the incubation media with 0.5 mM leucine stimulates protein synthesis in these catabolic muscles and that during total starvation the stimulation decreases as the severity of the condition increases. Leucine supplementation failed to affect protein degradation in these skeletal muscles. This study demonstrates that the branched-chain amino acid leucine has the potential to stimulate protein synthesis in skeletal muscles, at least under specific catabolic conditions, but does not affect protein degradation in skeletal muscles under the conditions studied.","ISSN":"0022-3166","note":"PMID: 6737085","journalAbbreviation":"J. Nutr.","language":"eng","author":[{"family":"Hong","given":"S O"},{"family":"Layman","given":"D K"}],"issued":{"date-parts":[["1984",7]]},"PMID":"6737085"}},{"id":1705,"uris":["http://zotero.org/users/171999/items/83N6VMVK"],"uri":["http://zotero.org/users/171999/items/83N6VMVK"],"itemData":{"id":1705,"type":"article-journal","title":"Signaling pathways involved in translational control of protein synthesis in skeletal muscle by leucine","container-title":"The Journal of nutrition","page":"856S-860S","volume":"131","issue":"3","source":"NCBI PubMed","abstract":"Numerous reports established that in skeletal muscle the indispensable branched-chain amino acid leucine is unique in its ability to initiate signal transduction pathways that modulate translation initiation. Oral administration of leucine stimulates protein synthesis in association with hyperphosphorylation of the translational repressor, eukaryotic initiation factor (eIF) 4E binding protein 1 (4E-BP1), resulting in enhanced availability of the mRNA cap-binding protein eIF4E, for binding eIF4G and forming the active eIF4F complex. In addition, leucine enhances phosphorylation of the 70-kDa ribosomal protein S6 kinase (S6K1). These results suggest that leucine upregulates protein synthesis in skeletal muscle by enhancing both the activity and synthesis of proteins involved in mRNA translation. The stimulatory effects of leucine on translation initiation are mediated in part through the protein kinase mammalian target of rapamycin (mTOR), where both insulin signaling and leucine signaling converge to promote a maximal response.","ISSN":"0022-3166","note":"PMID: 11238774","journalAbbreviation":"J. Nutr.","language":"eng","author":[{"family":"Anthony","given":"J C"},{"family":"Anthony","given":"T G"},{"family":"Kimball","given":"S R"},{"family":"Jefferson","given":"L S"}],"issued":{"date-parts":[["2001",3]]},"PMID":"11238774"}},{"id":1729,"uris":["http://zotero.org/users/171999/items/Q7K7DJBC"],"uri":["http://zotero.org/users/171999/items/Q7K7DJBC"],"itemData":{"id":1729,"type":"article-journal","title":"Leucine and protein synthesis: mTOR and beyond","container-title":"Nutrition reviews","page":"122-129","volume":"65","issue":"3","source":"NCBI PubMed","abstract":"The effects of amino acid intake on protein synthesis in the intact rat appear to be mediated almost entirely by a single amino acid: leucine. The effect of leucine on protein synthesis appears to be closely associated with eIF4G phosphorylation and its association with eIF4E, but whether eIF4G phosphorylation actually mediates the effects of leucine or is merely associated with these events has not been elucidated. Additional research is needed to determine whether leucine effects eIF4G phosphorylation, whether eIF4G phosphorylation is essential for the effect of leucine on protein synthesis, and whether mTOR (mammalian target of rapamycin) or another component of the mTOR complex is somehow involved in leucine-specific signaling.","ISSN":"0029-6643","note":"PMID: 17425063","shortTitle":"Leucine and protein synthesis","journalAbbreviation":"Nutr. Rev.","language":"eng","author":[{"family":"Stipanuk","given":"Martha H"}],"issued":{"date-parts":[["2007",3]]},"PMID":"17425063"}}],"schema":"https://github.com/citation-style-language/schema/raw/master/csl-citation.json"} </w:instrText>
      </w:r>
      <w:r>
        <w:fldChar w:fldCharType="separate"/>
      </w:r>
      <w:r w:rsidR="000A492A" w:rsidRPr="000A492A">
        <w:rPr>
          <w:vertAlign w:val="superscript"/>
        </w:rPr>
        <w:t>357,357–362</w:t>
      </w:r>
      <w:r>
        <w:fldChar w:fldCharType="end"/>
      </w:r>
      <w:r>
        <w:t xml:space="preserve">  It also maintains muscle mass via an antiproteolytic effect, supported by evidence of down regulated ubiquination and proteasome activity in rats.</w:t>
      </w:r>
      <w:r>
        <w:fldChar w:fldCharType="begin"/>
      </w:r>
      <w:r w:rsidR="000A492A">
        <w:instrText xml:space="preserve"> ADDIN ZOTERO_ITEM CSL_CITATION {"citationID":"XwzYLMzD","properties":{"formattedCitation":"{\\rtf \\super 372,374\\nosupersub{}}","plainCitation":"372,374"},"citationItems":[{"id":1761,"uris":["http://zotero.org/users/171999/items/X3A87AGG"],"uri":["http://zotero.org/users/171999/items/X3A87AGG"],"itemData":{"id":1761,"type":"article-journal","title":"A leucine-supplemented diet restores the defective postprandial inhibition of proteasome-dependent proteolysis in aged rat skeletal muscle","container-title":"The Journal of physiology","page":"489-499","volume":"569","issue":"Pt 2","source":"NCBI PubMed","abstract":"We tested the hypothesis that skeletal muscle ubiquitin-proteasome-dependent proteolysis is dysregulated in ageing in response to feeding. In Experiment 1 we measured rates of proteasome-dependent proteolysis in incubated muscles from 8- and 22-month-old rats, proteasome activities, and rates of ubiquitination, in the postprandial and postabsorptive states. Peptidase activities of the proteasome decreased in the postabsorptive state in 22-month-old rats compared with 8-month-old animals, while the rate of ubiquitination was not altered. Furthermore, the down-regulation of in vitro proteasome-dependent proteolysis that prevailed in the postprandial state in 8-month-old rats was defective in 22-month-old rats. Next, we tested the hypothesis that the ingestion of a 5% leucine-supplemented diet may correct this defect. Leucine supplementation restored the postprandial inhibition of in vitro proteasome-dependent proteolysis in 22-month-old animals, by down-regulating both rates of ubiquitination and proteasome activities. In Experiment 2, we verified that dietary leucine supplementation had long-lasting effects by comparing 8- and 22-month-old rats that were fed either a leucine-supplemented diet or an alanine-supplemented diet for 10 days. The inhibited in vitro proteolysis was maintained in the postprandial state in the 22-month-old rats fed the leucine-supplemented diet. Moreover, elevated mRNA levels for ubiquitin, 14-kDa ubiquitin-conjugating enzyme E2, and C2 and X subunits of the 20S proteasome that were characteristic of aged muscle were totally suppressed in 22-month-old animals chronically fed the leucine-supplemented diet, demonstrating an in vivo effect. Thus the defective postprandial down-regulation of in vitro proteasome-dependent proteolysis in 22-month-old rats was restored in animals chronically fed a leucine-supplemented diet.","DOI":"10.1113/jphysiol.2005.098004","ISSN":"0022-3751","note":"PMID: 16195315","journalAbbreviation":"J. Physiol. (Lond.)","language":"eng","author":[{"family":"Combaret","given":"Lydie"},{"family":"Dardevet","given":"Dominique"},{"family":"Rieu","given":"Isabelle"},{"family":"Pouch","given":"Marie-Noëlle"},{"family":"Béchet","given":"Daniel"},{"family":"Taillandier","given":"Daniel"},{"family":"Grizard","given":"Jean"},{"family":"Attaix","given":"Didier"}],"issued":{"date-parts":[["2005",12,1]]},"PMID":"16195315"}},{"id":1740,"uris":["http://zotero.org/users/171999/items/KS66TX9T"],"uri":["http://zotero.org/users/171999/items/KS66TX9T"],"itemData":{"id":1740,"type":"article-journal","title":"Potential antiproteolytic effects of L-leucine: observations of in vitro and in vivo studies","container-title":"Nutrition &amp; metabolism","page":"20","volume":"5","source":"NCBI PubMed","abstract":"The purpose of present review is to describe the effect of leucine supplementation on skeletal muscle proteolysis suppression in both in vivo and in vitro studies. Most studies, using in vitro methodology, incubated skeletal muscles with leucine with different doses and the results suggests that there is a dose-dependent effect. The same responses can be observed in in vivo studies. Importantly, the leucine effects on skeletal muscle protein synthesis are not always connected to the inhibition of skeletal muscle proteolysis. As a matter of fact, high doses of leucine incubation can promote suppression of muscle proteolysis without additional effects on protein synthesis, and low leucine doses improve skeletal muscle protein ynthesis but have no effect on skeletal muscle proteolysis. These research findings may have an important clinical relevancy, because muscle loss in atrophic states would be reversed by specific leucine supplementation doses. Additionally, it has been clearly demonstrated that leucine administration suppresses skeletal muscle proteolysis in various catabolic states. Thus, if protein metabolism changes during different atrophic conditions, it is not surprising that the leucine dose-effect relationship must also change, according to atrophy or pathological state and catabolism magnitude. In conclusion, leucine has a potential role on attenuate skeletal muscle proteolysis. Future studies will help to sharpen the leucine efficacy on skeletal muscle protein degradation during several atrophic states.","DOI":"10.1186/1743-7075-5-20","ISSN":"1743-7075","note":"PMID: 18637185","shortTitle":"Potential antiproteolytic effects of L-leucine","journalAbbreviation":"Nutr Metab (Lond)","language":"eng","author":[{"family":"Zanchi","given":"Nelo E"},{"family":"Nicastro","given":"Humberto"},{"family":"Lancha","given":"Antonio H, Jr"}],"issued":{"date-parts":[["2008"]]},"PMID":"18637185"}}],"schema":"https://github.com/citation-style-language/schema/raw/master/csl-citation.json"} </w:instrText>
      </w:r>
      <w:r>
        <w:fldChar w:fldCharType="separate"/>
      </w:r>
      <w:r w:rsidR="000A492A" w:rsidRPr="000A492A">
        <w:rPr>
          <w:vertAlign w:val="superscript"/>
        </w:rPr>
        <w:t>372,374</w:t>
      </w:r>
      <w:r>
        <w:fldChar w:fldCharType="end"/>
      </w:r>
      <w:r>
        <w:t xml:space="preserve">  When given to tumor bearing cachectic rats, leucine (3% of diet) over 20 days reduced protein degradation compared to control rats.</w:t>
      </w:r>
      <w:r>
        <w:fldChar w:fldCharType="begin"/>
      </w:r>
      <w:r w:rsidR="000A492A">
        <w:instrText xml:space="preserve"> ADDIN ZOTERO_ITEM CSL_CITATION {"citationID":"YOiLDAPq","properties":{"formattedCitation":"{\\rtf \\super 375\\nosupersub{}}","plainCitation":"375"},"citationItems":[{"id":1763,"uris":["http://zotero.org/users/171999/items/P5XVG9UH"],"uri":["http://zotero.org/users/171999/items/P5XVG9UH"],"itemData":{"id":1763,"type":"article-journal","title":"Proteasome activity is altered in skeletal muscle tissue of tumour-bearing rats a leucine-rich diet","container-title":"Endocrine-related cancer","page":"887-895","volume":"11","issue":"4","source":"NCBI PubMed","abstract":"Leucine can modulate skeletal muscle metabolism by enhancing protein synthesis and decreasing proteolysis. In this study, we investigated the effects of leucine on the ubiquitin-proteasome system in skeletal muscle of pregnant tumour-bearing rats fed a leucine-rich diet. Pregnant Wistar rats were distributed into three groups that were fed a semi-purified control diet (C, control; W, Walker tumour-bearing; P, pair-fed) and three other groups of pregnant rats fed a semi-purified leucine-rich diet (L, leucine; WL, Walker tumour-bearing; PL, pair-fed). The tumour-bearing rats were injected subcutaneously with a suspension of Walker 256 tumour cells. Protein synthesis and degradation were measured in gastrocnemius muscle; the total protein content and tissue chymotrypsin-like and alkaline phosphatase enzyme activities were also determined. Muscle protein extracts were run on SDS-PAGE to assess the expression of the myosin heavy chain (MHC), 20S alpha proteasome subunit, 19S MSSI ATPase regulator subunit and 11S alpha subunit. Although tumour growth decreased the incorporation of [3H]-Phe, the concomitant feeding of a leucine-rich diet increased the rate of protein synthesis. Muscle proteolysis in both tumour-bearing groups was increased more than in the respective control groups. Conversely, the leucine-rich diet caused less protein breakdown in the WL group than in the W group. Only the W group showed a significant reduction (71%) in the myosin content. In WL rats, the 20S proteasome content (32 kDa band) was reduced, while the expression of the 19S subunit was 3-fold less than in the W group and the 11S proteasome subunit reduced, to around 32% less than in the W group. These findings clearly indicate that leucine can stimulate protein synthesis and inhibit protein breakdown in pregnant rats, probably by modulating the activation of the ubiquitin-proteasome system during tumour growth.","DOI":"10.1677/erc.1.00828","ISSN":"1351-0088","note":"PMID: 15613461","journalAbbreviation":"Endocr. Relat. Cancer","language":"eng","author":[{"family":"Ventrucci","given":"G"},{"family":"Mello","given":"M A R"},{"family":"Gomes-Marcondes","given":"M C C"}],"issued":{"date-parts":[["2004",12]]},"PMID":"15613461"}}],"schema":"https://github.com/citation-style-language/schema/raw/master/csl-citation.json"} </w:instrText>
      </w:r>
      <w:r>
        <w:fldChar w:fldCharType="separate"/>
      </w:r>
      <w:r w:rsidR="000A492A" w:rsidRPr="000A492A">
        <w:rPr>
          <w:vertAlign w:val="superscript"/>
        </w:rPr>
        <w:t>375</w:t>
      </w:r>
      <w:r>
        <w:fldChar w:fldCharType="end"/>
      </w:r>
      <w:r>
        <w:t xml:space="preserve">  The only objective </w:t>
      </w:r>
      <w:r>
        <w:rPr>
          <w:i/>
        </w:rPr>
        <w:t>in vivo</w:t>
      </w:r>
      <w:r>
        <w:t xml:space="preserve"> measure of muscle in the current study was measurement of overall lean tissue mass by DXA (</w:t>
      </w:r>
      <w:r>
        <w:rPr>
          <w:color w:val="FF0000"/>
        </w:rPr>
        <w:t>Chapter I and II)</w:t>
      </w:r>
      <w:r>
        <w:t>.  Nutraceutical dogs maintained muscle mass while losing weight, but there was not an advantage over a therapeutic weight loss diet.  To better assess the protein synthesis capabilities of the nutraceutical, genes involved with mTOR activiation and activity would need to be measured.</w:t>
      </w:r>
    </w:p>
    <w:p w:rsidR="00F24665" w:rsidRDefault="00F24665" w:rsidP="00F24665">
      <w:pPr>
        <w:ind w:firstLine="720"/>
      </w:pPr>
      <w:r>
        <w:t>Pyridoxine, the other component of the nutraceutical,</w:t>
      </w:r>
      <w:r w:rsidRPr="003A0EF9">
        <w:t xml:space="preserve"> acts to attenuate calcium signaling, </w:t>
      </w:r>
      <w:r>
        <w:t xml:space="preserve">inhibiting calcium movement into adipocytes </w:t>
      </w:r>
      <w:r>
        <w:rPr>
          <w:i/>
        </w:rPr>
        <w:t>in vitro</w:t>
      </w:r>
      <w:r>
        <w:t>.  This has been noted in research utilizing pyridoxine deficient rats, which have enhanced influx of calcium into vascular smooth muscle.</w:t>
      </w:r>
      <w:r>
        <w:fldChar w:fldCharType="begin"/>
      </w:r>
      <w:r w:rsidR="000A492A">
        <w:instrText xml:space="preserve"> ADDIN ZOTERO_ITEM CSL_CITATION {"citationID":"5LkbBbqp","properties":{"formattedCitation":"{\\rtf \\super 384,385\\nosupersub{}}","plainCitation":"384,385"},"citationItems":[{"id":175,"uris":["http://zotero.org/users/171999/items/Z2XJEMFC"],"uri":["http://zotero.org/users/171999/items/Z2XJEMFC"],"itemData":{"id":175,"type":"article-journal","title":"Regulation of calcium influx into vascular smooth muscle by vitamin B6","container-title":"Clinical and experimental hypertension (New York, N.Y.: 1993)","page":"489-500","volume":"15","issue":"3","source":"NCBI PubMed","abstract":"In the vitamin B6 deficiency-induced hypertensive (B6DHT) rat there is an increased influx of calcium into the vascular smooth muscle. Vitamers which possess vitamin B6 activity blocked the in vitro calcium influx into the caudal artery of B6DHT rats and the BAY K 8644-induced influx into artery segments from vitamin B6-supplemented (control) rats. BAY K 8644 did not increase further the calcium influx into caudal artery segments from B6DHT rats. However, when this influx was partly decreased by Nifedipine or by pyridoxal phosphate, BAY K 8644 antagonized their effects indicating that calcium influx mediated by the dihydropyridine-sensitive calcium channel is a site of the calcium influx defect in the B6DHT rat.","ISSN":"1064-1963","note":"PMID: 7683949","journalAbbreviation":"Clin. Exp. Hypertens.","language":"eng","author":[{"family":"Lal","given":"K J"},{"family":"Sharma","given":"S K"},{"family":"Dakshinamurti","given":"K"}],"issued":{"date-parts":[["1993",5]]},"PMID":"7683949"}},{"id":179,"uris":["http://zotero.org/users/171999/items/VPI2R49G"],"uri":["http://zotero.org/users/171999/items/VPI2R49G"],"itemData":{"id":179,"type":"article-journal","title":"Hypertension, calcium channel and pyridoxine (vitamin B6)","container-title":"Molecular and cellular biochemistry","page":"137-148","volume":"188","issue":"1-2","source":"NCBI PubMed","abstract":"The moderately pyridoxine (vitamin B6)-deficient male rat was introduced by us as an animal model (B6DHT) for the study of hypertension. Hypertension in this rat is associated with increased sympathetic stimulation. Arterial segments from B6DHT rats maintained a higher resting tone. The influx of 45calcium into intracellular compartment of the vascular smooth muscle of the caudate artery of B6DHT rats was also enhanced. Administration of pyridoxine attenuated the hypertension in B6DHT rats as well as in genetic or dietary-induced moderately hypertensive conditions such as in the Zucker obese rat and sucrose or low calcium-fed rats. However, pyridoxine did not have any effect on the spontaneously hypertensive rat. All classes of calcium channel blockers were effective in lowering the systolic blood pressure of B6DHT rats. The increased in vitro influx of 45calcium into intracellular compartment of artery segments of B6DHT rats as well as the BAY K 8644-induced influx of 45calcium into artery segments from normal rats were blocked by pyridoxal phosphate as well as by dihydropyridine-sensitive calcium channel blockers (DHP). Pyridoxal phosphate (PLP) in vitro enhances the binding of calcium channel antagonists to membrane preparations from vascular tissue. PLP corrects the membrane abnormality in responsive hypertensive conditions and thus, could be an endogenous modulator of DHP-sensitive calcium channels.","ISSN":"0300-8177","note":"PMID: 9823019","journalAbbreviation":"Mol. Cell. Biochem.","language":"eng","author":[{"family":"Dakshinamurti","given":"K"},{"family":"Lal","given":"K J"},{"family":"Ganguly","given":"P K"}],"issued":{"date-parts":[["1998",11]]},"PMID":"9823019"}}],"schema":"https://github.com/citation-style-language/schema/raw/master/csl-citation.json"} </w:instrText>
      </w:r>
      <w:r>
        <w:fldChar w:fldCharType="separate"/>
      </w:r>
      <w:r w:rsidR="000A492A" w:rsidRPr="000A492A">
        <w:rPr>
          <w:vertAlign w:val="superscript"/>
        </w:rPr>
        <w:t>384,385</w:t>
      </w:r>
      <w:r>
        <w:fldChar w:fldCharType="end"/>
      </w:r>
      <w:r>
        <w:t xml:space="preserve">  Spontaneously hypertensive rats also exhibit increased intracellular calcium levels, which is reduced with dietary pyridoxine supplementation at both recommended and 20 x recommended dietary intake levels.</w:t>
      </w:r>
      <w:r>
        <w:fldChar w:fldCharType="begin"/>
      </w:r>
      <w:r w:rsidR="000A492A">
        <w:instrText xml:space="preserve"> ADDIN ZOTERO_ITEM CSL_CITATION {"citationID":"seiqUj5g","properties":{"formattedCitation":"{\\rtf \\super 386\\nosupersub{}}","plainCitation":"386"},"citationItems":[{"id":183,"uris":["http://zotero.org/users/171999/items/QC5JEVF2"],"uri":["http://zotero.org/users/171999/items/QC5JEVF2"],"itemData":{"id":183,"type":"article-journal","title":"Dietary vitamin B6 supplementation attenuates hypertension in spontaneously hypertensive rats","container-title":"Molecular and cellular biochemistry","page":"155-162","volume":"200","issue":"1-2","source":"NCBI PubMed","abstract":"In spontaneously hypertensive rats (SHRs) excess endogenous aldehydes bind sulfhydryl groups of membrane proteins, altering membrane Ca2+ channels, increasing cytosolic free calcium and blood pressure. N-acetyl cysteine normalizes elevated blood pressure in SHRs by binding excess endogenous aldehydes. It is known that dietary vitamin B6 supplementation can increase the level of endogenous cysteine. Our objective was to investigate whether a dietary supplementation of vitamin B6 can prevent hypertension and associated changes in SHRs. Starting at 7 weeks of age, animals were divided into three groups of six animals each. Animals in WKY-control group and SHR-control group were given a normal vitamin B6 diet; and SHR-vitamin B6 group, a high vitamin B6 diet (20 times the recommended dietary intake; RDA) for the next 14 weeks. After 14 weeks, systolic blood pressure, platelet [Ca2+]i and liver, kidney and aortic aldehyde conjugates were significantly higher in SHR controls compared to WKY controls. These animals also showed smooth muscle cell hyperplasia in the small arteries and arterioles of the kidneys. Dietary vitamin B6 supplementation attenuated the increase in systolic blood pressure, tissue aldehyde conjugates and associated changes. These results further support the hypothesis that aldehydes are involved in increased systolic blood pressure in SHRs and suggest that vitamin B6 supplementation may be an effective antihypertensive.","ISSN":"0300-8177","note":"PMID: 10569195","journalAbbreviation":"Mol. Cell. Biochem.","language":"eng","author":[{"family":"Vasdev","given":"S"},{"family":"Ford","given":"C A"},{"family":"Parai","given":"S"},{"family":"Longerich","given":"L"},{"family":"Gadag","given":"V"}],"issued":{"date-parts":[["1999",10]]},"PMID":"10569195"}}],"schema":"https://github.com/citation-style-language/schema/raw/master/csl-citation.json"} </w:instrText>
      </w:r>
      <w:r>
        <w:fldChar w:fldCharType="separate"/>
      </w:r>
      <w:r w:rsidR="000A492A" w:rsidRPr="000A492A">
        <w:rPr>
          <w:vertAlign w:val="superscript"/>
        </w:rPr>
        <w:t>386</w:t>
      </w:r>
      <w:r>
        <w:fldChar w:fldCharType="end"/>
      </w:r>
      <w:r>
        <w:t xml:space="preserve">  The ability to limit intracellular calcium accumulation is important to discussions surrounding weight loss because calcium regulates adipocyte lipid metabolism.  This relationship has been shown using human adipocytes exposed to agouti protein, which is associated with obesity and is expressed primarily in adipocytes.  Agouti protein exposure increased adipocyte FASN expression in these adipocytes, indicating a lipogenic state.</w:t>
      </w:r>
      <w:r>
        <w:fldChar w:fldCharType="begin"/>
      </w:r>
      <w:r w:rsidR="000A492A">
        <w:instrText xml:space="preserve"> ADDIN ZOTERO_ITEM CSL_CITATION {"citationID":"pBfkehh8","properties":{"formattedCitation":"{\\rtf \\super 387,388\\nosupersub{}}","plainCitation":"387,388"},"citationItems":[{"id":187,"uris":["http://zotero.org/users/171999/items/D95PS2N9"],"uri":["http://zotero.org/users/171999/items/D95PS2N9"],"itemData":{"id":187,"type":"article-journal","title":"Transcriptional regulation of the adipocyte fatty acid synthase gene by agouti: interaction with insulin","container-title":"Physiological genomics","page":"157-162","volume":"3","issue":"3","source":"NCBI PubMed","abstract":"Mice carrying dominant mutations at the agouti locus exhibit ectopic expression of agouti gene transcripts, obesity, and type II diabetes through unknown mechanisms. To gain insight into the role of agouti protein in modulating adiposity, we investigated regulation of a key lipogenic gene, fatty acid synthase (FAS) by agouti alone and in combination with insulin. Both agouti and insulin increase FAS activity in 3T3-L1 and in human adipocytes. Agouti and insulin independently and additively increase FAS activity in 3T3-L1 adipocytes. We further investigated the mechanism responsible for the agouti-induced FAS expression in these cells and demonstrated that both insulin (3-fold increase) and agouti (2-fold) increased FAS gene expression at the transcriptional level. Furthermore, insulin and agouti together exerted additive effects (5-fold increase) on FAS gene transcription. Transfection assays of FAS promoter-luciferase fusion gene constructs into 3T3-L1 adipocytes indicated that the agouti response element(s) is (are) located in the -435 to -415 region (-435/-415) of the FAS promoter. Nuclear proteins binding to this novel sequence are adipocyte specific. Thus the agouti response sequences mapped to a region upstream of the insulin-responsive element (which we previously reported to be located at -67/-52), consistent with additive effects of these two factors on FAS gene transcription.","ISSN":"1531-2267","note":"PMID: 11015611","shortTitle":"Transcriptional regulation of the adipocyte fatty acid synthase gene by agouti","journalAbbreviation":"Physiol. Genomics","language":"eng","author":[{"family":"Claycombe","given":"K J"},{"family":"Wang","given":"Y"},{"family":"Jones","given":"B H"},{"family":"Kim","given":"S"},{"family":"Wilkison","given":"W O"},{"family":"Zemel","given":"M B"},{"family":"Chun","given":"J"},{"family":"Moustaid-Moussa","given":"N"}],"issued":{"date-parts":[["2000",9,8]]},"PMID":"11015611"}},{"id":191,"uris":["http://zotero.org/users/171999/items/RNHCWFIG"],"uri":["http://zotero.org/users/171999/items/RNHCWFIG"],"itemData":{"id":191,"type":"article-journal","title":"Relationship between human adipose tissue agouti and fatty acid synthase (FAS)","container-title":"The Journal of nutrition","page":"2478-2481","volume":"130","issue":"10","source":"NCBI PubMed","abstract":"The human homologue of the murine obesity gene, agouti, is expressed in adipose tissue. We have shown that recombinant agouti protein regulates adipocyte lipogenesis and lipolysis coordinately and promotes lipid storage via a Ca(2+)-dependent mechanism in vitro, which may contribute to agouti-induced obesity. However, little is known about agouti's physiologic function in humans. We first studied the agouti content in human mature adipocytes vs. preadipocytes. The agouti content of human mature adipocytes was five times as abundant as in preadipocytes (19.18 +/- 2.46 vs. 4.07 +/- 0.51 pg/microg protein, P: &lt; 0.005), suggesting that agouti is up-regulated during adipocyte differentiation. We next studied the relationship of agouti mRNA and protein to fatty acid synthase (FAS) mRNA and activity in adipose tissue obtained from nonobese and mildly obese patients (body mass index range, 21-31 kg/m(2)). Agouti protein was correlated with FAS activity (r = 0.782, P: &lt; 0.005). Similarly, human adipose tissue agouti mRNA level was also correlated with FAS mRNA level (r = 0.846, P: &lt; 0.001). These data suggest that agouti may be another adipocyte-produced factor that modulates adipocyte lipid metabolism via a paracrine/autocrine mechanism.","ISSN":"0022-3166","note":"PMID: 11015476","journalAbbreviation":"J. Nutr.","language":"eng","author":[{"family":"Xue","given":"B"},{"family":"Zemel","given":"M B"}],"issued":{"date-parts":[["2000",10]]},"PMID":"11015476"}}],"schema":"https://github.com/citation-style-language/schema/raw/master/csl-citation.json"} </w:instrText>
      </w:r>
      <w:r>
        <w:fldChar w:fldCharType="separate"/>
      </w:r>
      <w:r w:rsidR="000A492A" w:rsidRPr="000A492A">
        <w:rPr>
          <w:vertAlign w:val="superscript"/>
        </w:rPr>
        <w:t>387,388</w:t>
      </w:r>
      <w:r>
        <w:fldChar w:fldCharType="end"/>
      </w:r>
      <w:r>
        <w:t xml:space="preserve">  As previously discussed, FASN expression did not differ between groups utilized in this study, but further examination of visceral adipose tissue expression is warranted.</w:t>
      </w:r>
    </w:p>
    <w:p w:rsidR="001D2FF5" w:rsidRDefault="001D2FF5" w:rsidP="00F24665">
      <w:pPr>
        <w:ind w:firstLine="720"/>
      </w:pPr>
    </w:p>
    <w:p w:rsidR="001D2FF5" w:rsidRDefault="001D2FF5" w:rsidP="00F24665">
      <w:pPr>
        <w:ind w:firstLine="720"/>
      </w:pPr>
      <w:commentRangeStart w:id="177"/>
      <w:r>
        <w:t>In most studies, the expression of UCP homologues has been reported at the level of mRNA only.However, it is important to note that the expression of UCPmRNA in a specific tissue does not necessarily correlate with the expression of UCPs at the protein level.</w:t>
      </w:r>
      <w:r>
        <w:fldChar w:fldCharType="begin"/>
      </w:r>
      <w:r>
        <w:instrText xml:space="preserve"> ADDIN ZOTERO_ITEM CSL_CITATION {"citationID":"26n3iddcr8","properties":{"formattedCitation":"{\\rtf \\super 349,350\\nosupersub{}}","plainCitation":"349,350"},"citationItems":[{"id":1509,"uris":["http://zotero.org/users/171999/items/TZC28NU9"],"uri":["http://zotero.org/users/171999/items/TZC28NU9"],"itemData":{"id":1509,"type":"article-journal","title":"Fasting and leptin modulate adipose and muscle uncoupling protein: divergent effects between messenger ribonucleic acid and protein expression","container-title":"Endocrinology","page":"1511-1519","volume":"140","issue":"4","source":"NCBI PubMed","abstract":"Leptin is believed to act through hypothalamic centers to decrease appetite and increase energy utilization, in part through enhanced thermogenesis. In this study, we examined the effects of fasting for 2 days and exogenous s.c. leptin, 200 microg every 8 h for 2 days, on the regulation of uncoupling protein (UCP) subtypes in brown adipose tissue (BAT) and gastrocnemius muscle. Northern blot analysis (UCP-1) and ribonuclease protection (UCP-2 and 3) were used for quantitative messenger RNA (mRNA) analysis, and specific antibodies were used to measure UCP-1 and UCP-3 total protein expression. Leptin, compared with vehicle, did not alter BAT UCP-1 or UCP-3 mRNA or protein expression when administered to normal ad libitum fed rats. Fasting significantly decreased BAT UCP-1 and UCP-3 mRNA expression, to 31% and 30% of ad libitum fed controls, respectively, effects which were prevented by administration of leptin to fasted rats. Fasting also significantly decreased BAT UCP-1 protein expression, to 67% of control; however, that effect was not prevented by leptin treatment. Fasting also decreased BAT UCP-3 protein, to 85% of control, an effect that was not statistically significant. Fasting, with or without leptin administration, did not affect BAT UCP-2 mRNA; however, leptin administration to ad libitum fed rats significantly increased BAT UCP-2 mRNA, to 138% of control. Fasting significantly enhanced gastrocnemius muscle UCP-3 mRNA (411% of control) and protein expression (168% of control), whereas leptin administration to fasted rats did not alter either of these effects. In summary, UCP subtype mRNA and protein are regulated in tissue- and subtype-specific fashion by leptin and food restriction. Under certain conditions, the effects of these perturbations on UCP mRNA and protein are discordant.","ISSN":"0013-7227","note":"PMID: 10098482","shortTitle":"Fasting and leptin modulate adipose and muscle uncoupling protein","journalAbbreviation":"Endocrinology","language":"eng","author":[{"family":"Sivitz","given":"W I"},{"family":"Fink","given":"B D"},{"family":"Donohoue","given":"P A"}],"issued":{"date-parts":[["1999",4]]},"PMID":"10098482"}},{"id":1511,"uris":["http://zotero.org/users/171999/items/PJE72FXP"],"uri":["http://zotero.org/users/171999/items/PJE72FXP"],"itemData":{"id":1511,"type":"article-journal","title":"Uncoupling protein 2, in vivo distribution, induction upon oxidative stress, and evidence for translational regulation","container-title":"The Journal of biological chemistry","page":"8705-8712","volume":"276","issue":"12","source":"NCBI PubMed","abstract":"Uncoupling protein 2 (UCP2) belongs to the mitochondrial anion carrier family and partially uncouples respiration from ATP synthesis when expressed in recombinant yeast mitochondria. We generated a highly sensitive polyclonal antibody against human UCP2. Its reactivity toward mitochondrial proteins was compared between wild type and ucp2(-/-) mice, leading to non-ambiguous identification of UCP2. We detected UCP2 in spleen, lung, stomach, and white adipose tissue. No UCP2 was detected in heart, skeletal muscle, liver, and brown adipose tissue. The level of UCP2 in spleen mitochondria is less than 1% of the level of UCP1 in brown adipose tissue mitochondria. Starvation and LPS treatments increase UCP2 level up to 12 times in lung and stomach, which supports the hypothesis that UCP2 responds to oxidative stress situations. Stimulation of the UCP2 expression occurs without any change in UCP2 mRNA levels. This is explained by translational regulation of the UCP2 mRNA. We have shown that an upstream open reading frame located in exon two of the ucp2 gene strongly inhibits the expression of the protein. This further level of regulation of the ucp2 gene provides a mechanism by which expression can be strongly and rapidly induced under stress conditions.","DOI":"10.1074/jbc.M006938200","ISSN":"0021-9258","note":"PMID: 11098051","journalAbbreviation":"J. Biol. Chem.","language":"eng","author":[{"family":"Pecqueur","given":"C"},{"family":"Alves-Guerra","given":"M C"},{"family":"Gelly","given":"C"},{"family":"Levi-Meyrueis","given":"C"},{"family":"Couplan","given":"E"},{"family":"Collins","given":"S"},{"family":"Ricquier","given":"D"},{"family":"Bouillaud","given":"F"},{"family":"Miroux","given":"B"}],"issued":{"date-parts":[["2001",3,23]]},"PMID":"11098051"}}],"schema":"https://github.com/citation-style-language/schema/raw/master/csl-citation.json"} </w:instrText>
      </w:r>
      <w:r>
        <w:fldChar w:fldCharType="separate"/>
      </w:r>
      <w:r w:rsidRPr="004C0563">
        <w:rPr>
          <w:vertAlign w:val="superscript"/>
        </w:rPr>
        <w:t>349,350</w:t>
      </w:r>
      <w:r>
        <w:fldChar w:fldCharType="end"/>
      </w:r>
      <w:r>
        <w:t xml:space="preserve"> For example, whereas UCP2mRNA is found in heart tissues, skeletal muscle and BAT, no UCP2 protein could be detected in these tissues.</w:t>
      </w:r>
      <w:r>
        <w:fldChar w:fldCharType="begin"/>
      </w:r>
      <w:r>
        <w:instrText xml:space="preserve"> ADDIN ZOTERO_ITEM CSL_CITATION {"citationID":"s525cpv05","properties":{"formattedCitation":"{\\rtf \\super 350\\nosupersub{}}","plainCitation":"350"},"citationItems":[{"id":1511,"uris":["http://zotero.org/users/171999/items/PJE72FXP"],"uri":["http://zotero.org/users/171999/items/PJE72FXP"],"itemData":{"id":1511,"type":"article-journal","title":"Uncoupling protein 2, in vivo distribution, induction upon oxidative stress, and evidence for translational regulation","container-title":"The Journal of biological chemistry","page":"8705-8712","volume":"276","issue":"12","source":"NCBI PubMed","abstract":"Uncoupling protein 2 (UCP2) belongs to the mitochondrial anion carrier family and partially uncouples respiration from ATP synthesis when expressed in recombinant yeast mitochondria. We generated a highly sensitive polyclonal antibody against human UCP2. Its reactivity toward mitochondrial proteins was compared between wild type and ucp2(-/-) mice, leading to non-ambiguous identification of UCP2. We detected UCP2 in spleen, lung, stomach, and white adipose tissue. No UCP2 was detected in heart, skeletal muscle, liver, and brown adipose tissue. The level of UCP2 in spleen mitochondria is less than 1% of the level of UCP1 in brown adipose tissue mitochondria. Starvation and LPS treatments increase UCP2 level up to 12 times in lung and stomach, which supports the hypothesis that UCP2 responds to oxidative stress situations. Stimulation of the UCP2 expression occurs without any change in UCP2 mRNA levels. This is explained by translational regulation of the UCP2 mRNA. We have shown that an upstream open reading frame located in exon two of the ucp2 gene strongly inhibits the expression of the protein. This further level of regulation of the ucp2 gene provides a mechanism by which expression can be strongly and rapidly induced under stress conditions.","DOI":"10.1074/jbc.M006938200","ISSN":"0021-9258","note":"PMID: 11098051","journalAbbreviation":"J. Biol. Chem.","language":"eng","author":[{"family":"Pecqueur","given":"C"},{"family":"Alves-Guerra","given":"M C"},{"family":"Gelly","given":"C"},{"family":"Levi-Meyrueis","given":"C"},{"family":"Couplan","given":"E"},{"family":"Collins","given":"S"},{"family":"Ricquier","given":"D"},{"family":"Bouillaud","given":"F"},{"family":"Miroux","given":"B"}],"issued":{"date-parts":[["2001",3,23]]},"PMID":"11098051"}}],"schema":"https://github.com/citation-style-language/schema/raw/master/csl-citation.json"} </w:instrText>
      </w:r>
      <w:r>
        <w:fldChar w:fldCharType="separate"/>
      </w:r>
      <w:r w:rsidRPr="004C0563">
        <w:rPr>
          <w:vertAlign w:val="superscript"/>
        </w:rPr>
        <w:t>350</w:t>
      </w:r>
      <w:r>
        <w:fldChar w:fldCharType="end"/>
      </w:r>
      <w:r>
        <w:t xml:space="preserve"> Similarly, changes in the amount of mRNA expression do not necessarily predict changes in the amount of protein expression.</w:t>
      </w:r>
      <w:r w:rsidRPr="00D117B4">
        <w:t xml:space="preserve"> </w:t>
      </w:r>
      <w:r>
        <w:fldChar w:fldCharType="begin"/>
      </w:r>
      <w:r>
        <w:instrText xml:space="preserve"> ADDIN ZOTERO_ITEM CSL_CITATION {"citationID":"X9MD575e","properties":{"formattedCitation":"{\\rtf \\super 349,350\\nosupersub{}}","plainCitation":"349,350"},"citationItems":[{"id":1509,"uris":["http://zotero.org/users/171999/items/TZC28NU9"],"uri":["http://zotero.org/users/171999/items/TZC28NU9"],"itemData":{"id":1509,"type":"article-journal","title":"Fasting and leptin modulate adipose and muscle uncoupling protein: divergent effects between messenger ribonucleic acid and protein expression","container-title":"Endocrinology","page":"1511-1519","volume":"140","issue":"4","source":"NCBI PubMed","abstract":"Leptin is believed to act through hypothalamic centers to decrease appetite and increase energy utilization, in part through enhanced thermogenesis. In this study, we examined the effects of fasting for 2 days and exogenous s.c. leptin, 200 microg every 8 h for 2 days, on the regulation of uncoupling protein (UCP) subtypes in brown adipose tissue (BAT) and gastrocnemius muscle. Northern blot analysis (UCP-1) and ribonuclease protection (UCP-2 and 3) were used for quantitative messenger RNA (mRNA) analysis, and specific antibodies were used to measure UCP-1 and UCP-3 total protein expression. Leptin, compared with vehicle, did not alter BAT UCP-1 or UCP-3 mRNA or protein expression when administered to normal ad libitum fed rats. Fasting significantly decreased BAT UCP-1 and UCP-3 mRNA expression, to 31% and 30% of ad libitum fed controls, respectively, effects which were prevented by administration of leptin to fasted rats. Fasting also significantly decreased BAT UCP-1 protein expression, to 67% of control; however, that effect was not prevented by leptin treatment. Fasting also decreased BAT UCP-3 protein, to 85% of control, an effect that was not statistically significant. Fasting, with or without leptin administration, did not affect BAT UCP-2 mRNA; however, leptin administration to ad libitum fed rats significantly increased BAT UCP-2 mRNA, to 138% of control. Fasting significantly enhanced gastrocnemius muscle UCP-3 mRNA (411% of control) and protein expression (168% of control), whereas leptin administration to fasted rats did not alter either of these effects. In summary, UCP subtype mRNA and protein are regulated in tissue- and subtype-specific fashion by leptin and food restriction. Under certain conditions, the effects of these perturbations on UCP mRNA and protein are discordant.","ISSN":"0013-7227","note":"PMID: 10098482","shortTitle":"Fasting and leptin modulate adipose and muscle uncoupling protein","journalAbbreviation":"Endocrinology","language":"eng","author":[{"family":"Sivitz","given":"W I"},{"family":"Fink","given":"B D"},{"family":"Donohoue","given":"P A"}],"issued":{"date-parts":[["1999",4]]},"PMID":"10098482"}},{"id":1511,"uris":["http://zotero.org/users/171999/items/PJE72FXP"],"uri":["http://zotero.org/users/171999/items/PJE72FXP"],"itemData":{"id":1511,"type":"article-journal","title":"Uncoupling protein 2, in vivo distribution, induction upon oxidative stress, and evidence for translational regulation","container-title":"The Journal of biological chemistry","page":"8705-8712","volume":"276","issue":"12","source":"NCBI PubMed","abstract":"Uncoupling protein 2 (UCP2) belongs to the mitochondrial anion carrier family and partially uncouples respiration from ATP synthesis when expressed in recombinant yeast mitochondria. We generated a highly sensitive polyclonal antibody against human UCP2. Its reactivity toward mitochondrial proteins was compared between wild type and ucp2(-/-) mice, leading to non-ambiguous identification of UCP2. We detected UCP2 in spleen, lung, stomach, and white adipose tissue. No UCP2 was detected in heart, skeletal muscle, liver, and brown adipose tissue. The level of UCP2 in spleen mitochondria is less than 1% of the level of UCP1 in brown adipose tissue mitochondria. Starvation and LPS treatments increase UCP2 level up to 12 times in lung and stomach, which supports the hypothesis that UCP2 responds to oxidative stress situations. Stimulation of the UCP2 expression occurs without any change in UCP2 mRNA levels. This is explained by translational regulation of the UCP2 mRNA. We have shown that an upstream open reading frame located in exon two of the ucp2 gene strongly inhibits the expression of the protein. This further level of regulation of the ucp2 gene provides a mechanism by which expression can be strongly and rapidly induced under stress conditions.","DOI":"10.1074/jbc.M006938200","ISSN":"0021-9258","note":"PMID: 11098051","journalAbbreviation":"J. Biol. Chem.","language":"eng","author":[{"family":"Pecqueur","given":"C"},{"family":"Alves-Guerra","given":"M C"},{"family":"Gelly","given":"C"},{"family":"Levi-Meyrueis","given":"C"},{"family":"Couplan","given":"E"},{"family":"Collins","given":"S"},{"family":"Ricquier","given":"D"},{"family":"Bouillaud","given":"F"},{"family":"Miroux","given":"B"}],"issued":{"date-parts":[["2001",3,23]]},"PMID":"11098051"}}],"schema":"https://github.com/citation-style-language/schema/raw/master/csl-citation.json"} </w:instrText>
      </w:r>
      <w:r>
        <w:fldChar w:fldCharType="separate"/>
      </w:r>
      <w:r w:rsidRPr="004C0563">
        <w:rPr>
          <w:vertAlign w:val="superscript"/>
        </w:rPr>
        <w:t>349,350</w:t>
      </w:r>
      <w:r>
        <w:fldChar w:fldCharType="end"/>
      </w:r>
      <w:r>
        <w:t xml:space="preserve"> Therefore, it is crucial that the presence of UCP2 and UCP3, and/or a change in their rates of expression, be confirmed at the protein level if a biochemical or physiological role for either of these proteins is to be claimed. The assessment of RNA expression</w:t>
      </w:r>
      <w:proofErr w:type="gramStart"/>
      <w:r>
        <w:t>,by</w:t>
      </w:r>
      <w:proofErr w:type="gramEnd"/>
      <w:r>
        <w:t xml:space="preserve"> itself, is inadequate.</w:t>
      </w:r>
      <w:commentRangeEnd w:id="177"/>
      <w:r>
        <w:rPr>
          <w:rStyle w:val="CommentReference"/>
        </w:rPr>
        <w:commentReference w:id="177"/>
      </w:r>
      <w:r w:rsidRPr="005E54E2">
        <w:br w:type="page"/>
      </w:r>
    </w:p>
    <w:p w:rsidR="001D2FF5" w:rsidRDefault="001D2FF5" w:rsidP="00F24665">
      <w:pPr>
        <w:ind w:firstLine="720"/>
      </w:pPr>
    </w:p>
    <w:p w:rsidR="00F24665" w:rsidRDefault="00F24665" w:rsidP="00F24665">
      <w:pPr>
        <w:ind w:firstLine="720"/>
        <w:contextualSpacing/>
      </w:pPr>
      <w:r>
        <w:t>Interleukin-6 (IL6) is a cytokine released from white adipose tissue (WAT), macrophages, fibroblasts, endothelial cells, and skeletal muscle cells.</w:t>
      </w:r>
      <w:r>
        <w:fldChar w:fldCharType="begin"/>
      </w:r>
      <w:r w:rsidR="000A492A">
        <w:instrText xml:space="preserve"> ADDIN ZOTERO_ITEM CSL_CITATION {"citationID":"x8ja1VjC","properties":{"formattedCitation":"{\\rtf \\super 166\\nosupersub{}}","plainCitation":"166"},"citationItems":[{"id":251,"uris":["http://zotero.org/users/171999/items/D3HWXAZ7"],"uri":["http://zotero.org/users/171999/items/D3HWXAZ7"],"itemData":{"id":251,"type":"article-journal","title":"Adipokine inflammation and insulin resistance: the role of glucose, lipids and endotoxin","container-title":"The Journal of endocrinology","page":"T1-T15","volume":"216","issue":"1","source":"NCBI PubMed","abstract":"Adipose tissue is an active endocrine organ, and our knowledge of this secretory tissue, in recent years, has led us to completely rethink how our body functions and becomes dysregulated with weight gain. Human adipose tissue appears to act as a multifunctional secretory organ with the capacity to control energy homoeostasis through peripheral and central regulation of energy homoeostasis. It also plays an important role in innate immunity. However, the capability to more than double its original mass to cope with positive energy balance in obesity leads to many pathogenic changes. These changes arise within the adipose tissue as well as inducing secondary detrimental effects on other organs like muscle and liver, including chronic low-grade inflammation mediated by adipocytokines (adipokine inflammation). This inflammation is modulated by dietary factors and nutrients including glucose and lipids, as well as gut bacteria in the form of endotoxin or LPS. The aim of this current review is to consider the impact of nutrients such as glucose and lipids on inflammatory pathways, specifically within adipose tissue. Furthermore, how nutrients such as these can influence adipokine inflammation and consequently insulin resistance directly through their effects on secretion of adipocytokines (TNFα, IL6 and resistin) as well as indirectly through increases in endotoxin is discussed.","DOI":"10.1530/JOE-12-0498","ISSN":"1479-6805","note":"PMID: 23160966","shortTitle":"Adipokine inflammation and insulin resistance","journalAbbreviation":"J. Endocrinol.","language":"eng","author":[{"family":"Piya","given":"M K"},{"family":"McTernan","given":"P G"},{"family":"Kumar","given":"S"}],"issued":{"date-parts":[["2013",1]]},"PMID":"23160966"}}],"schema":"https://github.com/citation-style-language/schema/raw/master/csl-citation.json"} </w:instrText>
      </w:r>
      <w:r>
        <w:fldChar w:fldCharType="separate"/>
      </w:r>
      <w:r w:rsidRPr="00636862">
        <w:rPr>
          <w:vertAlign w:val="superscript"/>
        </w:rPr>
        <w:t>166</w:t>
      </w:r>
      <w:r>
        <w:fldChar w:fldCharType="end"/>
      </w:r>
      <w:r>
        <w:t xml:space="preserve">  Its plasma levels correlate to the level of adiposity, it is proinflammatory when in WAT and hepatic tissue, and increases insulin resistance via downstream inhibition of insulin receptor and IRS1 phosphorylation.</w:t>
      </w:r>
      <w:r>
        <w:fldChar w:fldCharType="begin"/>
      </w:r>
      <w:r w:rsidR="000A492A">
        <w:instrText xml:space="preserve"> ADDIN ZOTERO_ITEM CSL_CITATION {"citationID":"xSX0VbrZ","properties":{"formattedCitation":"{\\rtf \\super 166\\uc0\\u8211{}170\\nosupersub{}}","plainCitation":"166–170"},"citationItems":[{"id":251,"uris":["http://zotero.org/users/171999/items/D3HWXAZ7"],"uri":["http://zotero.org/users/171999/items/D3HWXAZ7"],"itemData":{"id":251,"type":"article-journal","title":"Adipokine inflammation and insulin resistance: the role of glucose, lipids and endotoxin","container-title":"The Journal of endocrinology","page":"T1-T15","volume":"216","issue":"1","source":"NCBI PubMed","abstract":"Adipose tissue is an active endocrine organ, and our knowledge of this secretory tissue, in recent years, has led us to completely rethink how our body functions and becomes dysregulated with weight gain. Human adipose tissue appears to act as a multifunctional secretory organ with the capacity to control energy homoeostasis through peripheral and central regulation of energy homoeostasis. It also plays an important role in innate immunity. However, the capability to more than double its original mass to cope with positive energy balance in obesity leads to many pathogenic changes. These changes arise within the adipose tissue as well as inducing secondary detrimental effects on other organs like muscle and liver, including chronic low-grade inflammation mediated by adipocytokines (adipokine inflammation). This inflammation is modulated by dietary factors and nutrients including glucose and lipids, as well as gut bacteria in the form of endotoxin or LPS. The aim of this current review is to consider the impact of nutrients such as glucose and lipids on inflammatory pathways, specifically within adipose tissue. Furthermore, how nutrients such as these can influence adipokine inflammation and consequently insulin resistance directly through their effects on secretion of adipocytokines (TNFα, IL6 and resistin) as well as indirectly through increases in endotoxin is discussed.","DOI":"10.1530/JOE-12-0498","ISSN":"1479-6805","note":"PMID: 23160966","shortTitle":"Adipokine inflammation and insulin resistance","journalAbbreviation":"J. Endocrinol.","language":"eng","author":[{"family":"Piya","given":"M K"},{"family":"McTernan","given":"P G"},{"family":"Kumar","given":"S"}],"issued":{"date-parts":[["2013",1]]},"PMID":"23160966"}},{"id":255,"uris":["http://zotero.org/users/171999/items/3GHDFRBP"],"uri":["http://zotero.org/users/171999/items/3GHDFRBP"],"itemData":{"id":255,"type":"article-journal","title":"Interleukin-6 induces cellular insulin resistance in hepatocytes","container-title":"Diabetes","page":"3391-3399","volume":"51","issue":"12","source":"NCBI PubMed","abstract":"Interleukin (IL)-6 is one of several proinflammatory cytokines that have been associated with insulin resistance and type 2 diabetes. A two- to threefold elevation of circulating IL-6 has been observed in these conditions. Nonetheless, little evidence supports a direct role for IL-6 in mediating insulin resistance. Here, we present data that IL-6 can inhibit insulin receptor (IR) signal transduction and insulin action in both primary mouse hepatocytes and the human hepatocarcinoma cell line, HepG2. This inhibition depends on duration of IL-6 exposure, with a maximum effect at 1-1.5 h of pretreatment with IL-6 in both HepG2 cells and primary hepatocytes. The IL-6 effect is characterized by a decreased tyrosine phosphorylation of IR substrate (IRS)-1 and decreased association of the p85 subunit of phosphatidylinositol 3-kinase with IRS-1 in response to physiologic insulin levels. In addition, insulin-dependent activation of Akt, important in mediating insulin's downstream metabolic actions, is markedly inhibited by IL-6 treatment. Finally, a 1.5-h preincubation of primary hepatocytes with IL-6 inhibits insulin-induced glycogen synthesis by 75%. These data suggest that IL-6 plays a direct role in insulin resistance at the cellular level in both primary hepatocytes and HepG2 cell lines and may contribute to insulin resistance and type 2 diabetes.","ISSN":"0012-1797","note":"PMID: 12453891","journalAbbreviation":"Diabetes","language":"eng","author":[{"family":"Senn","given":"Joseph J"},{"family":"Klover","given":"Peter J"},{"family":"Nowak","given":"Irena A"},{"family":"Mooney","given":"Robert A"}],"issued":{"date-parts":[["2002",12]]},"PMID":"12453891"}},{"id":259,"uris":["http://zotero.org/users/171999/items/IK4U25NH"],"uri":["http://zotero.org/users/171999/items/IK4U25NH"],"itemData":{"id":259,"type":"article-journal","title":"Suppressor of cytokine signaling-3 (SOCS-3), a potential mediator of interleukin-6-dependent insulin resistance in hepatocytes","container-title":"The Journal of biological chemistry","page":"13740-13746","volume":"278","issue":"16","source":"NCBI PubMed","abstract":"Interleukin-6 (IL-6) is one of several pro-inflammatory cytokines implicated in insulin resistance during infection, cachexia, and obesity. We recently demonstrated that IL-6 inhibits insulin signaling in hepatocytes (Senn, J. J., Klover, P. J., Nowak, I. A., and Mooney, R. A. (2002) Diabetes 51, 3391-3399). Members of the suppressors of cytokine signaling (SOCS) family associate with the insulin receptor (IR), and their ectopic expression inhibits IR signaling. Since several SOCS proteins are induced by IL-6, a working hypothesis is that IL-6-dependent insulin resistance is mediated, at least in part, by induction of SOCS protein(s) in insulin target cells. To examine the involvement of SOCS protein(s) in IL-6-dependent inhibition of insulin receptor signaling, HepG2 cells were treated with IL-6 (20 ng/ml) for periods from 1 min to 8 h. IL-6 induced SOCS-3 transcript at 30 min with a maximum effect at 1 h. SOCS-3 protein levels were also markedly elevated at 1 h. Transcript and protein levels returned to near basal levels by 2 h. SOCS-3 induction by IL-6 paralleled IL-6-dependent inhibition of IR signal transduction. Ectopically expressed SOCS-3 associated with the IR and suppressed insulin-dependent receptor autophosphorylation, insulin receptor substrate-1 (IRS-1) tyrosine phosphorylation, association of IRS-1 with the p85 subunit of phosphatidylinositol 3-kinase, and activation of Akt. SOCS-3 was also a direct inhibitor of insulin receptor autophosphorylation in vitro. In mice exposed to IL-6 for 60-90 min, hepatic SOCS-3 expression was increased. This was associated with inhibition of hepatic insulin-dependent receptor autophosphorylation and IRS-1 tyrosine phosphorylation. These data suggest that induction of SOCS-3 in liver may be an important mechanism of IL-6-mediated insulin resistance.","DOI":"10.1074/jbc.M210689200","ISSN":"0021-9258","note":"PMID: 12560330","journalAbbreviation":"J. Biol. Chem.","language":"eng","author":[{"family":"Senn","given":"Joseph J"},{"family":"Klover","given":"Peter J"},{"family":"Nowak","given":"Irena A"},{"family":"Zimmers","given":"Teresa A"},{"family":"Koniaris","given":"Leonidas G"},{"family":"Furlanetto","given":"Richard W"},{"family":"Mooney","given":"Robert A"}],"issued":{"date-parts":[["2003",4,18]]},"PMID":"12560330"}},{"id":265,"uris":["http://zotero.org/users/171999/items/BQZ26STT"],"uri":["http://zotero.org/users/171999/items/BQZ26STT"],"itemData":{"id":265,"type":"article-journal","title":"Interleukin-6 (IL-6) induces insulin resistance in 3T3-L1 adipocytes and is, like IL-8 and tumor necrosis factor-alpha, overexpressed in human fat cells from insulin-resistant subjects","container-title":"The Journal of biological chemistry","page":"45777-45784","volume":"278","issue":"46","source":"NCBI PubMed","abstract":"Several studies have shown a relationship between interleukin (IL) 6 levels and insulin resistance. We here show that human subcutaneous adipose cells, like 3T3-L1 cells, are target cells for IL-6. To examine putative mechanisms and cross-talk with insulin, 3T3-L1 adipocytes were cultured for different times with IL-6 and tumor necrosis factor alpha (TNF-alpha). IL-6, in contrast to TNF-alpha, did not increase pS-307 of insulin-receptor substrate (IRS)-1 or JNK activation. However, IL-6, like TNF-alpha exerted long term inhibitory effects on the gene transcription of IRS-1, GLUT-4, and peroxisome proliferator-activated receptor gamma. This effect of IL-6 was accompanied by a marked reduction in IRS-1, but not IRS-2, protein expression, and insulin-stimulated tyrosine phosphorylation, whereas no inhibitory effect was seen on the insulin receptor tyrosine phosphorylation. Consistent with the reduced GLUT-4 mRNA, insulin-stimulated glucose transport was also significantly reduced by IL-6. An important interaction with TNF-alpha was found because TNF-alpha markedly increased IL-6 mRNA and protein secretion. These results show that IL-6, through effects on gene transcription, is capable of impairing insulin signaling and action but, in contrast to TNF-alpha, IL-6 does not increase pS-307 (or pS-612) of IRS-1. The link between IL-6 and insulin resistance in man was further corroborated by the finding that the expression of IL-6, like that of TNF-alpha and IL-8, was markedly increased ( approximately 15-fold) in human fat cells from insulin-resistant individuals. We conclude that IL-6 can play an important role in insulin resistance in man and, furthermore, that it may act in concert with other cytokines that also are up-regulated in adipose cells in insulin resistance.","DOI":"10.1074/jbc.M301977200","ISSN":"0021-9258","note":"PMID: 12952969","journalAbbreviation":"J. Biol. Chem.","language":"eng","author":[{"family":"Rotter","given":"Victoria"},{"family":"Nagaev","given":"Ivan"},{"family":"Smith","given":"Ulf"}],"issued":{"date-parts":[["2003",11,14]]},"PMID":"12952969"}},{"id":237,"uris":["http://zotero.org/users/171999/items/3BFI36T2"],"uri":["http://zotero.org/users/171999/items/3BFI36T2"],"itemData":{"id":237,"type":"article-journal","title":"Adiposity signals, genetic and body weight regulation in humans","container-title":"Diabetes &amp; metabolism","page":"215-227","volume":"30","issue":"3","source":"NCBI PubMed","abstract":"Numerous signals convey information about body fat status from the periphery to the brain areas that control energy homeostasis so that, throughout life, body weight remains nearly stable. These signals mainly originate, either from the adipose tissue, like leptin and to a lesser extent interleukin 6, or from the pancreas, like insulin and amylin. These factors circulate in proportion to body fat mass and they are referred to as \"adiposity signals\". It is well established, at least for leptin and insulin, that they enter the brain from the plasma where they induce/repress a network of important neuropeptide regulators of energy intake and expenditure. Beside these endocrine signals, a growing amount of literature show data relative to adipocyte-derived molecules, most of them belonging to the cytokine family, like IL6, TNFalpha, IL8, IL10 whose secretion also correlates with body fat mass and that may locally regulate fat mass expansion. Others, like adiponectin, are negatively correlated with body fat mass. These \"adiposity molecules\" have already been involved in insulin resistance associated with obesity and inflammatory process. They may participate to a complex inter organ dialogue. In this review, we will synthesize data relative to the role played by insulin, leptin and amylin, either alone or through a cross talk, in \"energy level sensing\" at the brain level. Furthermore, we will develop how \"adiposity molecules\" through their paracrin and/or autocrin action may contribute to maintain fat mass expansion, therefore representing new adiposity molecules per se. Lastly, since any distortion in the metabolic circuitry of energy homeostasis is susceptible to lead to a pathological status like obesity, the impact of known genetic polymorphisms in genes encoding the adiposity signals will be discussed.","ISSN":"1262-3636","note":"PMID: 15223973","journalAbbreviation":"Diabetes Metab.","language":"eng","author":[{"family":"Cancello","given":"R"},{"family":"Tounian","given":"A"},{"family":"Poitou","given":"Ch"},{"family":"Clément","given":"K"}],"issued":{"date-parts":[["2004",6]]},"PMID":"15223973"}}],"schema":"https://github.com/citation-style-language/schema/raw/master/csl-citation.json"} </w:instrText>
      </w:r>
      <w:r>
        <w:fldChar w:fldCharType="separate"/>
      </w:r>
      <w:r w:rsidRPr="005B6EFE">
        <w:rPr>
          <w:vertAlign w:val="superscript"/>
        </w:rPr>
        <w:t>166–170</w:t>
      </w:r>
      <w:r>
        <w:fldChar w:fldCharType="end"/>
      </w:r>
      <w:r>
        <w:t xml:space="preserve">  IL6 has been previously measured in dogs, but remained below the level of detection limit in most or all samples</w:t>
      </w:r>
      <w:r>
        <w:fldChar w:fldCharType="begin"/>
      </w:r>
      <w:r w:rsidR="000A492A">
        <w:instrText xml:space="preserve"> ADDIN ZOTERO_ITEM CSL_CITATION {"citationID":"5rFGSLb3","properties":{"formattedCitation":"{\\rtf \\super 145,251,252\\nosupersub{}}","plainCitation":"145,251,252"},"citationItems":[{"id":"Gpwq8jj7/QN4EDEKg","uris":["http://zotero.org/users/local/Ry4zHLbn/items/T3HJ3BEN"],"uri":["http://zotero.org/users/local/Ry4zHLbn/items/T3HJ3BEN"],"itemData":{"id":"Gpwq8jj7/QN4EDEKg","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Endocrinol."}},{"id":428,"uris":["http://zotero.org/users/171999/items/NVGTTF9T"],"uri":["http://zotero.org/users/171999/items/NVGTTF9T"],"itemData":{"id":428,"type":"article-journal","title":"Comparison of Adipokine Concentrations and Markers of Inflammation in Obese Versus Lean Dogs","container-title":"International Journal of Applied Research in Veterinary Medicine","page":"196-205","volume":"7","issue":"4","source":"ISI Web of Knowledge","abstract":"The purpose of this study was to compare the concentrations of key adipokines and markers of inflammation associated with obesity in a population of healthy lean versus obese pet dogs. Dogs were determined to be in good health based on medical history, physical examination, complete blood count, serum biochemistry profile, and urinalysis. Adult dogs between 2 and 7 years of age were assigned to either the lean group [body condition score (BCS) = 4-5/9; n=39] or the obese group [BCS= 7-9/9; n=37]. Sampling before daily feeding circulating concentrations of C-reactive protein (CRP), adiponectin, resistin, insulin, leptin, interleukin-6 (IL-6) and tumor necrosis factor-alpha (TNT were measured. Groups were compared using Chi-Square and Mann-Whitney U tests. No significant differences between groups were detected in age (p=0.16) or gender (p=0.34). Median CRP concentration was significantly higher in the obese group [median 0.94 ug/ml (0.47-6.22 ug/ml)], versus the lean group [median 0.72 ug/ml (0.45-6.04 ug/ml); p=0.03]. The lean group had higher median adiponectin concentration [median 21.84 ug/ml (3.08-79.14 ug/ml)] compared to the obese group [median 15.27 ug/ml (1.97-42.76 ug/ml); p=0.004]. Statistical analysis for IL-6 and TNF was not performed because &gt; 50% of samples either failed due to methodological issues or were below the level of detection. Differences between groups in insulin, glucose, insulin:glucose ratio, and leptin concentrations were not detected in this study.Additional studies in dogs are warranted to further evaluate mechanisms and clinical significance of adipokines and inflammatory mediators associated with obesity.","ISSN":"1542-2666","note":"WOS:000284802600008","journalAbbreviation":"Int. J. Appl. Res. Vet. Med.","language":"English","author":[{"family":"Eirmann","given":"Laura A."},{"family":"Freeman","given":"Lisa M."},{"family":"Laflamme","given":"Dorothy P."},{"family":"Michel","given":"Kathryn E."},{"family":"Satyaraj","given":"Ebenezer"}],"issued":{"date-parts":[["2009"]]}}},{"id":384,"uris":["http://zotero.org/users/171999/items/26SKV3UZ"],"uri":["http://zotero.org/users/171999/items/26SKV3UZ"],"itemData":{"id":384,"type":"article-journal","title":"Effect of weight loss on inflammatory biomarkers in obese dogs","container-title":"Veterinary journal (London, England: 1997)","page":"570-572","volume":"193","issue":"2","source":"NCBI PubMed","abstract":"The objective of this study was to evaluate the effects of weight loss on selected serum inflammatory biomarkers in obese dogs. An experimentally induced bodyweight reduction of approximately 2.5%/week was accompanied by significant decreases in metabolic markers of obesity (lipidic profile, fructosamine, and insulin-like growth factor-1). The concentrations of acute phase proteins and of selected cytokines remained within reference ranges in obese dogs during weight loss, suggesting that significant inflammation was not a major component of this experimental model. However, adiponectin concentrations increased following the period of weight loss suggesting reduced susceptibility of these animals to obesity-related inflammation.","DOI":"10.1016/j.tvjl.2012.02.015","ISSN":"1532-2971","note":"PMID: 22464400","journalAbbreviation":"Vet. J.","language":"eng","author":[{"family":"Tvarijonaviciute","given":"Asta"},{"family":"Tecles","given":"Fernando"},{"family":"Martínez-Subiela","given":"Silvia"},{"family":"Cerón","given":"José J"}],"issued":{"date-parts":[["2012",8]]},"PMID":"22464400"}}],"schema":"https://github.com/citation-style-language/schema/raw/master/csl-citation.json"} </w:instrText>
      </w:r>
      <w:r>
        <w:fldChar w:fldCharType="separate"/>
      </w:r>
      <w:r w:rsidR="000A492A" w:rsidRPr="000A492A">
        <w:rPr>
          <w:vertAlign w:val="superscript"/>
        </w:rPr>
        <w:t>145,251,252</w:t>
      </w:r>
      <w:r>
        <w:fldChar w:fldCharType="end"/>
      </w:r>
      <w:r>
        <w:t xml:space="preserve">  Using the same multiple cytokine (IL-6, IL-15) technique, many samples (33.8%) were below the standard curve expected concentration limit of 12.2 pg/ml, but were still included in the analysis.  Overall, IL6 did not differ between dogs whether gaining, losing, or maintaining body weight.  This may corroborate the hypothesis that obesity is not indicative of an inflammatory state in dogs, based on inconsistent adiponectin, C-reactive protein, and resistin results.</w:t>
      </w:r>
      <w:r>
        <w:fldChar w:fldCharType="begin"/>
      </w:r>
      <w:r w:rsidR="000A492A">
        <w:instrText xml:space="preserve"> ADDIN ZOTERO_ITEM CSL_CITATION {"citationID":"UKuJaGBT","properties":{"formattedCitation":"{\\rtf \\super 145,250\\uc0\\u8211{}253,436,437\\nosupersub{}}","plainCitation":"145,250–253,436,437"},"citationItems":[{"id":384,"uris":["http://zotero.org/users/171999/items/26SKV3UZ"],"uri":["http://zotero.org/users/171999/items/26SKV3UZ"],"itemData":{"id":384,"type":"article-journal","title":"Effect of weight loss on inflammatory biomarkers in obese dogs","container-title":"Veterinary journal (London, England: 1997)","page":"570-572","volume":"193","issue":"2","source":"NCBI PubMed","abstract":"The objective of this study was to evaluate the effects of weight loss on selected serum inflammatory biomarkers in obese dogs. An experimentally induced bodyweight reduction of approximately 2.5%/week was accompanied by significant decreases in metabolic markers of obesity (lipidic profile, fructosamine, and insulin-like growth factor-1). The concentrations of acute phase proteins and of selected cytokines remained within reference ranges in obese dogs during weight loss, suggesting that significant inflammation was not a major component of this experimental model. However, adiponectin concentrations increased following the period of weight loss suggesting reduced susceptibility of these animals to obesity-related inflammation.","DOI":"10.1016/j.tvjl.2012.02.015","ISSN":"1532-2971","note":"PMID: 22464400","journalAbbreviation":"Vet. J.","language":"eng","author":[{"family":"Tvarijonaviciute","given":"Asta"},{"family":"Tecles","given":"Fernando"},{"family":"Martínez-Subiela","given":"Silvia"},{"family":"Cerón","given":"José J"}],"issued":{"date-parts":[["2012",8]]},"PMID":"22464400"}},{"id":"Gpwq8jj7/QN4EDEKg","uris":["http://zotero.org/users/local/Ry4zHLbn/items/T3HJ3BEN"],"uri":["http://zotero.org/users/local/Ry4zHLbn/items/T3HJ3BEN"],"itemData":{"id":"Gpwq8jj7/QN4EDEKg","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Endocrinol."}},{"id":428,"uris":["http://zotero.org/users/171999/items/NVGTTF9T"],"uri":["http://zotero.org/users/171999/items/NVGTTF9T"],"itemData":{"id":428,"type":"article-journal","title":"Comparison of Adipokine Concentrations and Markers of Inflammation in Obese Versus Lean Dogs","container-title":"International Journal of Applied Research in Veterinary Medicine","page":"196-205","volume":"7","issue":"4","source":"ISI Web of Knowledge","abstract":"The purpose of this study was to compare the concentrations of key adipokines and markers of inflammation associated with obesity in a population of healthy lean versus obese pet dogs. Dogs were determined to be in good health based on medical history, physical examination, complete blood count, serum biochemistry profile, and urinalysis. Adult dogs between 2 and 7 years of age were assigned to either the lean group [body condition score (BCS) = 4-5/9; n=39] or the obese group [BCS= 7-9/9; n=37]. Sampling before daily feeding circulating concentrations of C-reactive protein (CRP), adiponectin, resistin, insulin, leptin, interleukin-6 (IL-6) and tumor necrosis factor-alpha (TNT were measured. Groups were compared using Chi-Square and Mann-Whitney U tests. No significant differences between groups were detected in age (p=0.16) or gender (p=0.34). Median CRP concentration was significantly higher in the obese group [median 0.94 ug/ml (0.47-6.22 ug/ml)], versus the lean group [median 0.72 ug/ml (0.45-6.04 ug/ml); p=0.03]. The lean group had higher median adiponectin concentration [median 21.84 ug/ml (3.08-79.14 ug/ml)] compared to the obese group [median 15.27 ug/ml (1.97-42.76 ug/ml); p=0.004]. Statistical analysis for IL-6 and TNF was not performed because &gt; 50% of samples either failed due to methodological issues or were below the level of detection. Differences between groups in insulin, glucose, insulin:glucose ratio, and leptin concentrations were not detected in this study.Additional studies in dogs are warranted to further evaluate mechanisms and clinical significance of adipokines and inflammatory mediators associated with obesity.","ISSN":"1542-2666","note":"WOS:000284802600008","journalAbbreviation":"Int. J. Appl. Res. Vet. Med.","language":"English","author":[{"family":"Eirmann","given":"Laura A."},{"family":"Freeman","given":"Lisa M."},{"family":"Laflamme","given":"Dorothy P."},{"family":"Michel","given":"Kathryn E."},{"family":"Satyaraj","given":"Ebenezer"}],"issued":{"date-parts":[["2009"]]}}},{"id":803,"uris":["http://zotero.org/users/171999/items/9X2T5UFW"],"uri":["http://zotero.org/users/171999/items/9X2T5UFW"],"itemData":{"id":803,"type":"article-journal","title":"Serum acute phase proteins concentrations in dogs during experimentally short-term induced overweight. A preliminary study","container-title":"Research in veterinary science","page":"31-34","volume":"90","issue":"1","source":"NCBI PubMed","abstract":"The purpose of the study was to analyse serum concentrations of four different positive acute phase proteins (APPs): C-reactive protein, haptoglobin, serum amyloid A and ceruloplasmin in a model of experimentally short-term developed obesity in Beagle dogs. All APPs were quantified by commercially available ELISA methods and C-reactive protein was also determined by a highly sensitive time-resolved fluorometric assay. There were no significant differences between APPs concentrations at the beginning and the end of the study in groups of dogs that increased their body condition scores. In addition, dogs with body condition scores of 4 and 5 did not shown significant differences for any of the acute phase proteins studied compared with control dogs of BCS of 3, with exception of a decrease in haptoglobin. It was concluded that overweight induced in the experimental conditions of this study does not produce a significant change in acute phase proteins.","DOI":"10.1016/j.rvsc.2010.05.008","ISSN":"1532-2661","note":"PMID: 20553703","journalAbbreviation":"Res. Vet. Sci.","language":"eng","author":[{"family":"Tvarijonaviciute","given":"Asta"},{"family":"Martinez","given":"Silvia"},{"family":"Gutierrez","given":"Ana"},{"family":"Ceron","given":"Jose J"},{"family":"Tecles","given":"Fernando"}],"issued":{"date-parts":[["2011",2]]},"PMID":"20553703"}},{"id":"Gpwq8jj7/SlPx8JWY","uris":["http://zotero.org/users/local/Ry4zHLbn/items/SAVEQ6DH"],"uri":["http://zotero.org/users/local/Ry4zHLbn/items/SAVEQ6DH"],"itemData":{"id":"Gpwq8jj7/SlPx8JWY","type":"article-journal","title":"Canine adiponectin: cDNA structure, mRNA expression in adipose tissues and reduced plasma levels in obesity","container-title":"Research in veterinary science","page":"127-132","volume":"80","issue":"2","source":"NCBI PubMed","abstract":"Adiponectin is a protein synthesized and secreted by adipocytes. Decreased adiponectin is responsible for insulin resistance and atherosclerosis associated with human obesity. We obtained a cDNA clone corresponding to canine adiponectin, whose nucleotide and deduced amino acid sequences were highly identical to those of other species. Adiponectin mRNA was detected in adipose tissues, but not in other tissues, of dogs. When 22 adult beagles were given a high-energy diet for 14 weeks, they became obese, showing heavier body weights, higher plasma leptin concentrations, but lower plasma adiponectin concentrations. The adiponectin concentrations of plasma samples collected from 71 dogs visiting veterinary practices were negatively correlated to plasma leptin concentrations, being lower in obese than non-obese dogs. These results are compatible with those reported in other species, and suggest that adiponectin is an index of adiposity and a target molecule for studies on diseases associated with obesity in dogs.","DOI":"10.1016/j.rvsc.2005.05.011","ISSN":"0034-5288","note":"PMID: 16051287","shortTitle":"Canine adiponectin","journalAbbreviation":"Res. Vet. Sci.","language":"eng","author":[{"family":"Ishioka","given":"K"},{"family":"Omachi","given":"A"},{"family":"Sagawa","given":"M"},{"family":"Shibata","given":"H"},{"family":"Honjoh","given":"T"},{"family":"Kimura","given":"K"},{"family":"Saito","given":"M"}],"issued":{"year":2006,"month":4},"PMID":"16051287","page-first":"127","title-short":"Canine adiponectin","container-title-short":"Res. Vet. Sci."}},{"id":"Gpwq8jj7/eMmYw40f","uris":["http://zotero.org/users/local/Ry4zHLbn/items/94U8UI9Z"],"uri":["http://zotero.org/users/local/Ry4zHLbn/items/94U8UI9Z"],"itemData":{"id":"Gpwq8jj7/eMmYw40f","type":"article-journal","title":"Adiposity and adiponectin in dogs: investigation of causes of discrepant results between two studies","container-title":"Domestic animal endocrinology","page":"35-41","volume":"41","issue":"1","source":"NCBI PubMed","abstract":"Although one study showed lower adiponectin concentrations in obese dogs, other recent studies indicate that adiponectin might not be decreased in obese dogs, raising the possibility that the physiology of adiponectin is different in dogs than in humans. The aim of this study was to investigate possible causes of the discrepancy between the two largest studies to date that assessed the association between adiposity and adiponectin concentration in dogs, including the validity of the assay, laboratory error, and the effects of breed, sex, and neuter status on the relationship between adiposity and adiponectin concentrations. Adiponectin concentrations measured with a previously validated adiponectin ELISA were compared with those estimated by Western blotting analysis of reduced and denatured plasma samples. The possibility of laboratory error and the effect of EDTA anticoagulant and aprotinin were tested. Adiponectin concentration was measured by ELISA in 20 lean dogs (10 male and 10 female, 5 neutered in each sex). There was close correlation between adiponectin concentrations measured by ELISA and those estimated by Western blotting analysis (r = 0.90; P &lt; 0.001). There was no substantial effect of EDTA, aprotinin, or laboratory error on the results. There was confounding by neuter status of the relationship between adiposity and adiponectin concentrations, but adiponectin concentrations were not significantly lower in male than in female lean dogs (females, 36 mg/L; males, 26 mg/L; P &gt; 0.20) and were not significantly lower in intact than in neutered lean male dogs (intact, 28 mg/L; neutered, 23 mg/L; P = 0.49). We conclude that the adiponectin ELISA previously validated for use in dogs appears to be suitable for determination of canine adiponectin concentrations and that testosterone does not appear to have a strong effect on plasma adiponectin concentrations in dogs. Obesity might decrease adiponectin concentrations in intact but not in neutered dogs.","DOI":"10.1016/j.domaniend.2011.03.004","ISSN":"1879-0054","note":"PMID: 21645805","shortTitle":"Adiposity and adiponectin in dogs","journalAbbreviation":"Domest. Anim. Endocrinol.","language":"eng","author":[{"family":"Verkest","given":"K R"},{"family":"Rose","given":"F J"},{"family":"Fleeman","given":"L M"},{"family":"Rand","given":"J S"},{"family":"Morton","given":"J M"},{"family":"Richards","given":"A A"},{"family":"Ishioka","given":"K"},{"family":"Whitehead","given":"J P"}],"issued":{"year":2011,"month":7},"PMID":"21645805","page-first":"35","title-short":"Adiposity and adiponectin in dogs","container-title-short":"Domest. Anim. Endocrinol."}},{"id":813,"uris":["http://zotero.org/users/171999/items/V5587CR9"],"uri":["http://zotero.org/users/171999/items/V5587CR9"],"itemData":{"id":813,"type":"article-journal","title":"Association of canine obesity with reduced serum levels of C-reactive protein","container-title":"Journal of veterinary diagnostic investigation: official publication of the American Association of Veterinary Laboratory Diagnosticians, Inc","page":"224-228","volume":"20","issue":"2","source":"NCBI PubMed","abstract":"The prevalence of obesity is increasing in dogs as well as in humans. C-reactive protein (CRP) is an important tool for the detection of inflammation and/or early tissue damage and is linked to obesity in humans. The objective of the present study was to determine if serum CRP levels are altered in obese dogs. Fifteen lean (control group) and 16 overweight (obese group) dogs were examined. Blood samples were collected under fasted conditions for serum determination of CRP, glucose, insulin, cholesterol, triglyceride, and fructosamine. Results indicated that obese dogs were insulin resistant because serum insulin and insulin/glucose ratios were higher than in lean dogs (P &lt; or = 0.05). Serum CRP concentrations were lower in obese dogs than in controls (P &lt; or = 0.001). C-reactive protein was negatively correlated with insulin/glucose ratio (R = -0.42) and cholesterol (R = -0.39; P &lt; or = 0.05). Furthermore, levels of cholesterol, triglycerides, and fructosamine were increased in the obese group compared with the control group. Based on these results, it can be postulated that CRP production is inhibited by obesity and insulin resistance in dogs.","ISSN":"1040-6387","note":"PMID: 18319438","journalAbbreviation":"J. Vet. Diagn. Invest.","language":"eng","author":[{"family":"Veiga","given":"Angela P M"},{"family":"Price","given":"Christopher A"},{"family":"de Oliveira","given":"Simone T"},{"family":"Dos Santos","given":"Andréa P"},{"family":"Campos","given":"Rómulo"},{"family":"Barbosa","given":"Patricia R"},{"family":"González","given":"Félix H D"}],"issued":{"date-parts":[["2008",3]]},"PMID":"18319438"}}],"schema":"https://github.com/citation-style-language/schema/raw/master/csl-citation.json"} </w:instrText>
      </w:r>
      <w:r>
        <w:fldChar w:fldCharType="separate"/>
      </w:r>
      <w:r w:rsidR="000A492A" w:rsidRPr="000A492A">
        <w:rPr>
          <w:vertAlign w:val="superscript"/>
        </w:rPr>
        <w:t>145,250–253,436,437</w:t>
      </w:r>
      <w:r>
        <w:fldChar w:fldCharType="end"/>
      </w:r>
      <w:r>
        <w:t xml:space="preserve">  On the other hand, it may only indicate these are not appropriate markers of obesity-related inflammation in dogs as opposed to leptin and TNFα, which are elevated.</w:t>
      </w:r>
      <w:r>
        <w:fldChar w:fldCharType="begin"/>
      </w:r>
      <w:r w:rsidR="000A492A">
        <w:instrText xml:space="preserve"> ADDIN ZOTERO_ITEM CSL_CITATION {"citationID":"1J1XeWAw","properties":{"formattedCitation":"{\\rtf \\super 17,145,156,438\\nosupersub{}}","plainCitation":"17,145,156,438"},"citationItems":[{"id":"Gpwq8jj7/QN4EDEKg","uris":["http://zotero.org/users/local/Ry4zHLbn/items/T3HJ3BEN"],"uri":["http://zotero.org/users/local/Ry4zHLbn/items/T3HJ3BEN"],"itemData":{"id":"Gpwq8jj7/QN4EDEKg","type":"article-journal","title":"Improvement in insulin resistance and reduction in plasma inflammatory adipokines after weight loss in obese dogs","container-title":"Domestic animal endocrinology","page":"214-226","volume":"37","issue":"4","source":"NCBI PubMed","abstract":"Obesity is now a major disease of dogs, predisposing to numerous disorders including diabetes mellitus. Adipocytes are active endocrine cells, and human obesity is characterized by derangements in inflammatory adipokine production. However, it is unclear as to whether similar changes occur in dogs. The purpose of the current study was to assess insulin sensitivity and inflammatory adipokine profiles in dogs with naturally occurring obesity and to investigate the effect of subsequent weight loss. Twenty-six overweight dogs were studied, representing a range of breeds and both sexes. All dogs underwent a weight loss program involving diet and exercise. Body fat mass was measured by dual-energy x-ray absorptiometry; plasma concentrations of insulin, glucose, and a panel of inflammatory adipokines (including acute-phase proteins, cytokines, and chemokines) were also analyzed. Body fat mass before weight loss was positively correlated with both plasma insulin concentrations (Kendall tau=0.30, P=0.044) and insulin:glucose ratio (Kendall tau=0.36, P=0.022), and both decreased after weight loss (P=0.0037 and 0.0063, respectively). Weight loss also led to notable decreases in plasma tumor necrosis factor-alpha (TNF-alpha), haptoglobin, and C-reactive protein concentrations (P&lt;0.05 for all), suggesting improvement of a subclinical inflammatory state associated with obesity. This study has demonstrated that in obese dogs, insulin resistance correlates with degree of adiposity, and weight loss improves insulin sensitivity. Concurrent decreases in TNF-alpha and adipose tissue mass suggest that in dogs, as in humans, this adipokine may be implicated in the insulin resistance of obesity.","DOI":"10.1016/j.domaniend.2009.07.001","ISSN":"1879-0054","note":"PMID: 19674864","journalAbbreviation":"Domest. Anim. Endocrinol.","language":"eng","author":[{"family":"German","given":"A J"},{"family":"Hervera","given":"M"},{"family":"Hunter","given":"L"},{"family":"Holden","given":"S L"},{"family":"Morris","given":"P J"},{"family":"Biourge","given":"V"},{"family":"Trayhurn","given":"P"}],"issued":{"year":2009,"month":11},"PMID":"19674864","page-first":"214","container-title-short":"Domest. Anim. Endocrinol."}},{"id":"Gpwq8jj7/HOSSNBJQ","uris":["http://zotero.org/users/local/Ry4zHLbn/items/C86UJ9T2"],"uri":["http://zotero.org/users/local/Ry4zHLbn/items/C86UJ9T2"],"itemData":{"id":"Gpwq8jj7/HOSSNBJQ","type":"article-journal","title":"Experimental and clinical studies on plasma leptin in obese dogs","container-title":"The Journal of veterinary medical science / the Japanese Society of Veterinary Science","page":"349-353","volume":"64","issue":"4","source":"NCBI PubMed","abstract":"Leptin is a protein synthesized and secreted primarily by adipocytes, and the circulating leptin concentration is elevated in obese humans and rodents. Recently, we have established a sandwich enzyme-linked immunosorbent assay for canine leptin. In the present study, plasma leptin concentrations were measured in experimentally developed obese beagles and in clinically obese dogs. When 5 male beagles were given a high-energy diet for 3 months, all of them became obese and the plasma leptin concentration significantly increased from 2.4+/-1.2 to 4.9+/-0.9 ng/ml, positively correlating with body fat content estimated by the deuterium oxide dilution method (r=0.87). The leptin concentrations of plasma samples collected from 59 dogs in veterinary practices were compared with their body condition scores (BCS). The plasma leptin concentrations of obese dogs were 9.7+/-0.7 and 12.3+/-1.5 ng/ml at BCS=4 and BCS=5, respectively, which were significantly higher than those of optimal (BCS=3) dogs (2.7+/-0.3 ng/ml). There was no significant effect of sex and breed. A weak positive correlation (r=0.37) was found between the plasma leptin concentration and age, probably due to the lesser content of visceral fat in puppies younger than 1 year old. These results indicate that plasma leptin is a good index of adiposity in dogs regardless of breed, age and sex, and may be useful for quantitative assessment of obesity in small animal practice.","ISSN":"0916-7250","note":"PMID: 12014581","journalAbbreviation":"J. Vet. Med. Sci.","language":"eng","author":[{"family":"Ishioka","given":"Katsumi"},{"family":"Soliman","given":"Mohamed M"},{"family":"Sagawa","given":"Mayumi"},{"family":"Nakadomo","given":"Fumio"},{"family":"Shibata","given":"Haruki"},{"family":"Honjoh","given":"Tsutomu"},{"family":"Hashimoto","given":"Akira"},{"family":"Kitamura","given":"Hiroshi"},{"family":"Kimura","given":"Kazuhiro"},{"family":"Saito","given":"Masayuki"}],"issued":{"year":2002,"month":4},"PMID":"12014581","page-first":"349","container-title-short":"J. Vet. Med. Sci."}},{"id":"Gpwq8jj7/kS9gafmT","uris":["http://zotero.org/users/local/Ry4zHLbn/items/CKGM6JWG"],"uri":["http://zotero.org/users/local/Ry4zHLbn/items/CKGM6JWG"],"itemData":{"id":"Gpwq8jj7/kS9gafmT","type":"article-journal","title":"Plasma leptin concentration in dogs: effects of body condition score, age, gender and breeds","container-title":"Research in veterinary science","page":"11-15","volume":"82","issue":"1","source":"NCBI PubMed","abstract":"Leptin is a cytokine produced by adipocytes, and plays a key role in the regulation of energy balance. In the present study, we measured plasma leptin concentrations of 166 normal and obese dogs visiting veterinary practices, and clarified the influence of age, gender and breed on plasma leptin levels in dogs. Leptin levels were higher in the dogs with higher body condition scores. There was no noticeable influence of age, gender and breed, but those in optimal puppies and obese Miniature Dachshund tended to be lower than those in corresponding groups. We conclude that plasma leptin is a reliable marker of adiposity in dogs regardless of age, gender and breed variations, and thereby useful as a blood biochemistry test for health examinations and treatment of obesity.","DOI":"10.1016/j.rvsc.2006.06.002","ISSN":"0034-5288","note":"PMID: 16919691","shortTitle":"Plasma leptin concentration in dogs","journalAbbreviation":"Res. Vet. Sci.","language":"eng","author":[{"family":"Ishioka","given":"K"},{"family":"Hosoya","given":"K"},{"family":"Kitagawa","given":"H"},{"family":"Shibata","given":"H"},{"family":"Honjoh","given":"T"},{"family":"Kimura","given":"K"},{"family":"Saito","given":"M"}],"issued":{"year":2007,"month":2},"PMID":"16919691","page-first":"11","title-short":"Plasma leptin concentration in dogs","container-title-short":"Res. Vet. Sci."}},{"id":547,"uris":["http://zotero.org/users/171999/items/BBTTA294"],"uri":["http://zotero.org/users/171999/items/BBTTA294"],"itemData":{"id":547,"type":"article-journal","title":"The effects of weight loss on adipokines and markers of inflammation in dogs","container-title":"The British journal of nutrition","page":"S11-14","volume":"106 Suppl 1","source":"NCBI PubMed","abstract":"Evidence suggests that adipose tissue-derived adipokines induce mild inflammation and may play a role in insulin resistance associated with diabetes. The present study was designed to examine a series of adipokines and markers of inflammation in dogs before and after a successful weight loss. The study included fasting serum samples from twenty-five dogs before and after a weight-loss programme. Serum C-reactive protein (CRP) and monocyte chemoattractant protein-1 (MCP-1) were measured as indicators of chronic inflammation, while serum adipokines including total adiponectin, high-molecular-weight (HMW) adiponectin, resistin and leptin were also examined. Medians for CRP (before, 10.0 (interquartile range 5.4-15.0) μg/ml; after, 5.6 (interquartile range 3.8-7.0) μg/ml) and MCP-1 (before, 212 (interquartile range 157-288) ng/ml; after, 185 (interquartile range 143-215) ng/ml) decreased significantly after weight loss. Medians for resistin showed a mild, yet significant reduction (before, 67.1 (interquartile range 44.4-88.5) pg/ml; after, 60.5 (interquartile range 32.3-67.1) pg/ml), while leptin showed a dramatic decrease after weight loss (before, 18.9 (interquartile range 10.8-35.4) ng/ml; after, 6.6 (interquartile range 3.9-10.2) ng/ml). Serum total adiponectin and HMW adiponectin were unchanged on all analyses performed. These data suggest that weight loss can decrease chronic inflammation; however, the clinical implications of this decrease are not well elucidated in dogs. Surprisingly, there was no increase in total or HMW serum adiponectin after weight loss, as observed previously in human subjects. The lack of change in total and HMW adiponectin might explain why insulin resistance and type 2 diabetes are less prevalent in obese dogs when compared with humans and cats.","DOI":"10.1017/S0007114511000560","ISSN":"1475-2662","note":"PMID: 22005402","journalAbbreviation":"Br. J. Nutr.","language":"eng","author":[{"family":"Wakshlag","given":"Joseph J"},{"family":"Struble","given":"Angela M"},{"family":"Levine","given":"Corri B"},{"family":"Bushey","given":"Jennifer J"},{"family":"Laflamme","given":"Dorothy P"},{"family":"Long","given":"Grace M"}],"issued":{"date-parts":[["2011",10]]},"PMID":"22005402"}}],"schema":"https://github.com/citation-style-language/schema/raw/master/csl-citation.json"} </w:instrText>
      </w:r>
      <w:r>
        <w:fldChar w:fldCharType="separate"/>
      </w:r>
      <w:r w:rsidR="000A492A" w:rsidRPr="000A492A">
        <w:rPr>
          <w:vertAlign w:val="superscript"/>
        </w:rPr>
        <w:t>17,145,156,438</w:t>
      </w:r>
      <w:r>
        <w:fldChar w:fldCharType="end"/>
      </w:r>
      <w:r>
        <w:t xml:space="preserve">  </w:t>
      </w:r>
    </w:p>
    <w:p w:rsidR="00F24665" w:rsidRDefault="00F24665" w:rsidP="00F24665">
      <w:pPr>
        <w:ind w:firstLine="720"/>
        <w:contextualSpacing/>
      </w:pPr>
      <w:r>
        <w:t>Interleukin-15 (IL15) is another cytokine that was measured as a marker of increased muscle fatty acid oxidation.  It is involved in modulation of the cross-talk between muscle and adipose tissue, leading to decreased fat deposition in adipose tissue and increased skeletal muscle fiber growth.</w:t>
      </w:r>
      <w:r>
        <w:fldChar w:fldCharType="begin"/>
      </w:r>
      <w:r w:rsidR="000A492A">
        <w:instrText xml:space="preserve"> ADDIN ZOTERO_ITEM CSL_CITATION {"citationID":"D8GGCnkT","properties":{"formattedCitation":"{\\rtf \\super 262\\uc0\\u8211{}266\\nosupersub{}}","plainCitation":"262–266"},"citationItems":[{"id":348,"uris":["http://zotero.org/users/171999/items/Q2X8SSQR"],"uri":["http://zotero.org/users/171999/items/Q2X8SSQR"],"itemData":{"id":348,"type":"article-journal","title":"Interleukin-15: a novel anabolic cytokine for skeletal muscle","container-title":"Endocrinology","page":"3669-3672","volume":"136","issue":"8","source":"NCBI PubMed","abstract":"Interleukin-15 (IL-15) is a recently discovered growth factor which is highly expressed in skeletal muscle. In order to determine a functional role for IL-15 in skeletal myogenesis, the effects of IL-15 on myoblast proliferation and muscle-specific myosin heavy chain (MHC) expression were analyzed using the mouse C2 skeletal myogenic cell line and primary fetal bovine skeletal myogenic cultures. IL-15 had no effect on [3H]thymidine incorporation, nor on the rate of myoblast differentiation, assessed by anti-MHC immunocytochemical staining, in either type of culture. However, Western blot analyses revealed that IL-15 used at concentrations of 10 or 100 ng/ml increased MHC accumulation five-fold in C2 myoblast cultures and 2.5-fold in primary bovine myogenic cultures. Moreover, C2 myotubes formed in the presence of IL-15 appeared larger than controls. These findings indicate IL-15 can stimulate differentiated myocytes and muscle fibers to accumulate increased amounts of contractile proteins. Well-fused primary bovine myogenic cultures treated with the mitotic inhibitor aphidicolin, then administered IL-15 and/or the anabolic growth factor insulin-like growth factor-I (IGF-I), were analyzed for MHC accumulation using Western blots. IL-15 used at 10 ng/ml doubled MHC accumulation and was as effective as IGF-I used at 10 or 100 ng/ml. IL-15 and IGF-I used together increased MHC accumulation close to five-fold, indicating these two factors can act additively on muscle fibers. These findings indicate IL-15 affects parameters associated with skeletal muscle fiber hypertrophy, and suggest that IL-15 may be a novel anabolic agent to increase skeletal muscle mass.","ISSN":"0013-7227","note":"PMID: 7628408","shortTitle":"Interleukin-15","journalAbbreviation":"Endocrinology","language":"eng","author":[{"family":"Quinn","given":"L S"},{"family":"Haugk","given":"K L"},{"family":"Grabstein","given":"K H"}],"issued":{"date-parts":[["1995",8]]},"PMID":"7628408"}},{"id":356,"uris":["http://zotero.org/users/171999/items/4IVRMXMT"],"uri":["http://zotero.org/users/171999/items/4IVRMXMT"],"itemData":{"id":356,"type":"article-journal","title":"Interleukin-15 increases myosin accretion in human skeletal myogenic cultures","container-title":"Cell biology international","page":"845-851","volume":"27","issue":"10","source":"NCBI PubMed","abstract":"Interleukin-15 (IL-15) has been shown to have anabolic effects on skeletal muscle in rodent studies conducted in vitro and in vivo. The mechanism of IL-15 action on muscle appears to be distinct from that of the well-characterized muscle anabolic factor insulin-like growth factor-I (IGF-I). IL-15 action has not been investigated in a human culture system nor in detail in primary skeletal myogenic cells. The purpose of this study was to compare the effects of IL-15 and IGF-I in primary human skeletal myogenic cells. Accretion of a major myofibrillar protein, myosin heavy chain (MHC), was used as a measure of muscle anabolism. We found that both growth factors induced increases in MHC accretion in primary human skeletal myogenic cultures; however, IL-15 and IGF-I actions were temporally distinct. IL-15 was more effective at stimulating MHC accretion when added to cultures after differentiation of myoblasts had occurred. In contrast, IGF-I was more effective at stimulating MHC accretion when added to cultures prior to differentiation of myoblasts. These results using a human system support recent findings from rodent models which indicate that the primary mode of IGF-I action on skeletal muscle anabolism is through stimulation of myogenic precursor cells, whereas the primary target of IL-15 action is the differentiated muscle fiber. Further, since clinical and experimental studies have shown IGF-I is not effective in preventing skeletal muscle wasting, the distinct mode of action of IL-15 suggests it may be of potential usefulness in the treatment of muscle wasting disorders.","ISSN":"1065-6995","note":"PMID: 14499665","journalAbbreviation":"Cell Biol. Int.","language":"eng","author":[{"family":"Furmanczyk","given":"Paul S"},{"family":"Quinn","given":"LeBris S"}],"issued":{"date-parts":[["2003"]]},"PMID":"14499665"}},{"id":352,"uris":["http://zotero.org/users/171999/items/NKBHXPX8"],"uri":["http://zotero.org/users/171999/items/NKBHXPX8"],"itemData":{"id":352,"type":"article-journal","title":"Overexpression of interleukin-15 induces skeletal muscle hypertrophy in vitro: implications for treatment of muscle wasting disorders","container-title":"Experimental cell research","page":"55-63","volume":"280","issue":"1","source":"NCBI PubMed","abstract":"Interleukin-15 (IL-15) is a novel anabolic factor for skeletal muscle which inhibits muscle wasting associated with cancer (cachexia) in a rat model. To develop a cell culture system in which the mechanism of the anabolic action of IL-15 on skeletal muscle could be examined, the mouse C2 skeletal myogenic cell line was transduced with a retroviral expression vector for IL-15 and compared to sister cells transduced with a control vector. Overexpression of IL-15 induced fivefold higher levels of sarcomeric myosin heavy chain and alpha-actin accumulation in differentiated myotubes. Secreted factors from IL-15-overexpressing myogenic cells, but not from control cells, induced increased myofibrillar protein accumulation in cocultured control myotubes. IL-15 overexpression induced a hypertrophic myotube morphology similar to that described for cultured myotubes which overexpressed the well-characterized anabolic factor insulin-like growth factor-I (IGF-I). However, in contrast to IGF-I, the hypertrophic action of IL-15 on skeletal myogenic cells did not involve stimulation of skeletal myoblast proliferation or differentiation. IL-15 induced myotube hypertrophy at both low and high IGF-I concentrations. Furthermore, in contrast to IGF-I, which stimulated only protein synthesis under these culture conditions, IL-15 both stimulated protein synthesis and inhibited protein degradation in cultured skeletal myotubes. These findings indicate that IL-15 action on skeletal myogenic cells is distinct from that of IGF-I. Due to the ability of IGF-I to stimulate cell division and its association with several forms of cancer, controversy exists concerning the advisability of treating cachexia or age-associated muscle wasting with IGF-I. Administration of IL-15 or modulation of the IL-15 signaling pathway may represent an alternative strategy for maintaining skeletal muscle mass under these conditions.","ISSN":"0014-4827","note":"PMID: 12372339","shortTitle":"Overexpression of interleukin-15 induces skeletal muscle hypertrophy in vitro","journalAbbreviation":"Exp. Cell Res.","language":"eng","author":[{"family":"Quinn","given":"LeBris S"},{"family":"Anderson","given":"Barbara G"},{"family":"Drivdahl","given":"Rolf H"},{"family":"Alvarez","given":"Belén"},{"family":"Argilés","given":"Josep M"}],"issued":{"date-parts":[["2002",10,15]]},"PMID":"12372339"}},{"id":293,"uris":["http://zotero.org/users/171999/items/2IF2VR7T"],"uri":["http://zotero.org/users/171999/items/2IF2VR7T"],"itemData":{"id":293,"type":"article-journal","title":"Effects of interleukin-15 on lipid oxidation: disposal of an oral [(14)C]-triolein load","container-title":"Biochimica et biophysica acta","page":"37-42","volume":"1761","issue":"1","source":"NCBI PubMed","abstract":"Interleukin 15 (IL-15) has previously been shown to have important effects on lipid metabolism in adipose tissue, particularly influencing the rate of the de novo fatty acid synthesis. The results presented here show that chronic administration to rats (100 microg/kg body weight) has important effects on the metabolic fate of an exogenous [(14)C]-triolein load, decreasing the incorporation of lipid into adipose tissue and significantly increasing the total (14)CO(2) formation from [(14)C]-triolein. Skeletal muscle and possibly liver seem to be the main organs involved in the action of IL-15 on lipid oxidation, since the presence of the cytokine in incubated EDL muscle with [(14)C]-palmitic acid increased (14)CO(2) formation by 39%. Concerning the mechanism, the results suggest that the transport of fatty acids into mitochondria could be involved in the action of IL-15 since the cytokine clearly increases the presence of L-CPT-I and CPT-II in liver tissue. In addition, IL-15 treatment resulted in a significant increment in the gene expression of PPARdelta, a transcription factor clearly related with lipid catabolism in many tissues. Altogether, the results presented here suggest that IL-15 alters exogenous lipid partitioning, limiting adipose tissue uptake and favouring oxidation.","DOI":"10.1016/j.bbalip.2005.12.006","ISSN":"0006-3002","note":"PMID: 16458591","shortTitle":"Effects of interleukin-15 on lipid oxidation","journalAbbreviation":"Biochim. Biophys. Acta","language":"eng","author":[{"family":"Almendro","given":"Vanessa"},{"family":"Busquets","given":"Sílvia"},{"family":"Ametller","given":"Elisabet"},{"family":"Carbó","given":"Neus"},{"family":"Figueras","given":"Maite"},{"family":"Fuster","given":"Gemma"},{"family":"Argilés","given":"Josep M"},{"family":"López-Soriano","given":"Francisco J"}],"issued":{"date-parts":[["2006",1]]},"PMID":"16458591"}},{"id":360,"uris":["http://zotero.org/users/171999/items/PM27SDA5"],"uri":["http://zotero.org/users/171999/items/PM27SDA5"],"itemData":{"id":360,"type":"article-journal","title":"Regulation of muscle fiber type and running endurance by PPARdelta","container-title":"PLoS biology","page":"e294","volume":"2","issue":"10","source":"NCBI PubMed","abstract":"Endurance exercise training can promote an adaptive muscle fiber transformation and an increase of mitochondrial biogenesis by triggering scripted changes in gene expression. However, no transcription factor has yet been identified that can direct this process. We describe the engineering of a mouse capable of continuous running of up to twice the distance of a wild-type littermate. This was achieved by targeted expression of an activated form of peroxisome proliferator-activated receptor delta (PPARdelta) in skeletal muscle, which induces a switch to form increased numbers of type I muscle fibers. Treatment of wild-type mice with PPARdelta agonist elicits a similar type I fiber gene expression profile in muscle. Moreover, these genetically generated fibers confer resistance to obesity with improved metabolic profiles, even in the absence of exercise. These results demonstrate that complex physiologic properties such as fatigue, endurance, and running capacity can be molecularly analyzed and manipulated.","DOI":"10.1371/journal.pbio.0020294","ISSN":"1545-7885","note":"PMID: 15328533","journalAbbreviation":"PLoS Biol.","language":"eng","author":[{"family":"Wang","given":"Yong-Xu"},{"family":"Zhang","given":"Chun-Li"},{"family":"Yu","given":"Ruth T"},{"family":"Cho","given":"Helen K"},{"family":"Nelson","given":"Michael C"},{"family":"Bayuga-Ocampo","given":"Corinne R"},{"family":"Ham","given":"Jungyeob"},{"family":"Kang","given":"Heonjoong"},{"family":"Evans","given":"Ronald M"}],"issued":{"date-parts":[["2004",10]]},"PMID":"15328533"}}],"schema":"https://github.com/citation-style-language/schema/raw/master/csl-citation.json"} </w:instrText>
      </w:r>
      <w:r>
        <w:fldChar w:fldCharType="separate"/>
      </w:r>
      <w:r w:rsidR="000A492A" w:rsidRPr="000A492A">
        <w:rPr>
          <w:vertAlign w:val="superscript"/>
        </w:rPr>
        <w:t>262–266</w:t>
      </w:r>
      <w:r>
        <w:fldChar w:fldCharType="end"/>
      </w:r>
      <w:r>
        <w:t xml:space="preserve">  IL15 has not been measured in obese dogs, but it has been assessed in endurance racing sled dogs.  In dogs competing in a 1650 km, multi-day race, IL15 plasma concentration did not change from 72 hours before, halfway through, and within 6 hours of race completion.</w:t>
      </w:r>
      <w:r>
        <w:fldChar w:fldCharType="begin"/>
      </w:r>
      <w:r w:rsidR="000A492A">
        <w:instrText xml:space="preserve"> ADDIN ZOTERO_ITEM CSL_CITATION {"citationID":"7umjSsTV","properties":{"formattedCitation":"{\\rtf \\super 439\\nosupersub{}}","plainCitation":"439"},"citationItems":[{"id":842,"uris":["http://zotero.org/users/171999/items/H9USIAVF"],"uri":["http://zotero.org/users/171999/items/H9USIAVF"],"itemData":{"id":842,"type":"article-journal","title":"Assessment of serum myokines and markers of inflammation associated with exercise in endurance racing sled dogs","container-title":"Journal of veterinary internal medicine / American College of Veterinary Internal Medicine","page":"371-376","volume":"27","issue":"2","source":"NCBI PubMed","abstract":"BACKGROUND: The endurance sled dog is the ultimate endurance athlete in which to examine the exercise-associated acute phase and myokine responses that might be related to changes in muscle metabolism and damage. An inciting cause for increased C-reactive protein has yet to be elucidated, which might involve interleukin-6 and other myokines.\nOBJECTIVES: To examine concentrations of interleukin-6 (IL-6), interleukin-15 (IL-15), interleukin-8 (IL-8), and tumor necrosis factor-α (TNF-α), and markers of the inflammatory response of exercise; monocyte chemoattractant protein-1(MCP-1) and C-reactive protein (CRP) before, during, and after an endurance racing event.\nANIMALS: 26 sled dogs completing a 1650-km race.\nMETHODS: In a prospective study, cephalic venipuncture was performed before racing, at the midpoint, and after racing. Body weight and serum CRP, MCP-1, IL-15, IL-8, IL-6, and TNF-α concentrations were evaluated using enzyme-linked immunoabsorbance-based assays or a luminex multiplex assay.\nRESULTS: There were no significant differences in concentrations of IL-6, IL-15, IL-8, or TNF-α at the 3 time points, whereas there were significant increases in MCP-1 (median and range-start: 86 pg/mL [30-1845]; midpoint: 179 pg/mL [53-730]; finish: 180 pg/mL [21-1294]; P &lt; .01) and CRP (median and range-start: 18 μg/mL [11-58]; midpoint: 76 μg/mL [12-198]; finish: 60 μg/mL [12-170]; P &lt; .01) at the midpoint and race finish. There was a significant linear relationship between MCP-1 and IL-6 (R = 0.68; P &lt; .01). CONCLUSIONS AND CLINICAL SIGNIFICANCE: The inflammatory response to exercise increases as measured by MCP-1 during and after endurance exercise in sled dogs. IL-6 appears to be associated with MCP-1; however, the reasons for increases in the acute phase response (CRP) cannot be attributed to IL-6 or other myokines. IL-6 and MCP-1 concentrations might be useful in future investigations of exertional rhabdomyolysis.","DOI":"10.1111/jvim.12046","ISSN":"1939-1676","note":"PMID: 23398265","journalAbbreviation":"J. Vet. Intern. Med.","language":"eng","author":[{"family":"Yazwinski","given":"M"},{"family":"Milizio","given":"J G"},{"family":"Wakshlag","given":"J J"}],"issued":{"date-parts":[["2013",4]]},"PMID":"23398265"}}],"schema":"https://github.com/citation-style-language/schema/raw/master/csl-citation.json"} </w:instrText>
      </w:r>
      <w:r>
        <w:fldChar w:fldCharType="separate"/>
      </w:r>
      <w:r w:rsidR="000A492A" w:rsidRPr="000A492A">
        <w:rPr>
          <w:vertAlign w:val="superscript"/>
        </w:rPr>
        <w:t>439</w:t>
      </w:r>
      <w:r>
        <w:fldChar w:fldCharType="end"/>
      </w:r>
      <w:r>
        <w:t xml:space="preserve">  In obese rats, however, IL15 plasma and muscle tissue expression levels are reduced, but increase with treadmill running (26 m/min, 60 min/day, 5 days/week) over 8 weeks as compared to sedentary obese controls.</w:t>
      </w:r>
      <w:r>
        <w:fldChar w:fldCharType="begin"/>
      </w:r>
      <w:r w:rsidR="000A492A">
        <w:instrText xml:space="preserve"> ADDIN ZOTERO_ITEM CSL_CITATION {"citationID":"2QXpSVsk","properties":{"formattedCitation":"{\\rtf \\super 440\\nosupersub{}}","plainCitation":"440"},"citationItems":[{"id":855,"uris":["http://zotero.org/users/171999/items/Z8GQ4A5V"],"uri":["http://zotero.org/users/171999/items/Z8GQ4A5V"],"itemData":{"id":855,"type":"article-journal","title":"Treadmill exercise promotes interleukin 15 expression in skeletal muscle and interleukin 15 receptor alpha expression in adipose tissue of high-fat diet rats","container-title":"Endocrine","page":"579-585","volume":"43","issue":"3","source":"NCBI PubMed","abstract":"Interleukin 15 (IL-15) has recently been proposed as a myokine involved in regulating lipid metabolism. We investigated the effect of exercise training on IL-15 content in skeletal muscle and expression of IL-15 receptor (IL-15R) in adipose tissue of obese rats. After 12 weeks of a high-fat diet, obese rats underwent treadmill running at 26 m/min (60 min each, 5 days/week for 8 weeks). High-fat diet induced obesity, with increased body weight, body fat, and lipid profile. The level of IL-15 immunoreactivity (IL-15-ir) in plasma and gastrocnemius muscle was lower in obese than control rats, and the mRNA level of IL-15 in gastrocnemius muscle was markedly decreased. The mRNA and protein levels of IL-15R in adipose tissue were markedly lower in obese rats. Compared with sedentary obese rats, treadmill running showed decreased body weight and elevated mRNA expression of IL-15 in muscle and elevated IL-15-ir level in plasma and muscle. The mRNA and protein level of IL-15R were increased in adipose tissue in treadmill running obese rats. Our results showed that exercise training improve obesity and reversed the downregulation of the IL-15 in muscle and IL-15R in adipose tissue induced by high-fat diet.","DOI":"10.1007/s12020-012-9809-6","ISSN":"1559-0100","note":"PMID: 23076740","journalAbbreviation":"Endocrine","language":"eng","author":[{"family":"Yang","given":"Hongtao"},{"family":"Chang","given":"Jinrui"},{"family":"Chen","given":"Wenjia"},{"family":"Zhao","given":"Lei"},{"family":"Qu","given":"Bo"},{"family":"Tang","given":"Chaoshu"},{"family":"Qi","given":"Yongfen"},{"family":"Zhang","given":"Jing"}],"issued":{"date-parts":[["2013",6]]},"PMID":"23076740"}}],"schema":"https://github.com/citation-style-language/schema/raw/master/csl-citation.json"} </w:instrText>
      </w:r>
      <w:r>
        <w:fldChar w:fldCharType="separate"/>
      </w:r>
      <w:r w:rsidR="000A492A" w:rsidRPr="000A492A">
        <w:rPr>
          <w:vertAlign w:val="superscript"/>
        </w:rPr>
        <w:t>440</w:t>
      </w:r>
      <w:r>
        <w:fldChar w:fldCharType="end"/>
      </w:r>
      <w:r>
        <w:t xml:space="preserve">  In the dogs reported here, lowest numerical IL15 baseline values were observed in the group maintaining ideal body weight at all time points, although the obese placebo dogs also had relatively low numbers compared to other groups.  While IL15 assessment in </w:t>
      </w:r>
      <w:proofErr w:type="gramStart"/>
      <w:r>
        <w:t>rats</w:t>
      </w:r>
      <w:proofErr w:type="gramEnd"/>
      <w:r>
        <w:t xml:space="preserve"> increases to appreciable levels, based on both dogs of various weights and dogs undergoing intensive exercise, IL15 may not be a myokine that changes to appreciable levels.</w:t>
      </w:r>
      <w:commentRangeEnd w:id="174"/>
      <w:r>
        <w:rPr>
          <w:rStyle w:val="CommentReference"/>
        </w:rPr>
        <w:commentReference w:id="174"/>
      </w:r>
    </w:p>
    <w:p w:rsidR="00F24665" w:rsidRPr="00762A7D" w:rsidRDefault="00F24665" w:rsidP="00F24665">
      <w:pPr>
        <w:ind w:firstLine="720"/>
        <w:rPr>
          <w:rFonts w:cs="Times New Roman"/>
        </w:rPr>
      </w:pPr>
      <w:r>
        <w:t>In conclusion, leucine/pyridoxine nutraceutical, placebo, and therapeutic weight loss diet did not have an effect on tissue expression of genes involved in fat oxidation, oxidadive phosphorylation, and mitochondrial biogenesis.  Future work in dogs should include visceral adipose tissue samples for functional comparisons.  Circulating plasma concentrations of IL6 and IL15 also did not differ between groups, suggesting they are not the most appropriate markers of obesity related inflammation and muscle fatty acid oxidation in dogs.  This is true of both obese dogs losing weight on a lean maintenance level of calories and of lean dogs gaining weight while consuming excess energy.</w:t>
      </w:r>
    </w:p>
    <w:p w:rsidR="004E47E2" w:rsidRDefault="00744942" w:rsidP="004E47E2">
      <w:pPr>
        <w:ind w:firstLine="720"/>
      </w:pPr>
      <w:r>
        <w:rPr>
          <w:rFonts w:cs="Times New Roman"/>
        </w:rPr>
        <w:t xml:space="preserve">In conclusion, these data show </w:t>
      </w:r>
      <w:r w:rsidR="002722B3">
        <w:rPr>
          <w:rFonts w:cs="Times New Roman"/>
        </w:rPr>
        <w:t>w</w:t>
      </w:r>
      <w:r w:rsidR="002722B3">
        <w:t>hen given access to unlimited calories, NuShape dogs gained as much as placebo dogs without a negative impact on appetite.  This experiment shows a leucine/pyridoxine nutraceutical can be used without risk of hypo- or anorexia in dogs.  It also indicates much is still unknown regarding voluntar</w:t>
      </w:r>
      <w:r w:rsidR="006429E3">
        <w:t>y food intake, but reinforces the fact that dogs will gain dramatic levels of total body and fat mass in a short period of time when given free access to food.</w:t>
      </w:r>
      <w:bookmarkEnd w:id="120"/>
    </w:p>
    <w:p w:rsidR="00F24665" w:rsidRDefault="00F24665" w:rsidP="00F24665">
      <w:pPr>
        <w:ind w:firstLine="720"/>
      </w:pPr>
      <w:r>
        <w:t>In conclusion, leucine/pyridoxine nutraceutical, placebo, and therapeutic weight loss diet did not have an effect on medium term satiety, based on intrusion meal intake 3 hours after a standard morning meal and select behavior observations during feeding.  This is true of both obese dogs losing weight on a lean maintenance level of calories and of lean dogs gaining weight while consuming excess energy.  Voluntary food intake of an intrusion meal was higher when regularly exposed to limited feeding and lower when regular meals provide excess calories.  In general, plasma measurements of gut hormones and endocrine factors followed expected trends.  Perhaps the most significant revelation is that adiponectin levels remained relatively consistent in these dogs, unrelated to the level of adiposity.</w:t>
      </w:r>
    </w:p>
    <w:p w:rsidR="00F24665" w:rsidRDefault="00F24665" w:rsidP="004E47E2">
      <w:pPr>
        <w:ind w:firstLine="720"/>
      </w:pPr>
    </w:p>
    <w:p w:rsidR="00074A77" w:rsidRPr="009A604E" w:rsidRDefault="004C2071" w:rsidP="00BE1BEE">
      <w:pPr>
        <w:jc w:val="center"/>
      </w:pPr>
      <w:r w:rsidRPr="00334400">
        <w:br w:type="page"/>
      </w:r>
      <w:bookmarkStart w:id="178" w:name="_Toc289175843"/>
    </w:p>
    <w:p w:rsidR="00236E6D" w:rsidRPr="00334400" w:rsidRDefault="00526151" w:rsidP="00A7249E">
      <w:pPr>
        <w:pStyle w:val="Heading1"/>
      </w:pPr>
      <w:bookmarkStart w:id="179" w:name="_Toc376465818"/>
      <w:r w:rsidRPr="00334400">
        <w:t>CONCLUSION</w:t>
      </w:r>
      <w:bookmarkEnd w:id="178"/>
      <w:bookmarkEnd w:id="179"/>
    </w:p>
    <w:p w:rsidR="00236E6D" w:rsidRPr="005E54E2" w:rsidRDefault="00236E6D" w:rsidP="005E54E2"/>
    <w:p w:rsidR="00236E6D" w:rsidRPr="005E54E2" w:rsidRDefault="0087532D" w:rsidP="005E54E2">
      <w:r w:rsidRPr="005E54E2">
        <w:t>This is the conclusion for the entire document.</w:t>
      </w:r>
      <w:r w:rsidR="00825933" w:rsidRPr="005E54E2">
        <w:t xml:space="preserve"> </w:t>
      </w:r>
      <w:r w:rsidRPr="005E54E2">
        <w:t xml:space="preserve"> It can be a numbered chapter or it can stand alone. If you did not make your introduction a chapter </w:t>
      </w:r>
      <w:r w:rsidR="00825933" w:rsidRPr="005E54E2">
        <w:t xml:space="preserve">and give it </w:t>
      </w:r>
      <w:r w:rsidRPr="005E54E2">
        <w:t xml:space="preserve">a number, you should not make the conclusion a numbered chapter. </w:t>
      </w:r>
      <w:r w:rsidR="00825933" w:rsidRPr="005E54E2">
        <w:t xml:space="preserve"> If you did call your Introduction “Chapter 1”, you should give your </w:t>
      </w:r>
      <w:r w:rsidR="00334FC9" w:rsidRPr="005E54E2">
        <w:t>conclusion</w:t>
      </w:r>
      <w:r w:rsidR="00825933" w:rsidRPr="005E54E2">
        <w:t xml:space="preserve"> chapter number.</w:t>
      </w:r>
    </w:p>
    <w:p w:rsidR="00236E6D" w:rsidRDefault="003D63DF" w:rsidP="005E54E2">
      <w:pPr>
        <w:pStyle w:val="Heading2"/>
      </w:pPr>
      <w:bookmarkStart w:id="180" w:name="_Toc289175844"/>
      <w:bookmarkStart w:id="181" w:name="_Toc376465819"/>
      <w:r>
        <w:t>Heading 2</w:t>
      </w:r>
      <w:bookmarkEnd w:id="180"/>
      <w:bookmarkEnd w:id="181"/>
    </w:p>
    <w:p w:rsidR="00CC21E8" w:rsidRDefault="00E459DC" w:rsidP="00A3463E">
      <w:r w:rsidRPr="005E54E2">
        <w:t xml:space="preserve">Write </w:t>
      </w:r>
      <w:r w:rsidR="008F60C3" w:rsidRPr="005E54E2">
        <w:t>her</w:t>
      </w:r>
      <w:r w:rsidR="00825933" w:rsidRPr="005E54E2">
        <w:t>e</w:t>
      </w:r>
      <w:bookmarkStart w:id="182" w:name="_Toc289175845"/>
      <w:r w:rsidR="00CC21E8">
        <w:br w:type="page"/>
      </w:r>
    </w:p>
    <w:p w:rsidR="00267881" w:rsidRDefault="00267881" w:rsidP="007B0AFD">
      <w:pPr>
        <w:pStyle w:val="Heading1"/>
      </w:pPr>
      <w:bookmarkStart w:id="183" w:name="_Toc376465820"/>
      <w:r>
        <w:t>References</w:t>
      </w:r>
      <w:bookmarkEnd w:id="183"/>
    </w:p>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Default="009459A7" w:rsidP="009459A7"/>
    <w:p w:rsidR="009459A7" w:rsidRPr="009459A7" w:rsidRDefault="009459A7" w:rsidP="009459A7"/>
    <w:p w:rsidR="00CE2A84" w:rsidRDefault="00267881" w:rsidP="00CE2A84">
      <w:pPr>
        <w:pStyle w:val="Bibliography"/>
        <w:spacing w:after="0"/>
        <w:contextualSpacing/>
      </w:pPr>
      <w:r>
        <w:fldChar w:fldCharType="begin"/>
      </w:r>
      <w:r w:rsidR="00CE2A84">
        <w:instrText xml:space="preserve"> ADDIN ZOTERO_BIBL {"custom":[]} CSL_BIBLIOGRAPHY </w:instrText>
      </w:r>
      <w:r>
        <w:fldChar w:fldCharType="separate"/>
      </w:r>
      <w:r w:rsidR="00CE2A84">
        <w:t>1. National Center for Health Statistics. Health, United States, 2011: With Special Feature on Socioeconomic Status and Health. 2012. Available at: http://www.cdc.gov/nchs/data/hus/hus11.pdf#069. Accessed October 4, 2012.</w:t>
      </w:r>
    </w:p>
    <w:p w:rsidR="00CE2A84" w:rsidRDefault="00CE2A84" w:rsidP="00CE2A84">
      <w:pPr>
        <w:pStyle w:val="Bibliography"/>
        <w:spacing w:after="0"/>
        <w:contextualSpacing/>
      </w:pPr>
      <w:r>
        <w:t>2. WHO. Obesity and overweight. 2013. Available at: http://www.who.int/mediacentre/factsheets/fs311/en/index.html. Accessed October 10, 2013.</w:t>
      </w:r>
    </w:p>
    <w:p w:rsidR="00CE2A84" w:rsidRDefault="00CE2A84" w:rsidP="00CE2A84">
      <w:pPr>
        <w:pStyle w:val="Bibliography"/>
        <w:spacing w:after="0"/>
        <w:contextualSpacing/>
      </w:pPr>
      <w:r>
        <w:t>3. Population Reference Bureau. 2008 World Population Data Sheet. Washington, DC: Population Reference Bureau; 2008:16. Available at: http://www.prb.org/Publications/Datasheets/2008/2008wpds.aspx. Accessed October 10, 2013.</w:t>
      </w:r>
    </w:p>
    <w:p w:rsidR="00CE2A84" w:rsidRDefault="00CE2A84" w:rsidP="00CE2A84">
      <w:pPr>
        <w:pStyle w:val="Bibliography"/>
        <w:spacing w:after="0"/>
        <w:contextualSpacing/>
      </w:pPr>
      <w:r>
        <w:t>4. Flegal KM, Carroll MD, Kuczmarski RJ, et al. Overweight and obesity in the United States: prevalence and trends, 1960-1994. Int J Obes Relat Metab Disord J Int Assoc Study Obes 1998;22:39–47.</w:t>
      </w:r>
    </w:p>
    <w:p w:rsidR="00CE2A84" w:rsidRDefault="00CE2A84" w:rsidP="00CE2A84">
      <w:pPr>
        <w:pStyle w:val="Bibliography"/>
        <w:spacing w:after="0"/>
        <w:contextualSpacing/>
      </w:pPr>
      <w:r>
        <w:t>5. US Department of Agriculture and US Department of Health and Human Services. Dietary Guidelines for Americans 2010. Washington, DC: US Government Printing Office; 2010:112. Available at: http://health.gov/dietaryguidelines/dga2010/dietaryguidelines2010.pdf. Accessed October 10, 2013.</w:t>
      </w:r>
    </w:p>
    <w:p w:rsidR="00CE2A84" w:rsidRDefault="00CE2A84" w:rsidP="00CE2A84">
      <w:pPr>
        <w:pStyle w:val="Bibliography"/>
        <w:spacing w:after="0"/>
        <w:contextualSpacing/>
      </w:pPr>
      <w:r>
        <w:t>6. Lund EM, Armstrong PJ, Kirk CA, et al. Prevalence and risk factors for obesity in adult dogs from private US veterinary practices. Int J Appl Res Vet Med 2006;4.</w:t>
      </w:r>
    </w:p>
    <w:p w:rsidR="00CE2A84" w:rsidRDefault="00CE2A84" w:rsidP="00CE2A84">
      <w:pPr>
        <w:pStyle w:val="Bibliography"/>
        <w:spacing w:after="0"/>
        <w:contextualSpacing/>
      </w:pPr>
      <w:r>
        <w:t>7. Donoghue S, Khoo L, Glickman LT, et al. Body condition and diet of relatively healthy older dogs. J Nutr 1991;121:S58–59.</w:t>
      </w:r>
    </w:p>
    <w:p w:rsidR="00CE2A84" w:rsidRDefault="00CE2A84" w:rsidP="00CE2A84">
      <w:pPr>
        <w:pStyle w:val="Bibliography"/>
        <w:spacing w:after="0"/>
        <w:contextualSpacing/>
      </w:pPr>
      <w:r>
        <w:t>8. McGreevy PD, Thomson PC, Pride C, et al. Prevalence of obesity in dogs examined by Australian veterinary practices and the risk factors involved. Vet Rec 2005;156:695–702.</w:t>
      </w:r>
    </w:p>
    <w:p w:rsidR="00CE2A84" w:rsidRDefault="00CE2A84" w:rsidP="00CE2A84">
      <w:pPr>
        <w:pStyle w:val="Bibliography"/>
        <w:spacing w:after="0"/>
        <w:contextualSpacing/>
      </w:pPr>
      <w:r>
        <w:t>9. Glickman LT, Sonnenschein EG, Glickman NW, et al. Pattern of diet and obesity in female adult pet dogs. Vet Clin Nutr 1995;2.</w:t>
      </w:r>
    </w:p>
    <w:p w:rsidR="00CE2A84" w:rsidRDefault="00CE2A84" w:rsidP="00CE2A84">
      <w:pPr>
        <w:pStyle w:val="Bibliography"/>
        <w:spacing w:after="0"/>
        <w:contextualSpacing/>
      </w:pPr>
      <w:r>
        <w:t>10. Mason E. Obesity in pet dogs. Vet Rec 1970;86:612–616.</w:t>
      </w:r>
    </w:p>
    <w:p w:rsidR="00CE2A84" w:rsidRDefault="00CE2A84" w:rsidP="00CE2A84">
      <w:pPr>
        <w:pStyle w:val="Bibliography"/>
        <w:spacing w:after="0"/>
        <w:contextualSpacing/>
      </w:pPr>
      <w:r>
        <w:t>11. Colliard L, Ancel J, Benet J-J, et al. Risk factors for obesity in dogs in France. J Nutr 2006;136:1951S–1954S.</w:t>
      </w:r>
    </w:p>
    <w:p w:rsidR="00CE2A84" w:rsidRDefault="00CE2A84" w:rsidP="00CE2A84">
      <w:pPr>
        <w:pStyle w:val="Bibliography"/>
        <w:spacing w:after="0"/>
        <w:contextualSpacing/>
      </w:pPr>
      <w:r>
        <w:t>12. Holmes KL, Morris PJ, Abdulla Z, et al. Risk factors associated with excess body weight in dogs in the UK (Abstract). J Anim Physiol Anim Nutr 2007;91:166–167.</w:t>
      </w:r>
    </w:p>
    <w:p w:rsidR="00CE2A84" w:rsidRDefault="00CE2A84" w:rsidP="00CE2A84">
      <w:pPr>
        <w:pStyle w:val="Bibliography"/>
        <w:spacing w:after="0"/>
        <w:contextualSpacing/>
      </w:pPr>
      <w:r>
        <w:t>13. Courcier EA, Thomson RM, Mellor DJ, et al. An epidemiological study of environmental factors associated with canine obesity. J Small Anim Pract 2010;51:362–367.</w:t>
      </w:r>
    </w:p>
    <w:p w:rsidR="00CE2A84" w:rsidRDefault="00CE2A84" w:rsidP="00CE2A84">
      <w:pPr>
        <w:pStyle w:val="Bibliography"/>
        <w:spacing w:after="0"/>
        <w:contextualSpacing/>
      </w:pPr>
      <w:r>
        <w:t>14. Mao J, Xia Z, Chen J, et al. Prevalence and risk factors for canine obesity surveyed in veterinary practices in Beijing, China. Prev Vet Med 2013;112:438–442.</w:t>
      </w:r>
    </w:p>
    <w:p w:rsidR="00CE2A84" w:rsidRDefault="00CE2A84" w:rsidP="00CE2A84">
      <w:pPr>
        <w:pStyle w:val="Bibliography"/>
        <w:spacing w:after="0"/>
        <w:contextualSpacing/>
      </w:pPr>
      <w:r>
        <w:t>15. Ogden CL, Yanovski SZ, Carroll MD, et al. The epidemiology of obesity. Gastroenterology 2007;132:2087–2102.</w:t>
      </w:r>
    </w:p>
    <w:p w:rsidR="00CE2A84" w:rsidRDefault="00CE2A84" w:rsidP="00CE2A84">
      <w:pPr>
        <w:pStyle w:val="Bibliography"/>
        <w:spacing w:after="0"/>
        <w:contextualSpacing/>
      </w:pPr>
      <w:r>
        <w:t>16. Kirby JB, Liang L, Chen H-J, et al. Race, place, and obesity: the complex relationships among community racial/ethnic composition, individual race/ethnicity, and obesity in the United States. Am J Public Health 2012;102:1572–1578.</w:t>
      </w:r>
    </w:p>
    <w:p w:rsidR="00CE2A84" w:rsidRDefault="00CE2A84" w:rsidP="00CE2A84">
      <w:pPr>
        <w:pStyle w:val="Bibliography"/>
        <w:spacing w:after="0"/>
        <w:contextualSpacing/>
      </w:pPr>
      <w:r>
        <w:t>17. Ishioka K, Hosoya K, Kitagawa H, et al. Plasma leptin concentration in dogs: effects of body condition score, age, gender and breeds. Res Vet Sci 2007;82:11–15.</w:t>
      </w:r>
    </w:p>
    <w:p w:rsidR="00CE2A84" w:rsidRDefault="00CE2A84" w:rsidP="00CE2A84">
      <w:pPr>
        <w:pStyle w:val="Bibliography"/>
        <w:spacing w:after="0"/>
        <w:contextualSpacing/>
      </w:pPr>
      <w:r>
        <w:t>18. Corbee RJ. Obesity in show dogs. J Anim Physiol Anim Nutr 2012.</w:t>
      </w:r>
    </w:p>
    <w:p w:rsidR="00CE2A84" w:rsidRDefault="00CE2A84" w:rsidP="00CE2A84">
      <w:pPr>
        <w:pStyle w:val="Bibliography"/>
        <w:spacing w:after="0"/>
        <w:contextualSpacing/>
      </w:pPr>
      <w:r>
        <w:t>19. Jeusette I, Greco D, Aquino F, et al. Effect of breed on body composition and comparison between various methods to estimate body composition in dogs. Res Vet Sci 2010;88:227–232.</w:t>
      </w:r>
    </w:p>
    <w:p w:rsidR="00CE2A84" w:rsidRDefault="00CE2A84" w:rsidP="00CE2A84">
      <w:pPr>
        <w:pStyle w:val="Bibliography"/>
        <w:spacing w:after="0"/>
        <w:contextualSpacing/>
      </w:pPr>
      <w:r>
        <w:t>20. Eckel RH, Grundy SM, Zimmet PZ. The metabolic syndrome. Lancet 2005;365:1415–1428.</w:t>
      </w:r>
    </w:p>
    <w:p w:rsidR="00CE2A84" w:rsidRDefault="00CE2A84" w:rsidP="00CE2A84">
      <w:pPr>
        <w:pStyle w:val="Bibliography"/>
        <w:spacing w:after="0"/>
        <w:contextualSpacing/>
      </w:pPr>
      <w:r>
        <w:t>21. Ervin RB. Prevalence of metabolic syndrome among adults 20 years of age and over, by sex, age, race and ethnicity, and body mass index: United States, 2003-2006. Natl Health Stat Rep 2009:1–7.</w:t>
      </w:r>
    </w:p>
    <w:p w:rsidR="00CE2A84" w:rsidRDefault="00CE2A84" w:rsidP="00CE2A84">
      <w:pPr>
        <w:pStyle w:val="Bibliography"/>
        <w:spacing w:after="0"/>
        <w:contextualSpacing/>
      </w:pPr>
      <w:r>
        <w:t>22. Alberti KGMM, Eckel RH, Grundy SM, et al. Harmonizing the metabolic syndrome: a joint interim statement of the International Diabetes Federation Task Force on Epidemiology and Prevention; National Heart, Lung, and Blood Institute; American Heart Association; World Heart Federation; International Atherosclerosis Society; and International Association for the Study of Obesity. Circulation 2009;120:1640–1645.</w:t>
      </w:r>
    </w:p>
    <w:p w:rsidR="00CE2A84" w:rsidRDefault="00CE2A84" w:rsidP="00CE2A84">
      <w:pPr>
        <w:pStyle w:val="Bibliography"/>
        <w:spacing w:after="0"/>
        <w:contextualSpacing/>
      </w:pPr>
      <w:r>
        <w:t>23. Suri P, Morgenroth DC, Hunter DJ. Epidemiology of osteoarthritis and associated comorbidities. PM R 2012;4:S10–19.</w:t>
      </w:r>
    </w:p>
    <w:p w:rsidR="00CE2A84" w:rsidRDefault="00CE2A84" w:rsidP="00CE2A84">
      <w:pPr>
        <w:pStyle w:val="Bibliography"/>
        <w:spacing w:after="0"/>
        <w:contextualSpacing/>
      </w:pPr>
      <w:r>
        <w:t>24. Guh DP, Zhang W, Bansback N, et al. The incidence of co-morbidities related to obesity and overweight: a systematic review and meta-analysis. BMC Public Health 2009;9:88.</w:t>
      </w:r>
    </w:p>
    <w:p w:rsidR="00CE2A84" w:rsidRDefault="00CE2A84" w:rsidP="00CE2A84">
      <w:pPr>
        <w:pStyle w:val="Bibliography"/>
        <w:spacing w:after="0"/>
        <w:contextualSpacing/>
      </w:pPr>
      <w:r>
        <w:t>25. National Heart, Lung, and Blood Institute, The National Institute of Diabetes and Digestive and Kidney Diseases. Clinical guidelines on the identification, evaluation, and treatment of overweight and obesity in adults: The evidence report. NIH Publ 1998;98:262.</w:t>
      </w:r>
    </w:p>
    <w:p w:rsidR="00CE2A84" w:rsidRDefault="00CE2A84" w:rsidP="00CE2A84">
      <w:pPr>
        <w:pStyle w:val="Bibliography"/>
        <w:spacing w:after="0"/>
        <w:contextualSpacing/>
      </w:pPr>
      <w:r>
        <w:t>26. Greer WJ, Richter HE, Bartolucci AA, et al. Obesity and pelvic floor disorders: a systematic review. Obstet Gynecol 2008;112:341–349.</w:t>
      </w:r>
    </w:p>
    <w:p w:rsidR="00CE2A84" w:rsidRDefault="00CE2A84" w:rsidP="00CE2A84">
      <w:pPr>
        <w:pStyle w:val="Bibliography"/>
        <w:spacing w:after="0"/>
        <w:contextualSpacing/>
      </w:pPr>
      <w:r>
        <w:t>27. Nodine PM, Hastings-Tolsma M. Maternal obesity: improving pregnancy outcomes. MCN Am J Matern Child Nurs 2012;37:110–115.</w:t>
      </w:r>
    </w:p>
    <w:p w:rsidR="00CE2A84" w:rsidRDefault="00CE2A84" w:rsidP="00CE2A84">
      <w:pPr>
        <w:pStyle w:val="Bibliography"/>
        <w:spacing w:after="0"/>
        <w:contextualSpacing/>
      </w:pPr>
      <w:r>
        <w:t>28. Yosipovitch G, DeVore A, Dawn A. Obesity and the skin: skin physiology and skin manifestations of obesity. J Am Acad Dermatol 2007;56:901–916; quiz 917–920.</w:t>
      </w:r>
    </w:p>
    <w:p w:rsidR="00CE2A84" w:rsidRDefault="00CE2A84" w:rsidP="00CE2A84">
      <w:pPr>
        <w:pStyle w:val="Bibliography"/>
        <w:spacing w:after="0"/>
        <w:contextualSpacing/>
      </w:pPr>
      <w:r>
        <w:t>29. Camargo CA Jr, Weiss ST, Zhang S, et al. Prospective study of body mass index, weight change, and risk of adult-onset asthma in women. Arch Intern Med 1999;159:2582–2588.</w:t>
      </w:r>
    </w:p>
    <w:p w:rsidR="00CE2A84" w:rsidRDefault="00CE2A84" w:rsidP="00CE2A84">
      <w:pPr>
        <w:pStyle w:val="Bibliography"/>
        <w:spacing w:after="0"/>
        <w:contextualSpacing/>
      </w:pPr>
      <w:r>
        <w:t>30. Lampman TJ, Lund EM, Lipowitz AJ. Cranial cruciate disease: current status of diagnosis, surgery, and risk for disease. Vet Comp Orthop Traumatol 2003;16.</w:t>
      </w:r>
    </w:p>
    <w:p w:rsidR="00CE2A84" w:rsidRDefault="00CE2A84" w:rsidP="00CE2A84">
      <w:pPr>
        <w:pStyle w:val="Bibliography"/>
        <w:spacing w:after="0"/>
        <w:contextualSpacing/>
      </w:pPr>
      <w:r>
        <w:t>31. Lusby AL, Kirk CA, Bartges JW, et al. Prevalence of asymptomatic bacterial urinary tract infections in morbidly obese dogs (Abstract). J Vet Intern Med 2011;25:717.</w:t>
      </w:r>
    </w:p>
    <w:p w:rsidR="00CE2A84" w:rsidRDefault="00CE2A84" w:rsidP="00CE2A84">
      <w:pPr>
        <w:pStyle w:val="Bibliography"/>
        <w:spacing w:after="0"/>
        <w:contextualSpacing/>
      </w:pPr>
      <w:r>
        <w:t>32. German AJ. The growing problem of obesity in dogs and cats. J Nutr 2006;136:1940S–1946S.</w:t>
      </w:r>
    </w:p>
    <w:p w:rsidR="00CE2A84" w:rsidRDefault="00CE2A84" w:rsidP="00CE2A84">
      <w:pPr>
        <w:pStyle w:val="Bibliography"/>
        <w:spacing w:after="0"/>
        <w:contextualSpacing/>
      </w:pPr>
      <w:r>
        <w:t>33. Kealy RD, Lawler DF, Ballam JM, et al. Effects of diet restriction on life span and age-related changes in dogs. J Am Vet Med Assoc 2002;220:1315–1320.</w:t>
      </w:r>
    </w:p>
    <w:p w:rsidR="00CE2A84" w:rsidRDefault="00CE2A84" w:rsidP="00CE2A84">
      <w:pPr>
        <w:pStyle w:val="Bibliography"/>
        <w:spacing w:after="0"/>
        <w:contextualSpacing/>
      </w:pPr>
      <w:r>
        <w:t>34. WHO. Global Database on Body Mass Index. Available at: http://apps.who.int/bmi/index.jsp. Accessed October 10, 2013.</w:t>
      </w:r>
    </w:p>
    <w:p w:rsidR="00CE2A84" w:rsidRDefault="00CE2A84" w:rsidP="00CE2A84">
      <w:pPr>
        <w:pStyle w:val="Bibliography"/>
        <w:spacing w:after="0"/>
        <w:contextualSpacing/>
      </w:pPr>
      <w:r>
        <w:t>35. Garn SM, Leonard WR, Hawthorne VM. Three limitations of the body mass index. Am J Clin Nutr 1986;44:996–997.</w:t>
      </w:r>
    </w:p>
    <w:p w:rsidR="00CE2A84" w:rsidRDefault="00CE2A84" w:rsidP="00CE2A84">
      <w:pPr>
        <w:pStyle w:val="Bibliography"/>
        <w:spacing w:after="0"/>
        <w:contextualSpacing/>
      </w:pPr>
      <w:r>
        <w:t>36. Ricardo DR, Araujo CGS de. Body mass index: a scientific evidence-based inquiry. Arq Bras Cardiol 2002;79:61–78.</w:t>
      </w:r>
    </w:p>
    <w:p w:rsidR="00CE2A84" w:rsidRDefault="00CE2A84" w:rsidP="00CE2A84">
      <w:pPr>
        <w:pStyle w:val="Bibliography"/>
        <w:spacing w:after="0"/>
        <w:contextualSpacing/>
      </w:pPr>
      <w:r>
        <w:t>37. Gallagher D, Heymsfield SB, Heo M, et al. Healthy percentage body fat ranges: an approach for developing guidelines based on body mass index. Am J Clin Nutr 2000;72:694–701.</w:t>
      </w:r>
    </w:p>
    <w:p w:rsidR="00CE2A84" w:rsidRDefault="00CE2A84" w:rsidP="00CE2A84">
      <w:pPr>
        <w:pStyle w:val="Bibliography"/>
        <w:spacing w:after="0"/>
        <w:contextualSpacing/>
      </w:pPr>
      <w:r>
        <w:t>38. Donahue RP, Abbott RD. Central obesity and coronary heart disease in men. Lancet 1987;2:1215.</w:t>
      </w:r>
    </w:p>
    <w:p w:rsidR="00CE2A84" w:rsidRDefault="00CE2A84" w:rsidP="00CE2A84">
      <w:pPr>
        <w:pStyle w:val="Bibliography"/>
        <w:spacing w:after="0"/>
        <w:contextualSpacing/>
      </w:pPr>
      <w:r>
        <w:t>39. De Koning L, Merchant AT, Pogue J, et al. Waist circumference and waist-to-hip ratio as predictors of cardiovascular events: meta-regression analysis of prospective studies. Eur Heart J 2007;28:850–856.</w:t>
      </w:r>
    </w:p>
    <w:p w:rsidR="00CE2A84" w:rsidRDefault="00CE2A84" w:rsidP="00CE2A84">
      <w:pPr>
        <w:pStyle w:val="Bibliography"/>
        <w:spacing w:after="0"/>
        <w:contextualSpacing/>
      </w:pPr>
      <w:r>
        <w:t>40. Larsson B, Svärdsudd K, Welin L, et al. Abdominal adipose tissue distribution, obesity, and risk of cardiovascular disease and death: 13 year follow up of participants in the study of men born in 1913. Br Med J Clin Res Ed 1984;288:1401–1404.</w:t>
      </w:r>
    </w:p>
    <w:p w:rsidR="00CE2A84" w:rsidRDefault="00CE2A84" w:rsidP="00CE2A84">
      <w:pPr>
        <w:pStyle w:val="Bibliography"/>
        <w:spacing w:after="0"/>
        <w:contextualSpacing/>
      </w:pPr>
      <w:r>
        <w:t>41. Kissebah AH, Vydelingum N, Murray R, et al. Relation of body fat distribution to metabolic complications of obesity. J Clin Endocrinol Metab 1982;54:254–260.</w:t>
      </w:r>
    </w:p>
    <w:p w:rsidR="00CE2A84" w:rsidRDefault="00CE2A84" w:rsidP="00CE2A84">
      <w:pPr>
        <w:pStyle w:val="Bibliography"/>
        <w:spacing w:after="0"/>
        <w:contextualSpacing/>
      </w:pPr>
      <w:r>
        <w:t>42. Burton BT, Foster WR, Hirsch J, et al. Health implications of obesity: an NIH Consensus Development Conference. Int J Obes 1985;9:155–170.</w:t>
      </w:r>
    </w:p>
    <w:p w:rsidR="00CE2A84" w:rsidRDefault="00CE2A84" w:rsidP="00CE2A84">
      <w:pPr>
        <w:pStyle w:val="Bibliography"/>
        <w:spacing w:after="0"/>
        <w:contextualSpacing/>
      </w:pPr>
      <w:r>
        <w:t>43. Ohlson LO, Larsson B, Svärdsudd K, et al. The influence of body fat distribution on the incidence of diabetes mellitus. 13.5 years of follow-up of the participants in the study of men born in 1913. Diabetes 1985;34:1055–1058.</w:t>
      </w:r>
    </w:p>
    <w:p w:rsidR="00CE2A84" w:rsidRDefault="00CE2A84" w:rsidP="00CE2A84">
      <w:pPr>
        <w:pStyle w:val="Bibliography"/>
        <w:spacing w:after="0"/>
        <w:contextualSpacing/>
      </w:pPr>
      <w:r>
        <w:t>44. Huxley R, Mendis S, Zheleznyakov E, et al. Body mass index, waist circumference and waist:hip ratio as predictors of cardiovascular risk--a review of the literature. Eur J Clin Nutr 2010;64:16–22.</w:t>
      </w:r>
    </w:p>
    <w:p w:rsidR="00CE2A84" w:rsidRDefault="00CE2A84" w:rsidP="00CE2A84">
      <w:pPr>
        <w:pStyle w:val="Bibliography"/>
        <w:spacing w:after="0"/>
        <w:contextualSpacing/>
      </w:pPr>
      <w:r>
        <w:t>45. Ashwell M, Gunn P, Gibson S. Waist-to-height ratio is a better screening tool than waist circumference and BMI for adult cardiometabolic risk factors: systematic review and meta-analysis. Obes Rev Off J Int Assoc Study Obes 2012;13:275–286.</w:t>
      </w:r>
    </w:p>
    <w:p w:rsidR="00CE2A84" w:rsidRDefault="00CE2A84" w:rsidP="00CE2A84">
      <w:pPr>
        <w:pStyle w:val="Bibliography"/>
        <w:spacing w:after="0"/>
        <w:contextualSpacing/>
      </w:pPr>
      <w:r>
        <w:t>46. Laflamme DP. Development and validation of a body condition score system for dogs. Canine Pract 1997;1997:10–15.</w:t>
      </w:r>
    </w:p>
    <w:p w:rsidR="00CE2A84" w:rsidRDefault="00CE2A84" w:rsidP="00CE2A84">
      <w:pPr>
        <w:pStyle w:val="Bibliography"/>
        <w:spacing w:after="0"/>
        <w:contextualSpacing/>
      </w:pPr>
      <w:r>
        <w:t>47. Mawby DI, Bartges JW, d’ Avignon A, et al. Comparison of various methods for estimating body fat in dogs. J Am Anim Hosp Assoc 2004;40:109–114.</w:t>
      </w:r>
    </w:p>
    <w:p w:rsidR="00CE2A84" w:rsidRDefault="00CE2A84" w:rsidP="00CE2A84">
      <w:pPr>
        <w:pStyle w:val="Bibliography"/>
        <w:spacing w:after="0"/>
        <w:contextualSpacing/>
      </w:pPr>
      <w:r>
        <w:t>48. German AJ, Holden SL, Morris PJ, et al. Comparison of a bioimpedance monitor with dual-energy x-ray absorptiometry for noninvasive estimation of percentage body fat in dogs. Am J Vet Res 2010;71:393–398.</w:t>
      </w:r>
    </w:p>
    <w:p w:rsidR="00CE2A84" w:rsidRDefault="00CE2A84" w:rsidP="00CE2A84">
      <w:pPr>
        <w:pStyle w:val="Bibliography"/>
        <w:spacing w:after="0"/>
        <w:contextualSpacing/>
      </w:pPr>
      <w:r>
        <w:t>49. Thatcher CD, Hand MS, Remillard RL. Small Animal Clinical Nutrition: An Iterative Process. In: Small animal clinical nutrition. 5th ed.. Topeka, Kan: Mark Morris Institute; 2010:3–21.</w:t>
      </w:r>
    </w:p>
    <w:p w:rsidR="00CE2A84" w:rsidRDefault="00CE2A84" w:rsidP="00CE2A84">
      <w:pPr>
        <w:pStyle w:val="Bibliography"/>
        <w:spacing w:after="0"/>
        <w:contextualSpacing/>
      </w:pPr>
      <w:r>
        <w:t>50. Sheng HP, Huggins RA. Direct and indirect measurement of total body water in the growing beagle. Proc Soc Exp Biol Med Soc Exp Biol Med N Y N 1971;137:1093–1099.</w:t>
      </w:r>
    </w:p>
    <w:p w:rsidR="00CE2A84" w:rsidRDefault="00CE2A84" w:rsidP="00CE2A84">
      <w:pPr>
        <w:pStyle w:val="Bibliography"/>
        <w:spacing w:after="0"/>
        <w:contextualSpacing/>
      </w:pPr>
      <w:r>
        <w:t>51. Fee BA, Weil WB Jr. Body composition of infants of diabetic mothers by direct analysis. Ann N Y Acad Sci 1963;110:869–897.</w:t>
      </w:r>
    </w:p>
    <w:p w:rsidR="00CE2A84" w:rsidRDefault="00CE2A84" w:rsidP="00CE2A84">
      <w:pPr>
        <w:pStyle w:val="Bibliography"/>
        <w:spacing w:after="0"/>
        <w:contextualSpacing/>
      </w:pPr>
      <w:r>
        <w:t>52. Burkholder WJ, Thatcher CD. Validation of predictive equations for use of deuterium oxide dilution to determine body composition of dogs. Am J Vet Res 1998;59:927–937.</w:t>
      </w:r>
    </w:p>
    <w:p w:rsidR="00CE2A84" w:rsidRDefault="00CE2A84" w:rsidP="00CE2A84">
      <w:pPr>
        <w:pStyle w:val="Bibliography"/>
        <w:spacing w:after="0"/>
        <w:contextualSpacing/>
      </w:pPr>
      <w:r>
        <w:t>53. Speakman JR, Booles D, Butterwick R. Validation of dual energy X-ray absorptiometry (DXA) by comparison with chemical analysis of dogs and cats. Int J Obes Relat Metab Disord J Int Assoc Study Obes 2001;25:439–447.</w:t>
      </w:r>
    </w:p>
    <w:p w:rsidR="00CE2A84" w:rsidRDefault="00CE2A84" w:rsidP="00CE2A84">
      <w:pPr>
        <w:pStyle w:val="Bibliography"/>
        <w:spacing w:after="0"/>
        <w:contextualSpacing/>
      </w:pPr>
      <w:r>
        <w:t>54. Lauten SD, Cox NR, Brawner WR Jr, et al. Use of dual energy x-ray absorptiometry for noninvasive body composition measurements in clinically normal dogs. Am J Vet Res 2001;62:1295–1301.</w:t>
      </w:r>
    </w:p>
    <w:p w:rsidR="00CE2A84" w:rsidRDefault="00CE2A84" w:rsidP="00CE2A84">
      <w:pPr>
        <w:pStyle w:val="Bibliography"/>
        <w:spacing w:after="0"/>
        <w:contextualSpacing/>
      </w:pPr>
      <w:r>
        <w:t>55. Son HR, d’ Avignon DA, Laflamme DP. Comparison of dual-energy x-ray absorptiometry and measurement of total body water content by deuterium oxide dilution for estimating body composition in dogs. Am J Vet Res 1998;59:529–532.</w:t>
      </w:r>
    </w:p>
    <w:p w:rsidR="00CE2A84" w:rsidRDefault="00CE2A84" w:rsidP="00CE2A84">
      <w:pPr>
        <w:pStyle w:val="Bibliography"/>
        <w:spacing w:after="0"/>
        <w:contextualSpacing/>
      </w:pPr>
      <w:r>
        <w:t>56. Schloerb PR, Friis-Hansen BJ, Edelman IS, et al. The measurement of total body water in the human subject by deuterium oxide dilution; with a consideration of the dynamics of deuterium distribution. J Clin Invest 1950;29:1296–1310.</w:t>
      </w:r>
    </w:p>
    <w:p w:rsidR="00CE2A84" w:rsidRDefault="00CE2A84" w:rsidP="00CE2A84">
      <w:pPr>
        <w:pStyle w:val="Bibliography"/>
        <w:spacing w:after="0"/>
        <w:contextualSpacing/>
      </w:pPr>
      <w:r>
        <w:t>57. Panaretto BA. Estimation of body composition by the dilution of hydrogen isotopes. In: Body composition in animals and man. Washington, National Academy of Sciences; 1968:200–217.</w:t>
      </w:r>
    </w:p>
    <w:p w:rsidR="00CE2A84" w:rsidRDefault="00CE2A84" w:rsidP="00CE2A84">
      <w:pPr>
        <w:pStyle w:val="Bibliography"/>
        <w:spacing w:after="0"/>
        <w:contextualSpacing/>
      </w:pPr>
      <w:r>
        <w:t>58. Burkholder WJ. Body composition of dogs determined by carcass composition analysis, deuterium oxide dilution, subjective and objective morphometry, and bioelectrical impedance. 1994. Available at: http://scholar.lib.vt.edu/theses/available/etd-12142006-131851/. Accessed October 10, 2013.</w:t>
      </w:r>
    </w:p>
    <w:p w:rsidR="00CE2A84" w:rsidRDefault="00CE2A84" w:rsidP="00CE2A84">
      <w:pPr>
        <w:pStyle w:val="Bibliography"/>
        <w:spacing w:after="0"/>
        <w:contextualSpacing/>
      </w:pPr>
      <w:r>
        <w:t>59. Lukaski HC. Soft tissue composition and bone mineral status: evaluation by dual-energy X-ray absorptiometry. J Nutr 1993;123:438–443.</w:t>
      </w:r>
    </w:p>
    <w:p w:rsidR="00CE2A84" w:rsidRDefault="00CE2A84" w:rsidP="00CE2A84">
      <w:pPr>
        <w:pStyle w:val="Bibliography"/>
        <w:spacing w:after="0"/>
        <w:contextualSpacing/>
      </w:pPr>
      <w:r>
        <w:t>60. Laskey MA. Dual-energy X-ray absorptiometry and body composition. Nutr Burbank Los Angel Cty Calif 1996;12:45–51.</w:t>
      </w:r>
    </w:p>
    <w:p w:rsidR="00CE2A84" w:rsidRDefault="00CE2A84" w:rsidP="00CE2A84">
      <w:pPr>
        <w:pStyle w:val="Bibliography"/>
        <w:spacing w:after="0"/>
        <w:contextualSpacing/>
      </w:pPr>
      <w:r>
        <w:t>61. LaForgia J, Dollman J, Dale MJ, et al. Validation of DXA body composition estimates in obese men and women. Obes Silver Spring Md 2009;17:821–826.</w:t>
      </w:r>
    </w:p>
    <w:p w:rsidR="00CE2A84" w:rsidRDefault="00CE2A84" w:rsidP="00CE2A84">
      <w:pPr>
        <w:pStyle w:val="Bibliography"/>
        <w:spacing w:after="0"/>
        <w:contextualSpacing/>
      </w:pPr>
      <w:r>
        <w:t>62. Bordelon DJ, Wingfield WE. Monitoring acute fluid shifts with bioelectrical impedance analysis: a review. J Vet Emerg Crit Care 2002;12.</w:t>
      </w:r>
    </w:p>
    <w:p w:rsidR="00CE2A84" w:rsidRDefault="00CE2A84" w:rsidP="00CE2A84">
      <w:pPr>
        <w:pStyle w:val="Bibliography"/>
        <w:spacing w:after="0"/>
        <w:contextualSpacing/>
      </w:pPr>
      <w:r>
        <w:t>63. Jaffrin MY, Morel H. Body fluid volumes measurements by impedance: A review of bioimpedance spectroscopy (BIS) and bioimpedance analysis (BIA) methods. Med Eng Phys 2008;30:1257–1269.</w:t>
      </w:r>
    </w:p>
    <w:p w:rsidR="00CE2A84" w:rsidRDefault="00CE2A84" w:rsidP="00CE2A84">
      <w:pPr>
        <w:pStyle w:val="Bibliography"/>
        <w:spacing w:after="0"/>
        <w:contextualSpacing/>
      </w:pPr>
      <w:r>
        <w:t>64. Shafer KJ, Siders WA, Johnson LK, et al. Validity of segmental multiple-frequency bioelectrical impedance analysis to estimate body composition of adults across a range of body mass indexes. Nutr Burbank Los Angel Cty Calif 2009;25:25–32.</w:t>
      </w:r>
    </w:p>
    <w:p w:rsidR="00CE2A84" w:rsidRDefault="00CE2A84" w:rsidP="00CE2A84">
      <w:pPr>
        <w:pStyle w:val="Bibliography"/>
        <w:spacing w:after="0"/>
        <w:contextualSpacing/>
      </w:pPr>
      <w:r>
        <w:t>65. Pateyjohns IR, Brinkworth GD, Buckley JD, et al. Comparison of three bioelectrical impedance methods with DXA in overweight and obese men. Obes Silver Spring Md 2006;14:2064–2070.</w:t>
      </w:r>
    </w:p>
    <w:p w:rsidR="00CE2A84" w:rsidRDefault="00CE2A84" w:rsidP="00CE2A84">
      <w:pPr>
        <w:pStyle w:val="Bibliography"/>
        <w:spacing w:after="0"/>
        <w:contextualSpacing/>
      </w:pPr>
      <w:r>
        <w:t>66. Morrison CD, Reed SD, Henagan TM. Homeostatic regulation of protein intake: in search of a mechanism. Am J Physiol Regul Integr Comp Physiol 2012;302:R917–928.</w:t>
      </w:r>
    </w:p>
    <w:p w:rsidR="00CE2A84" w:rsidRDefault="00CE2A84" w:rsidP="00CE2A84">
      <w:pPr>
        <w:pStyle w:val="Bibliography"/>
        <w:spacing w:after="0"/>
        <w:contextualSpacing/>
      </w:pPr>
      <w:r>
        <w:t>67. National Research Council (U. S.). Ad Hoc Committee on Dog and Cat Nutrition. Energy. In: Nutrient requirements of dogs and cats. [Rev. ed.].. Washington, DC: National Academies Press; 2006:28–48.</w:t>
      </w:r>
    </w:p>
    <w:p w:rsidR="00CE2A84" w:rsidRDefault="00CE2A84" w:rsidP="00CE2A84">
      <w:pPr>
        <w:pStyle w:val="Bibliography"/>
        <w:spacing w:after="0"/>
        <w:contextualSpacing/>
      </w:pPr>
      <w:r>
        <w:t>68. Neel JV. Diabetes mellitus: a “thrifty” genotype rendered detrimental by “progress”? Am J Hum Genet 1962;14:353–362.</w:t>
      </w:r>
    </w:p>
    <w:p w:rsidR="00CE2A84" w:rsidRDefault="00CE2A84" w:rsidP="00CE2A84">
      <w:pPr>
        <w:pStyle w:val="Bibliography"/>
        <w:spacing w:after="0"/>
        <w:contextualSpacing/>
      </w:pPr>
      <w:r>
        <w:t>69. Anonymous. Thrifty genotype rendered detrimental by progress? Lancet 1989;2:839–840.</w:t>
      </w:r>
    </w:p>
    <w:p w:rsidR="00CE2A84" w:rsidRDefault="00CE2A84" w:rsidP="00CE2A84">
      <w:pPr>
        <w:pStyle w:val="Bibliography"/>
        <w:spacing w:after="0"/>
        <w:contextualSpacing/>
      </w:pPr>
      <w:r>
        <w:t>70. Neel JV. Towards a better understanding of the genetic basis of diabetes mellitus. In: The Genetics of Diabetes Mellitus. Berlin: Springer; 1976:240–244. Available at: http://www.springer.com/medicine/internal/book/978-3-540-07651-3. Accessed October 10, 2013.</w:t>
      </w:r>
    </w:p>
    <w:p w:rsidR="00CE2A84" w:rsidRDefault="00CE2A84" w:rsidP="00CE2A84">
      <w:pPr>
        <w:pStyle w:val="Bibliography"/>
        <w:spacing w:after="0"/>
        <w:contextualSpacing/>
      </w:pPr>
      <w:r>
        <w:t>71. Reaven GM. Banting Lecture 1988. Role of insulin resistance in human disease. 1988. Nutr Burbank Los Angel Cty Calif 1997;13:65; discussion 64, 66.</w:t>
      </w:r>
    </w:p>
    <w:p w:rsidR="00CE2A84" w:rsidRDefault="00CE2A84" w:rsidP="00CE2A84">
      <w:pPr>
        <w:pStyle w:val="Bibliography"/>
        <w:spacing w:after="0"/>
        <w:contextualSpacing/>
      </w:pPr>
      <w:r>
        <w:t>72. Miller JC, Colagiuri S. The carnivore connection: dietary carbohydrate in the evolution of NIDDM. Diabetologia 1994;37:1280–1286.</w:t>
      </w:r>
    </w:p>
    <w:p w:rsidR="00CE2A84" w:rsidRDefault="00CE2A84" w:rsidP="00CE2A84">
      <w:pPr>
        <w:pStyle w:val="Bibliography"/>
        <w:spacing w:after="0"/>
        <w:contextualSpacing/>
      </w:pPr>
      <w:r>
        <w:t>73. Speakman JR. Thrifty genes for obesity, an attractive but flawed idea, and an alternative perspective: the “drifty gene” hypothesis. Int J Obes 2005 2008;32:1611–1617.</w:t>
      </w:r>
    </w:p>
    <w:p w:rsidR="00CE2A84" w:rsidRDefault="00CE2A84" w:rsidP="00CE2A84">
      <w:pPr>
        <w:pStyle w:val="Bibliography"/>
        <w:spacing w:after="0"/>
        <w:contextualSpacing/>
      </w:pPr>
      <w:r>
        <w:t>74. Lowe MR, Butryn ML. Hedonic hunger: a new dimension of appetite? Physiol Behav 2007;91:432–439.</w:t>
      </w:r>
    </w:p>
    <w:p w:rsidR="00CE2A84" w:rsidRDefault="00CE2A84" w:rsidP="00CE2A84">
      <w:pPr>
        <w:pStyle w:val="Bibliography"/>
        <w:spacing w:after="0"/>
        <w:contextualSpacing/>
      </w:pPr>
      <w:r>
        <w:t>75. Lowe MR, Butryn ML, Didie ER, et al. The Power of Food Scale. A new measure of the psychological influence of the food environment. Appetite 2009;53:114–118.</w:t>
      </w:r>
    </w:p>
    <w:p w:rsidR="00CE2A84" w:rsidRDefault="00CE2A84" w:rsidP="00CE2A84">
      <w:pPr>
        <w:pStyle w:val="Bibliography"/>
        <w:spacing w:after="0"/>
        <w:contextualSpacing/>
      </w:pPr>
      <w:r>
        <w:t>76. Cappelleri JC, Bushmakin AG, Gerber RA, et al. Evaluating the Power of Food Scale in obese subjects and a general sample of individuals: development and measurement properties. Int J Obes 2005 2009;33:913–922.</w:t>
      </w:r>
    </w:p>
    <w:p w:rsidR="00CE2A84" w:rsidRDefault="00CE2A84" w:rsidP="00CE2A84">
      <w:pPr>
        <w:pStyle w:val="Bibliography"/>
        <w:spacing w:after="0"/>
        <w:contextualSpacing/>
      </w:pPr>
      <w:r>
        <w:t>77. Schultes B, Ernst B, Wilms B, et al. Hedonic hunger is increased in severely obese patients and is reduced after gastric bypass surgery. Am J Clin Nutr 2010;92:277–283.</w:t>
      </w:r>
    </w:p>
    <w:p w:rsidR="00CE2A84" w:rsidRDefault="00CE2A84" w:rsidP="00CE2A84">
      <w:pPr>
        <w:pStyle w:val="Bibliography"/>
        <w:spacing w:after="0"/>
        <w:contextualSpacing/>
      </w:pPr>
      <w:r>
        <w:t>78. Ullrich J, Ernst B, Wilms B, et al. Roux-en Y gastric bypass surgery reduces hedonic hunger and improves dietary habits in severely obese subjects. Obes Surg 2013;23:50–55.</w:t>
      </w:r>
    </w:p>
    <w:p w:rsidR="00CE2A84" w:rsidRDefault="00CE2A84" w:rsidP="00CE2A84">
      <w:pPr>
        <w:pStyle w:val="Bibliography"/>
        <w:spacing w:after="0"/>
        <w:contextualSpacing/>
      </w:pPr>
      <w:r>
        <w:t>79. O’Neil PM, Theim KR, Boeka A, et al. Changes in weight control behaviors and hedonic hunger during a 12-week commercial weight loss program. Eat Behav 2012;13:354–360.</w:t>
      </w:r>
    </w:p>
    <w:p w:rsidR="00CE2A84" w:rsidRDefault="00CE2A84" w:rsidP="00CE2A84">
      <w:pPr>
        <w:pStyle w:val="Bibliography"/>
        <w:spacing w:after="0"/>
        <w:contextualSpacing/>
      </w:pPr>
      <w:r>
        <w:t>80. Suzuki K, Simpson KA, Minnion JS, et al. The role of gut hormones and the hypothalamus in appetite regulation. Endocr J 2010;57:359–372.</w:t>
      </w:r>
    </w:p>
    <w:p w:rsidR="00CE2A84" w:rsidRDefault="00CE2A84" w:rsidP="00CE2A84">
      <w:pPr>
        <w:pStyle w:val="Bibliography"/>
        <w:spacing w:after="0"/>
        <w:contextualSpacing/>
      </w:pPr>
      <w:r>
        <w:t>81. Hahn TM, Breininger JF, Baskin DG, et al. Coexpression of Agrp and NPY in fasting-activated hypothalamic neurons. Nat Neurosci 1998;1:271–272.</w:t>
      </w:r>
    </w:p>
    <w:p w:rsidR="00CE2A84" w:rsidRDefault="00CE2A84" w:rsidP="00CE2A84">
      <w:pPr>
        <w:pStyle w:val="Bibliography"/>
        <w:spacing w:after="0"/>
        <w:contextualSpacing/>
      </w:pPr>
      <w:r>
        <w:t>82. Mullins D, Kirby D, Hwa J, et al. Identification of potent and selective neuropeptide Y Y(1) receptor agonists with orexigenic activity in vivo. Mol Pharmacol 2001;60:534–540.</w:t>
      </w:r>
    </w:p>
    <w:p w:rsidR="00CE2A84" w:rsidRDefault="00CE2A84" w:rsidP="00CE2A84">
      <w:pPr>
        <w:pStyle w:val="Bibliography"/>
        <w:spacing w:after="0"/>
        <w:contextualSpacing/>
      </w:pPr>
      <w:r>
        <w:t>83. Parker EM, Balasubramaniam A, Guzzi M, et al. [D-Trp(34)] neuropeptide Y is a potent and selective neuropeptide Y Y(5) receptor agonist with dramatic effects on food intake. Peptides 2000;21:393–399.</w:t>
      </w:r>
    </w:p>
    <w:p w:rsidR="00CE2A84" w:rsidRDefault="00CE2A84" w:rsidP="00CE2A84">
      <w:pPr>
        <w:pStyle w:val="Bibliography"/>
        <w:spacing w:after="0"/>
        <w:contextualSpacing/>
      </w:pPr>
      <w:r>
        <w:t>84. Cabrele C, Langer M, Bader R, et al. The first selective agonist for the neuropeptide YY5 receptor increases food intake in rats. J Biol Chem 2000;275:36043–36048.</w:t>
      </w:r>
    </w:p>
    <w:p w:rsidR="00CE2A84" w:rsidRDefault="00CE2A84" w:rsidP="00CE2A84">
      <w:pPr>
        <w:pStyle w:val="Bibliography"/>
        <w:spacing w:after="0"/>
        <w:contextualSpacing/>
      </w:pPr>
      <w:r>
        <w:t>85. Ollmann MM, Wilson BD, Yang YK, et al. Antagonism of central melanocortin receptors in vitro and in vivo by agouti-related protein. Science 1997;278:135–138.</w:t>
      </w:r>
    </w:p>
    <w:p w:rsidR="00CE2A84" w:rsidRDefault="00CE2A84" w:rsidP="00CE2A84">
      <w:pPr>
        <w:pStyle w:val="Bibliography"/>
        <w:spacing w:after="0"/>
        <w:contextualSpacing/>
      </w:pPr>
      <w:r>
        <w:t>86. Lambert PD, Couceyro PR, McGirr KM, et al. CART peptides in the central control of feeding and interactions with neuropeptide Y. Synap N Y N 1998;29:293–298.</w:t>
      </w:r>
    </w:p>
    <w:p w:rsidR="00CE2A84" w:rsidRDefault="00CE2A84" w:rsidP="00CE2A84">
      <w:pPr>
        <w:pStyle w:val="Bibliography"/>
        <w:spacing w:after="0"/>
        <w:contextualSpacing/>
      </w:pPr>
      <w:r>
        <w:t>87. Krahn DD, Gosnell BA, Grace M, et al. CRF antagonist partially reverses CRF- and stress-induced effects on feeding. Brain Res Bull 1986;17:285–289.</w:t>
      </w:r>
    </w:p>
    <w:p w:rsidR="00CE2A84" w:rsidRDefault="00CE2A84" w:rsidP="00CE2A84">
      <w:pPr>
        <w:pStyle w:val="Bibliography"/>
        <w:spacing w:after="0"/>
        <w:contextualSpacing/>
      </w:pPr>
      <w:r>
        <w:t>88. Vijayan E, McCann SM. Suppression of feeding and drinking activity in rats following intraventricular injection of thyrotropin releasing hormone (TRH). Endocrinology 1977;100:1727–1730.</w:t>
      </w:r>
    </w:p>
    <w:p w:rsidR="00CE2A84" w:rsidRDefault="00CE2A84" w:rsidP="00CE2A84">
      <w:pPr>
        <w:pStyle w:val="Bibliography"/>
        <w:spacing w:after="0"/>
        <w:contextualSpacing/>
      </w:pPr>
      <w:r>
        <w:t>89. Näslund E, Hellström PM. Appetite signaling: from gut peptides and enteric nerves to brain. Physiol Behav 2007;92:256–262.</w:t>
      </w:r>
    </w:p>
    <w:p w:rsidR="00CE2A84" w:rsidRDefault="00CE2A84" w:rsidP="00CE2A84">
      <w:pPr>
        <w:pStyle w:val="Bibliography"/>
        <w:spacing w:after="0"/>
        <w:contextualSpacing/>
      </w:pPr>
      <w:r>
        <w:t>90. Engeli S. Central and peripheral cannabinoid receptors as therapeutic targets in the control of food intake and body weight. Handb Exp Pharmacol 2012:357–381.</w:t>
      </w:r>
    </w:p>
    <w:p w:rsidR="00CE2A84" w:rsidRDefault="00CE2A84" w:rsidP="00CE2A84">
      <w:pPr>
        <w:pStyle w:val="Bibliography"/>
        <w:spacing w:after="0"/>
        <w:contextualSpacing/>
      </w:pPr>
      <w:r>
        <w:t>91. Kirkham TC, Williams CM. Endogenous cannabinoids and appetite. Nutr Res Rev 2001;14:65–86.</w:t>
      </w:r>
    </w:p>
    <w:p w:rsidR="00CE2A84" w:rsidRDefault="00CE2A84" w:rsidP="00CE2A84">
      <w:pPr>
        <w:pStyle w:val="Bibliography"/>
        <w:spacing w:after="0"/>
        <w:contextualSpacing/>
      </w:pPr>
      <w:r>
        <w:t>92. Kojima M, Hosoda H, Date Y, et al. Ghrelin is a growth-hormone-releasing acylated peptide from stomach. Nature 1999;402:656–660.</w:t>
      </w:r>
    </w:p>
    <w:p w:rsidR="00CE2A84" w:rsidRDefault="00CE2A84" w:rsidP="00CE2A84">
      <w:pPr>
        <w:pStyle w:val="Bibliography"/>
        <w:spacing w:after="0"/>
        <w:contextualSpacing/>
      </w:pPr>
      <w:r>
        <w:t>93. Date Y, Kojima M, Hosoda H, et al. Ghrelin, a novel growth hormone-releasing acylated peptide, is synthesized in a distinct endocrine cell type in the gastrointestinal tracts of rats and humans. Endocrinology 2000;141:4255–4261.</w:t>
      </w:r>
    </w:p>
    <w:p w:rsidR="00CE2A84" w:rsidRDefault="00CE2A84" w:rsidP="00CE2A84">
      <w:pPr>
        <w:pStyle w:val="Bibliography"/>
        <w:spacing w:after="0"/>
        <w:contextualSpacing/>
      </w:pPr>
      <w:r>
        <w:t>94. Sakata I, Nakamura K, Yamazaki M, et al. Ghrelin-producing cells exist as two types of cells, closed- and opened-type cells, in the rat gastrointestinal tract. Peptides 2002;23:531–536.</w:t>
      </w:r>
    </w:p>
    <w:p w:rsidR="00CE2A84" w:rsidRDefault="00CE2A84" w:rsidP="00CE2A84">
      <w:pPr>
        <w:pStyle w:val="Bibliography"/>
        <w:spacing w:after="0"/>
        <w:contextualSpacing/>
      </w:pPr>
      <w:r>
        <w:t>95. Yokoyama M, Nakahara K, Kojima M, et al. Influencing the between-feeding and endocrine responses of plasma ghrelin in healthy dogs. Eur J Endocrinol Eur Fed Endocr Soc 2005;152:155–160.</w:t>
      </w:r>
    </w:p>
    <w:p w:rsidR="00CE2A84" w:rsidRDefault="00CE2A84" w:rsidP="00CE2A84">
      <w:pPr>
        <w:pStyle w:val="Bibliography"/>
        <w:spacing w:after="0"/>
        <w:contextualSpacing/>
      </w:pPr>
      <w:r>
        <w:t>96. Bhatti SF, Hofland LJ, van Koetsveld PM, et al. Effects of food intake and food withholding on plasma ghrelin concentrations in healthy dogs. Am J Vet Res 2006;67:1557–1563.</w:t>
      </w:r>
    </w:p>
    <w:p w:rsidR="00CE2A84" w:rsidRDefault="00CE2A84" w:rsidP="00CE2A84">
      <w:pPr>
        <w:pStyle w:val="Bibliography"/>
        <w:spacing w:after="0"/>
        <w:contextualSpacing/>
      </w:pPr>
      <w:r>
        <w:t>97. Cummings DE, Purnell JQ, Frayo RS, et al. A preprandial rise in plasma ghrelin levels suggests a role in meal initiation in humans. Diabetes 2001;50:1714–1719.</w:t>
      </w:r>
    </w:p>
    <w:p w:rsidR="00CE2A84" w:rsidRDefault="00CE2A84" w:rsidP="00CE2A84">
      <w:pPr>
        <w:pStyle w:val="Bibliography"/>
        <w:spacing w:after="0"/>
        <w:contextualSpacing/>
      </w:pPr>
      <w:r>
        <w:t>98. Murakami N, Hayashida T, Kuroiwa T, et al. Role for central ghrelin in food intake and secretion profile of stomach ghrelin in rats. J Endocrinol 2002;174:283–288.</w:t>
      </w:r>
    </w:p>
    <w:p w:rsidR="00CE2A84" w:rsidRDefault="00CE2A84" w:rsidP="00CE2A84">
      <w:pPr>
        <w:pStyle w:val="Bibliography"/>
        <w:spacing w:after="0"/>
        <w:contextualSpacing/>
      </w:pPr>
      <w:r>
        <w:t>99. Tschöp M, Smiley DL, Heiman ML. Ghrelin induces adiposity in rodents. Nature 2000;407:908–913.</w:t>
      </w:r>
    </w:p>
    <w:p w:rsidR="00CE2A84" w:rsidRDefault="00CE2A84" w:rsidP="00CE2A84">
      <w:pPr>
        <w:pStyle w:val="Bibliography"/>
        <w:spacing w:after="0"/>
        <w:contextualSpacing/>
      </w:pPr>
      <w:r>
        <w:t>100. Cummings DE, Weigle DS, Frayo RS, et al. Plasma ghrelin levels after diet-induced weight loss or gastric bypass surgery. N Engl J Med 2002;346:1623–1630.</w:t>
      </w:r>
    </w:p>
    <w:p w:rsidR="00CE2A84" w:rsidRDefault="00CE2A84" w:rsidP="00CE2A84">
      <w:pPr>
        <w:pStyle w:val="Bibliography"/>
        <w:spacing w:after="0"/>
        <w:contextualSpacing/>
      </w:pPr>
      <w:r>
        <w:t>101. Le Roux CW, Patterson M, Vincent RP, et al. Postprandial plasma ghrelin is suppressed proportional to meal calorie content in normal-weight but not obese subjects. J Clin Endocrinol Metab 2005;90:1068–1071.</w:t>
      </w:r>
    </w:p>
    <w:p w:rsidR="00CE2A84" w:rsidRDefault="00CE2A84" w:rsidP="00CE2A84">
      <w:pPr>
        <w:pStyle w:val="Bibliography"/>
        <w:spacing w:after="0"/>
        <w:contextualSpacing/>
      </w:pPr>
      <w:r>
        <w:t>102. Schwartz MW, Woods SC, Porte D, et al. Central nervous system control of food intake. Nature 2000;404:661–671.</w:t>
      </w:r>
    </w:p>
    <w:p w:rsidR="00CE2A84" w:rsidRDefault="00CE2A84" w:rsidP="00CE2A84">
      <w:pPr>
        <w:pStyle w:val="Bibliography"/>
        <w:spacing w:after="0"/>
        <w:contextualSpacing/>
      </w:pPr>
      <w:r>
        <w:t>103. Jeusette IC, Detilleux J, Shibata H, et al. Effects of chronic obesity and weight loss on plasma ghrelin and leptin concentrations in dogs. Res Vet Sci 2005;79:169–175.</w:t>
      </w:r>
    </w:p>
    <w:p w:rsidR="00CE2A84" w:rsidRDefault="00CE2A84" w:rsidP="00CE2A84">
      <w:pPr>
        <w:pStyle w:val="Bibliography"/>
        <w:spacing w:after="0"/>
        <w:contextualSpacing/>
      </w:pPr>
      <w:r>
        <w:t>104. Adrian TE, Ferri GL, Bacarese-Hamilton AJ, et al. Human distribution and release of a putative new gut hormone, peptide YY. Gastroenterology 1985;89:1070–1077.</w:t>
      </w:r>
    </w:p>
    <w:p w:rsidR="00CE2A84" w:rsidRDefault="00CE2A84" w:rsidP="00CE2A84">
      <w:pPr>
        <w:pStyle w:val="Bibliography"/>
        <w:spacing w:after="0"/>
        <w:contextualSpacing/>
      </w:pPr>
      <w:r>
        <w:t>105. Taylor IL. Distribution and release of peptide YY in dog measured by specific radioimmunoassay. Gastroenterology 1985;88:731–737.</w:t>
      </w:r>
    </w:p>
    <w:p w:rsidR="00CE2A84" w:rsidRDefault="00CE2A84" w:rsidP="00CE2A84">
      <w:pPr>
        <w:pStyle w:val="Bibliography"/>
        <w:spacing w:after="0"/>
        <w:contextualSpacing/>
      </w:pPr>
      <w:r>
        <w:t>106. Lundberg JM, Tatemoto K, Terenius L, et al. Localization of peptide YY (PYY) in gastrointestinal endocrine cells and effects on intestinal blood flow and motility. Proc Natl Acad Sci U S A 1982;79:4471–4475.</w:t>
      </w:r>
    </w:p>
    <w:p w:rsidR="00CE2A84" w:rsidRDefault="00CE2A84" w:rsidP="00CE2A84">
      <w:pPr>
        <w:pStyle w:val="Bibliography"/>
        <w:spacing w:after="0"/>
        <w:contextualSpacing/>
      </w:pPr>
      <w:r>
        <w:t>107. Eysselein VE, Eberlein GA, Grandt D, et al. Structural characterization of canine PYY. Peptides 1990;11:111–116.</w:t>
      </w:r>
    </w:p>
    <w:p w:rsidR="00CE2A84" w:rsidRDefault="00CE2A84" w:rsidP="00CE2A84">
      <w:pPr>
        <w:pStyle w:val="Bibliography"/>
        <w:spacing w:after="0"/>
        <w:contextualSpacing/>
      </w:pPr>
      <w:r>
        <w:t>108. Eberlein GA, Eysselein VE, Schaeffer M, et al. A new molecular form of PYY: structural characterization of human PYY(3-36) and PYY(1-36). Peptides 1989;10:797–803.</w:t>
      </w:r>
    </w:p>
    <w:p w:rsidR="00CE2A84" w:rsidRDefault="00CE2A84" w:rsidP="00CE2A84">
      <w:pPr>
        <w:pStyle w:val="Bibliography"/>
        <w:spacing w:after="0"/>
        <w:contextualSpacing/>
      </w:pPr>
      <w:r>
        <w:t>109. Batterham RL, Cowley MA, Small CJ, et al. Gut hormone PYY(3-36) physiologically inhibits food intake. Nature 2002;418:650–654.</w:t>
      </w:r>
    </w:p>
    <w:p w:rsidR="00CE2A84" w:rsidRDefault="00CE2A84" w:rsidP="00CE2A84">
      <w:pPr>
        <w:pStyle w:val="Bibliography"/>
        <w:spacing w:after="0"/>
        <w:contextualSpacing/>
      </w:pPr>
      <w:r>
        <w:t>110. Batterham RL, Cohen MA, Ellis SM, et al. Inhibition of food intake in obese subjects by peptide YY3-36. N Engl J Med 2003;349:941–948.</w:t>
      </w:r>
    </w:p>
    <w:p w:rsidR="00CE2A84" w:rsidRDefault="00CE2A84" w:rsidP="00CE2A84">
      <w:pPr>
        <w:pStyle w:val="Bibliography"/>
        <w:spacing w:after="0"/>
        <w:contextualSpacing/>
      </w:pPr>
      <w:r>
        <w:t>111. Lluis F, Gomez G, Fujimura M, et al. Peptide YY inhibits pancreatic secretion by inhibiting cholecystokinin release in the dog. Gastroenterology 1988;94:137–144.</w:t>
      </w:r>
    </w:p>
    <w:p w:rsidR="00CE2A84" w:rsidRDefault="00CE2A84" w:rsidP="00CE2A84">
      <w:pPr>
        <w:pStyle w:val="Bibliography"/>
        <w:spacing w:after="0"/>
        <w:contextualSpacing/>
      </w:pPr>
      <w:r>
        <w:t>112. Greeley GH Jr, Hashimoto T, Izukura M, et al. A comparison of intraduodenally and intracolonically administered nutrients on the release of peptide-YY in the dog. Endocrinology 1989;125:1761–1765.</w:t>
      </w:r>
    </w:p>
    <w:p w:rsidR="00CE2A84" w:rsidRDefault="00CE2A84" w:rsidP="00CE2A84">
      <w:pPr>
        <w:pStyle w:val="Bibliography"/>
        <w:spacing w:after="0"/>
        <w:contextualSpacing/>
      </w:pPr>
      <w:r>
        <w:t>113. Aponte GW, Fink AS, Meyer JH, et al. Regional distribution and release of peptide YY with fatty acids of different chain length. Am J Physiol 1985;249:G745–750.</w:t>
      </w:r>
    </w:p>
    <w:p w:rsidR="00CE2A84" w:rsidRDefault="00CE2A84" w:rsidP="00CE2A84">
      <w:pPr>
        <w:pStyle w:val="Bibliography"/>
        <w:spacing w:after="0"/>
        <w:contextualSpacing/>
      </w:pPr>
      <w:r>
        <w:t>114. Lee HM, Udupi V, Englander EW, et al. Stimulatory actions of insulin-like growth factor-I and transforming growth factor-alpha on intestinal neurotensin and peptide YY. Endocrinology 1999;140:4065–4069.</w:t>
      </w:r>
    </w:p>
    <w:p w:rsidR="00CE2A84" w:rsidRDefault="00CE2A84" w:rsidP="00CE2A84">
      <w:pPr>
        <w:pStyle w:val="Bibliography"/>
        <w:spacing w:after="0"/>
        <w:contextualSpacing/>
      </w:pPr>
      <w:r>
        <w:t>115. Näslund E, Bogefors J, Skogar S, et al. GLP-1 slows solid gastric emptying and inhibits insulin, glucagon, and PYY release in humans. Am J Physiol 1999;277:R910–916.</w:t>
      </w:r>
    </w:p>
    <w:p w:rsidR="00CE2A84" w:rsidRDefault="00CE2A84" w:rsidP="00CE2A84">
      <w:pPr>
        <w:pStyle w:val="Bibliography"/>
        <w:spacing w:after="0"/>
        <w:contextualSpacing/>
      </w:pPr>
      <w:r>
        <w:t>116. Lin HC, Chey WY, Zhao X. Release of distal gut peptide YY (PYY) by fat in proximal gut depends on CCK. Peptides 2000;21:1561–1563.</w:t>
      </w:r>
    </w:p>
    <w:p w:rsidR="00CE2A84" w:rsidRDefault="00CE2A84" w:rsidP="00CE2A84">
      <w:pPr>
        <w:pStyle w:val="Bibliography"/>
        <w:spacing w:after="0"/>
        <w:contextualSpacing/>
      </w:pPr>
      <w:r>
        <w:t>117. Roth CL, Enriori PJ, Harz K, et al. Peptide YY is a regulator of energy homeostasis in obese children before and after weight loss. J Clin Endocrinol Metab 2005;90:6386–6391.</w:t>
      </w:r>
    </w:p>
    <w:p w:rsidR="00CE2A84" w:rsidRDefault="00CE2A84" w:rsidP="00CE2A84">
      <w:pPr>
        <w:pStyle w:val="Bibliography"/>
        <w:spacing w:after="0"/>
        <w:contextualSpacing/>
      </w:pPr>
      <w:r>
        <w:t>118. Suzuki K, Jayasena CN, Bloom SR. Obesity and appetite control. Exp Diabetes Res 2012;2012:824305.</w:t>
      </w:r>
    </w:p>
    <w:p w:rsidR="00CE2A84" w:rsidRDefault="00CE2A84" w:rsidP="00CE2A84">
      <w:pPr>
        <w:pStyle w:val="Bibliography"/>
        <w:spacing w:after="0"/>
        <w:contextualSpacing/>
      </w:pPr>
      <w:r>
        <w:t>119. Martin JR, Novin D. Decreased feeding in rats following hepatic-portal infusion of glucagon. Physiol Behav 1977;19:461–466.</w:t>
      </w:r>
    </w:p>
    <w:p w:rsidR="00CE2A84" w:rsidRDefault="00CE2A84" w:rsidP="00CE2A84">
      <w:pPr>
        <w:pStyle w:val="Bibliography"/>
        <w:spacing w:after="0"/>
        <w:contextualSpacing/>
      </w:pPr>
      <w:r>
        <w:t>120. Geary N, Kissileff HR, Pi-Sunyer FX, et al. Individual, but not simultaneous, glucagon and cholecystokinin infusions inhibit feeding in men. Am J Physiol 1992;262:R975–980.</w:t>
      </w:r>
    </w:p>
    <w:p w:rsidR="00CE2A84" w:rsidRDefault="00CE2A84" w:rsidP="00CE2A84">
      <w:pPr>
        <w:pStyle w:val="Bibliography"/>
        <w:spacing w:after="0"/>
        <w:contextualSpacing/>
      </w:pPr>
      <w:r>
        <w:t>121. Orskov C, Rabenhøj L, Wettergren A, et al. Tissue and plasma concentrations of amidated and glycine-extended glucagon-like peptide I in humans. Diabetes 1994;43:535–539.</w:t>
      </w:r>
    </w:p>
    <w:p w:rsidR="00CE2A84" w:rsidRDefault="00CE2A84" w:rsidP="00CE2A84">
      <w:pPr>
        <w:pStyle w:val="Bibliography"/>
        <w:spacing w:after="0"/>
        <w:contextualSpacing/>
      </w:pPr>
      <w:r>
        <w:t>122. Wettergren A, Maina P, Boesby S, et al. Glucagon-like peptide-1 7-36 amide and peptide YY have additive inhibitory effect on gastric acid secretion in man. Scand J Gastroenterol 1997;32:552–555.</w:t>
      </w:r>
    </w:p>
    <w:p w:rsidR="00CE2A84" w:rsidRDefault="00CE2A84" w:rsidP="00CE2A84">
      <w:pPr>
        <w:pStyle w:val="Bibliography"/>
        <w:spacing w:after="0"/>
        <w:contextualSpacing/>
      </w:pPr>
      <w:r>
        <w:t>123. Näslund E, Gutniak M, Skogar S, et al. Glucagon-like peptide 1 increases the period of postprandial satiety and slows gastric emptying in obese men. Am J Clin Nutr 1998;68:525–530.</w:t>
      </w:r>
    </w:p>
    <w:p w:rsidR="00CE2A84" w:rsidRDefault="00CE2A84" w:rsidP="00CE2A84">
      <w:pPr>
        <w:pStyle w:val="Bibliography"/>
        <w:spacing w:after="0"/>
        <w:contextualSpacing/>
      </w:pPr>
      <w:r>
        <w:t>124. Thorens B, Widmann C. Signal transduction and desensitization of the glucagon-like peptide-1 receptor. Acta Physiol Scand 1996;157:317–319.</w:t>
      </w:r>
    </w:p>
    <w:p w:rsidR="00CE2A84" w:rsidRDefault="00CE2A84" w:rsidP="00CE2A84">
      <w:pPr>
        <w:pStyle w:val="Bibliography"/>
        <w:spacing w:after="0"/>
        <w:contextualSpacing/>
      </w:pPr>
      <w:r>
        <w:t>125. Wheeler MB, Gelling RW, McIntosh CH, et al. Functional expression of the rat pancreatic islet glucose-dependent insulinotropic polypeptide receptor: ligand binding and intracellular signaling properties. Endocrinology 1995;136:4629–4639.</w:t>
      </w:r>
    </w:p>
    <w:p w:rsidR="00CE2A84" w:rsidRDefault="00CE2A84" w:rsidP="00CE2A84">
      <w:pPr>
        <w:pStyle w:val="Bibliography"/>
        <w:spacing w:after="0"/>
        <w:contextualSpacing/>
      </w:pPr>
      <w:r>
        <w:t>126. Holst JJ, Schwartz TW, Lovgreen NA, et al. Diurnal profile of pancreatic polypeptide, pancreatic glucagon, gut glucagon and insulin in human morbid obesity. Int J Obes 1983;7:529–538.</w:t>
      </w:r>
    </w:p>
    <w:p w:rsidR="00CE2A84" w:rsidRDefault="00CE2A84" w:rsidP="00CE2A84">
      <w:pPr>
        <w:pStyle w:val="Bibliography"/>
        <w:spacing w:after="0"/>
        <w:contextualSpacing/>
      </w:pPr>
      <w:r>
        <w:t>127. Näslund E, Barkeling B, King N, et al. Energy intake and appetite are suppressed by glucagon-like peptide-1 (GLP-1) in obese men. Int J Obes Relat Metab Disord J Int Assoc Study Obes 1999;23:304–311.</w:t>
      </w:r>
    </w:p>
    <w:p w:rsidR="00CE2A84" w:rsidRDefault="00CE2A84" w:rsidP="00CE2A84">
      <w:pPr>
        <w:pStyle w:val="Bibliography"/>
        <w:spacing w:after="0"/>
        <w:contextualSpacing/>
      </w:pPr>
      <w:r>
        <w:t>128. Ranganath LR, Beety JM, Morgan LM, et al. Attenuated GLP-1 secretion in obesity: cause or consequence? Gut 1996;38:916–919.</w:t>
      </w:r>
    </w:p>
    <w:p w:rsidR="00CE2A84" w:rsidRDefault="00CE2A84" w:rsidP="00CE2A84">
      <w:pPr>
        <w:pStyle w:val="Bibliography"/>
        <w:spacing w:after="0"/>
        <w:contextualSpacing/>
      </w:pPr>
      <w:r>
        <w:t>129. Verdich C, Toubro S, Buemann B, et al. The role of postprandial releases of insulin and incretin hormones in meal-induced satiety--effect of obesity and weight reduction. Int J Obes Relat Metab Disord J Int Assoc Study Obes 2001;25:1206–1214.</w:t>
      </w:r>
    </w:p>
    <w:p w:rsidR="00CE2A84" w:rsidRDefault="00CE2A84" w:rsidP="00CE2A84">
      <w:pPr>
        <w:pStyle w:val="Bibliography"/>
        <w:spacing w:after="0"/>
        <w:contextualSpacing/>
      </w:pPr>
      <w:r>
        <w:t>130. Mitsuhashi Y, Nagaoka D, Bigley KE, et al. Metabolic and hormonal alterations with diacylglycerol and low glycemic index starch during canine weight loss. ISRN Vet Sci 2012;2012.</w:t>
      </w:r>
    </w:p>
    <w:p w:rsidR="00CE2A84" w:rsidRDefault="00CE2A84" w:rsidP="00CE2A84">
      <w:pPr>
        <w:pStyle w:val="Bibliography"/>
        <w:spacing w:after="0"/>
        <w:contextualSpacing/>
      </w:pPr>
      <w:r>
        <w:t>131. Van Citters GW, Kabir M, Kim SP, et al. Elevated glucagon-like peptide-1-(7-36)-amide, but not glucose, associated with hyperinsulinemic compensation for fat feeding. J Clin Endocrinol Metab 2002;87:5191–5198.</w:t>
      </w:r>
    </w:p>
    <w:p w:rsidR="00CE2A84" w:rsidRDefault="00CE2A84" w:rsidP="00CE2A84">
      <w:pPr>
        <w:pStyle w:val="Bibliography"/>
        <w:spacing w:after="0"/>
        <w:contextualSpacing/>
      </w:pPr>
      <w:r>
        <w:t>132. Verkest KR, Fleeman LM, Morton JM, et al. Compensation for obesity-induced insulin resistance in dogs: assessment of the effects of leptin, adiponectin, and glucagon-like peptide-1 using path analysis. Domest Anim Endocrinol 2011;41:24–34.</w:t>
      </w:r>
    </w:p>
    <w:p w:rsidR="00CE2A84" w:rsidRDefault="00CE2A84" w:rsidP="00CE2A84">
      <w:pPr>
        <w:pStyle w:val="Bibliography"/>
        <w:spacing w:after="0"/>
        <w:contextualSpacing/>
      </w:pPr>
      <w:r>
        <w:t>133. Kreymann B, Williams G, Ghatei MA, et al. Glucagon-like peptide-1 7-36: a physiological incretin in man. Lancet 1987;2:1300–1304.</w:t>
      </w:r>
    </w:p>
    <w:p w:rsidR="00CE2A84" w:rsidRDefault="00CE2A84" w:rsidP="00CE2A84">
      <w:pPr>
        <w:pStyle w:val="Bibliography"/>
        <w:spacing w:after="0"/>
        <w:contextualSpacing/>
      </w:pPr>
      <w:r>
        <w:t>134. MacDonald PE, El-Kholy W, Riedel MJ, et al. The multiple actions of GLP-1 on the process of glucose-stimulated insulin secretion. Diabetes 2002;51 Suppl 3:S434–442.</w:t>
      </w:r>
    </w:p>
    <w:p w:rsidR="00CE2A84" w:rsidRDefault="00CE2A84" w:rsidP="00CE2A84">
      <w:pPr>
        <w:pStyle w:val="Bibliography"/>
        <w:spacing w:after="0"/>
        <w:contextualSpacing/>
      </w:pPr>
      <w:r>
        <w:t>135. West DB, Fey D, Woods SC. Cholecystokinin persistently suppresses meal size but not food intake in free-feeding rats. Am J Physiol 1984;246:R776–787.</w:t>
      </w:r>
    </w:p>
    <w:p w:rsidR="00CE2A84" w:rsidRDefault="00CE2A84" w:rsidP="00CE2A84">
      <w:pPr>
        <w:pStyle w:val="Bibliography"/>
        <w:spacing w:after="0"/>
        <w:contextualSpacing/>
      </w:pPr>
      <w:r>
        <w:t>136. Liddle RA, Goldfine ID, Rosen MS, et al. Cholecystokinin bioactivity in human plasma. Molecular forms, responses to feeding, and relationship to gallbladder contraction. J Clin Invest 1985;75:1144–1152.</w:t>
      </w:r>
    </w:p>
    <w:p w:rsidR="00CE2A84" w:rsidRDefault="00CE2A84" w:rsidP="00CE2A84">
      <w:pPr>
        <w:pStyle w:val="Bibliography"/>
        <w:spacing w:after="0"/>
        <w:contextualSpacing/>
      </w:pPr>
      <w:r>
        <w:t>137. Meyer BM, Werth BA, Beglinger C, et al. Role of cholecystokinin in regulation of gastrointestinal motor functions. Lancet 1989;2:12–15.</w:t>
      </w:r>
    </w:p>
    <w:p w:rsidR="00CE2A84" w:rsidRDefault="00CE2A84" w:rsidP="00CE2A84">
      <w:pPr>
        <w:pStyle w:val="Bibliography"/>
        <w:spacing w:after="0"/>
        <w:contextualSpacing/>
      </w:pPr>
      <w:r>
        <w:t>138. Yamagishi T, Debas HT. Cholecystokinin inhibits gastric emptying by acting on both proximal stomach and pylorus. Am J Physiol 1978;234:E375–378.</w:t>
      </w:r>
    </w:p>
    <w:p w:rsidR="00CE2A84" w:rsidRDefault="00CE2A84" w:rsidP="00CE2A84">
      <w:pPr>
        <w:pStyle w:val="Bibliography"/>
        <w:spacing w:after="0"/>
        <w:contextualSpacing/>
      </w:pPr>
      <w:r>
        <w:t>139. Ginion A, Auquier J, Benton CR, et al. Inhibition of the mTOR/p70S6K pathway is not involved in the insulin-sensitizing effect of AMPK on cardiac glucose uptake. Am J Physiol - Heart Circ Physiol 2011;301:H469–H477.</w:t>
      </w:r>
    </w:p>
    <w:p w:rsidR="00CE2A84" w:rsidRDefault="00CE2A84" w:rsidP="00CE2A84">
      <w:pPr>
        <w:pStyle w:val="Bibliography"/>
        <w:spacing w:after="0"/>
        <w:contextualSpacing/>
      </w:pPr>
      <w:r>
        <w:t>140. De la Monte SM, Wands JR. Review of insulin and insulin-like growth factor expression, signaling, and malfunction in the central nervous system: relevance to Alzheimer’s disease. J Alzheimers Dis JAD 2005;7:45–61.</w:t>
      </w:r>
    </w:p>
    <w:p w:rsidR="00CE2A84" w:rsidRDefault="00CE2A84" w:rsidP="00CE2A84">
      <w:pPr>
        <w:pStyle w:val="Bibliography"/>
        <w:spacing w:after="0"/>
        <w:contextualSpacing/>
      </w:pPr>
      <w:r>
        <w:t>141. Hom FG, Goodner CJ. Insulin dose-response characteristics among individual muscle and adipose tissues measured in the rat in vivo with 3[H]2-deoxyglucose. Diabetes 1984;33:153–159.</w:t>
      </w:r>
    </w:p>
    <w:p w:rsidR="00CE2A84" w:rsidRDefault="00CE2A84" w:rsidP="00CE2A84">
      <w:pPr>
        <w:pStyle w:val="Bibliography"/>
        <w:spacing w:after="0"/>
        <w:contextualSpacing/>
      </w:pPr>
      <w:r>
        <w:t>142. Cantó C, Auwerx J. PGC-1alpha, SIRT1 and AMPK, an energy sensing network that controls energy expenditure. Curr Opin Lipidol 2009;20:98–105.</w:t>
      </w:r>
    </w:p>
    <w:p w:rsidR="00CE2A84" w:rsidRDefault="00CE2A84" w:rsidP="00CE2A84">
      <w:pPr>
        <w:pStyle w:val="Bibliography"/>
        <w:spacing w:after="0"/>
        <w:contextualSpacing/>
      </w:pPr>
      <w:r>
        <w:t>143. Polonsky KS, Given BD, Van Cauter E. Twenty-four-hour profiles and pulsatile patterns of insulin secretion in normal and obese subjects. J Clin Invest 1988;81:442–448.</w:t>
      </w:r>
    </w:p>
    <w:p w:rsidR="00CE2A84" w:rsidRDefault="00CE2A84" w:rsidP="00CE2A84">
      <w:pPr>
        <w:pStyle w:val="Bibliography"/>
        <w:spacing w:after="0"/>
        <w:contextualSpacing/>
      </w:pPr>
      <w:r>
        <w:t>144. Ishioka K, Hatai H, Komabayashi K, et al. Diurnal variations of serum leptin in dogs: effects of fasting and re-feeding. Vet J Lond Engl 1997 2005;169:85–90.</w:t>
      </w:r>
    </w:p>
    <w:p w:rsidR="00CE2A84" w:rsidRDefault="00CE2A84" w:rsidP="00CE2A84">
      <w:pPr>
        <w:pStyle w:val="Bibliography"/>
        <w:spacing w:after="0"/>
        <w:contextualSpacing/>
      </w:pPr>
      <w:r>
        <w:t>145. German AJ, Hervera M, Hunter L, et al. Improvement in insulin resistance and reduction in plasma inflammatory adipokines after weight loss in obese dogs. Domest Anim Endocrinol 2009;37:214–226.</w:t>
      </w:r>
    </w:p>
    <w:p w:rsidR="00CE2A84" w:rsidRDefault="00CE2A84" w:rsidP="00CE2A84">
      <w:pPr>
        <w:pStyle w:val="Bibliography"/>
        <w:spacing w:after="0"/>
        <w:contextualSpacing/>
      </w:pPr>
      <w:r>
        <w:t>146. Mittelman SD, Van Citters GW, Kim SP, et al. Longitudinal compensation for fat-induced insulin resistance includes reduced insulin clearance and enhanced beta-cell response. Diabetes 2000;49:2116–2125.</w:t>
      </w:r>
    </w:p>
    <w:p w:rsidR="00CE2A84" w:rsidRDefault="00CE2A84" w:rsidP="00CE2A84">
      <w:pPr>
        <w:pStyle w:val="Bibliography"/>
        <w:spacing w:after="0"/>
        <w:contextualSpacing/>
      </w:pPr>
      <w:r>
        <w:t>147. Kim SP, Ellmerer M, Van Citters GW, et al. Primacy of hepatic insulin resistance in the development of the metabolic syndrome induced by an isocaloric moderate-fat diet in the dog. Diabetes 2003;52:2453–2460.</w:t>
      </w:r>
    </w:p>
    <w:p w:rsidR="00CE2A84" w:rsidRDefault="00CE2A84" w:rsidP="00CE2A84">
      <w:pPr>
        <w:pStyle w:val="Bibliography"/>
        <w:spacing w:after="0"/>
        <w:contextualSpacing/>
      </w:pPr>
      <w:r>
        <w:t>148. Mattheeuws D, Rottiers R, Baeyens D, et al. Glucose-Tolerance and Insulin-Response in Obese Dogs. J Am Anim Hosp Assoc 1984;20:287–293.</w:t>
      </w:r>
    </w:p>
    <w:p w:rsidR="00CE2A84" w:rsidRDefault="00CE2A84" w:rsidP="00CE2A84">
      <w:pPr>
        <w:pStyle w:val="Bibliography"/>
        <w:spacing w:after="0"/>
        <w:contextualSpacing/>
      </w:pPr>
      <w:r>
        <w:t>149. Corp ES, Woods SC, Porte D Jr, et al. Localization of 125I-insulin binding sites in the rat hypothalamus by quantitative autoradiography. Neurosci Lett 1986;70:17–22.</w:t>
      </w:r>
    </w:p>
    <w:p w:rsidR="00CE2A84" w:rsidRDefault="00CE2A84" w:rsidP="00CE2A84">
      <w:pPr>
        <w:pStyle w:val="Bibliography"/>
        <w:spacing w:after="0"/>
        <w:contextualSpacing/>
      </w:pPr>
      <w:r>
        <w:t>150. Schwartz MW, Sipols AJ, Marks JL, et al. Inhibition of hypothalamic neuropeptide Y gene expression by insulin. Endocrinology 1992;130:3608–3616.</w:t>
      </w:r>
    </w:p>
    <w:p w:rsidR="00CE2A84" w:rsidRDefault="00CE2A84" w:rsidP="00CE2A84">
      <w:pPr>
        <w:pStyle w:val="Bibliography"/>
        <w:spacing w:after="0"/>
        <w:contextualSpacing/>
      </w:pPr>
      <w:r>
        <w:t>151. Benoit SC, Air EL, Coolen LM, et al. The catabolic action of insulin in the brain is mediated by melanocortins. J Neurosci Off J Soc Neurosci 2002;22:9048–9052.</w:t>
      </w:r>
    </w:p>
    <w:p w:rsidR="00CE2A84" w:rsidRDefault="00CE2A84" w:rsidP="00CE2A84">
      <w:pPr>
        <w:pStyle w:val="Bibliography"/>
        <w:spacing w:after="0"/>
        <w:contextualSpacing/>
      </w:pPr>
      <w:r>
        <w:t>152. Zhang Y, Proenca R, Maffei M, et al. Positional cloning of the mouse obese gene and its human homologue. Nature 1994;372:425–432.</w:t>
      </w:r>
    </w:p>
    <w:p w:rsidR="00CE2A84" w:rsidRDefault="00CE2A84" w:rsidP="00CE2A84">
      <w:pPr>
        <w:pStyle w:val="Bibliography"/>
        <w:spacing w:after="0"/>
        <w:contextualSpacing/>
      </w:pPr>
      <w:r>
        <w:t>153. Considine RV, Sinha MK, Heiman ML, et al. Serum immunoreactive-leptin concentrations in normal-weight and obese humans. N Engl J Med 1996;334:292–295.</w:t>
      </w:r>
    </w:p>
    <w:p w:rsidR="00CE2A84" w:rsidRDefault="00CE2A84" w:rsidP="00CE2A84">
      <w:pPr>
        <w:pStyle w:val="Bibliography"/>
        <w:spacing w:after="0"/>
        <w:contextualSpacing/>
      </w:pPr>
      <w:r>
        <w:t>154. Maffei M, Halaas J, Ravussin E, et al. Leptin levels in human and rodent: measurement of plasma leptin and ob RNA in obese and weight-reduced subjects. Nat Med 1995;1:1155–1161.</w:t>
      </w:r>
    </w:p>
    <w:p w:rsidR="00CE2A84" w:rsidRDefault="00CE2A84" w:rsidP="00CE2A84">
      <w:pPr>
        <w:pStyle w:val="Bibliography"/>
        <w:spacing w:after="0"/>
        <w:contextualSpacing/>
      </w:pPr>
      <w:r>
        <w:t>155. Sagawa MM, Nakadomo F, Honjoh T, et al. Correlation between plasma leptin concentration and body fat content in dogs. Am J Vet Res 2002;63:7–10.</w:t>
      </w:r>
    </w:p>
    <w:p w:rsidR="00CE2A84" w:rsidRDefault="00CE2A84" w:rsidP="00CE2A84">
      <w:pPr>
        <w:pStyle w:val="Bibliography"/>
        <w:spacing w:after="0"/>
        <w:contextualSpacing/>
      </w:pPr>
      <w:r>
        <w:t>156. Ishioka K, Soliman MM, Sagawa M, et al. Experimental and clinical studies on plasma leptin in obese dogs. J Vet Med Sci Jpn Soc Vet Sci 2002;64:349–353.</w:t>
      </w:r>
    </w:p>
    <w:p w:rsidR="00CE2A84" w:rsidRDefault="00CE2A84" w:rsidP="00CE2A84">
      <w:pPr>
        <w:pStyle w:val="Bibliography"/>
        <w:spacing w:after="0"/>
        <w:contextualSpacing/>
      </w:pPr>
      <w:r>
        <w:t>157. Jeusette IC, Lhoest ET, Istasse LP, et al. Influence of obesity on plasma lipid and lipoprotein concentrations in dogs. Am J Vet Res 2005;66:81–86.</w:t>
      </w:r>
    </w:p>
    <w:p w:rsidR="00CE2A84" w:rsidRDefault="00CE2A84" w:rsidP="00CE2A84">
      <w:pPr>
        <w:pStyle w:val="Bibliography"/>
        <w:spacing w:after="0"/>
        <w:contextualSpacing/>
      </w:pPr>
      <w:r>
        <w:t>158. Pelleymounter MA, Cullen MJ, Baker MB, et al. Effects of the obese gene product on body weight regulation in ob/ob mice. Science 1995;269:540–543.</w:t>
      </w:r>
    </w:p>
    <w:p w:rsidR="00CE2A84" w:rsidRDefault="00CE2A84" w:rsidP="00CE2A84">
      <w:pPr>
        <w:pStyle w:val="Bibliography"/>
        <w:spacing w:after="0"/>
        <w:contextualSpacing/>
      </w:pPr>
      <w:r>
        <w:t>159. Halaas JL, Gajiwala KS, Maffei M, et al. Weight-reducing effects of the plasma protein encoded by the obese gene. Science 1995;269:543–546.</w:t>
      </w:r>
    </w:p>
    <w:p w:rsidR="00CE2A84" w:rsidRDefault="00CE2A84" w:rsidP="00CE2A84">
      <w:pPr>
        <w:pStyle w:val="Bibliography"/>
        <w:spacing w:after="0"/>
        <w:contextualSpacing/>
      </w:pPr>
      <w:r>
        <w:t>160. Campfield LA, Smith FJ, Guisez Y, et al. Recombinant mouse OB protein: evidence for a peripheral signal linking adiposity and central neural networks. Science 1995;269:546–549.</w:t>
      </w:r>
    </w:p>
    <w:p w:rsidR="00CE2A84" w:rsidRDefault="00CE2A84" w:rsidP="00CE2A84">
      <w:pPr>
        <w:pStyle w:val="Bibliography"/>
        <w:spacing w:after="0"/>
        <w:contextualSpacing/>
      </w:pPr>
      <w:r>
        <w:t>161. Hamilton BS, Paglia D, Kwan AY, et al. Increased obese mRNA expression in omental fat cells from massively obese humans. Nat Med 1995;1:953–956.</w:t>
      </w:r>
    </w:p>
    <w:p w:rsidR="00CE2A84" w:rsidRDefault="00CE2A84" w:rsidP="00CE2A84">
      <w:pPr>
        <w:pStyle w:val="Bibliography"/>
        <w:spacing w:after="0"/>
        <w:contextualSpacing/>
      </w:pPr>
      <w:r>
        <w:t>162. Lönnqvist F, Arner P, Nordfors L, et al. Overexpression of the obese (ob) gene in adipose tissue of human obese subjects. Nat Med 1995;1:950–953.</w:t>
      </w:r>
    </w:p>
    <w:p w:rsidR="00CE2A84" w:rsidRDefault="00CE2A84" w:rsidP="00CE2A84">
      <w:pPr>
        <w:pStyle w:val="Bibliography"/>
        <w:spacing w:after="0"/>
        <w:contextualSpacing/>
      </w:pPr>
      <w:r>
        <w:t>163. Banks WA, Farrell CL. Impaired transport of leptin across the blood-brain barrier in obesity is acquired and reversible. Am J Physiol Endocrinol Metab 2003;285:E10–15.</w:t>
      </w:r>
    </w:p>
    <w:p w:rsidR="00CE2A84" w:rsidRDefault="00CE2A84" w:rsidP="00CE2A84">
      <w:pPr>
        <w:pStyle w:val="Bibliography"/>
        <w:spacing w:after="0"/>
        <w:contextualSpacing/>
      </w:pPr>
      <w:r>
        <w:t>164. Scarpace PJ, Zhang Y. Leptin resistance: a prediposing factor for diet-induced obesity. Am J Physiol Regul Integr Comp Physiol 2009;296:R493–500.</w:t>
      </w:r>
    </w:p>
    <w:p w:rsidR="00CE2A84" w:rsidRDefault="00CE2A84" w:rsidP="00CE2A84">
      <w:pPr>
        <w:pStyle w:val="Bibliography"/>
        <w:spacing w:after="0"/>
        <w:contextualSpacing/>
      </w:pPr>
      <w:r>
        <w:t>165. Münzberg H, Björnholm M, Bates SH, et al. Leptin receptor action and mechanisms of leptin resistance. Cell Mol Life Sci CMLS 2005;62:642–652.</w:t>
      </w:r>
    </w:p>
    <w:p w:rsidR="00CE2A84" w:rsidRDefault="00CE2A84" w:rsidP="00CE2A84">
      <w:pPr>
        <w:pStyle w:val="Bibliography"/>
        <w:spacing w:after="0"/>
        <w:contextualSpacing/>
      </w:pPr>
      <w:r>
        <w:t>166. Piya MK, McTernan PG, Kumar S. Adipokine inflammation and insulin resistance: the role of glucose, lipids and endotoxin. J Endocrinol 2013;216:T1–T15.</w:t>
      </w:r>
    </w:p>
    <w:p w:rsidR="00CE2A84" w:rsidRDefault="00CE2A84" w:rsidP="00CE2A84">
      <w:pPr>
        <w:pStyle w:val="Bibliography"/>
        <w:spacing w:after="0"/>
        <w:contextualSpacing/>
      </w:pPr>
      <w:r>
        <w:t>167. Cancello R, Tounian A, Poitou C, et al. Adiposity signals, genetic and body weight regulation in humans. Diabetes Metab 2004;30:215–227.</w:t>
      </w:r>
    </w:p>
    <w:p w:rsidR="00CE2A84" w:rsidRDefault="00CE2A84" w:rsidP="00CE2A84">
      <w:pPr>
        <w:pStyle w:val="Bibliography"/>
        <w:spacing w:after="0"/>
        <w:contextualSpacing/>
      </w:pPr>
      <w:r>
        <w:t>168. Senn JJ, Klover PJ, Nowak IA, et al. Interleukin-6 induces cellular insulin resistance in hepatocytes. Diabetes 2002;51:3391–3399.</w:t>
      </w:r>
    </w:p>
    <w:p w:rsidR="00CE2A84" w:rsidRDefault="00CE2A84" w:rsidP="00CE2A84">
      <w:pPr>
        <w:pStyle w:val="Bibliography"/>
        <w:spacing w:after="0"/>
        <w:contextualSpacing/>
      </w:pPr>
      <w:r>
        <w:t>169. Senn JJ, Klover PJ, Nowak IA, et al. Suppressor of cytokine signaling-3 (SOCS-3), a potential mediator of interleukin-6-dependent insulin resistance in hepatocytes. J Biol Chem 2003;278:13740–13746.</w:t>
      </w:r>
    </w:p>
    <w:p w:rsidR="00CE2A84" w:rsidRDefault="00CE2A84" w:rsidP="00CE2A84">
      <w:pPr>
        <w:pStyle w:val="Bibliography"/>
        <w:spacing w:after="0"/>
        <w:contextualSpacing/>
      </w:pPr>
      <w:r>
        <w:t>170. Rotter V, Nagaev I, Smith U. Interleukin-6 (IL-6) induces insulin resistance in 3T3-L1 adipocytes and is, like IL-8 and tumor necrosis factor-alpha, overexpressed in human fat cells from insulin-resistant subjects. J Biol Chem 2003;278:45777–45784.</w:t>
      </w:r>
    </w:p>
    <w:p w:rsidR="00CE2A84" w:rsidRDefault="00CE2A84" w:rsidP="00CE2A84">
      <w:pPr>
        <w:pStyle w:val="Bibliography"/>
        <w:spacing w:after="0"/>
        <w:contextualSpacing/>
      </w:pPr>
      <w:r>
        <w:t>171. Starkie R, Ostrowski SR, Jauffred S, et al. Exercise and IL-6 infusion inhibit endotoxin-induced TNF-alpha production in humans. FASEB J Off Publ Fed Am Soc Exp Biol 2003;17:884–886.</w:t>
      </w:r>
    </w:p>
    <w:p w:rsidR="00CE2A84" w:rsidRDefault="00CE2A84" w:rsidP="00CE2A84">
      <w:pPr>
        <w:pStyle w:val="Bibliography"/>
        <w:spacing w:after="0"/>
        <w:contextualSpacing/>
      </w:pPr>
      <w:r>
        <w:t>172. Kelly M, Keller C, Avilucea PR, et al. AMPK activity is diminished in tissues of IL-6 knockout mice: the effect of exercise. Biochem Biophys Res Commun 2004;320:449–454.</w:t>
      </w:r>
    </w:p>
    <w:p w:rsidR="00CE2A84" w:rsidRDefault="00CE2A84" w:rsidP="00CE2A84">
      <w:pPr>
        <w:pStyle w:val="Bibliography"/>
        <w:spacing w:after="0"/>
        <w:contextualSpacing/>
      </w:pPr>
      <w:r>
        <w:t>173. Stark R, Ashley SE, Andrews ZB. AMPK and the neuroendocrine regulation of appetite and energy expenditure. Mol Cell Endocrinol 2013;366:215–223.</w:t>
      </w:r>
    </w:p>
    <w:p w:rsidR="00CE2A84" w:rsidRDefault="00CE2A84" w:rsidP="00CE2A84">
      <w:pPr>
        <w:pStyle w:val="Bibliography"/>
        <w:spacing w:after="0"/>
        <w:contextualSpacing/>
      </w:pPr>
      <w:r>
        <w:t>174. Blaxter SKL. Energy metabolism in animals and man. Cambridge England ; New York: Cambridge University Press; 1989.</w:t>
      </w:r>
    </w:p>
    <w:p w:rsidR="00CE2A84" w:rsidRDefault="00CE2A84" w:rsidP="00CE2A84">
      <w:pPr>
        <w:pStyle w:val="Bibliography"/>
        <w:spacing w:after="0"/>
        <w:contextualSpacing/>
      </w:pPr>
      <w:r>
        <w:t>175. Kleiber M. The fire of life; an introduction to animal energetics. New York, Wiley; 1961.</w:t>
      </w:r>
    </w:p>
    <w:p w:rsidR="00CE2A84" w:rsidRDefault="00CE2A84" w:rsidP="00CE2A84">
      <w:pPr>
        <w:pStyle w:val="Bibliography"/>
        <w:spacing w:after="0"/>
        <w:contextualSpacing/>
      </w:pPr>
      <w:r>
        <w:t>176. Van Marken Lichtenbelt WD, Schrauwen P. Implications of nonshivering thermogenesis for energy balance regulation in humans. Am J Physiol Regul Integr Comp Physiol 2011;301:R285–296.</w:t>
      </w:r>
    </w:p>
    <w:p w:rsidR="00CE2A84" w:rsidRDefault="00CE2A84" w:rsidP="00CE2A84">
      <w:pPr>
        <w:pStyle w:val="Bibliography"/>
        <w:spacing w:after="0"/>
        <w:contextualSpacing/>
      </w:pPr>
      <w:r>
        <w:t>177. Hart JS, Heroux O, Depocas F. Cold acclimation and the electromyogram of unanesthetized rats. J Appl Physiol 1956;9:404–408.</w:t>
      </w:r>
    </w:p>
    <w:p w:rsidR="00CE2A84" w:rsidRDefault="00CE2A84" w:rsidP="00CE2A84">
      <w:pPr>
        <w:pStyle w:val="Bibliography"/>
        <w:spacing w:after="0"/>
        <w:contextualSpacing/>
      </w:pPr>
      <w:r>
        <w:t>178. Cannon B, Nedergaard J. Brown adipose tissue: function and physiological significance. Physiol Rev 2004;84:277–359.</w:t>
      </w:r>
    </w:p>
    <w:p w:rsidR="00CE2A84" w:rsidRDefault="00CE2A84" w:rsidP="00CE2A84">
      <w:pPr>
        <w:pStyle w:val="Bibliography"/>
        <w:spacing w:after="0"/>
        <w:contextualSpacing/>
      </w:pPr>
      <w:r>
        <w:t>179. Lowell BB, Spiegelman BM. Towards a molecular understanding of adaptive thermogenesis. Nature 2000;404:652–660.</w:t>
      </w:r>
    </w:p>
    <w:p w:rsidR="00CE2A84" w:rsidRDefault="00CE2A84" w:rsidP="00CE2A84">
      <w:pPr>
        <w:pStyle w:val="Bibliography"/>
        <w:spacing w:after="0"/>
        <w:contextualSpacing/>
      </w:pPr>
      <w:r>
        <w:t>180. Nicholls DG, Locke RM. Thermogenic mechanisms in brown fat. Physiol Rev 1984;64:1–64.</w:t>
      </w:r>
    </w:p>
    <w:p w:rsidR="00CE2A84" w:rsidRDefault="00CE2A84" w:rsidP="00CE2A84">
      <w:pPr>
        <w:pStyle w:val="Bibliography"/>
        <w:spacing w:after="0"/>
        <w:contextualSpacing/>
      </w:pPr>
      <w:r>
        <w:t>181. Dalgaard LT, Pedersen O. Uncoupling proteins: functional characteristics and role in the pathogenesis of obesity and Type II diabetes. Diabetologia 2001;44:946–965.</w:t>
      </w:r>
    </w:p>
    <w:p w:rsidR="00CE2A84" w:rsidRDefault="00CE2A84" w:rsidP="00CE2A84">
      <w:pPr>
        <w:pStyle w:val="Bibliography"/>
        <w:spacing w:after="0"/>
        <w:contextualSpacing/>
      </w:pPr>
      <w:r>
        <w:t>182. Brondani L de A, Assmann TS, Duarte GCK, et al. The role of the uncoupling protein 1 (UCP1) on the development of obesity and type 2 diabetes mellitus. Arq Bras Endocrinol Metabol 2012;56:215–225.</w:t>
      </w:r>
    </w:p>
    <w:p w:rsidR="00CE2A84" w:rsidRDefault="00CE2A84" w:rsidP="00CE2A84">
      <w:pPr>
        <w:pStyle w:val="Bibliography"/>
        <w:spacing w:after="0"/>
        <w:contextualSpacing/>
      </w:pPr>
      <w:r>
        <w:t>183. Azzu V, Brand MD. The on-off switches of the mitochondrial uncoupling proteins. Trends Biochem Sci 2010;35:298–307.</w:t>
      </w:r>
    </w:p>
    <w:p w:rsidR="00CE2A84" w:rsidRDefault="00CE2A84" w:rsidP="00CE2A84">
      <w:pPr>
        <w:pStyle w:val="Bibliography"/>
        <w:spacing w:after="0"/>
        <w:contextualSpacing/>
      </w:pPr>
      <w:r>
        <w:t>184. Saito M, Okamatsu-Ogura Y, Matsushita M, et al. High incidence of metabolically active brown adipose tissue in healthy adult humans: effects of cold exposure and adiposity. Diabetes 2009;58:1526–1531.</w:t>
      </w:r>
    </w:p>
    <w:p w:rsidR="00CE2A84" w:rsidRDefault="00CE2A84" w:rsidP="00CE2A84">
      <w:pPr>
        <w:pStyle w:val="Bibliography"/>
        <w:spacing w:after="0"/>
        <w:contextualSpacing/>
      </w:pPr>
      <w:r>
        <w:t>185. Cypess AM, Lehman S, Williams G, et al. Identification and importance of brown adipose tissue in adult humans. N Engl J Med 2009;360:1509–1517.</w:t>
      </w:r>
    </w:p>
    <w:p w:rsidR="00CE2A84" w:rsidRDefault="00CE2A84" w:rsidP="00CE2A84">
      <w:pPr>
        <w:pStyle w:val="Bibliography"/>
        <w:spacing w:after="0"/>
        <w:contextualSpacing/>
      </w:pPr>
      <w:r>
        <w:t>186. Virtanen KA, Lidell ME, Orava J, et al. Functional brown adipose tissue in healthy adults. N Engl J Med 2009;360:1518–1525.</w:t>
      </w:r>
    </w:p>
    <w:p w:rsidR="00CE2A84" w:rsidRDefault="00CE2A84" w:rsidP="00CE2A84">
      <w:pPr>
        <w:pStyle w:val="Bibliography"/>
        <w:spacing w:after="0"/>
        <w:contextualSpacing/>
      </w:pPr>
      <w:r>
        <w:t>187. Ouellet V, Labbé SM, Blondin DP, et al. Brown adipose tissue oxidative metabolism contributes to energy expenditure during acute cold exposure in humans. J Clin Invest 2012;122:545–552.</w:t>
      </w:r>
    </w:p>
    <w:p w:rsidR="00CE2A84" w:rsidRDefault="00CE2A84" w:rsidP="00CE2A84">
      <w:pPr>
        <w:pStyle w:val="Bibliography"/>
        <w:spacing w:after="0"/>
        <w:contextualSpacing/>
      </w:pPr>
      <w:r>
        <w:t>188. Yoneshiro T, Aita S, Matsushita M, et al. Brown adipose tissue, whole-body energy expenditure, and thermogenesis in healthy adult men. Obes Silver Spring Md 2011;19:13–16.</w:t>
      </w:r>
    </w:p>
    <w:p w:rsidR="00CE2A84" w:rsidRDefault="00CE2A84" w:rsidP="00CE2A84">
      <w:pPr>
        <w:pStyle w:val="Bibliography"/>
        <w:spacing w:after="0"/>
        <w:contextualSpacing/>
      </w:pPr>
      <w:r>
        <w:t>189. Yeung HWD, Grewal RK, Gonen M, et al. Patterns of (18)F-FDG uptake in adipose tissue and muscle: a potential source of false-positives for PET. J Nucl Med Off Publ Soc Nucl Med 2003;44:1789–1796.</w:t>
      </w:r>
    </w:p>
    <w:p w:rsidR="00CE2A84" w:rsidRDefault="00CE2A84" w:rsidP="00CE2A84">
      <w:pPr>
        <w:pStyle w:val="Bibliography"/>
        <w:spacing w:after="0"/>
        <w:contextualSpacing/>
      </w:pPr>
      <w:r>
        <w:t>190. Hany TF, Gharehpapagh E, Kamel EM, et al. Brown adipose tissue: a factor to consider in symmetrical tracer uptake in the neck and upper chest region. Eur J Nucl Med Mol Imaging 2002;29:1393–1398.</w:t>
      </w:r>
    </w:p>
    <w:p w:rsidR="00CE2A84" w:rsidRDefault="00CE2A84" w:rsidP="00CE2A84">
      <w:pPr>
        <w:pStyle w:val="Bibliography"/>
        <w:spacing w:after="0"/>
        <w:contextualSpacing/>
      </w:pPr>
      <w:r>
        <w:t>191. Cohade C, Osman M, Pannu HK, et al. Uptake in supraclavicular area fat (“USA-Fat”): description on 18F-FDG PET/CT. J Nucl Med Off Publ Soc Nucl Med 2003;44:170–176.</w:t>
      </w:r>
    </w:p>
    <w:p w:rsidR="00CE2A84" w:rsidRDefault="00CE2A84" w:rsidP="00CE2A84">
      <w:pPr>
        <w:pStyle w:val="Bibliography"/>
        <w:spacing w:after="0"/>
        <w:contextualSpacing/>
      </w:pPr>
      <w:r>
        <w:t>192. Enerbäck S. Human brown adipose tissue. Cell Metab 2010;11:248–252.</w:t>
      </w:r>
    </w:p>
    <w:p w:rsidR="00CE2A84" w:rsidRDefault="00CE2A84" w:rsidP="00CE2A84">
      <w:pPr>
        <w:pStyle w:val="Bibliography"/>
        <w:spacing w:after="0"/>
        <w:contextualSpacing/>
      </w:pPr>
      <w:r>
        <w:t>193. Holloway BR, Stribling D, Freeman S, et al. The thermogenic role of adipose tissue in the dog. Int J Obes 1985;9:423–432.</w:t>
      </w:r>
    </w:p>
    <w:p w:rsidR="00CE2A84" w:rsidRDefault="00CE2A84" w:rsidP="00CE2A84">
      <w:pPr>
        <w:pStyle w:val="Bibliography"/>
        <w:spacing w:after="0"/>
        <w:contextualSpacing/>
      </w:pPr>
      <w:r>
        <w:t>194. Toseland CD, Campbell S, Francis I, et al. Comparison of adipose tissue changes following administration of rosiglitazone in the dog and rat. Diabetes Obes Metab 2001;3:163–170.</w:t>
      </w:r>
    </w:p>
    <w:p w:rsidR="00CE2A84" w:rsidRDefault="00CE2A84" w:rsidP="00CE2A84">
      <w:pPr>
        <w:pStyle w:val="Bibliography"/>
        <w:spacing w:after="0"/>
        <w:contextualSpacing/>
      </w:pPr>
      <w:r>
        <w:t>195. Tappy L. Thermic effect of food and sympathetic nervous system activity in humans. Reprod Nutr Dev 1996;36:391–397.</w:t>
      </w:r>
    </w:p>
    <w:p w:rsidR="00CE2A84" w:rsidRDefault="00CE2A84" w:rsidP="00CE2A84">
      <w:pPr>
        <w:pStyle w:val="Bibliography"/>
        <w:spacing w:after="0"/>
        <w:contextualSpacing/>
      </w:pPr>
      <w:r>
        <w:t>196. Levine JA, Eberhardt NL, Jensen MD. Role of nonexercise activity thermogenesis in resistance to fat gain in humans. Science 1999;283:212–214.</w:t>
      </w:r>
    </w:p>
    <w:p w:rsidR="00CE2A84" w:rsidRDefault="00CE2A84" w:rsidP="00CE2A84">
      <w:pPr>
        <w:pStyle w:val="Bibliography"/>
        <w:spacing w:after="0"/>
        <w:contextualSpacing/>
      </w:pPr>
      <w:r>
        <w:t>197. Crist KA, Romsos DR. Evidence for cold-induced but not for diet-induced thermogenesis in adult dogs. J Nutr 1987;117:1280–1286.</w:t>
      </w:r>
    </w:p>
    <w:p w:rsidR="00CE2A84" w:rsidRDefault="00CE2A84" w:rsidP="00CE2A84">
      <w:pPr>
        <w:pStyle w:val="Bibliography"/>
        <w:spacing w:after="0"/>
        <w:contextualSpacing/>
      </w:pPr>
      <w:r>
        <w:t>198. Westerterp KR. Perception, passive overfeeding and energy metabolism. Physiol Behav 2006;89:62–65.</w:t>
      </w:r>
    </w:p>
    <w:p w:rsidR="00CE2A84" w:rsidRDefault="00CE2A84" w:rsidP="00CE2A84">
      <w:pPr>
        <w:pStyle w:val="Bibliography"/>
        <w:spacing w:after="0"/>
        <w:contextualSpacing/>
      </w:pPr>
      <w:r>
        <w:t>199. Jornayvaz FR, Shulman GI. Regulation of mitochondrial biogenesis. Essays Biochem 2010;47:69–84.</w:t>
      </w:r>
    </w:p>
    <w:p w:rsidR="00CE2A84" w:rsidRDefault="00CE2A84" w:rsidP="00CE2A84">
      <w:pPr>
        <w:pStyle w:val="Bibliography"/>
        <w:spacing w:after="0"/>
        <w:contextualSpacing/>
      </w:pPr>
      <w:r>
        <w:t>200. Puigserver P, Wu Z, Park CW, et al. A cold-inducible coactivator of nuclear receptors linked to adaptive thermogenesis. Cell 1998;92:829–839.</w:t>
      </w:r>
    </w:p>
    <w:p w:rsidR="00CE2A84" w:rsidRDefault="00CE2A84" w:rsidP="00CE2A84">
      <w:pPr>
        <w:pStyle w:val="Bibliography"/>
        <w:spacing w:after="0"/>
        <w:contextualSpacing/>
      </w:pPr>
      <w:r>
        <w:t>201. Rodgers JT, Lerin C, Gerhart-Hines Z, et al. Metabolic adaptations through the PGC-1 alpha and SIRT1 pathways. FEBS Lett 2008;582:46–53.</w:t>
      </w:r>
    </w:p>
    <w:p w:rsidR="00CE2A84" w:rsidRDefault="00CE2A84" w:rsidP="00CE2A84">
      <w:pPr>
        <w:pStyle w:val="Bibliography"/>
        <w:spacing w:after="0"/>
        <w:contextualSpacing/>
      </w:pPr>
      <w:r>
        <w:t>202. Houtkooper RH, Pirinen E, Auwerx J. Sirtuins as regulators of metabolism and healthspan. Nat Rev Mol Cell Biol 2012;13:225–238.</w:t>
      </w:r>
    </w:p>
    <w:p w:rsidR="00CE2A84" w:rsidRDefault="00CE2A84" w:rsidP="00CE2A84">
      <w:pPr>
        <w:pStyle w:val="Bibliography"/>
        <w:spacing w:after="0"/>
        <w:contextualSpacing/>
      </w:pPr>
      <w:r>
        <w:t>203. Viña J, Gomez-Cabrera MC, Borras C, et al. Mitochondrial biogenesis in exercise and in ageing. Adv Drug Deliv Rev 2009;61:1369–1374.</w:t>
      </w:r>
    </w:p>
    <w:p w:rsidR="00CE2A84" w:rsidRDefault="00CE2A84" w:rsidP="00CE2A84">
      <w:pPr>
        <w:pStyle w:val="Bibliography"/>
        <w:spacing w:after="0"/>
        <w:contextualSpacing/>
      </w:pPr>
      <w:r>
        <w:t>204. Wu Z, Puigserver P, Andersson U, et al. Mechanisms controlling mitochondrial biogenesis and respiration through the thermogenic coactivator PGC-1. Cell 1999;98:115–124.</w:t>
      </w:r>
    </w:p>
    <w:p w:rsidR="00CE2A84" w:rsidRDefault="00CE2A84" w:rsidP="00CE2A84">
      <w:pPr>
        <w:pStyle w:val="Bibliography"/>
        <w:spacing w:after="0"/>
        <w:contextualSpacing/>
      </w:pPr>
      <w:r>
        <w:t>205. Clayton DA. Transcription and replication of animal mitochondrial DNAs. Int Rev Cytol 1992;141:217–232.</w:t>
      </w:r>
    </w:p>
    <w:p w:rsidR="00CE2A84" w:rsidRDefault="00CE2A84" w:rsidP="00CE2A84">
      <w:pPr>
        <w:pStyle w:val="Bibliography"/>
        <w:spacing w:after="0"/>
        <w:contextualSpacing/>
      </w:pPr>
      <w:r>
        <w:t>206. Shadel GS, Clayton DA. Mitochondrial transcription initiation. Variation and conservation. J Biol Chem 1993;268:16083–16086.</w:t>
      </w:r>
    </w:p>
    <w:p w:rsidR="00CE2A84" w:rsidRDefault="00CE2A84" w:rsidP="00CE2A84">
      <w:pPr>
        <w:pStyle w:val="Bibliography"/>
        <w:spacing w:after="0"/>
        <w:contextualSpacing/>
      </w:pPr>
      <w:r>
        <w:t>207. Virbasius JV, Scarpulla RC. Activation of the human mitochondrial transcription factor A gene by nuclear respiratory factors: a potential regulatory link between nuclear and mitochondrial gene expression in organelle biogenesis. Proc Natl Acad Sci U S A 1994;91:1309–1313.</w:t>
      </w:r>
    </w:p>
    <w:p w:rsidR="00CE2A84" w:rsidRDefault="00CE2A84" w:rsidP="00CE2A84">
      <w:pPr>
        <w:pStyle w:val="Bibliography"/>
        <w:spacing w:after="0"/>
        <w:contextualSpacing/>
      </w:pPr>
      <w:r>
        <w:t>208. Hardie DG. AMPK: a target for drugs and natural products with effects on both diabetes and cancer. Diabetes 2013;62:2164–2172.</w:t>
      </w:r>
    </w:p>
    <w:p w:rsidR="00CE2A84" w:rsidRDefault="00CE2A84" w:rsidP="00CE2A84">
      <w:pPr>
        <w:pStyle w:val="Bibliography"/>
        <w:spacing w:after="0"/>
        <w:contextualSpacing/>
      </w:pPr>
      <w:r>
        <w:t>209. Dominy JE, Puigserver P. Mitochondrial biogenesis through activation of nuclear signaling proteins. Cold Spring Harb Perspect Biol 2013;5.</w:t>
      </w:r>
    </w:p>
    <w:p w:rsidR="00CE2A84" w:rsidRDefault="00CE2A84" w:rsidP="00CE2A84">
      <w:pPr>
        <w:pStyle w:val="Bibliography"/>
        <w:spacing w:after="0"/>
        <w:contextualSpacing/>
      </w:pPr>
      <w:r>
        <w:t>210. Haigis MC, Sinclair DA. Mammalian sirtuins: biological insights and disease relevance. Annu Rev Pathol 2010;5:253–295.</w:t>
      </w:r>
    </w:p>
    <w:p w:rsidR="00CE2A84" w:rsidRDefault="00CE2A84" w:rsidP="00CE2A84">
      <w:pPr>
        <w:pStyle w:val="Bibliography"/>
        <w:spacing w:after="0"/>
        <w:contextualSpacing/>
      </w:pPr>
      <w:r>
        <w:t>211. Anderson KA, Hirschey MD. Mitochondrial protein acetylation regulates metabolism. Essays Biochem 2012;52:23–35.</w:t>
      </w:r>
    </w:p>
    <w:p w:rsidR="00CE2A84" w:rsidRDefault="00CE2A84" w:rsidP="00CE2A84">
      <w:pPr>
        <w:pStyle w:val="Bibliography"/>
        <w:spacing w:after="0"/>
        <w:contextualSpacing/>
      </w:pPr>
      <w:r>
        <w:t>212. Rodgers JT, Lerin C, Haas W, et al. Nutrient control of glucose homeostasis through a complex of PGC-1alpha and SIRT1. Nature 2005;434:113–118.</w:t>
      </w:r>
    </w:p>
    <w:p w:rsidR="00CE2A84" w:rsidRDefault="00CE2A84" w:rsidP="00CE2A84">
      <w:pPr>
        <w:pStyle w:val="Bibliography"/>
        <w:spacing w:after="0"/>
        <w:contextualSpacing/>
      </w:pPr>
      <w:r>
        <w:t>213. Chalkiadaki A, Guarente L. Sirtuins mediate mammalian metabolic responses to nutrient availability. Nat Rev Endocrinol 2012;8:287–296.</w:t>
      </w:r>
    </w:p>
    <w:p w:rsidR="00CE2A84" w:rsidRDefault="00CE2A84" w:rsidP="00CE2A84">
      <w:pPr>
        <w:pStyle w:val="Bibliography"/>
        <w:spacing w:after="0"/>
        <w:contextualSpacing/>
      </w:pPr>
      <w:r>
        <w:t>214. Hirschey MD, Shimazu T, Goetzman E, et al. SIRT3 regulates mitochondrial fatty-acid oxidation by reversible enzyme deacetylation. Nature 2010;464:121–125.</w:t>
      </w:r>
    </w:p>
    <w:p w:rsidR="00CE2A84" w:rsidRDefault="00CE2A84" w:rsidP="00CE2A84">
      <w:pPr>
        <w:pStyle w:val="Bibliography"/>
        <w:spacing w:after="0"/>
        <w:contextualSpacing/>
      </w:pPr>
      <w:r>
        <w:t>215. Newman JC, He W, Verdin E. Mitochondrial protein acylation and intermediary metabolism: regulation by sirtuins and implications for metabolic disease. J Biol Chem 2012;287:42436–42443.</w:t>
      </w:r>
    </w:p>
    <w:p w:rsidR="00CE2A84" w:rsidRDefault="00CE2A84" w:rsidP="00CE2A84">
      <w:pPr>
        <w:pStyle w:val="Bibliography"/>
        <w:spacing w:after="0"/>
        <w:contextualSpacing/>
      </w:pPr>
      <w:r>
        <w:t>216. Hallows WC, Yu W, Smith BC, et al. Sirt3 promotes the urea cycle and fatty acid oxidation during dietary restriction. Mol Cell 2011;41:139–149.</w:t>
      </w:r>
    </w:p>
    <w:p w:rsidR="00CE2A84" w:rsidRDefault="00CE2A84" w:rsidP="00CE2A84">
      <w:pPr>
        <w:pStyle w:val="Bibliography"/>
        <w:spacing w:after="0"/>
        <w:contextualSpacing/>
      </w:pPr>
      <w:r>
        <w:t>217. Jing E, Emanuelli B, Hirschey MD, et al. Sirtuin-3 (Sirt3) regulates skeletal muscle metabolism and insulin signaling via altered mitochondrial oxidation and reactive oxygen species production. Proc Natl Acad Sci U S A 2011;108:14608–14613.</w:t>
      </w:r>
    </w:p>
    <w:p w:rsidR="00CE2A84" w:rsidRDefault="00CE2A84" w:rsidP="00CE2A84">
      <w:pPr>
        <w:pStyle w:val="Bibliography"/>
        <w:spacing w:after="0"/>
        <w:contextualSpacing/>
      </w:pPr>
      <w:r>
        <w:t>218. Borecký J, Maia IG, Arruda P. Mitochondrial uncoupling proteins in mammals and plants. Biosci Rep 2001;21:201–212.</w:t>
      </w:r>
    </w:p>
    <w:p w:rsidR="00CE2A84" w:rsidRDefault="00CE2A84" w:rsidP="00CE2A84">
      <w:pPr>
        <w:pStyle w:val="Bibliography"/>
        <w:spacing w:after="0"/>
        <w:contextualSpacing/>
      </w:pPr>
      <w:r>
        <w:t>219. Krauss S, Zhang C-Y, Lowell BB. The mitochondrial uncoupling-protein homologues. Nat Rev Mol Cell Biol 2005;6:248–261.</w:t>
      </w:r>
    </w:p>
    <w:p w:rsidR="00CE2A84" w:rsidRDefault="00CE2A84" w:rsidP="00CE2A84">
      <w:pPr>
        <w:pStyle w:val="Bibliography"/>
        <w:spacing w:after="0"/>
        <w:contextualSpacing/>
      </w:pPr>
      <w:r>
        <w:t>220. Ledesma A, de Lacoba MG, Rial E. The mitochondrial uncoupling proteins. Genome Biol 2002;3:REVIEWS3015.</w:t>
      </w:r>
    </w:p>
    <w:p w:rsidR="00CE2A84" w:rsidRDefault="00CE2A84" w:rsidP="00CE2A84">
      <w:pPr>
        <w:pStyle w:val="Bibliography"/>
        <w:spacing w:after="0"/>
        <w:contextualSpacing/>
      </w:pPr>
      <w:r>
        <w:t>221. Boss O, Samec S, Paoloni-Giacobino A, et al. Uncoupling protein-3: a new member of the mitochondrial carrier family with tissue-specific expression. FEBS Lett 1997;408:39–42.</w:t>
      </w:r>
    </w:p>
    <w:p w:rsidR="00CE2A84" w:rsidRDefault="00CE2A84" w:rsidP="00CE2A84">
      <w:pPr>
        <w:pStyle w:val="Bibliography"/>
        <w:spacing w:after="0"/>
        <w:contextualSpacing/>
      </w:pPr>
      <w:r>
        <w:t>222. Vidal-Puig A, Solanes G, Grujic D, et al. UCP3: an uncoupling protein homologue expressed preferentially and abundantly in skeletal muscle and brown adipose tissue. Biochem Biophys Res Commun 1997;235:79–82.</w:t>
      </w:r>
    </w:p>
    <w:p w:rsidR="00CE2A84" w:rsidRDefault="00CE2A84" w:rsidP="00CE2A84">
      <w:pPr>
        <w:pStyle w:val="Bibliography"/>
        <w:spacing w:after="0"/>
        <w:contextualSpacing/>
      </w:pPr>
      <w:r>
        <w:t>223. Gong DW, He Y, Karas M, et al. Uncoupling protein-3 is a mediator of thermogenesis regulated by thyroid hormone, beta3-adrenergic agonists, and leptin. J Biol Chem 1997;272:24129–24132.</w:t>
      </w:r>
    </w:p>
    <w:p w:rsidR="00CE2A84" w:rsidRDefault="00CE2A84" w:rsidP="00CE2A84">
      <w:pPr>
        <w:pStyle w:val="Bibliography"/>
        <w:spacing w:after="0"/>
        <w:contextualSpacing/>
      </w:pPr>
      <w:r>
        <w:t>224. Ishioka K, Kanehira K, Sasaki N, et al. Canine mitochondrial uncoupling proteins: structure and mRNA expression of three isoforms in adult beagles. Comp Biochem Physiol B Biochem Mol Biol 2002;131:483–489.</w:t>
      </w:r>
    </w:p>
    <w:p w:rsidR="00CE2A84" w:rsidRDefault="00CE2A84" w:rsidP="00CE2A84">
      <w:pPr>
        <w:pStyle w:val="Bibliography"/>
        <w:spacing w:after="0"/>
        <w:contextualSpacing/>
      </w:pPr>
      <w:r>
        <w:t>225. Srinivasan S, Avadhani NG. Cytochrome c oxidase dysfunction in oxidative stress. Free Radic Biol Med 2012;53:1252–1263.</w:t>
      </w:r>
    </w:p>
    <w:p w:rsidR="00CE2A84" w:rsidRDefault="00CE2A84" w:rsidP="00CE2A84">
      <w:pPr>
        <w:pStyle w:val="Bibliography"/>
        <w:spacing w:after="0"/>
        <w:contextualSpacing/>
      </w:pPr>
      <w:r>
        <w:t>226. Irrcher I, Adhihetty PJ, Sheehan T, et al. PPARgamma coactivator-1alpha expression during thyroid hormone- and contractile activity-induced mitochondrial adaptations. Am J Physiol Cell Physiol 2003;284:C1669–1677.</w:t>
      </w:r>
    </w:p>
    <w:p w:rsidR="00CE2A84" w:rsidRDefault="00CE2A84" w:rsidP="00CE2A84">
      <w:pPr>
        <w:pStyle w:val="Bibliography"/>
        <w:spacing w:after="0"/>
        <w:contextualSpacing/>
      </w:pPr>
      <w:r>
        <w:t>227. Di Lisa F, Menabò R, Canton M, et al. Opening of the mitochondrial permeability transition pore causes depletion of mitochondrial and cytosolic NAD+ and is a causative event in the death of myocytes in postischemic reperfusion of the heart. J Biol Chem 2001;276:2571–2575.</w:t>
      </w:r>
    </w:p>
    <w:p w:rsidR="00CE2A84" w:rsidRDefault="00CE2A84" w:rsidP="00CE2A84">
      <w:pPr>
        <w:pStyle w:val="Bibliography"/>
        <w:spacing w:after="0"/>
        <w:contextualSpacing/>
      </w:pPr>
      <w:r>
        <w:t>228. Stein LR, Imai S. The dynamic regulation of NAD metabolism in mitochondria. Trends Endocrinol Metab TEM 2012;23:420–428.</w:t>
      </w:r>
    </w:p>
    <w:p w:rsidR="00CE2A84" w:rsidRDefault="00CE2A84" w:rsidP="00CE2A84">
      <w:pPr>
        <w:pStyle w:val="Bibliography"/>
        <w:spacing w:after="0"/>
        <w:contextualSpacing/>
      </w:pPr>
      <w:r>
        <w:t>229. Dölle C, Rack JGM, Ziegler M. NAD and ADP-ribose metabolism in mitochondria. FEBS J 2013;280:3530–3541.</w:t>
      </w:r>
    </w:p>
    <w:p w:rsidR="00CE2A84" w:rsidRDefault="00CE2A84" w:rsidP="00CE2A84">
      <w:pPr>
        <w:pStyle w:val="Bibliography"/>
        <w:spacing w:after="0"/>
        <w:contextualSpacing/>
      </w:pPr>
      <w:r>
        <w:t>230. Desquiret-Dumas V, Gueguen N, Leman G, et al. Resveratrol Induces a Mitochondrial Complex I Dependent Increase in NADH Oxidation Responsible for Sirtuin Activation in Liver Cells. J Biol Chem 2013.</w:t>
      </w:r>
    </w:p>
    <w:p w:rsidR="00CE2A84" w:rsidRDefault="00CE2A84" w:rsidP="00CE2A84">
      <w:pPr>
        <w:pStyle w:val="Bibliography"/>
        <w:spacing w:after="0"/>
        <w:contextualSpacing/>
      </w:pPr>
      <w:r>
        <w:t>231. Warner A, Mittag J. Thyroid hormone and the central control of homeostasis. J Mol Endocrinol 2012;49:R29–35.</w:t>
      </w:r>
    </w:p>
    <w:p w:rsidR="00CE2A84" w:rsidRDefault="00CE2A84" w:rsidP="00CE2A84">
      <w:pPr>
        <w:pStyle w:val="Bibliography"/>
        <w:spacing w:after="0"/>
        <w:contextualSpacing/>
      </w:pPr>
      <w:r>
        <w:t>232. Ow Y-LP, Green DR, Hao Z, et al. Cytochrome c: functions beyond respiration. Nat Rev Mol Cell Biol 2008;9:532–542.</w:t>
      </w:r>
    </w:p>
    <w:p w:rsidR="00CE2A84" w:rsidRDefault="00CE2A84" w:rsidP="00CE2A84">
      <w:pPr>
        <w:pStyle w:val="Bibliography"/>
        <w:spacing w:after="0"/>
        <w:contextualSpacing/>
      </w:pPr>
      <w:r>
        <w:t>233. Sjögren M, Alkemade A, Mittag J, et al. Hypermetabolism in mice caused by the central action of an unliganded thyroid hormone receptor alpha1. EMBO J 2007;26:4535–4545.</w:t>
      </w:r>
    </w:p>
    <w:p w:rsidR="00CE2A84" w:rsidRDefault="00CE2A84" w:rsidP="00CE2A84">
      <w:pPr>
        <w:pStyle w:val="Bibliography"/>
        <w:spacing w:after="0"/>
        <w:contextualSpacing/>
      </w:pPr>
      <w:r>
        <w:t>234. López M, Varela L, Vázquez MJ, et al. Hypothalamic AMPK and fatty acid metabolism mediate thyroid regulation of energy balance. Nat Med 2010;16:1001–1008.</w:t>
      </w:r>
    </w:p>
    <w:p w:rsidR="00CE2A84" w:rsidRDefault="00CE2A84" w:rsidP="00CE2A84">
      <w:pPr>
        <w:pStyle w:val="Bibliography"/>
        <w:spacing w:after="0"/>
        <w:contextualSpacing/>
      </w:pPr>
      <w:r>
        <w:t>235. Tentolouris N, Liatis S, Katsilambros N. Sympathetic system activity in obesity and metabolic syndrome. Ann N Y Acad Sci 2006;1083:129–152.</w:t>
      </w:r>
    </w:p>
    <w:p w:rsidR="00CE2A84" w:rsidRDefault="00CE2A84" w:rsidP="00CE2A84">
      <w:pPr>
        <w:pStyle w:val="Bibliography"/>
        <w:spacing w:after="0"/>
        <w:contextualSpacing/>
      </w:pPr>
      <w:r>
        <w:t>236. Chernogubova E, Hutchinson DS, Nedergaard J, et al. Alpha1- and beta1-adrenoceptor signaling fully compensates for beta3-adrenoceptor deficiency in brown adipocyte norepinephrine-stimulated glucose uptake. Endocrinology 2005;146:2271–2284.</w:t>
      </w:r>
    </w:p>
    <w:p w:rsidR="00CE2A84" w:rsidRDefault="00CE2A84" w:rsidP="00CE2A84">
      <w:pPr>
        <w:pStyle w:val="Bibliography"/>
        <w:spacing w:after="0"/>
        <w:contextualSpacing/>
      </w:pPr>
      <w:r>
        <w:t>237. Hutchinson DS, Chernogubova E, Dallner OS, et al. Beta-adrenoceptors, but not alpha-adrenoceptors, stimulate AMP-activated protein kinase in brown adipocytes independently of uncoupling protein-1. Diabetologia 2005;48:2386–2395.</w:t>
      </w:r>
    </w:p>
    <w:p w:rsidR="00CE2A84" w:rsidRDefault="00CE2A84" w:rsidP="00CE2A84">
      <w:pPr>
        <w:pStyle w:val="Bibliography"/>
        <w:spacing w:after="0"/>
        <w:contextualSpacing/>
      </w:pPr>
      <w:r>
        <w:t>238. Arita Y, Kihara S, Ouchi N, et al. Paradoxical decrease of an adipose-specific protein, adiponectin, in obesity. Biochem Biophys Res Commun 1999;257:79–83.</w:t>
      </w:r>
    </w:p>
    <w:p w:rsidR="00CE2A84" w:rsidRDefault="00CE2A84" w:rsidP="00CE2A84">
      <w:pPr>
        <w:pStyle w:val="Bibliography"/>
        <w:spacing w:after="0"/>
        <w:contextualSpacing/>
      </w:pPr>
      <w:r>
        <w:t>239. Turer AT, Scherer PE. Adiponectin: mechanistic insights and clinical implications. Diabetologia 2012;55:2319–2326.</w:t>
      </w:r>
    </w:p>
    <w:p w:rsidR="00CE2A84" w:rsidRDefault="00CE2A84" w:rsidP="00CE2A84">
      <w:pPr>
        <w:pStyle w:val="Bibliography"/>
        <w:spacing w:after="0"/>
        <w:contextualSpacing/>
      </w:pPr>
      <w:r>
        <w:t>240. Yamauchi T, Kamon J, Ito Y, et al. Cloning of adiponectin receptors that mediate antidiabetic metabolic effects. Nature 2003;423:762–769.</w:t>
      </w:r>
    </w:p>
    <w:p w:rsidR="00CE2A84" w:rsidRDefault="00CE2A84" w:rsidP="00CE2A84">
      <w:pPr>
        <w:pStyle w:val="Bibliography"/>
        <w:spacing w:after="0"/>
        <w:contextualSpacing/>
      </w:pPr>
      <w:r>
        <w:t>241. Trujillo ME, Scherer PE. Adiponectin--journey from an adipocyte secretory protein to biomarker of the metabolic syndrome. J Intern Med 2005;257:167–175.</w:t>
      </w:r>
    </w:p>
    <w:p w:rsidR="00CE2A84" w:rsidRDefault="00CE2A84" w:rsidP="00CE2A84">
      <w:pPr>
        <w:pStyle w:val="Bibliography"/>
        <w:spacing w:after="0"/>
        <w:contextualSpacing/>
      </w:pPr>
      <w:r>
        <w:t>242. Hug C, Wang J, Ahmad NS, et al. T-cadherin is a receptor for hexameric and high-molecular-weight forms of Acrp30/adiponectin. Proc Natl Acad Sci U S A 2004;101:10308–10313.</w:t>
      </w:r>
    </w:p>
    <w:p w:rsidR="00CE2A84" w:rsidRDefault="00CE2A84" w:rsidP="00CE2A84">
      <w:pPr>
        <w:pStyle w:val="Bibliography"/>
        <w:spacing w:after="0"/>
        <w:contextualSpacing/>
      </w:pPr>
      <w:r>
        <w:t>243. Awazawa M, Ueki K, Inabe K, et al. Adiponectin enhances insulin sensitivity by increasing hepatic IRS-2 expression via a macrophage-derived IL-6-dependent pathway. Cell Metab 2011;13:401–412.</w:t>
      </w:r>
    </w:p>
    <w:p w:rsidR="00CE2A84" w:rsidRDefault="00CE2A84" w:rsidP="00CE2A84">
      <w:pPr>
        <w:pStyle w:val="Bibliography"/>
        <w:spacing w:after="0"/>
        <w:contextualSpacing/>
      </w:pPr>
      <w:r>
        <w:t>244. Mao X, Kikani CK, Riojas RA, et al. APPL1 binds to adiponectin receptors and mediates adiponectin signalling and function. Nat Cell Biol 2006;8:516–523.</w:t>
      </w:r>
    </w:p>
    <w:p w:rsidR="00CE2A84" w:rsidRDefault="00CE2A84" w:rsidP="00CE2A84">
      <w:pPr>
        <w:pStyle w:val="Bibliography"/>
        <w:spacing w:after="0"/>
        <w:contextualSpacing/>
      </w:pPr>
      <w:r>
        <w:t>245. Buechler C, Wanninger J, Neumeier M. Adiponectin receptor binding proteins--recent advances in elucidating adiponectin signalling pathways. FEBS Lett 2010;584:4280–4286.</w:t>
      </w:r>
    </w:p>
    <w:p w:rsidR="00CE2A84" w:rsidRDefault="00CE2A84" w:rsidP="00CE2A84">
      <w:pPr>
        <w:pStyle w:val="Bibliography"/>
        <w:spacing w:after="0"/>
        <w:contextualSpacing/>
      </w:pPr>
      <w:r>
        <w:t>246. Lara-Castro C, Luo N, Wallace P, et al. Adiponectin multimeric complexes and the metabolic syndrome trait cluster. Diabetes 2006;55:249–259.</w:t>
      </w:r>
    </w:p>
    <w:p w:rsidR="00CE2A84" w:rsidRDefault="00CE2A84" w:rsidP="00CE2A84">
      <w:pPr>
        <w:pStyle w:val="Bibliography"/>
        <w:spacing w:after="0"/>
        <w:contextualSpacing/>
      </w:pPr>
      <w:r>
        <w:t>247. Pajvani UB, Hawkins M, Combs TP, et al. Complex distribution, not absolute amount of adiponectin, correlates with thiazolidinedione-mediated improvement in insulin sensitivity. J Biol Chem 2004;279:12152–12162.</w:t>
      </w:r>
    </w:p>
    <w:p w:rsidR="00CE2A84" w:rsidRDefault="00CE2A84" w:rsidP="00CE2A84">
      <w:pPr>
        <w:pStyle w:val="Bibliography"/>
        <w:spacing w:after="0"/>
        <w:contextualSpacing/>
      </w:pPr>
      <w:r>
        <w:t>248. Verkest KR, Rand JS, Fleeman LM, et al. Distinct adiponectin profiles might contribute to differences in susceptibility to type 2 diabetes in dogs and humans. Domest Anim Endocrinol 2011;41:67–73.</w:t>
      </w:r>
    </w:p>
    <w:p w:rsidR="00CE2A84" w:rsidRDefault="00CE2A84" w:rsidP="00CE2A84">
      <w:pPr>
        <w:pStyle w:val="Bibliography"/>
        <w:spacing w:after="0"/>
        <w:contextualSpacing/>
      </w:pPr>
      <w:r>
        <w:t>249. Wakshlag JJ, Struble AM, Levine CB, et al. The effects of weight loss on adipokines and markers of inflammation in dogs. Br J Nutr 2011;106 Suppl 1:S11–14.</w:t>
      </w:r>
    </w:p>
    <w:p w:rsidR="00CE2A84" w:rsidRDefault="00CE2A84" w:rsidP="00CE2A84">
      <w:pPr>
        <w:pStyle w:val="Bibliography"/>
        <w:spacing w:after="0"/>
        <w:contextualSpacing/>
      </w:pPr>
      <w:r>
        <w:t>250. Ishioka K, Omachi A, Sagawa M, et al. Canine adiponectin: cDNA structure, mRNA expression in adipose tissues and reduced plasma levels in obesity. Res Vet Sci 2006;80:127–132.</w:t>
      </w:r>
    </w:p>
    <w:p w:rsidR="00CE2A84" w:rsidRDefault="00CE2A84" w:rsidP="00CE2A84">
      <w:pPr>
        <w:pStyle w:val="Bibliography"/>
        <w:spacing w:after="0"/>
        <w:contextualSpacing/>
      </w:pPr>
      <w:r>
        <w:t>251. Tvarijonaviciute A, Tecles F, Martínez-Subiela S, et al. Effect of weight loss on inflammatory biomarkers in obese dogs. Vet J Lond Engl 1997 2012;193:570–572.</w:t>
      </w:r>
    </w:p>
    <w:p w:rsidR="00CE2A84" w:rsidRDefault="00CE2A84" w:rsidP="00CE2A84">
      <w:pPr>
        <w:pStyle w:val="Bibliography"/>
        <w:spacing w:after="0"/>
        <w:contextualSpacing/>
      </w:pPr>
      <w:r>
        <w:t>252. Eirmann LA, Freeman LM, Laflamme DP, et al. Comparison of Adipokine Concentrations and Markers of Inflammation in Obese Versus Lean Dogs. Int J Appl Res Vet Med 2009;7:196–205.</w:t>
      </w:r>
    </w:p>
    <w:p w:rsidR="00CE2A84" w:rsidRDefault="00CE2A84" w:rsidP="00CE2A84">
      <w:pPr>
        <w:pStyle w:val="Bibliography"/>
        <w:spacing w:after="0"/>
        <w:contextualSpacing/>
      </w:pPr>
      <w:r>
        <w:t>253. Verkest KR, Rose FJ, Fleeman LM, et al. Adiposity and adiponectin in dogs: investigation of causes of discrepant results between two studies. Domest Anim Endocrinol 2011;41:35–41.</w:t>
      </w:r>
    </w:p>
    <w:p w:rsidR="00CE2A84" w:rsidRDefault="00CE2A84" w:rsidP="00CE2A84">
      <w:pPr>
        <w:pStyle w:val="Bibliography"/>
        <w:spacing w:after="0"/>
        <w:contextualSpacing/>
      </w:pPr>
      <w:r>
        <w:t>254. Grabstein KH, Eisenman J, Shanebeck K, et al. Cloning of a T cell growth factor that interacts with the beta chain of the interleukin-2 receptor. Science 1994;264:965–968.</w:t>
      </w:r>
    </w:p>
    <w:p w:rsidR="00CE2A84" w:rsidRDefault="00CE2A84" w:rsidP="00CE2A84">
      <w:pPr>
        <w:pStyle w:val="Bibliography"/>
        <w:spacing w:after="0"/>
        <w:contextualSpacing/>
      </w:pPr>
      <w:r>
        <w:t>255. Carbó N, López-Soriano J, Costelli P, et al. Interleukin-15 mediates reciprocal regulation of adipose and muscle mass: a potential role in body weight control. Biochim Biophys Acta 2001;1526:17–24.</w:t>
      </w:r>
    </w:p>
    <w:p w:rsidR="00CE2A84" w:rsidRDefault="00CE2A84" w:rsidP="00CE2A84">
      <w:pPr>
        <w:pStyle w:val="Bibliography"/>
        <w:spacing w:after="0"/>
        <w:contextualSpacing/>
      </w:pPr>
      <w:r>
        <w:t>256. Argilés JM, López-Soriano FJ, Busquets S. Therapeutic potential of interleukin-15: a myokine involved in muscle wasting and adiposity. Drug Discov Today 2009;14:208–213.</w:t>
      </w:r>
    </w:p>
    <w:p w:rsidR="00CE2A84" w:rsidRDefault="00CE2A84" w:rsidP="00CE2A84">
      <w:pPr>
        <w:pStyle w:val="Bibliography"/>
        <w:spacing w:after="0"/>
        <w:contextualSpacing/>
      </w:pPr>
      <w:r>
        <w:t>257. Ajuwon KM, Spurlock ME. Direct regulation of lipolysis by interleukin-15 in primary pig adipocytes. Am J Physiol Regul Integr Comp Physiol 2004;287:R608–611.</w:t>
      </w:r>
    </w:p>
    <w:p w:rsidR="00CE2A84" w:rsidRDefault="00CE2A84" w:rsidP="00CE2A84">
      <w:pPr>
        <w:pStyle w:val="Bibliography"/>
        <w:spacing w:after="0"/>
        <w:contextualSpacing/>
      </w:pPr>
      <w:r>
        <w:t>258. Alvarez B, Carbó N, López-Soriano J, et al. Effects of interleukin-15 (IL-15) on adipose tissue mass in rodent obesity models: evidence for direct IL-15 action on adipose tissue. Biochim Biophys Acta 2002;1570:33–37.</w:t>
      </w:r>
    </w:p>
    <w:p w:rsidR="00CE2A84" w:rsidRDefault="00CE2A84" w:rsidP="00CE2A84">
      <w:pPr>
        <w:pStyle w:val="Bibliography"/>
        <w:spacing w:after="0"/>
        <w:contextualSpacing/>
      </w:pPr>
      <w:r>
        <w:t>259. Almendro V, Fuster G, Ametller E, et al. Interleukin-15 increases calcineurin expression in 3T3-L1 cells: possible involvement on in vivo adipocyte differentiation. Int J Mol Med 2009;24:453–458.</w:t>
      </w:r>
    </w:p>
    <w:p w:rsidR="00CE2A84" w:rsidRDefault="00CE2A84" w:rsidP="00CE2A84">
      <w:pPr>
        <w:pStyle w:val="Bibliography"/>
        <w:spacing w:after="0"/>
        <w:contextualSpacing/>
      </w:pPr>
      <w:r>
        <w:t>260. Quinn LS, Strait-Bodey L, Anderson BG, et al. Interleukin-15 stimulates adiponectin secretion by 3T3-L1 adipocytes: evidence for a skeletal muscle-to-fat signaling pathway. Cell Biol Int 2005;29:449–457.</w:t>
      </w:r>
    </w:p>
    <w:p w:rsidR="00CE2A84" w:rsidRDefault="00CE2A84" w:rsidP="00CE2A84">
      <w:pPr>
        <w:pStyle w:val="Bibliography"/>
        <w:spacing w:after="0"/>
        <w:contextualSpacing/>
      </w:pPr>
      <w:r>
        <w:t>261. Fuster G, Almendro V, Fontes-Oliveira CC, et al. Interleukin-15 affects differentiation and apoptosis in adipocytes: implications in obesity. Lipids 2011;46:1033–1042.</w:t>
      </w:r>
    </w:p>
    <w:p w:rsidR="00CE2A84" w:rsidRDefault="00CE2A84" w:rsidP="00CE2A84">
      <w:pPr>
        <w:pStyle w:val="Bibliography"/>
        <w:spacing w:after="0"/>
        <w:contextualSpacing/>
      </w:pPr>
      <w:r>
        <w:t>262. Almendro V, Busquets S, Ametller E, et al. Effects of interleukin-15 on lipid oxidation: disposal of an oral [(14)C]-triolein load. Biochim Biophys Acta 2006;1761:37–42.</w:t>
      </w:r>
    </w:p>
    <w:p w:rsidR="00CE2A84" w:rsidRDefault="00CE2A84" w:rsidP="00CE2A84">
      <w:pPr>
        <w:pStyle w:val="Bibliography"/>
        <w:spacing w:after="0"/>
        <w:contextualSpacing/>
      </w:pPr>
      <w:r>
        <w:t>263. Quinn LS, Haugk KL, Grabstein KH. Interleukin-15: a novel anabolic cytokine for skeletal muscle. Endocrinology 1995;136:3669–3672.</w:t>
      </w:r>
    </w:p>
    <w:p w:rsidR="00CE2A84" w:rsidRDefault="00CE2A84" w:rsidP="00CE2A84">
      <w:pPr>
        <w:pStyle w:val="Bibliography"/>
        <w:spacing w:after="0"/>
        <w:contextualSpacing/>
      </w:pPr>
      <w:r>
        <w:t>264. Furmanczyk PS, Quinn LS. Interleukin-15 increases myosin accretion in human skeletal myogenic cultures. Cell Biol Int 2003;27:845–851.</w:t>
      </w:r>
    </w:p>
    <w:p w:rsidR="00CE2A84" w:rsidRDefault="00CE2A84" w:rsidP="00CE2A84">
      <w:pPr>
        <w:pStyle w:val="Bibliography"/>
        <w:spacing w:after="0"/>
        <w:contextualSpacing/>
      </w:pPr>
      <w:r>
        <w:t>265. Quinn LS, Anderson BG, Drivdahl RH, et al. Overexpression of interleukin-15 induces skeletal muscle hypertrophy in vitro: implications for treatment of muscle wasting disorders. Exp Cell Res 2002;280:55–63.</w:t>
      </w:r>
    </w:p>
    <w:p w:rsidR="00CE2A84" w:rsidRDefault="00CE2A84" w:rsidP="00CE2A84">
      <w:pPr>
        <w:pStyle w:val="Bibliography"/>
        <w:spacing w:after="0"/>
        <w:contextualSpacing/>
      </w:pPr>
      <w:r>
        <w:t>266. Wang Y-X, Zhang C-L, Yu RT, et al. Regulation of muscle fiber type and running endurance by PPARdelta. PLoS Biol 2004;2:e294.</w:t>
      </w:r>
    </w:p>
    <w:p w:rsidR="00CE2A84" w:rsidRDefault="00CE2A84" w:rsidP="00CE2A84">
      <w:pPr>
        <w:pStyle w:val="Bibliography"/>
        <w:spacing w:after="0"/>
        <w:contextualSpacing/>
      </w:pPr>
      <w:r>
        <w:t>267. Busquets S, Figueras M, Almendro V, et al. Interleukin-15 increases glucose uptake in skeletal muscle. An antidiabetogenic effect of the cytokine. Biochim Biophys Acta 2006;1760:1613–1617.</w:t>
      </w:r>
    </w:p>
    <w:p w:rsidR="00CE2A84" w:rsidRDefault="00CE2A84" w:rsidP="00CE2A84">
      <w:pPr>
        <w:pStyle w:val="Bibliography"/>
        <w:spacing w:after="0"/>
        <w:contextualSpacing/>
      </w:pPr>
      <w:r>
        <w:t>268. Lutz TA, Woods SC. Overview of animal models of obesity. Curr Protoc Pharmacol Editor Board SJ Enna Ed--Chief Al 2012;Chapter 5:Unit5.61.</w:t>
      </w:r>
    </w:p>
    <w:p w:rsidR="00CE2A84" w:rsidRDefault="00CE2A84" w:rsidP="00CE2A84">
      <w:pPr>
        <w:pStyle w:val="Bibliography"/>
        <w:spacing w:after="0"/>
        <w:contextualSpacing/>
      </w:pPr>
      <w:r>
        <w:t>269. Zucker LM, Zucker TF. Fatty, a new mutation in the rat. J Hered 1961;52.</w:t>
      </w:r>
    </w:p>
    <w:p w:rsidR="00CE2A84" w:rsidRDefault="00CE2A84" w:rsidP="00CE2A84">
      <w:pPr>
        <w:pStyle w:val="Bibliography"/>
        <w:spacing w:after="0"/>
        <w:contextualSpacing/>
      </w:pPr>
      <w:r>
        <w:t>270. Chua SC Jr, Chung WK, Wu-Peng XS, et al. Phenotypes of mouse diabetes and rat fatty due to mutations in the OB (leptin) receptor. Science 1996;271:994–996.</w:t>
      </w:r>
    </w:p>
    <w:p w:rsidR="00CE2A84" w:rsidRDefault="00CE2A84" w:rsidP="00CE2A84">
      <w:pPr>
        <w:pStyle w:val="Bibliography"/>
        <w:spacing w:after="0"/>
        <w:contextualSpacing/>
      </w:pPr>
      <w:r>
        <w:t>271. Coleman DL. Obese and diabetes: two mutant genes causing diabetes-obesity syndromes in mice. Diabetologia 1978;14:141–148.</w:t>
      </w:r>
    </w:p>
    <w:p w:rsidR="00CE2A84" w:rsidRDefault="00CE2A84" w:rsidP="00CE2A84">
      <w:pPr>
        <w:pStyle w:val="Bibliography"/>
        <w:spacing w:after="0"/>
        <w:contextualSpacing/>
      </w:pPr>
      <w:r>
        <w:t>272. Speakman J, Hambly C, Mitchell S, et al. The contribution of animal models to the study of obesity. Lab Anim 2008;42:413–432.</w:t>
      </w:r>
    </w:p>
    <w:p w:rsidR="00CE2A84" w:rsidRDefault="00CE2A84" w:rsidP="00CE2A84">
      <w:pPr>
        <w:pStyle w:val="Bibliography"/>
        <w:spacing w:after="0"/>
        <w:contextualSpacing/>
      </w:pPr>
      <w:r>
        <w:t>273. Switonski M, Mankowska M. Dog obesity - The need for identifying predisposing genetic markers. Res Vet Sci 2013.</w:t>
      </w:r>
    </w:p>
    <w:p w:rsidR="00CE2A84" w:rsidRDefault="00CE2A84" w:rsidP="00CE2A84">
      <w:pPr>
        <w:pStyle w:val="Bibliography"/>
        <w:spacing w:after="0"/>
        <w:contextualSpacing/>
      </w:pPr>
      <w:r>
        <w:t>274. Lequarré A-S, Andersson L, André C, et al. LUPA: a European initiative taking advantage of the canine genome architecture for unravelling complex disorders in both human and dogs. Vet J Lond Engl 1997 2011;189:155–159.</w:t>
      </w:r>
    </w:p>
    <w:p w:rsidR="00CE2A84" w:rsidRDefault="00CE2A84" w:rsidP="00CE2A84">
      <w:pPr>
        <w:pStyle w:val="Bibliography"/>
        <w:spacing w:after="0"/>
        <w:contextualSpacing/>
      </w:pPr>
      <w:r>
        <w:t>275. Kaila B, Raman M. Obesity: a review of pathogenesis and management strategies. Can J Gastroenterol J Can Gastroenterol 2008;22:61–68.</w:t>
      </w:r>
    </w:p>
    <w:p w:rsidR="00CE2A84" w:rsidRDefault="00CE2A84" w:rsidP="00CE2A84">
      <w:pPr>
        <w:pStyle w:val="Bibliography"/>
        <w:spacing w:after="0"/>
        <w:contextualSpacing/>
      </w:pPr>
      <w:r>
        <w:t>276. Tsai AG, Wadden TA. The evolution of very-low-calorie diets: an update and meta-analysis. Obes Silver Spring Md 2006;14:1283–1293.</w:t>
      </w:r>
    </w:p>
    <w:p w:rsidR="00CE2A84" w:rsidRDefault="00CE2A84" w:rsidP="00CE2A84">
      <w:pPr>
        <w:pStyle w:val="Bibliography"/>
        <w:spacing w:after="0"/>
        <w:contextualSpacing/>
      </w:pPr>
      <w:r>
        <w:t>277. USDA. Weight Management: Focus on Foods You Need. Available at: http://www.choosemyplate.gov/weight-management-calories/weight-management/better-choices/foods-you-need.html. Accessed November 6, 2013.</w:t>
      </w:r>
    </w:p>
    <w:p w:rsidR="00CE2A84" w:rsidRDefault="00CE2A84" w:rsidP="00CE2A84">
      <w:pPr>
        <w:pStyle w:val="Bibliography"/>
        <w:spacing w:after="0"/>
        <w:contextualSpacing/>
      </w:pPr>
      <w:r>
        <w:t>278. Borne AT, Wolfsheimer KJ, Truett AA, et al. Differential metabolic effects of energy restriction in dogs using diets varying in fat and fiber content. Obes Res 1996;4:337–345.</w:t>
      </w:r>
    </w:p>
    <w:p w:rsidR="00CE2A84" w:rsidRDefault="00CE2A84" w:rsidP="00CE2A84">
      <w:pPr>
        <w:pStyle w:val="Bibliography"/>
        <w:spacing w:after="0"/>
        <w:contextualSpacing/>
      </w:pPr>
      <w:r>
        <w:t>279. Yoo S, Ramsey JJ, Havel PJ, et al. Resting energy expenditure and body composition of Labrador Retrievers fed high fat and low fat diets. J Anim Physiol Anim Nutr 2006;90.</w:t>
      </w:r>
    </w:p>
    <w:p w:rsidR="00CE2A84" w:rsidRDefault="00CE2A84" w:rsidP="00CE2A84">
      <w:pPr>
        <w:pStyle w:val="Bibliography"/>
        <w:spacing w:after="0"/>
        <w:contextualSpacing/>
      </w:pPr>
      <w:r>
        <w:t>280. Frigolet M-E, Ramos Barragán V-E, Tamez González M. Low-carbohydrate diets: a matter of love or hate. Ann Nutr Metab 2011;58:320–334.</w:t>
      </w:r>
    </w:p>
    <w:p w:rsidR="00CE2A84" w:rsidRDefault="00CE2A84" w:rsidP="00CE2A84">
      <w:pPr>
        <w:pStyle w:val="Bibliography"/>
        <w:spacing w:after="0"/>
        <w:contextualSpacing/>
      </w:pPr>
      <w:r>
        <w:t>281. Adam-Perrot A, Clifton P, Brouns F. Low-carbohydrate diets: nutritional and physiological aspects. Obes Rev Off J Int Assoc Study Obes 2006;7:49–58.</w:t>
      </w:r>
    </w:p>
    <w:p w:rsidR="00CE2A84" w:rsidRDefault="00CE2A84" w:rsidP="00CE2A84">
      <w:pPr>
        <w:pStyle w:val="Bibliography"/>
        <w:spacing w:after="0"/>
        <w:contextualSpacing/>
      </w:pPr>
      <w:r>
        <w:t>282. Fritsch DA, Ahle NW, Jewell DE, et al. A High-Fiber Food Improves Weight Loss Compared to a High-Protein,   High-Fat Food in Pet Dogs in a Home Setting. Int J Appl Res Vet Med 2010;8:138–145.</w:t>
      </w:r>
    </w:p>
    <w:p w:rsidR="00CE2A84" w:rsidRDefault="00CE2A84" w:rsidP="00CE2A84">
      <w:pPr>
        <w:pStyle w:val="Bibliography"/>
        <w:spacing w:after="0"/>
        <w:contextualSpacing/>
      </w:pPr>
      <w:r>
        <w:t>283. Diez M, Nguyen P, Jeusette I, et al. Weight loss in obese dogs: evaluation of a high-protein, low-carbohydrate diet. J Nutr 2002;132:1685S–7S.</w:t>
      </w:r>
    </w:p>
    <w:p w:rsidR="00CE2A84" w:rsidRDefault="00CE2A84" w:rsidP="00CE2A84">
      <w:pPr>
        <w:pStyle w:val="Bibliography"/>
        <w:spacing w:after="0"/>
        <w:contextualSpacing/>
      </w:pPr>
      <w:r>
        <w:t>284. Westerterp-Plantenga MS, Nieuwenhuizen A, Tomé D, et al. Dietary protein, weight loss, and weight maintenance. Annu Rev Nutr 2009;29:21–41.</w:t>
      </w:r>
    </w:p>
    <w:p w:rsidR="00CE2A84" w:rsidRDefault="00CE2A84" w:rsidP="00CE2A84">
      <w:pPr>
        <w:pStyle w:val="Bibliography"/>
        <w:spacing w:after="0"/>
        <w:contextualSpacing/>
      </w:pPr>
      <w:r>
        <w:t>285. Westerterp-Plantenga MS, Lemmens SG, Westerterp KR. Dietary protein - its role in satiety, energetics, weight loss and health. Br J Nutr 2012;108 Suppl 2:S105–112.</w:t>
      </w:r>
    </w:p>
    <w:p w:rsidR="00CE2A84" w:rsidRDefault="00CE2A84" w:rsidP="00CE2A84">
      <w:pPr>
        <w:pStyle w:val="Bibliography"/>
        <w:spacing w:after="0"/>
        <w:contextualSpacing/>
      </w:pPr>
      <w:r>
        <w:t>286. Blanchard G, Nguyen P, Gayet C, et al. Rapid weight loss with a high-protein low-energy diet allows the recovery of ideal body composition and insulin sensitivity in obese dogs. J Nutr 2004;134:2148S–2150S.</w:t>
      </w:r>
    </w:p>
    <w:p w:rsidR="00CE2A84" w:rsidRDefault="00CE2A84" w:rsidP="00CE2A84">
      <w:pPr>
        <w:pStyle w:val="Bibliography"/>
        <w:spacing w:after="0"/>
        <w:contextualSpacing/>
      </w:pPr>
      <w:r>
        <w:t>287. Hannah SS, Laflamme DP. Increased dietary protein spares lean body mass during weight loss in dogs (Abstract). J Vet Intern Med 1998;12:224.</w:t>
      </w:r>
    </w:p>
    <w:p w:rsidR="00CE2A84" w:rsidRDefault="00CE2A84" w:rsidP="00CE2A84">
      <w:pPr>
        <w:pStyle w:val="Bibliography"/>
        <w:spacing w:after="0"/>
        <w:contextualSpacing/>
      </w:pPr>
      <w:r>
        <w:t>288. Jackson JR, Laflamme DP, Owens SF. Effects of dietary fiber content on satiety in dogs. Vet Clin Nutr 1997;4.</w:t>
      </w:r>
    </w:p>
    <w:p w:rsidR="00CE2A84" w:rsidRDefault="00CE2A84" w:rsidP="00CE2A84">
      <w:pPr>
        <w:pStyle w:val="Bibliography"/>
        <w:spacing w:after="0"/>
        <w:contextualSpacing/>
      </w:pPr>
      <w:r>
        <w:t>289. Jewell DE, Toll PW. Effects of fiber on food intake in dogs. Vet Clin Nutr 1996;3.</w:t>
      </w:r>
    </w:p>
    <w:p w:rsidR="00CE2A84" w:rsidRDefault="00CE2A84" w:rsidP="00CE2A84">
      <w:pPr>
        <w:pStyle w:val="Bibliography"/>
        <w:spacing w:after="0"/>
        <w:contextualSpacing/>
      </w:pPr>
      <w:r>
        <w:t>290. Bosch G, Verbrugghe A, Hesta M, et al. The effects of dietary fibre type on satiety-related hormones and voluntary food intake in dogs. Br J Nutr 2009;102:318–325.</w:t>
      </w:r>
    </w:p>
    <w:p w:rsidR="00CE2A84" w:rsidRDefault="00CE2A84" w:rsidP="00CE2A84">
      <w:pPr>
        <w:pStyle w:val="Bibliography"/>
        <w:spacing w:after="0"/>
        <w:contextualSpacing/>
      </w:pPr>
      <w:r>
        <w:t>291. Heuberger R, Wakshlag J. The relationship of feeding patterns and obesity in dogs. J Anim Physiol Anim Nutr 2011;95:98–105.</w:t>
      </w:r>
    </w:p>
    <w:p w:rsidR="00CE2A84" w:rsidRDefault="00CE2A84" w:rsidP="00CE2A84">
      <w:pPr>
        <w:pStyle w:val="Bibliography"/>
        <w:spacing w:after="0"/>
        <w:contextualSpacing/>
      </w:pPr>
      <w:r>
        <w:t>292. German AJ, Holden SL, Bissot T, et al. A high protein high fibre diet improves weight loss in obese dogs. Vet J Lond Engl 1997 2010;183:294–297.</w:t>
      </w:r>
    </w:p>
    <w:p w:rsidR="00CE2A84" w:rsidRDefault="00CE2A84" w:rsidP="00CE2A84">
      <w:pPr>
        <w:pStyle w:val="Bibliography"/>
        <w:spacing w:after="0"/>
        <w:contextualSpacing/>
      </w:pPr>
      <w:r>
        <w:t>293. Weber M, Bissot T, Servet E, et al. A high-protein, high-fiber diet designed for weight loss improves   satiety in dogs. J Vet Intern Med 2007;21:1203–1208.</w:t>
      </w:r>
    </w:p>
    <w:p w:rsidR="00CE2A84" w:rsidRDefault="00CE2A84" w:rsidP="00CE2A84">
      <w:pPr>
        <w:pStyle w:val="Bibliography"/>
        <w:spacing w:after="0"/>
        <w:contextualSpacing/>
      </w:pPr>
      <w:r>
        <w:t>294. Nielsen SJ, Popkin BM. Patterns and trends in food portion sizes, 1977-1998. JAMA J Am Med Assoc 2003;289:450–453.</w:t>
      </w:r>
    </w:p>
    <w:p w:rsidR="00CE2A84" w:rsidRDefault="00CE2A84" w:rsidP="00CE2A84">
      <w:pPr>
        <w:pStyle w:val="Bibliography"/>
        <w:spacing w:after="0"/>
        <w:contextualSpacing/>
      </w:pPr>
      <w:r>
        <w:t>295. Piernas C, Popkin BM. Food portion patterns and trends among U.S. children and the relationship to total eating occasion size, 1977-2006. J Nutr 2011;141:1159–1164.</w:t>
      </w:r>
    </w:p>
    <w:p w:rsidR="00CE2A84" w:rsidRDefault="00CE2A84" w:rsidP="00CE2A84">
      <w:pPr>
        <w:pStyle w:val="Bibliography"/>
        <w:spacing w:after="0"/>
        <w:contextualSpacing/>
      </w:pPr>
      <w:r>
        <w:t>296. Kral TVE, Roe LS, Rolls BJ. Combined effects of energy density and portion size on energy intake in women. Am J Clin Nutr 2004;79:962–968.</w:t>
      </w:r>
    </w:p>
    <w:p w:rsidR="00CE2A84" w:rsidRDefault="00CE2A84" w:rsidP="00CE2A84">
      <w:pPr>
        <w:pStyle w:val="Bibliography"/>
        <w:spacing w:after="0"/>
        <w:contextualSpacing/>
      </w:pPr>
      <w:r>
        <w:t>297. Rolls BJ, Morris EL, Roe LS. Portion size of food affects energy intake in normal-weight and overweight men and women. Am J Clin Nutr 2002;76:1207–1213.</w:t>
      </w:r>
    </w:p>
    <w:p w:rsidR="00CE2A84" w:rsidRDefault="00CE2A84" w:rsidP="00CE2A84">
      <w:pPr>
        <w:pStyle w:val="Bibliography"/>
        <w:spacing w:after="0"/>
        <w:contextualSpacing/>
      </w:pPr>
      <w:r>
        <w:t>298. Flood JE, Roe LS, Rolls BJ. The effect of increased beverage portion size on energy intake at a meal. J Am Diet Assoc 2006;106:1984–1990; discussion 1990–1991.</w:t>
      </w:r>
    </w:p>
    <w:p w:rsidR="00CE2A84" w:rsidRDefault="00CE2A84" w:rsidP="00CE2A84">
      <w:pPr>
        <w:pStyle w:val="Bibliography"/>
        <w:spacing w:after="0"/>
        <w:contextualSpacing/>
      </w:pPr>
      <w:r>
        <w:t>299. Rolls BJ, Roe LS, Meengs JS. Larger portion sizes lead to a sustained increase in energy intake over 2 days. J Am Diet Assoc 2006;106:543–549.</w:t>
      </w:r>
    </w:p>
    <w:p w:rsidR="00CE2A84" w:rsidRDefault="00CE2A84" w:rsidP="00CE2A84">
      <w:pPr>
        <w:pStyle w:val="Bibliography"/>
        <w:spacing w:after="0"/>
        <w:contextualSpacing/>
      </w:pPr>
      <w:r>
        <w:t>300. Diliberti N, Bordi PL, Conklin MT, et al. Increased portion size leads to increased energy intake in a restaurant meal. Obes Res 2004;12:562–568.</w:t>
      </w:r>
    </w:p>
    <w:p w:rsidR="00CE2A84" w:rsidRDefault="00CE2A84" w:rsidP="00CE2A84">
      <w:pPr>
        <w:pStyle w:val="Bibliography"/>
        <w:spacing w:after="0"/>
        <w:contextualSpacing/>
      </w:pPr>
      <w:r>
        <w:t>301. Leahy KE, Birch LL, Fisher JO, et al. Reductions in entrée energy density increase children’s vegetable intake and reduce energy intake. Obes Silver Spring Md 2008;16:1559–1565.</w:t>
      </w:r>
    </w:p>
    <w:p w:rsidR="00CE2A84" w:rsidRDefault="00CE2A84" w:rsidP="00CE2A84">
      <w:pPr>
        <w:pStyle w:val="Bibliography"/>
        <w:spacing w:after="0"/>
        <w:contextualSpacing/>
      </w:pPr>
      <w:r>
        <w:t>302. Spence M, Livingstone MBE, Hollywood LE, et al. A qualitative study of psychological, social and behavioral barriers to appropriate food portion size control. Int J Behav Nutr Phys Act 2013;10:92.</w:t>
      </w:r>
    </w:p>
    <w:p w:rsidR="00CE2A84" w:rsidRDefault="00CE2A84" w:rsidP="00CE2A84">
      <w:pPr>
        <w:pStyle w:val="Bibliography"/>
        <w:spacing w:after="0"/>
        <w:contextualSpacing/>
      </w:pPr>
      <w:r>
        <w:t>303. Murphy M, Lusby AL, Bartges JW, et al. Size of food bowl and scoop affects amount of food owners feed their dogs. J Anim Physiol Anim Nutr 2012;96:237–241.</w:t>
      </w:r>
    </w:p>
    <w:p w:rsidR="00CE2A84" w:rsidRDefault="00CE2A84" w:rsidP="00CE2A84">
      <w:pPr>
        <w:pStyle w:val="Bibliography"/>
        <w:spacing w:after="0"/>
        <w:contextualSpacing/>
      </w:pPr>
      <w:r>
        <w:t>304. German AJ, Holden SL, Mason SL, et al. Imprecision when using measuring cups to weigh out extruded dry kibbled food. J Anim Physiol Anim Nutr 2011;95:368–373.</w:t>
      </w:r>
    </w:p>
    <w:p w:rsidR="00CE2A84" w:rsidRDefault="00CE2A84" w:rsidP="00CE2A84">
      <w:pPr>
        <w:pStyle w:val="Bibliography"/>
        <w:spacing w:after="0"/>
        <w:contextualSpacing/>
      </w:pPr>
      <w:r>
        <w:t>305. Wadden TA, Butryn ML, Byrne KJ. Efficacy of lifestyle modification for long-term weight control. Obes Res 2004;12 Suppl:151S–62S.</w:t>
      </w:r>
    </w:p>
    <w:p w:rsidR="00CE2A84" w:rsidRDefault="00CE2A84" w:rsidP="00CE2A84">
      <w:pPr>
        <w:pStyle w:val="Bibliography"/>
        <w:spacing w:after="0"/>
        <w:contextualSpacing/>
      </w:pPr>
      <w:r>
        <w:t>306. Avenell A, Broom J, Brown TJ, et al. Systematic review of the long-term effects and economic consequences of treatments for obesity and implications for health improvement. Health Technol Assess Winch Engl 2004;8:iii–iv, 1–182.</w:t>
      </w:r>
    </w:p>
    <w:p w:rsidR="00CE2A84" w:rsidRDefault="00CE2A84" w:rsidP="00CE2A84">
      <w:pPr>
        <w:pStyle w:val="Bibliography"/>
        <w:spacing w:after="0"/>
        <w:contextualSpacing/>
      </w:pPr>
      <w:r>
        <w:t>307. Slentz CA, Duscha BD, Johnson JL, et al. Effects of the amount of exercise on body weight, body composition, and measures of central obesity: STRRIDE--a randomized controlled study. Arch Intern Med 2004;164:31–39.</w:t>
      </w:r>
    </w:p>
    <w:p w:rsidR="00CE2A84" w:rsidRDefault="00CE2A84" w:rsidP="00CE2A84">
      <w:pPr>
        <w:pStyle w:val="Bibliography"/>
        <w:spacing w:after="0"/>
        <w:contextualSpacing/>
      </w:pPr>
      <w:r>
        <w:t>308. Kahn EB, Ramsey LT, Brownson RC, et al. The effectiveness of interventions to increase physical activity. A systematic review. Am J Prev Med 2002;22:73–107.</w:t>
      </w:r>
    </w:p>
    <w:p w:rsidR="00CE2A84" w:rsidRDefault="00CE2A84" w:rsidP="00CE2A84">
      <w:pPr>
        <w:pStyle w:val="Bibliography"/>
        <w:spacing w:after="0"/>
        <w:contextualSpacing/>
      </w:pPr>
      <w:r>
        <w:t>309. Dishman RK, Buckworth J. Increasing physical activity: a quantitative synthesis. Med Sci Sports Exerc 1996;28:706–719.</w:t>
      </w:r>
    </w:p>
    <w:p w:rsidR="00CE2A84" w:rsidRDefault="00CE2A84" w:rsidP="00CE2A84">
      <w:pPr>
        <w:pStyle w:val="Bibliography"/>
        <w:spacing w:after="0"/>
        <w:contextualSpacing/>
      </w:pPr>
      <w:r>
        <w:t>310. Matson-Koffman DM, Brownstein JN, Neiner JA, et al. A site-specific literature review of policy and environmental interventions that promote physical activity and nutrition for cardiovascular health: what works? Am J Health Promot AJHP 2005;19:167–193.</w:t>
      </w:r>
    </w:p>
    <w:p w:rsidR="00CE2A84" w:rsidRDefault="00CE2A84" w:rsidP="00CE2A84">
      <w:pPr>
        <w:pStyle w:val="Bibliography"/>
        <w:spacing w:after="0"/>
        <w:contextualSpacing/>
      </w:pPr>
      <w:r>
        <w:t>311. National Weight Control Registry. National Weight Control Registry. Available at: http://www.nwcr.ws/default.htm. Accessed November 29, 2012.</w:t>
      </w:r>
    </w:p>
    <w:p w:rsidR="00CE2A84" w:rsidRDefault="00CE2A84" w:rsidP="00CE2A84">
      <w:pPr>
        <w:pStyle w:val="Bibliography"/>
        <w:spacing w:after="0"/>
        <w:contextualSpacing/>
      </w:pPr>
      <w:r>
        <w:t>312. Donnelly JE, Blair SN, Jakicic JM, et al. American College of Sports Medicine Position Stand. Appropriate physical activity intervention strategies for weight loss and prevention of weight regain for adults. Med Sci Sports Exerc 2009;41:459–471.</w:t>
      </w:r>
    </w:p>
    <w:p w:rsidR="00CE2A84" w:rsidRDefault="00CE2A84" w:rsidP="00CE2A84">
      <w:pPr>
        <w:pStyle w:val="Bibliography"/>
        <w:spacing w:after="0"/>
        <w:contextualSpacing/>
      </w:pPr>
      <w:r>
        <w:t>313. Anon. Healthy Weight: Physical Activity for a Healthy Weight | DNPAO | CDC. Available at: http://www.cdc.gov/healthyweight/physical_activity/index.html. Accessed November 9, 2013.</w:t>
      </w:r>
    </w:p>
    <w:p w:rsidR="00CE2A84" w:rsidRDefault="00CE2A84" w:rsidP="00CE2A84">
      <w:pPr>
        <w:pStyle w:val="Bibliography"/>
        <w:spacing w:after="0"/>
        <w:contextualSpacing/>
      </w:pPr>
      <w:r>
        <w:t>314. Robertson ID. The association of exercise, diet and other factors with owner-perceived obesity in privately owned dogs from metropolitan Perth, WA. Prev Vet Med 2003;58:75–83.</w:t>
      </w:r>
    </w:p>
    <w:p w:rsidR="00CE2A84" w:rsidRDefault="00CE2A84" w:rsidP="00CE2A84">
      <w:pPr>
        <w:pStyle w:val="Bibliography"/>
        <w:spacing w:after="0"/>
        <w:contextualSpacing/>
      </w:pPr>
      <w:r>
        <w:t>315. Morrison R, Penpraze V, Beber A, et al. Associations between obesity and physical activity in dogs: a preliminary investigation. J Small Anim Pract 2013.</w:t>
      </w:r>
    </w:p>
    <w:p w:rsidR="00CE2A84" w:rsidRDefault="00CE2A84" w:rsidP="00CE2A84">
      <w:pPr>
        <w:pStyle w:val="Bibliography"/>
        <w:spacing w:after="0"/>
        <w:contextualSpacing/>
      </w:pPr>
      <w:r>
        <w:t>316. Chan CB, Spierenburg M, Ihle SL, et al. Use of pedometers to measure physical activity in dogs. J Am Vet Med Assoc 2005;226:2010–2015.</w:t>
      </w:r>
    </w:p>
    <w:p w:rsidR="00CE2A84" w:rsidRDefault="00CE2A84" w:rsidP="00CE2A84">
      <w:pPr>
        <w:pStyle w:val="Bibliography"/>
        <w:spacing w:after="0"/>
        <w:contextualSpacing/>
      </w:pPr>
      <w:r>
        <w:t>317. Wakshlag JJ, Struble AM, Warren BS, et al. Evaluation of dietary energy intake and physical activity in dogs undergoing a controlled weight-loss program. J Am Vet Med Assoc 2012;240:413–419.</w:t>
      </w:r>
    </w:p>
    <w:p w:rsidR="00CE2A84" w:rsidRDefault="00CE2A84" w:rsidP="00CE2A84">
      <w:pPr>
        <w:pStyle w:val="Bibliography"/>
        <w:spacing w:after="0"/>
        <w:contextualSpacing/>
      </w:pPr>
      <w:r>
        <w:t>318. Chauvet A, Laclair J, Elliott DA, et al. Incorporation of exercise, using an underwater treadmill, and active client education into a weight management program for obese dogs. Can Vet J Rev Vét Can 2011;52:491–496.</w:t>
      </w:r>
    </w:p>
    <w:p w:rsidR="00CE2A84" w:rsidRDefault="00CE2A84" w:rsidP="00CE2A84">
      <w:pPr>
        <w:pStyle w:val="Bibliography"/>
        <w:spacing w:after="0"/>
        <w:contextualSpacing/>
      </w:pPr>
      <w:r>
        <w:t>319. Ioannides-Demos LL, Piccenna L, McNeil JJ. Pharmacotherapies for obesity: past, current, and future therapies. J Obes 2011;2011:179674.</w:t>
      </w:r>
    </w:p>
    <w:p w:rsidR="00CE2A84" w:rsidRDefault="00CE2A84" w:rsidP="00CE2A84">
      <w:pPr>
        <w:pStyle w:val="Bibliography"/>
        <w:spacing w:after="0"/>
        <w:contextualSpacing/>
      </w:pPr>
      <w:r>
        <w:t>320. Coutinho W. The first decade of sibutramine and orlistat: a reappraisal of their expanding roles in the treatment of obesity and associated conditions. Arq Bras Endocrinol Amp Metabol 2009;53:262–270.</w:t>
      </w:r>
    </w:p>
    <w:p w:rsidR="00CE2A84" w:rsidRDefault="00CE2A84" w:rsidP="00CE2A84">
      <w:pPr>
        <w:pStyle w:val="Bibliography"/>
        <w:spacing w:after="0"/>
        <w:contextualSpacing/>
      </w:pPr>
      <w:r>
        <w:t>321. Hauptman JB, Jeunet FS, Hartmann D. Initial studies in humans with the novel gastrointestinal lipase inhibitor Ro 18-0647 (tetrahydrolipstatin). Am J Clin Nutr 1992;55:309S–313S.</w:t>
      </w:r>
    </w:p>
    <w:p w:rsidR="00CE2A84" w:rsidRDefault="00CE2A84" w:rsidP="00CE2A84">
      <w:pPr>
        <w:pStyle w:val="Bibliography"/>
        <w:spacing w:after="0"/>
        <w:contextualSpacing/>
      </w:pPr>
      <w:r>
        <w:t>322. O’Meara S, Riemsma R, Shirran L, et al. A systematic review of the clinical effectiveness of orlistat used for the management of obesity. Obes Rev Off J Int Assoc Study Obes 2004;5:51–68.</w:t>
      </w:r>
    </w:p>
    <w:p w:rsidR="00CE2A84" w:rsidRDefault="00CE2A84" w:rsidP="00CE2A84">
      <w:pPr>
        <w:pStyle w:val="Bibliography"/>
        <w:spacing w:after="0"/>
        <w:contextualSpacing/>
      </w:pPr>
      <w:r>
        <w:t>323. Wren JA, King VL, Campbell SL, et al. Biologic activity of dirlotapide, a novel microsomal triglyceride transfer protein inhibitor, for weight loss in obese dogs. J Vet Pharmacol Ther 2007;30 Suppl 1:33–42.</w:t>
      </w:r>
    </w:p>
    <w:p w:rsidR="00CE2A84" w:rsidRDefault="00CE2A84" w:rsidP="00CE2A84">
      <w:pPr>
        <w:pStyle w:val="Bibliography"/>
        <w:spacing w:after="0"/>
        <w:contextualSpacing/>
      </w:pPr>
      <w:r>
        <w:t>324. Wren JA, Gossellin J, Sunderland SJ. Dirlotapide: a review of its properties and role in the management of obesity in dogs. J Vet Pharmacol Ther 2007;30 Suppl 1:11–16.</w:t>
      </w:r>
    </w:p>
    <w:p w:rsidR="00CE2A84" w:rsidRDefault="00CE2A84" w:rsidP="00CE2A84">
      <w:pPr>
        <w:pStyle w:val="Bibliography"/>
        <w:spacing w:after="0"/>
        <w:contextualSpacing/>
      </w:pPr>
      <w:r>
        <w:t>325. Gossellin J, Peachey S, Sherington J, et al. Evaluation of dirlotapide for sustained weight loss in overweight Labrador retrievers. J Vet Pharmacol Ther 2007;30 Suppl 1:55–65.</w:t>
      </w:r>
    </w:p>
    <w:p w:rsidR="00CE2A84" w:rsidRDefault="00CE2A84" w:rsidP="00CE2A84">
      <w:pPr>
        <w:pStyle w:val="Bibliography"/>
        <w:spacing w:after="0"/>
        <w:contextualSpacing/>
      </w:pPr>
      <w:r>
        <w:t>326. Kirk CA, Boucher JF, Sunderland SJ, et al. Influence of dirlotapide, a microsomal triglyceride transfer protein inhibitor, on the digestibility of a dry expanded diet in adult dogs. J Vet Pharmacol Ther 2007;30 Suppl 1:66–72.</w:t>
      </w:r>
    </w:p>
    <w:p w:rsidR="00CE2A84" w:rsidRDefault="00CE2A84" w:rsidP="00CE2A84">
      <w:pPr>
        <w:pStyle w:val="Bibliography"/>
        <w:spacing w:after="0"/>
        <w:contextualSpacing/>
      </w:pPr>
      <w:r>
        <w:t>327. Zoetis. Slentrol (Dirlotapide) Prescribing Information. 2011. Available at: https://online.zoetis.com/US/EN/Products/Pages/Slentrol/Prescribing_Information.aspx. Accessed October 10, 2013.</w:t>
      </w:r>
    </w:p>
    <w:p w:rsidR="00CE2A84" w:rsidRDefault="00CE2A84" w:rsidP="00CE2A84">
      <w:pPr>
        <w:pStyle w:val="Bibliography"/>
        <w:spacing w:after="0"/>
        <w:contextualSpacing/>
      </w:pPr>
      <w:r>
        <w:t>328. Chan EW, He Y, Chui CSL, et al. Efficacy and safety of lorcaserin in obese adults: a meta-analysis of 1-year randomized controlled trials (RCTs) and narrative review on short-term RCTs. Obes Rev Off J Int Assoc Study Obes 2013;14:383–392.</w:t>
      </w:r>
    </w:p>
    <w:p w:rsidR="00CE2A84" w:rsidRDefault="00CE2A84" w:rsidP="00CE2A84">
      <w:pPr>
        <w:pStyle w:val="Bibliography"/>
        <w:spacing w:after="0"/>
        <w:contextualSpacing/>
      </w:pPr>
      <w:r>
        <w:t>329. Taylor JR, Dietrich E, Powell JG. New and emerging pharmacologic therapies for type 2 diabetes, dyslipidemia, and obesity. Clin Ther 2013;35:A3–17.</w:t>
      </w:r>
    </w:p>
    <w:p w:rsidR="00CE2A84" w:rsidRDefault="00CE2A84" w:rsidP="00CE2A84">
      <w:pPr>
        <w:pStyle w:val="Bibliography"/>
        <w:spacing w:after="0"/>
        <w:contextualSpacing/>
      </w:pPr>
      <w:r>
        <w:t>330. Kim GW, Lin JE, Blomain ES, et al. Anti-Obesity Pharmacotherapy: New Drugs and Emerging Targets. Clin Pharmacol Ther 2013.</w:t>
      </w:r>
    </w:p>
    <w:p w:rsidR="00CE2A84" w:rsidRDefault="00CE2A84" w:rsidP="00CE2A84">
      <w:pPr>
        <w:pStyle w:val="Bibliography"/>
        <w:spacing w:after="0"/>
        <w:contextualSpacing/>
      </w:pPr>
      <w:r>
        <w:t>331. Allison DB, Gadde KM, Garvey WT, et al. Controlled-release phentermine/topiramate in severely obese adults: a randomized controlled trial (EQUIP). Obes Silver Spring Md 2012;20:330–342.</w:t>
      </w:r>
    </w:p>
    <w:p w:rsidR="00CE2A84" w:rsidRDefault="00CE2A84" w:rsidP="00CE2A84">
      <w:pPr>
        <w:pStyle w:val="Bibliography"/>
        <w:spacing w:after="0"/>
        <w:contextualSpacing/>
      </w:pPr>
      <w:r>
        <w:t>332. Gadde KM, Allison DB, Ryan DH, et al. Effects of low-dose, controlled-release, phentermine plus topiramate combination on weight and associated comorbidities in overweight and obese adults (CONQUER): a randomised, placebo-controlled, phase 3 trial. Lancet 2011;377:1341–1352.</w:t>
      </w:r>
    </w:p>
    <w:p w:rsidR="00CE2A84" w:rsidRDefault="00CE2A84" w:rsidP="00CE2A84">
      <w:pPr>
        <w:pStyle w:val="Bibliography"/>
        <w:spacing w:after="0"/>
        <w:contextualSpacing/>
      </w:pPr>
      <w:r>
        <w:t>333. Garvey WT, Ryan DH, Look M, et al. Two-year sustained weight loss and metabolic benefits with controlled-release phentermine/topiramate in obese and overweight adults (SEQUEL): a randomized, placebo-controlled, phase 3 extension study. Am J Clin Nutr 2012;95:297–308.</w:t>
      </w:r>
    </w:p>
    <w:p w:rsidR="00CE2A84" w:rsidRDefault="00CE2A84" w:rsidP="00CE2A84">
      <w:pPr>
        <w:pStyle w:val="Bibliography"/>
        <w:spacing w:after="0"/>
        <w:contextualSpacing/>
      </w:pPr>
      <w:r>
        <w:t>334. Roudebush P, Schoenherr WD, Delaney SJ. An evidence-based review of the use of nutraceuticals and dietary supplementation for the management of obese and overweight pets. J Am Vet Med Assoc 2008;232:1646–1655.</w:t>
      </w:r>
    </w:p>
    <w:p w:rsidR="00CE2A84" w:rsidRDefault="00CE2A84" w:rsidP="00CE2A84">
      <w:pPr>
        <w:pStyle w:val="Bibliography"/>
        <w:spacing w:after="0"/>
        <w:contextualSpacing/>
      </w:pPr>
      <w:r>
        <w:t>335. Rosenblatt S, Willauer C, Timmel A, et al. Use of commercial starch blockers in canine weight loss. J Am Holist Vet Med Assoc 2004:43–45.</w:t>
      </w:r>
    </w:p>
    <w:p w:rsidR="00CE2A84" w:rsidRDefault="00CE2A84" w:rsidP="00CE2A84">
      <w:pPr>
        <w:pStyle w:val="Bibliography"/>
        <w:spacing w:after="0"/>
        <w:contextualSpacing/>
      </w:pPr>
      <w:r>
        <w:t>336. Koike D, Yamadera K, DiMagno EP. Effect of a wheat amylase inhibitor on canine carbohydrate digestion, gastrointestinal function, and pancreatic growth. Gastroenterology 1995;108:1221–1229.</w:t>
      </w:r>
    </w:p>
    <w:p w:rsidR="00CE2A84" w:rsidRDefault="00CE2A84" w:rsidP="00CE2A84">
      <w:pPr>
        <w:pStyle w:val="Bibliography"/>
        <w:spacing w:after="0"/>
        <w:contextualSpacing/>
      </w:pPr>
      <w:r>
        <w:t>337. Thavanesan N. The putative effects of green tea on body fat: an evaluation of the evidence and a review of the potential mechanisms. Br J Nutr 2011;106:1297–1309.</w:t>
      </w:r>
    </w:p>
    <w:p w:rsidR="00CE2A84" w:rsidRDefault="00CE2A84" w:rsidP="00CE2A84">
      <w:pPr>
        <w:pStyle w:val="Bibliography"/>
        <w:spacing w:after="0"/>
        <w:contextualSpacing/>
      </w:pPr>
      <w:r>
        <w:t>338. Kao YH, Hiipakka RA, Liao S. Modulation of endocrine systems and food intake by green tea epigallocatechin gallate. Endocrinology 2000;141:980–987.</w:t>
      </w:r>
    </w:p>
    <w:p w:rsidR="00CE2A84" w:rsidRDefault="00CE2A84" w:rsidP="00CE2A84">
      <w:pPr>
        <w:pStyle w:val="Bibliography"/>
        <w:spacing w:after="0"/>
        <w:contextualSpacing/>
      </w:pPr>
      <w:r>
        <w:t>339. Hodgson AB, Randell RK, Jeukendrup AE. The effect of green tea extract on fat oxidation at rest and during exercise: evidence of efficacy and proposed mechanisms. Adv Nutr Bethesda Md 2013;4:129–140.</w:t>
      </w:r>
    </w:p>
    <w:p w:rsidR="00CE2A84" w:rsidRDefault="00CE2A84" w:rsidP="00CE2A84">
      <w:pPr>
        <w:pStyle w:val="Bibliography"/>
        <w:spacing w:after="0"/>
        <w:contextualSpacing/>
      </w:pPr>
      <w:r>
        <w:t>340. Serisier S, Leray V, Poudroux W, et al. Effects of green tea on insulin sensitivity, lipid profile and expression of PPARalpha and PPARgamma and their target genes in obese dogs. Br J Nutr 2008;99:1208–1216.</w:t>
      </w:r>
    </w:p>
    <w:p w:rsidR="00CE2A84" w:rsidRDefault="00CE2A84" w:rsidP="00CE2A84">
      <w:pPr>
        <w:pStyle w:val="Bibliography"/>
        <w:spacing w:after="0"/>
        <w:contextualSpacing/>
      </w:pPr>
      <w:r>
        <w:t>341. Anderson RA. Chromium, glucose intolerance and diabetes. J Am Coll Nutr 1998;17:548–555.</w:t>
      </w:r>
    </w:p>
    <w:p w:rsidR="00CE2A84" w:rsidRDefault="00CE2A84" w:rsidP="00CE2A84">
      <w:pPr>
        <w:pStyle w:val="Bibliography"/>
        <w:spacing w:after="0"/>
        <w:contextualSpacing/>
      </w:pPr>
      <w:r>
        <w:t>342. Vincent JB. Mechanisms of chromium action: low-molecular-weight chromium-binding substance. J Am Coll Nutr 1999;18:6–12.</w:t>
      </w:r>
    </w:p>
    <w:p w:rsidR="00CE2A84" w:rsidRDefault="00CE2A84" w:rsidP="00CE2A84">
      <w:pPr>
        <w:pStyle w:val="Bibliography"/>
        <w:spacing w:after="0"/>
        <w:contextualSpacing/>
      </w:pPr>
      <w:r>
        <w:t>343. Onakpoya I, Posadzki P, Ernst E. Chromium supplementation in overweight and obesity: a systematic review and meta-analysis of randomized clinical trials. Obes Rev Off J Int Assoc Study Obes 2013;14:496–507.</w:t>
      </w:r>
    </w:p>
    <w:p w:rsidR="00CE2A84" w:rsidRDefault="00CE2A84" w:rsidP="00CE2A84">
      <w:pPr>
        <w:pStyle w:val="Bibliography"/>
        <w:spacing w:after="0"/>
        <w:contextualSpacing/>
      </w:pPr>
      <w:r>
        <w:t>344. Pittler MH, Stevinson C, Ernst E. Chromium picolinate for reducing body weight: meta-analysis of randomized trials. Int J Obes Relat Metab Disord J Int Assoc Study Obes 2003;27:522–529.</w:t>
      </w:r>
    </w:p>
    <w:p w:rsidR="00CE2A84" w:rsidRDefault="00CE2A84" w:rsidP="00CE2A84">
      <w:pPr>
        <w:pStyle w:val="Bibliography"/>
        <w:spacing w:after="0"/>
        <w:contextualSpacing/>
      </w:pPr>
      <w:r>
        <w:t>345. Schachter S, Nelson RW, Kirk CA. Oral chromium picolinate and control of glycemia in insulin-treated diabetic dogs. J Vet Intern Med Am Coll Vet Intern Med 2001;15:379–384.</w:t>
      </w:r>
    </w:p>
    <w:p w:rsidR="00CE2A84" w:rsidRDefault="00CE2A84" w:rsidP="00CE2A84">
      <w:pPr>
        <w:pStyle w:val="Bibliography"/>
        <w:spacing w:after="0"/>
        <w:contextualSpacing/>
      </w:pPr>
      <w:r>
        <w:t>346. USDA. USDA National Nutrient Database for Standard Reference. USDA Agric Res Serv Nutr Data Lab. Available at: http://www.nal.usda.gov/fnic/foodcomp/search/. Accessed August 3, 2010.</w:t>
      </w:r>
    </w:p>
    <w:p w:rsidR="00CE2A84" w:rsidRDefault="00CE2A84" w:rsidP="00CE2A84">
      <w:pPr>
        <w:pStyle w:val="Bibliography"/>
        <w:spacing w:after="0"/>
        <w:contextualSpacing/>
      </w:pPr>
      <w:r>
        <w:t>347. Zemel MB, Bruckbauer A. Effects of a leucine and pyridoxine-containing nutraceutical on body weight and composition in obese subjects. Diabetes Metab Syndr Obes Targets Ther 2013;6:309–315.</w:t>
      </w:r>
    </w:p>
    <w:p w:rsidR="00CE2A84" w:rsidRDefault="00CE2A84" w:rsidP="00CE2A84">
      <w:pPr>
        <w:pStyle w:val="Bibliography"/>
        <w:spacing w:after="0"/>
        <w:contextualSpacing/>
      </w:pPr>
      <w:r>
        <w:t>348. Sun X, Zemel MB. Leucine and calcium regulate fat metabolism and energy partitioning in murine adipocytes and muscle cells. Lipids 2007;42:297–305.</w:t>
      </w:r>
    </w:p>
    <w:p w:rsidR="00CE2A84" w:rsidRDefault="00CE2A84" w:rsidP="00CE2A84">
      <w:pPr>
        <w:pStyle w:val="Bibliography"/>
        <w:spacing w:after="0"/>
        <w:contextualSpacing/>
      </w:pPr>
      <w:r>
        <w:t>349. Sun X, Zemel MB. Leucine modulation of mitochondrial mass and oxygen consumption in skeletal muscle cells and adipocytes. Nutr Metab 2009;6:26.</w:t>
      </w:r>
    </w:p>
    <w:p w:rsidR="00CE2A84" w:rsidRDefault="00CE2A84" w:rsidP="00CE2A84">
      <w:pPr>
        <w:pStyle w:val="Bibliography"/>
        <w:spacing w:after="0"/>
        <w:contextualSpacing/>
      </w:pPr>
      <w:r>
        <w:t>350. Macotela Y, Emanuelli B, Bång AM, et al. Dietary leucine--an environmental modifier of insulin resistance acting on multiple levels of metabolism. PloS One 2011;6:e21187.</w:t>
      </w:r>
    </w:p>
    <w:p w:rsidR="00CE2A84" w:rsidRDefault="00CE2A84" w:rsidP="00CE2A84">
      <w:pPr>
        <w:pStyle w:val="Bibliography"/>
        <w:spacing w:after="0"/>
        <w:contextualSpacing/>
      </w:pPr>
      <w:r>
        <w:t>351. Zhang Y, Guo K, LeBlanc RE, et al. Increasing dietary leucine intake reduces diet-induced obesity and improves glucose and cholesterol metabolism in mice via multimechanisms. Diabetes 2007;56:1647–1654.</w:t>
      </w:r>
    </w:p>
    <w:p w:rsidR="00CE2A84" w:rsidRDefault="00CE2A84" w:rsidP="00CE2A84">
      <w:pPr>
        <w:pStyle w:val="Bibliography"/>
        <w:spacing w:after="0"/>
        <w:contextualSpacing/>
      </w:pPr>
      <w:r>
        <w:t>352. Donato J Jr, Pedrosa RG, Cruzat VF, et al. Effects of leucine supplementation on the body composition and protein status of rats submitted to food restriction. Nutr Burbank Los Angel Cty Calif 2006;22:520–527.</w:t>
      </w:r>
    </w:p>
    <w:p w:rsidR="00CE2A84" w:rsidRDefault="00CE2A84" w:rsidP="00CE2A84">
      <w:pPr>
        <w:pStyle w:val="Bibliography"/>
        <w:spacing w:after="0"/>
        <w:contextualSpacing/>
      </w:pPr>
      <w:r>
        <w:t>353. Paul L, Ueland PM, Selhub J. Mechanistic perspective on the relationship between pyridoxal 5’-phosphate and inflammation. Nutr Rev 2013;71:239–244.</w:t>
      </w:r>
    </w:p>
    <w:p w:rsidR="00CE2A84" w:rsidRDefault="00CE2A84" w:rsidP="00CE2A84">
      <w:pPr>
        <w:pStyle w:val="Bibliography"/>
        <w:spacing w:after="0"/>
        <w:contextualSpacing/>
      </w:pPr>
      <w:r>
        <w:t>354. Zemel MB, Bruckbauer A. Effects of a leucine and pyridoxine-containing nutraceutical on fat oxidation, and oxidative and inflammatory stress in overweight and obese subjects. Nutrients 2012;4:529–541.</w:t>
      </w:r>
    </w:p>
    <w:p w:rsidR="00CE2A84" w:rsidRDefault="00CE2A84" w:rsidP="00CE2A84">
      <w:pPr>
        <w:pStyle w:val="Bibliography"/>
        <w:spacing w:after="0"/>
        <w:contextualSpacing/>
      </w:pPr>
      <w:r>
        <w:t>355. Bruckbauer A, Zemel MB. Effects of dairy consumption on SIRT1 and mitochondrial biogenesis in adipocytes and muscle cells. Nutr Metab 2011;8:91.</w:t>
      </w:r>
    </w:p>
    <w:p w:rsidR="00CE2A84" w:rsidRDefault="00CE2A84" w:rsidP="00CE2A84">
      <w:pPr>
        <w:pStyle w:val="Bibliography"/>
        <w:spacing w:after="0"/>
        <w:contextualSpacing/>
      </w:pPr>
      <w:r>
        <w:t>356. Bruckbauer A, Zemel MB, Thorpe T, et al. Synergistic effects of leucine and resveratrol on insulin sensitivity and fat metabolism in adipocytes and mice. Nutr Metab 2012;9:77.</w:t>
      </w:r>
    </w:p>
    <w:p w:rsidR="00CE2A84" w:rsidRDefault="00CE2A84" w:rsidP="00CE2A84">
      <w:pPr>
        <w:pStyle w:val="Bibliography"/>
        <w:spacing w:after="0"/>
        <w:contextualSpacing/>
      </w:pPr>
      <w:r>
        <w:t>357. Buse MG, Reid SS. Leucine. A possible regulator of protein turnover in muscle. J Clin Invest 1975;56:1250–1261.</w:t>
      </w:r>
    </w:p>
    <w:p w:rsidR="00CE2A84" w:rsidRDefault="00CE2A84" w:rsidP="00CE2A84">
      <w:pPr>
        <w:pStyle w:val="Bibliography"/>
        <w:spacing w:after="0"/>
        <w:contextualSpacing/>
      </w:pPr>
      <w:r>
        <w:t>358. Anthony JC, Anthony TG, Kimball SR, et al. Orally administered leucine stimulates protein synthesis in skeletal muscle of postabsorptive rats in association with increased eIF4F formation. J Nutr 2000;130:139–145.</w:t>
      </w:r>
    </w:p>
    <w:p w:rsidR="00CE2A84" w:rsidRDefault="00CE2A84" w:rsidP="00CE2A84">
      <w:pPr>
        <w:pStyle w:val="Bibliography"/>
        <w:spacing w:after="0"/>
        <w:contextualSpacing/>
      </w:pPr>
      <w:r>
        <w:t>359. Li JB, Jefferson LS. Influence of amino acid availability on protein turnover in perfused skeletal muscle. Biochim Biophys Acta 1978;544:351–359.</w:t>
      </w:r>
    </w:p>
    <w:p w:rsidR="00CE2A84" w:rsidRDefault="00CE2A84" w:rsidP="00CE2A84">
      <w:pPr>
        <w:pStyle w:val="Bibliography"/>
        <w:spacing w:after="0"/>
        <w:contextualSpacing/>
      </w:pPr>
      <w:r>
        <w:t>360. Hong SO, Layman DK. Effects of leucine on in vitro protein synthesis and degradation in rat skeletal muscles. J Nutr 1984;114:1204–1212.</w:t>
      </w:r>
    </w:p>
    <w:p w:rsidR="00CE2A84" w:rsidRDefault="00CE2A84" w:rsidP="00CE2A84">
      <w:pPr>
        <w:pStyle w:val="Bibliography"/>
        <w:spacing w:after="0"/>
        <w:contextualSpacing/>
      </w:pPr>
      <w:r>
        <w:t>361. Anthony JC, Anthony TG, Kimball SR, et al. Signaling pathways involved in translational control of protein synthesis in skeletal muscle by leucine. J Nutr 2001;131:856S–860S.</w:t>
      </w:r>
    </w:p>
    <w:p w:rsidR="00CE2A84" w:rsidRDefault="00CE2A84" w:rsidP="00CE2A84">
      <w:pPr>
        <w:pStyle w:val="Bibliography"/>
        <w:spacing w:after="0"/>
        <w:contextualSpacing/>
      </w:pPr>
      <w:r>
        <w:t>362. Stipanuk MH. Leucine and protein synthesis: mTOR and beyond. Nutr Rev 2007;65:122–129.</w:t>
      </w:r>
    </w:p>
    <w:p w:rsidR="00CE2A84" w:rsidRDefault="00CE2A84" w:rsidP="00CE2A84">
      <w:pPr>
        <w:pStyle w:val="Bibliography"/>
        <w:spacing w:after="0"/>
        <w:contextualSpacing/>
      </w:pPr>
      <w:r>
        <w:t>363. Laplante M, Sabatini DM. mTOR signaling at a glance. J Cell Sci 2009;122:3589–3594.</w:t>
      </w:r>
    </w:p>
    <w:p w:rsidR="00CE2A84" w:rsidRDefault="00CE2A84" w:rsidP="00CE2A84">
      <w:pPr>
        <w:pStyle w:val="Bibliography"/>
        <w:spacing w:after="0"/>
        <w:contextualSpacing/>
      </w:pPr>
      <w:r>
        <w:t>364. Um SH, D’Alessio D, Thomas G. Nutrient overload, insulin resistance, and ribosomal protein S6 kinase 1, S6K1. Cell Metab 2006;3:393–402.</w:t>
      </w:r>
    </w:p>
    <w:p w:rsidR="00CE2A84" w:rsidRDefault="00CE2A84" w:rsidP="00CE2A84">
      <w:pPr>
        <w:pStyle w:val="Bibliography"/>
        <w:spacing w:after="0"/>
        <w:contextualSpacing/>
      </w:pPr>
      <w:r>
        <w:t>365. Hay N, Sonenberg N. Upstream and downstream of mTOR. Genes Dev 2004;18:1926–1945.</w:t>
      </w:r>
    </w:p>
    <w:p w:rsidR="00CE2A84" w:rsidRDefault="00CE2A84" w:rsidP="00CE2A84">
      <w:pPr>
        <w:pStyle w:val="Bibliography"/>
        <w:spacing w:after="0"/>
        <w:contextualSpacing/>
      </w:pPr>
      <w:r>
        <w:t>366. Buchkovich NJ, Yu Y, Zampieri CA, et al. The TORrid affairs of viruses: effects of mammalian DNA viruses on the PI3K–Akt–mTOR signalling pathway. Nat Rev Microbiol 2008;6:266–275.</w:t>
      </w:r>
    </w:p>
    <w:p w:rsidR="00CE2A84" w:rsidRDefault="00CE2A84" w:rsidP="00CE2A84">
      <w:pPr>
        <w:pStyle w:val="Bibliography"/>
        <w:spacing w:after="0"/>
        <w:contextualSpacing/>
      </w:pPr>
      <w:r>
        <w:t>367. André C, Cota D. Coupling nutrient sensing to metabolic homoeostasis: the role of the mammalian target of rapamycin complex 1 pathway. Proc Nutr Soc 2012;71:502–510.</w:t>
      </w:r>
    </w:p>
    <w:p w:rsidR="00CE2A84" w:rsidRDefault="00CE2A84" w:rsidP="00CE2A84">
      <w:pPr>
        <w:pStyle w:val="Bibliography"/>
        <w:spacing w:after="0"/>
        <w:contextualSpacing/>
      </w:pPr>
      <w:r>
        <w:t>368. Anthony JC, Lang CH, Crozier SJ, et al. Contribution of insulin to the translational control of protein synthesis in skeletal muscle by leucine. Am J Physiol Endocrinol Metab 2002;282:E1092–1101.</w:t>
      </w:r>
    </w:p>
    <w:p w:rsidR="00CE2A84" w:rsidRDefault="00CE2A84" w:rsidP="00CE2A84">
      <w:pPr>
        <w:pStyle w:val="Bibliography"/>
        <w:spacing w:after="0"/>
        <w:contextualSpacing/>
      </w:pPr>
      <w:r>
        <w:t>369. Lynch CJ, Patson BJ, Anthony J, et al. Leucine is a direct-acting nutrient signal that regulates protein synthesis in adipose tissue. Am J Physiol Endocrinol Metab 2002;283:E503–513.</w:t>
      </w:r>
    </w:p>
    <w:p w:rsidR="00CE2A84" w:rsidRDefault="00CE2A84" w:rsidP="00CE2A84">
      <w:pPr>
        <w:pStyle w:val="Bibliography"/>
        <w:spacing w:after="0"/>
        <w:contextualSpacing/>
      </w:pPr>
      <w:r>
        <w:t>370. Crozier SJ, Kimball SR, Emmert SW, et al. Oral leucine administration stimulates protein synthesis in rat skeletal muscle. J Nutr 2005;135:376–382.</w:t>
      </w:r>
    </w:p>
    <w:p w:rsidR="00CE2A84" w:rsidRDefault="00CE2A84" w:rsidP="00CE2A84">
      <w:pPr>
        <w:pStyle w:val="Bibliography"/>
        <w:spacing w:after="0"/>
        <w:contextualSpacing/>
      </w:pPr>
      <w:r>
        <w:t>371. Eley HL, Russell ST, Tisdale MJ. Effect of branched-chain amino acids on muscle atrophy in cancer cachexia. Biochem J 2007;407:113–120.</w:t>
      </w:r>
    </w:p>
    <w:p w:rsidR="00CE2A84" w:rsidRDefault="00CE2A84" w:rsidP="00CE2A84">
      <w:pPr>
        <w:pStyle w:val="Bibliography"/>
        <w:spacing w:after="0"/>
        <w:contextualSpacing/>
      </w:pPr>
      <w:r>
        <w:t>372. Combaret L, Dardevet D, Rieu I, et al. A leucine-supplemented diet restores the defective postprandial inhibition of proteasome-dependent proteolysis in aged rat skeletal muscle. J Physiol 2005;569:489–499.</w:t>
      </w:r>
    </w:p>
    <w:p w:rsidR="00CE2A84" w:rsidRDefault="00CE2A84" w:rsidP="00CE2A84">
      <w:pPr>
        <w:pStyle w:val="Bibliography"/>
        <w:spacing w:after="0"/>
        <w:contextualSpacing/>
      </w:pPr>
      <w:r>
        <w:t>373. Debigaré R, Price SR. Proteolysis, the ubiquitin-proteasome system, and renal diseases. Am J Physiol - Ren Physiol 2003;285:F1–F8.</w:t>
      </w:r>
    </w:p>
    <w:p w:rsidR="00CE2A84" w:rsidRDefault="00CE2A84" w:rsidP="00CE2A84">
      <w:pPr>
        <w:pStyle w:val="Bibliography"/>
        <w:spacing w:after="0"/>
        <w:contextualSpacing/>
      </w:pPr>
      <w:r>
        <w:t>374. Zanchi NE, Nicastro H, Lancha AH Jr. Potential antiproteolytic effects of L-leucine: observations of in vitro and in vivo studies. Nutr Metab 2008;5:20.</w:t>
      </w:r>
    </w:p>
    <w:p w:rsidR="00CE2A84" w:rsidRDefault="00CE2A84" w:rsidP="00CE2A84">
      <w:pPr>
        <w:pStyle w:val="Bibliography"/>
        <w:spacing w:after="0"/>
        <w:contextualSpacing/>
      </w:pPr>
      <w:r>
        <w:t>375. Ventrucci G, Mello MAR, Gomes-Marcondes MCC. Proteasome activity is altered in skeletal muscle tissue of tumour-bearing rats a leucine-rich diet. Endocr Relat Cancer 2004;11:887–895.</w:t>
      </w:r>
    </w:p>
    <w:p w:rsidR="00CE2A84" w:rsidRDefault="00CE2A84" w:rsidP="00CE2A84">
      <w:pPr>
        <w:pStyle w:val="Bibliography"/>
        <w:spacing w:after="0"/>
        <w:contextualSpacing/>
      </w:pPr>
      <w:r>
        <w:t>376. Ropelle ER, Pauli JR, Fernandes MFA, et al. A central role for neuronal AMP-activated protein kinase (AMPK) and mammalian target of rapamycin (mTOR) in high-protein diet-induced weight loss. Diabetes 2008;57:594–605.</w:t>
      </w:r>
    </w:p>
    <w:p w:rsidR="00CE2A84" w:rsidRDefault="00CE2A84" w:rsidP="00CE2A84">
      <w:pPr>
        <w:pStyle w:val="Bibliography"/>
        <w:spacing w:after="0"/>
        <w:contextualSpacing/>
      </w:pPr>
      <w:r>
        <w:t>377. McAllan L, Cotter PD, Roche HM, et al. Impact of leucine on energy balance. J Physiol Biochem 2013;69:155–163.</w:t>
      </w:r>
    </w:p>
    <w:p w:rsidR="00CE2A84" w:rsidRDefault="00CE2A84" w:rsidP="00CE2A84">
      <w:pPr>
        <w:pStyle w:val="Bibliography"/>
        <w:spacing w:after="0"/>
        <w:contextualSpacing/>
      </w:pPr>
      <w:r>
        <w:t>378. Blouet C, Jo Y-H, Li X, et al. Mediobasal hypothalamic leucine sensing regulates food intake through activation of a hypothalamus-brainstem circuit. J Neurosci Off J Soc Neurosci 2009;29:8302–8311.</w:t>
      </w:r>
    </w:p>
    <w:p w:rsidR="00CE2A84" w:rsidRDefault="00CE2A84" w:rsidP="00CE2A84">
      <w:pPr>
        <w:pStyle w:val="Bibliography"/>
        <w:spacing w:after="0"/>
        <w:contextualSpacing/>
      </w:pPr>
      <w:r>
        <w:t>379. Cota D, Proulx K, Smith KAB, et al. Hypothalamic mTOR signaling regulates food intake. Science 2006;312:927–930.</w:t>
      </w:r>
    </w:p>
    <w:p w:rsidR="00CE2A84" w:rsidRDefault="00CE2A84" w:rsidP="00CE2A84">
      <w:pPr>
        <w:pStyle w:val="Bibliography"/>
        <w:spacing w:after="0"/>
        <w:contextualSpacing/>
      </w:pPr>
      <w:r>
        <w:t>380. Mashiko S, Ishihara A, Iwaasa H, et al. A pair-feeding study reveals that a Y5 antagonist causes weight loss in diet-induced obese mice by modulating food intake and energy expenditure. Mol Pharmacol 2007;71:602–608.</w:t>
      </w:r>
    </w:p>
    <w:p w:rsidR="00CE2A84" w:rsidRDefault="00CE2A84" w:rsidP="00CE2A84">
      <w:pPr>
        <w:pStyle w:val="Bibliography"/>
        <w:spacing w:after="0"/>
        <w:contextualSpacing/>
      </w:pPr>
      <w:r>
        <w:t>381. Raposinho PD, Pierroz DD, Broqua P, et al. Chronic administration of neuropeptide Y into the lateral ventricle of C57BL/6J male mice produces an obesity syndrome including hyperphagia, hyperleptinemia, insulin resistance, and hypogonadism. Mol Cell Endocrinol 2001;185:195–204.</w:t>
      </w:r>
    </w:p>
    <w:p w:rsidR="00CE2A84" w:rsidRDefault="00CE2A84" w:rsidP="00CE2A84">
      <w:pPr>
        <w:pStyle w:val="Bibliography"/>
        <w:spacing w:after="0"/>
        <w:contextualSpacing/>
      </w:pPr>
      <w:r>
        <w:t>382. National Research Council of the National Academies. Protein and Amino Acids. In: Nutrient Requirements of Dogs and Cats. [Rev. ed.].. Washington, DC: National Academies Press; 2006:111–144.</w:t>
      </w:r>
    </w:p>
    <w:p w:rsidR="00CE2A84" w:rsidRDefault="00CE2A84" w:rsidP="00CE2A84">
      <w:pPr>
        <w:pStyle w:val="Bibliography"/>
        <w:spacing w:after="0"/>
        <w:contextualSpacing/>
      </w:pPr>
      <w:r>
        <w:t>383. Richards SE, Wang Y, Claus SP, et al. Metabolic phenotype modulation by caloric restriction in a lifelong dog study. J Proteome Res 2013;12:3117–3127.</w:t>
      </w:r>
    </w:p>
    <w:p w:rsidR="00CE2A84" w:rsidRDefault="00CE2A84" w:rsidP="00CE2A84">
      <w:pPr>
        <w:pStyle w:val="Bibliography"/>
        <w:spacing w:after="0"/>
        <w:contextualSpacing/>
      </w:pPr>
      <w:r>
        <w:t>384. Lal KJ, Sharma SK, Dakshinamurti K. Regulation of calcium influx into vascular smooth muscle by vitamin B6. Clin Exp Hypertens N Y N 1993 1993;15:489–500.</w:t>
      </w:r>
    </w:p>
    <w:p w:rsidR="00CE2A84" w:rsidRDefault="00CE2A84" w:rsidP="00CE2A84">
      <w:pPr>
        <w:pStyle w:val="Bibliography"/>
        <w:spacing w:after="0"/>
        <w:contextualSpacing/>
      </w:pPr>
      <w:r>
        <w:t>385. Dakshinamurti K, Lal KJ, Ganguly PK. Hypertension, calcium channel and pyridoxine (vitamin B6). Mol Cell Biochem 1998;188:137–148.</w:t>
      </w:r>
    </w:p>
    <w:p w:rsidR="00CE2A84" w:rsidRDefault="00CE2A84" w:rsidP="00CE2A84">
      <w:pPr>
        <w:pStyle w:val="Bibliography"/>
        <w:spacing w:after="0"/>
        <w:contextualSpacing/>
      </w:pPr>
      <w:r>
        <w:t>386. Vasdev S, Ford CA, Parai S, et al. Dietary vitamin B6 supplementation attenuates hypertension in spontaneously hypertensive rats. Mol Cell Biochem 1999;200:155–162.</w:t>
      </w:r>
    </w:p>
    <w:p w:rsidR="00CE2A84" w:rsidRDefault="00CE2A84" w:rsidP="00CE2A84">
      <w:pPr>
        <w:pStyle w:val="Bibliography"/>
        <w:spacing w:after="0"/>
        <w:contextualSpacing/>
      </w:pPr>
      <w:r>
        <w:t>387. Claycombe KJ, Wang Y, Jones BH, et al. Transcriptional regulation of the adipocyte fatty acid synthase gene by agouti: interaction with insulin. Physiol Genomics 2000;3:157–162.</w:t>
      </w:r>
    </w:p>
    <w:p w:rsidR="00CE2A84" w:rsidRDefault="00CE2A84" w:rsidP="00CE2A84">
      <w:pPr>
        <w:pStyle w:val="Bibliography"/>
        <w:spacing w:after="0"/>
        <w:contextualSpacing/>
      </w:pPr>
      <w:r>
        <w:t>388. Xue B, Zemel MB. Relationship between human adipose tissue agouti and fatty acid synthase (FAS). J Nutr 2000;130:2478–2481.</w:t>
      </w:r>
    </w:p>
    <w:p w:rsidR="00CE2A84" w:rsidRDefault="00CE2A84" w:rsidP="00CE2A84">
      <w:pPr>
        <w:pStyle w:val="Bibliography"/>
        <w:spacing w:after="0"/>
        <w:contextualSpacing/>
      </w:pPr>
      <w:r>
        <w:t>389. Shi H, Moustaid-Moussa N, Wilkison WO, et al. Role of the sulfonylurea receptor in regulating human adipocyte metabolism. FASEB J Off Publ Fed Am Soc Exp Biol 1999;13:1833–1838.</w:t>
      </w:r>
    </w:p>
    <w:p w:rsidR="00CE2A84" w:rsidRDefault="00CE2A84" w:rsidP="00CE2A84">
      <w:pPr>
        <w:pStyle w:val="Bibliography"/>
        <w:spacing w:after="0"/>
        <w:contextualSpacing/>
      </w:pPr>
      <w:r>
        <w:t>390. Xue B, Moustaid-N, Wilkison WO, et al. The agouti gene product inhibits lipolysis in human adipocytes via a Ca2+-dependent mechanism. FASEB J Off Publ Fed Am Soc Exp Biol 1998;12:1391–1396.</w:t>
      </w:r>
    </w:p>
    <w:p w:rsidR="00CE2A84" w:rsidRDefault="00CE2A84" w:rsidP="00CE2A84">
      <w:pPr>
        <w:pStyle w:val="Bibliography"/>
        <w:spacing w:after="0"/>
        <w:contextualSpacing/>
      </w:pPr>
      <w:r>
        <w:t>391. Xue B, Greenberg AG, Kraemer FB, et al. Mechanism of intracellular calcium ([Ca2+]i) inhibition of lipolysis in human adipocytes. FASEB J Off Publ Fed Am Soc Exp Biol 2001;15:2527–2529.</w:t>
      </w:r>
    </w:p>
    <w:p w:rsidR="00CE2A84" w:rsidRDefault="00CE2A84" w:rsidP="00CE2A84">
      <w:pPr>
        <w:pStyle w:val="Bibliography"/>
        <w:spacing w:after="0"/>
        <w:contextualSpacing/>
      </w:pPr>
      <w:r>
        <w:t>392. National Research Council of the National Academies. Vitamins. In: Nutrient Requirements of Dogs and Cats. [Rev. ed.].. Washington, DC: National Academy Press; 2006:193–245.</w:t>
      </w:r>
    </w:p>
    <w:p w:rsidR="00CE2A84" w:rsidRDefault="00CE2A84" w:rsidP="00CE2A84">
      <w:pPr>
        <w:pStyle w:val="Bibliography"/>
        <w:spacing w:after="0"/>
        <w:contextualSpacing/>
      </w:pPr>
      <w:r>
        <w:t>393. Hoover DM, Carlton WW. The subacute neurotoxicity of excess pyridoxine HCl and clioquinol (5-chloro-7-iodo-8-hydroxyquinoline) in beagle dogs. I. Clinical disease. Vet Pathol 1981;18:745–756.</w:t>
      </w:r>
    </w:p>
    <w:p w:rsidR="00CE2A84" w:rsidRDefault="00CE2A84" w:rsidP="00CE2A84">
      <w:pPr>
        <w:pStyle w:val="Bibliography"/>
        <w:spacing w:after="0"/>
        <w:contextualSpacing/>
      </w:pPr>
      <w:r>
        <w:t>394. Phillips WE, Mills JH, Charbonneau SM, et al. Subacute toxicity of pyridoxine hydrochloride in the beagle dog. Toxicol Appl Pharmacol 1978;44:323–333.</w:t>
      </w:r>
    </w:p>
    <w:p w:rsidR="00CE2A84" w:rsidRDefault="00CE2A84" w:rsidP="00CE2A84">
      <w:pPr>
        <w:pStyle w:val="Bibliography"/>
        <w:spacing w:after="0"/>
        <w:contextualSpacing/>
      </w:pPr>
      <w:r>
        <w:t>395. Krinke G, Schaumburg HH, Spencer PS, et al. Pyridoxine megavitaminosis produces degeneration of peripheral sensory neurons (sensory neuronopathy) in the dog. Neurotoxicology 1981;2:13–24.</w:t>
      </w:r>
    </w:p>
    <w:p w:rsidR="00CE2A84" w:rsidRDefault="00CE2A84" w:rsidP="00CE2A84">
      <w:pPr>
        <w:pStyle w:val="Bibliography"/>
        <w:spacing w:after="0"/>
        <w:contextualSpacing/>
      </w:pPr>
      <w:r>
        <w:t>396. German AJ, Holden SL, Bissot T, et al. Dietary energy restriction and successful weight loss in obese client-owned dogs. J Vet Intern Med Am Coll Vet Intern Med 2007;21:1174–1180.</w:t>
      </w:r>
    </w:p>
    <w:p w:rsidR="00CE2A84" w:rsidRDefault="00CE2A84" w:rsidP="00CE2A84">
      <w:pPr>
        <w:pStyle w:val="Bibliography"/>
        <w:spacing w:after="0"/>
        <w:contextualSpacing/>
      </w:pPr>
      <w:r>
        <w:t>397. German AJ, Holden SL, Morris PJ, et al. Long-term follow-up after weight management in obese dogs: the role of diet in preventing regain. Vet J Lond Engl 1997 2012;192:65–70.</w:t>
      </w:r>
    </w:p>
    <w:p w:rsidR="00CE2A84" w:rsidRDefault="00CE2A84" w:rsidP="00CE2A84">
      <w:pPr>
        <w:pStyle w:val="Bibliography"/>
        <w:spacing w:after="0"/>
        <w:contextualSpacing/>
      </w:pPr>
      <w:r>
        <w:t>398. Laflamme D, Kuhlman G. The Effect of Weight-Loss Regimen on Subsequent Weight Maintenance in Dogs. Nutr Res 1995;15:1019–1028.</w:t>
      </w:r>
    </w:p>
    <w:p w:rsidR="00CE2A84" w:rsidRDefault="00CE2A84" w:rsidP="00CE2A84">
      <w:pPr>
        <w:pStyle w:val="Bibliography"/>
        <w:spacing w:after="0"/>
        <w:contextualSpacing/>
      </w:pPr>
      <w:r>
        <w:t>399. Gentry SJ. Results of the clinical use of a standardized weight-loss program in   dogs and cats. J Am Anim Hosp Assoc 1993;29.</w:t>
      </w:r>
    </w:p>
    <w:p w:rsidR="00CE2A84" w:rsidRDefault="00CE2A84" w:rsidP="00CE2A84">
      <w:pPr>
        <w:pStyle w:val="Bibliography"/>
        <w:spacing w:after="0"/>
        <w:contextualSpacing/>
      </w:pPr>
      <w:r>
        <w:t>400. Laflamme DP, Kuhlman G, Lawler DF. Evaluation of weight loss protocols for dogs. J Am Anim Hosp Assoc 1997;33:253–259.</w:t>
      </w:r>
    </w:p>
    <w:p w:rsidR="00CE2A84" w:rsidRDefault="00CE2A84" w:rsidP="00CE2A84">
      <w:pPr>
        <w:pStyle w:val="Bibliography"/>
        <w:spacing w:after="0"/>
        <w:contextualSpacing/>
      </w:pPr>
      <w:r>
        <w:t>401. Laflamme D. Development and validation of a body condition score system for cats: a   clinical tool. Feline Pract 1997;25.</w:t>
      </w:r>
    </w:p>
    <w:p w:rsidR="00CE2A84" w:rsidRDefault="00CE2A84" w:rsidP="00CE2A84">
      <w:pPr>
        <w:pStyle w:val="Bibliography"/>
        <w:spacing w:after="0"/>
        <w:contextualSpacing/>
      </w:pPr>
      <w:r>
        <w:t>402. Nagaoka D, Mitsuhashi Y, Angell R, et al. Re-induction of obese body weight occurs more rapidly and at lower caloric intake in beagles. J Anim Physiol Anim Nutr 2010;94:287–292.</w:t>
      </w:r>
    </w:p>
    <w:p w:rsidR="00CE2A84" w:rsidRDefault="00CE2A84" w:rsidP="00CE2A84">
      <w:pPr>
        <w:pStyle w:val="Bibliography"/>
        <w:spacing w:after="0"/>
        <w:contextualSpacing/>
      </w:pPr>
      <w:r>
        <w:t>403. Livak KJ, Schmittgen TD. Analysis of relative gene expression data using real-time quantitative PCR and the 2(-Delta Delta C(T)) Method. Methods San Diego Calif 2001;25:402–408.</w:t>
      </w:r>
    </w:p>
    <w:p w:rsidR="00CE2A84" w:rsidRDefault="00CE2A84" w:rsidP="00CE2A84">
      <w:pPr>
        <w:pStyle w:val="Bibliography"/>
        <w:spacing w:after="0"/>
        <w:contextualSpacing/>
      </w:pPr>
      <w:r>
        <w:t>404. Ayers D, Clements DN, Salway F, et al. Expression stability of commonly used reference genes in canine articular connective tissues. BMC Vet Res 2007;3:7.</w:t>
      </w:r>
    </w:p>
    <w:p w:rsidR="00CE2A84" w:rsidRDefault="00CE2A84" w:rsidP="00CE2A84">
      <w:pPr>
        <w:pStyle w:val="Bibliography"/>
        <w:spacing w:after="0"/>
        <w:contextualSpacing/>
      </w:pPr>
      <w:r>
        <w:t>405. Heinemann L. Insulin Assay Standardization: Leading to Measures of Insulin Sensitivity and Secretion for Practical Clinical Care Response to Staten et al. Diabetes Care 2010;33:e83–e83.</w:t>
      </w:r>
    </w:p>
    <w:p w:rsidR="00CE2A84" w:rsidRDefault="00CE2A84" w:rsidP="00CE2A84">
      <w:pPr>
        <w:pStyle w:val="Bibliography"/>
        <w:spacing w:after="0"/>
        <w:contextualSpacing/>
      </w:pPr>
      <w:r>
        <w:t>406. Borne AT, Wolfsheimer KJ, Truett AA, et al. Differential metabolic effects of energy restriction in dogs using diets varying in fat and fiber content. Obes Res 1996;4:337–345.</w:t>
      </w:r>
    </w:p>
    <w:p w:rsidR="00CE2A84" w:rsidRDefault="00CE2A84" w:rsidP="00CE2A84">
      <w:pPr>
        <w:pStyle w:val="Bibliography"/>
        <w:spacing w:after="0"/>
        <w:contextualSpacing/>
      </w:pPr>
      <w:r>
        <w:t>407. Markwell PJ, Butterwick RF, Wills JM, et al. Clinical studies in the management of obesity in dogs and cats. Int J Obes Relat Metab Disord J Int Assoc Study Obes 1994;18 Suppl 1:S39–43.</w:t>
      </w:r>
    </w:p>
    <w:p w:rsidR="00CE2A84" w:rsidRDefault="00CE2A84" w:rsidP="00CE2A84">
      <w:pPr>
        <w:pStyle w:val="Bibliography"/>
        <w:spacing w:after="0"/>
        <w:contextualSpacing/>
      </w:pPr>
      <w:r>
        <w:t>408. Mlacnik E, Bockstahler BA, Müller M, et al. Effects of caloric restriction and a moderate or intense physiotherapy program for treatment of lameness in overweight dogs with osteoarthritis. J Am Vet Med Assoc 2006;229:1756–1760.</w:t>
      </w:r>
    </w:p>
    <w:p w:rsidR="00CE2A84" w:rsidRDefault="00CE2A84" w:rsidP="00CE2A84">
      <w:pPr>
        <w:pStyle w:val="Bibliography"/>
        <w:spacing w:after="0"/>
        <w:contextualSpacing/>
      </w:pPr>
      <w:r>
        <w:t>409. Patil A, Bisby T. Comparison of maintenance energy requirement of client-owned dogs and kennel dogs. In: St. Louis, Missouri; 2001.</w:t>
      </w:r>
    </w:p>
    <w:p w:rsidR="00CE2A84" w:rsidRDefault="00CE2A84" w:rsidP="00CE2A84">
      <w:pPr>
        <w:pStyle w:val="Bibliography"/>
        <w:spacing w:after="0"/>
        <w:contextualSpacing/>
      </w:pPr>
      <w:r>
        <w:t>410. Finke MD. Energy requirements of adult female beagles. J Nutr 1994;124:2604S–2608S.</w:t>
      </w:r>
    </w:p>
    <w:p w:rsidR="00CE2A84" w:rsidRDefault="00CE2A84" w:rsidP="00CE2A84">
      <w:pPr>
        <w:pStyle w:val="Bibliography"/>
        <w:spacing w:after="0"/>
        <w:contextualSpacing/>
      </w:pPr>
      <w:r>
        <w:t>411. Finke MD. Evaluation of the energy requirements of adult kennel dogs. J Nutr 1991;121:S22–28.</w:t>
      </w:r>
    </w:p>
    <w:p w:rsidR="00CE2A84" w:rsidRDefault="00CE2A84" w:rsidP="00CE2A84">
      <w:pPr>
        <w:pStyle w:val="Bibliography"/>
        <w:spacing w:after="0"/>
        <w:contextualSpacing/>
      </w:pPr>
      <w:r>
        <w:t>412. Hetts S, Derrell Clark J, Calpin JP, et al. Influence of housing conditions on beagle behaviour. Appl Anim Behav Sci 1992;34:137–155.</w:t>
      </w:r>
    </w:p>
    <w:p w:rsidR="00CE2A84" w:rsidRDefault="00CE2A84" w:rsidP="00CE2A84">
      <w:pPr>
        <w:pStyle w:val="Bibliography"/>
        <w:spacing w:after="0"/>
        <w:contextualSpacing/>
      </w:pPr>
      <w:r>
        <w:t>413. Hughes HC, Campbell S, Kenney C. The effects of cage size and pair housing on exercise of beagle dogs. Lab Anim Sci 1989;39:302–305.</w:t>
      </w:r>
    </w:p>
    <w:p w:rsidR="00CE2A84" w:rsidRDefault="00CE2A84" w:rsidP="00CE2A84">
      <w:pPr>
        <w:pStyle w:val="Bibliography"/>
        <w:spacing w:after="0"/>
        <w:contextualSpacing/>
      </w:pPr>
      <w:r>
        <w:t>414. Dalla Villa P, Barnard S, Di Fede E, et al. Comparison between group and pair housing conditions: effects on shelter dogs’ behavior and welfare. J Vet Behav Clin Appl Res 2012;7:e3.</w:t>
      </w:r>
    </w:p>
    <w:p w:rsidR="00CE2A84" w:rsidRDefault="00CE2A84" w:rsidP="00CE2A84">
      <w:pPr>
        <w:pStyle w:val="Bibliography"/>
        <w:spacing w:after="0"/>
        <w:contextualSpacing/>
      </w:pPr>
      <w:r>
        <w:t>415. Kask A, Nguyen HP, Pabst R, et al. Factors influencing behavior of group-housed male rats in the social interaction test: focus on cohort removal. Physiol Behav 2001;74:277–282.</w:t>
      </w:r>
    </w:p>
    <w:p w:rsidR="00CE2A84" w:rsidRDefault="00CE2A84" w:rsidP="00CE2A84">
      <w:pPr>
        <w:pStyle w:val="Bibliography"/>
        <w:spacing w:after="0"/>
        <w:contextualSpacing/>
      </w:pPr>
      <w:r>
        <w:t>416. Cook DM, Kendall JW, Greer MA, et al. The effect of acute or chronic ether stress on plasma ACTH concentration in the rat. Endocrinology 1973;93:1019–1024.</w:t>
      </w:r>
    </w:p>
    <w:p w:rsidR="00CE2A84" w:rsidRDefault="00CE2A84" w:rsidP="00CE2A84">
      <w:pPr>
        <w:pStyle w:val="Bibliography"/>
        <w:spacing w:after="0"/>
        <w:contextualSpacing/>
      </w:pPr>
      <w:r>
        <w:t>417. Rodgers RJ, Cole JC, Harrison-Phillips DJ. “Cohort removal” induces hyperthermia but fails to influence plus-maze behaviour in male mice. Physiol Behav 1994;55:189–192.</w:t>
      </w:r>
    </w:p>
    <w:p w:rsidR="00CE2A84" w:rsidRDefault="00CE2A84" w:rsidP="00CE2A84">
      <w:pPr>
        <w:pStyle w:val="Bibliography"/>
        <w:spacing w:after="0"/>
        <w:contextualSpacing/>
      </w:pPr>
      <w:r>
        <w:t>418. Borsini F, Lecci A, Volterra G, et al. A model to measure anticipatory anxiety in mice? Psychopharmacology (Berl) 1989;98:207–211.</w:t>
      </w:r>
    </w:p>
    <w:p w:rsidR="00CE2A84" w:rsidRDefault="00CE2A84" w:rsidP="00CE2A84">
      <w:pPr>
        <w:pStyle w:val="Bibliography"/>
        <w:spacing w:after="0"/>
        <w:contextualSpacing/>
      </w:pPr>
      <w:r>
        <w:t>419. Duke JL, Zammit TG, Lawson DM. The effects of routine cage-changing on cardiovascular and behavioral parameters in male Sprague-Dawley rats. Contemp Top Lab Anim Sci Am Assoc Lab Anim Sci 2001;40:17–20.</w:t>
      </w:r>
    </w:p>
    <w:p w:rsidR="00CE2A84" w:rsidRDefault="00CE2A84" w:rsidP="00CE2A84">
      <w:pPr>
        <w:pStyle w:val="Bibliography"/>
        <w:spacing w:after="0"/>
        <w:contextualSpacing/>
      </w:pPr>
      <w:r>
        <w:t>420. Boggiano MM, Cavigelli SA, Dorsey JR, et al. Effect of a cage divider permitting social stimuli on stress and food intake in rats. Physiol Behav 2008;95:222–228.</w:t>
      </w:r>
    </w:p>
    <w:p w:rsidR="00CE2A84" w:rsidRDefault="00CE2A84" w:rsidP="00CE2A84">
      <w:pPr>
        <w:pStyle w:val="Bibliography"/>
        <w:spacing w:after="0"/>
        <w:contextualSpacing/>
      </w:pPr>
      <w:r>
        <w:t>421. O’Toole E, Miller CW, Wilson BA, et al. Comparison of the standard predictive equation for calculation of resting energy expenditure with indirect calorimetry in hospitalized and healthy dogs. J Am Vet Med Assoc 2004;225:58–64.</w:t>
      </w:r>
    </w:p>
    <w:p w:rsidR="00CE2A84" w:rsidRDefault="00CE2A84" w:rsidP="00CE2A84">
      <w:pPr>
        <w:pStyle w:val="Bibliography"/>
        <w:spacing w:after="0"/>
        <w:contextualSpacing/>
      </w:pPr>
      <w:r>
        <w:t>422. Pappas T, Melendez R, Debas H. Gastric Distension Is a Physiologic Satiety Signal in the Dog. Dig Dis Sci 1989;34:1489–1493.</w:t>
      </w:r>
    </w:p>
    <w:p w:rsidR="00CE2A84" w:rsidRDefault="00CE2A84" w:rsidP="00CE2A84">
      <w:pPr>
        <w:pStyle w:val="Bibliography"/>
        <w:spacing w:after="0"/>
        <w:contextualSpacing/>
      </w:pPr>
      <w:r>
        <w:t>423. National Research Council of the National Academies. Carbohydrates and Fiber. In: Nutrient Requirements of Dogs and Cats. [Rev. ed.].. Washington, DC: National Academies Press; 2006:49–80.</w:t>
      </w:r>
    </w:p>
    <w:p w:rsidR="00CE2A84" w:rsidRDefault="00CE2A84" w:rsidP="00CE2A84">
      <w:pPr>
        <w:pStyle w:val="Bibliography"/>
        <w:spacing w:after="0"/>
        <w:contextualSpacing/>
      </w:pPr>
      <w:r>
        <w:t>424. Butterwick RF, Markwell PJ, Thorne CJ. Effect of level and source of dietary fiber on food intake in the dog. J Nutr 1994;124:2695S–2700S.</w:t>
      </w:r>
    </w:p>
    <w:p w:rsidR="00CE2A84" w:rsidRDefault="00CE2A84" w:rsidP="00CE2A84">
      <w:pPr>
        <w:pStyle w:val="Bibliography"/>
        <w:spacing w:after="0"/>
        <w:contextualSpacing/>
      </w:pPr>
      <w:r>
        <w:t>425. Hall JA, Willer RL, Seim HB 3rd, et al. Gastric emptying of nondigestible radiopaque markers after circumcostal gastropexy in clinically normal dogs and dogs with gastric dilatation-volvulus. Am J Vet Res 1992;53:1961–1965.</w:t>
      </w:r>
    </w:p>
    <w:p w:rsidR="00CE2A84" w:rsidRDefault="00CE2A84" w:rsidP="00CE2A84">
      <w:pPr>
        <w:pStyle w:val="Bibliography"/>
        <w:spacing w:after="0"/>
        <w:contextualSpacing/>
      </w:pPr>
      <w:r>
        <w:t>426. Weber MP, Stambouli F, Martin LJ, et al. Influence of age and body size on gastrointestinal transit time of radiopaque markers in healthy dogs. Am J Vet Res 2002;63:677–682.</w:t>
      </w:r>
    </w:p>
    <w:p w:rsidR="00CE2A84" w:rsidRDefault="00CE2A84" w:rsidP="00CE2A84">
      <w:pPr>
        <w:pStyle w:val="Bibliography"/>
        <w:spacing w:after="0"/>
        <w:contextualSpacing/>
      </w:pPr>
      <w:r>
        <w:t>427. Lidbury JA, Suchodolski JS, Ivanek R, et al. Assessment of the variation associated with repeated measurement of gastrointestinal transit times and assessment of the effect of oral ranitidine on gastrointestinal transit times using a wireless motility capsule system in dogs. Vet Med Int 2012;2012:938417.</w:t>
      </w:r>
    </w:p>
    <w:p w:rsidR="00CE2A84" w:rsidRDefault="00CE2A84" w:rsidP="00CE2A84">
      <w:pPr>
        <w:pStyle w:val="Bibliography"/>
        <w:spacing w:after="0"/>
        <w:contextualSpacing/>
      </w:pPr>
      <w:r>
        <w:t>428. Boillat CS, Gaschen FP, Hosgood GL. Assessment of the relationship between body weight and gastrointestinal transit times measured by use of a wireless motility capsule system in dogs. Am J Vet Res 2010;71:898–902.</w:t>
      </w:r>
    </w:p>
    <w:p w:rsidR="00CE2A84" w:rsidRDefault="00CE2A84" w:rsidP="00CE2A84">
      <w:pPr>
        <w:pStyle w:val="Bibliography"/>
        <w:spacing w:after="0"/>
        <w:contextualSpacing/>
      </w:pPr>
      <w:r>
        <w:t>429. Boillat CS, Gaschen FP, Gaschen L, et al. Variability associated with repeated measurements of gastrointestinal tract motility in dogs obtained by use of a wireless motility capsule system and scintigraphy. Am J Vet Res 2010;71:903–908.</w:t>
      </w:r>
    </w:p>
    <w:p w:rsidR="00CE2A84" w:rsidRDefault="00CE2A84" w:rsidP="00CE2A84">
      <w:pPr>
        <w:pStyle w:val="Bibliography"/>
        <w:spacing w:after="0"/>
        <w:contextualSpacing/>
      </w:pPr>
      <w:r>
        <w:t>430. Bosch G, Beerda B, Hoek E van de, et al. Effect of dietary fibre type on physical activity and behaviour in   kennelled dogs. Appl Anim Behav Sci 2009;121.</w:t>
      </w:r>
    </w:p>
    <w:p w:rsidR="00CE2A84" w:rsidRDefault="00CE2A84" w:rsidP="00CE2A84">
      <w:pPr>
        <w:pStyle w:val="Bibliography"/>
        <w:spacing w:after="0"/>
        <w:contextualSpacing/>
      </w:pPr>
      <w:r>
        <w:t>431. Paul Martin. Measuring Behaviour : An Introductory Guide. 3rd ed.. Cambridge: Cambridge University Press; 2007.</w:t>
      </w:r>
    </w:p>
    <w:p w:rsidR="00CE2A84" w:rsidRDefault="00CE2A84" w:rsidP="00CE2A84">
      <w:pPr>
        <w:pStyle w:val="Bibliography"/>
        <w:spacing w:after="0"/>
        <w:contextualSpacing/>
      </w:pPr>
      <w:r>
        <w:t>432. Butterwick RF, Markwell PJ. Effect of amount and type of dietary fiber on food intake in energy-restricted dogs. Am J Vet Res 1997;58:272–276.</w:t>
      </w:r>
    </w:p>
    <w:p w:rsidR="00CE2A84" w:rsidRDefault="00CE2A84" w:rsidP="00CE2A84">
      <w:pPr>
        <w:pStyle w:val="Bibliography"/>
        <w:spacing w:after="0"/>
        <w:contextualSpacing/>
      </w:pPr>
      <w:r>
        <w:t>433. Leray V, Gayet C, Martin L, et al. Modulation of uncoupling protein 1 and peroxisome proliferator-activated receptor gamma expression in adipose tissue in obese insulin-resistant dogs. J Nutr 2004;134:2154S–2157S.</w:t>
      </w:r>
    </w:p>
    <w:p w:rsidR="00CE2A84" w:rsidRDefault="00CE2A84" w:rsidP="00CE2A84">
      <w:pPr>
        <w:pStyle w:val="Bibliography"/>
        <w:spacing w:after="0"/>
        <w:contextualSpacing/>
      </w:pPr>
      <w:r>
        <w:t>434. Leray V, Serisier S, Khosniat S, et al. Adipose tissue gene expression in obese dogs after weight loss. J Anim Physiol Anim Nutr 2008;92:390–398.</w:t>
      </w:r>
    </w:p>
    <w:p w:rsidR="00CE2A84" w:rsidRDefault="00CE2A84" w:rsidP="00CE2A84">
      <w:pPr>
        <w:pStyle w:val="Bibliography"/>
        <w:spacing w:after="0"/>
        <w:contextualSpacing/>
      </w:pPr>
      <w:r>
        <w:t>435. Lee M-J, Wu Y, Fried SK. Adipose tissue heterogeneity: implication of depot differences in adipose tissue for obesity complications. Mol Aspects Med 2013;34:1–11.</w:t>
      </w:r>
    </w:p>
    <w:p w:rsidR="00CE2A84" w:rsidRDefault="00CE2A84" w:rsidP="00CE2A84">
      <w:pPr>
        <w:pStyle w:val="Bibliography"/>
        <w:spacing w:after="0"/>
        <w:contextualSpacing/>
      </w:pPr>
      <w:r>
        <w:t>436. Tvarijonaviciute A, Martinez S, Gutierrez A, et al. Serum acute phase proteins concentrations in dogs during experimentally short-term induced overweight. A preliminary study. Res Vet Sci 2011;90:31–34.</w:t>
      </w:r>
    </w:p>
    <w:p w:rsidR="00CE2A84" w:rsidRDefault="00CE2A84" w:rsidP="00CE2A84">
      <w:pPr>
        <w:pStyle w:val="Bibliography"/>
        <w:spacing w:after="0"/>
        <w:contextualSpacing/>
      </w:pPr>
      <w:r>
        <w:t>437. Veiga APM, Price CA, de Oliveira ST, et al. Association of canine obesity with reduced serum levels of C-reactive protein. J Vet Diagn Investig Off Publ Am Assoc Vet Lab Diagn Inc 2008;20:224–228.</w:t>
      </w:r>
    </w:p>
    <w:p w:rsidR="00CE2A84" w:rsidRDefault="00CE2A84" w:rsidP="00CE2A84">
      <w:pPr>
        <w:pStyle w:val="Bibliography"/>
        <w:spacing w:after="0"/>
        <w:contextualSpacing/>
      </w:pPr>
      <w:r>
        <w:t>438. Wakshlag JJ, Struble AM, Levine CB, et al. The effects of weight loss on adipokines and markers of inflammation in dogs. Br J Nutr 2011;106 Suppl 1:S11–14.</w:t>
      </w:r>
    </w:p>
    <w:p w:rsidR="00CE2A84" w:rsidRDefault="00CE2A84" w:rsidP="00CE2A84">
      <w:pPr>
        <w:pStyle w:val="Bibliography"/>
        <w:spacing w:after="0"/>
        <w:contextualSpacing/>
      </w:pPr>
      <w:r>
        <w:t>439. Yazwinski M, Milizio JG, Wakshlag JJ. Assessment of serum myokines and markers of inflammation associated with exercise in endurance racing sled dogs. J Vet Intern Med Am Coll Vet Intern Med 2013;27:371–376.</w:t>
      </w:r>
    </w:p>
    <w:p w:rsidR="00CE2A84" w:rsidRDefault="00CE2A84" w:rsidP="00CE2A84">
      <w:pPr>
        <w:pStyle w:val="Bibliography"/>
        <w:spacing w:after="0"/>
        <w:contextualSpacing/>
      </w:pPr>
      <w:r>
        <w:t>440. Yang H, Chang J, Chen W, et al. Treadmill exercise promotes interleukin 15 expression in skeletal muscle and interleukin 15 receptor alpha expression in adipose tissue of high-fat diet rats. Endocrine 2013;43:579–585.</w:t>
      </w:r>
    </w:p>
    <w:p w:rsidR="00CE2A84" w:rsidRDefault="00CE2A84" w:rsidP="00CE2A84">
      <w:pPr>
        <w:pStyle w:val="Bibliography"/>
        <w:spacing w:after="0"/>
        <w:contextualSpacing/>
      </w:pPr>
      <w:r>
        <w:t>441. Freudenberg A, Petzke KJ, Klaus S. Comparison of high-protein diets and leucine supplementation in the prevention of metabolic syndrome and related disorders in mice. J Nutr Biochem 2012;23:1524–1530.</w:t>
      </w:r>
    </w:p>
    <w:p w:rsidR="00CE2A84" w:rsidRDefault="00CE2A84" w:rsidP="00CE2A84">
      <w:pPr>
        <w:pStyle w:val="Bibliography"/>
        <w:spacing w:after="0"/>
        <w:contextualSpacing/>
      </w:pPr>
      <w:r>
        <w:t>442. Freudenberg A, Petzke KJ, Klaus S. Dietary L-leucine and L-alanine supplementation have similar acute effects in the prevention of high-fat diet-induced obesity. Amino Acids 2013;44:519–528.</w:t>
      </w:r>
    </w:p>
    <w:p w:rsidR="00CE2A84" w:rsidRDefault="00CE2A84" w:rsidP="00CE2A84">
      <w:pPr>
        <w:pStyle w:val="Bibliography"/>
        <w:spacing w:after="0"/>
        <w:contextualSpacing/>
      </w:pPr>
      <w:r>
        <w:t>443. Houpt KA, Coren B, Hintz HF, et al. Effect of sex and reproductive status on sucrose preference, food intake, and body weight of dogs. J Am Vet Med Assoc 1979;174:1083–1085.</w:t>
      </w:r>
    </w:p>
    <w:p w:rsidR="00CE2A84" w:rsidRDefault="00CE2A84" w:rsidP="00CE2A84">
      <w:pPr>
        <w:pStyle w:val="Bibliography"/>
        <w:spacing w:after="0"/>
        <w:contextualSpacing/>
      </w:pPr>
      <w:r>
        <w:t>444. Jeusette I, Daminet S, Nguyen P, et al. Effect of ovariectomy and ad libitum feeding on body composition, thyroid status, ghrelin and leptin plasma concentrations in female dogs. J Anim Physiol Anim Nutr 2006;90:12–18.</w:t>
      </w:r>
    </w:p>
    <w:p w:rsidR="00CE2A84" w:rsidRDefault="00CE2A84" w:rsidP="00CE2A84">
      <w:pPr>
        <w:pStyle w:val="Bibliography"/>
        <w:spacing w:after="0"/>
        <w:contextualSpacing/>
      </w:pPr>
      <w:r>
        <w:t>445. Salmeri KR, Bloomberg MS, Scruggs SL, et al. Gonadectomy in immature dogs: effects on skeletal, physical, and behavioral development. J Am Vet Med Assoc 1991;198:1193–1203.</w:t>
      </w:r>
    </w:p>
    <w:p w:rsidR="00267881" w:rsidRDefault="00267881" w:rsidP="00CE2A84">
      <w:pPr>
        <w:contextualSpacing/>
      </w:pPr>
      <w:r>
        <w:fldChar w:fldCharType="end"/>
      </w:r>
      <w:r>
        <w:br/>
      </w:r>
    </w:p>
    <w:p w:rsidR="00267881" w:rsidRDefault="00267881">
      <w:r>
        <w:br w:type="page"/>
      </w:r>
    </w:p>
    <w:p w:rsidR="007B0AFD" w:rsidRDefault="007B0AFD" w:rsidP="007B0AFD">
      <w:pPr>
        <w:pStyle w:val="Heading1"/>
      </w:pPr>
      <w:bookmarkStart w:id="184" w:name="_Toc376465821"/>
      <w:r>
        <w:t>Appendix</w:t>
      </w:r>
      <w:r>
        <w:br/>
        <w:t>Data</w:t>
      </w:r>
      <w:bookmarkEnd w:id="184"/>
    </w:p>
    <w:p w:rsidR="005E613D" w:rsidRPr="00CD25B6" w:rsidRDefault="007B0AFD">
      <w:pPr>
        <w:rPr>
          <w:b/>
          <w:bCs/>
          <w:caps/>
          <w:sz w:val="28"/>
        </w:rPr>
        <w:sectPr w:rsidR="005E613D" w:rsidRPr="00CD25B6" w:rsidSect="00F92278">
          <w:pgSz w:w="12240" w:h="15840" w:code="1"/>
          <w:pgMar w:top="1440" w:right="1800" w:bottom="1872" w:left="1800" w:header="720" w:footer="1440" w:gutter="0"/>
          <w:cols w:space="720"/>
          <w:noEndnote/>
          <w:docGrid w:linePitch="360"/>
        </w:sectPr>
      </w:pPr>
      <w:r>
        <w:br w:type="page"/>
      </w:r>
    </w:p>
    <w:p w:rsidR="000A492A" w:rsidRDefault="000A492A" w:rsidP="000A492A">
      <w:pPr>
        <w:pStyle w:val="Caption"/>
      </w:pPr>
      <w:bookmarkStart w:id="185" w:name="_Toc369774747"/>
      <w:bookmarkStart w:id="186" w:name="_Toc376465850"/>
      <w:bookmarkEnd w:id="182"/>
      <w:r>
        <w:t xml:space="preserve">Table </w:t>
      </w:r>
      <w:fldSimple w:instr=" SEQ Table \* ARABIC ">
        <w:r w:rsidR="00736DB0">
          <w:rPr>
            <w:noProof/>
          </w:rPr>
          <w:t>28</w:t>
        </w:r>
      </w:fldSimple>
      <w:r>
        <w:t>: Baseline complete blood count (CBC)</w:t>
      </w:r>
      <w:bookmarkEnd w:id="185"/>
      <w:r>
        <w:t>, part 1</w:t>
      </w:r>
      <w:bookmarkEnd w:id="186"/>
    </w:p>
    <w:tbl>
      <w:tblPr>
        <w:tblStyle w:val="TableClassic1"/>
        <w:tblW w:w="0" w:type="auto"/>
        <w:tblLook w:val="04A0" w:firstRow="1" w:lastRow="0" w:firstColumn="1" w:lastColumn="0" w:noHBand="0" w:noVBand="1"/>
      </w:tblPr>
      <w:tblGrid>
        <w:gridCol w:w="772"/>
        <w:gridCol w:w="1038"/>
        <w:gridCol w:w="1228"/>
        <w:gridCol w:w="1425"/>
        <w:gridCol w:w="1272"/>
        <w:gridCol w:w="747"/>
        <w:gridCol w:w="772"/>
        <w:gridCol w:w="957"/>
        <w:gridCol w:w="1633"/>
        <w:gridCol w:w="1474"/>
        <w:gridCol w:w="1426"/>
      </w:tblGrid>
      <w:tr w:rsidR="0061200D" w:rsidRPr="001E1495" w:rsidTr="00E00B5F">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Pr="001E1495" w:rsidRDefault="0061200D" w:rsidP="000A492A">
            <w:pPr>
              <w:rPr>
                <w:sz w:val="20"/>
                <w:szCs w:val="20"/>
              </w:rPr>
            </w:pPr>
            <w:r w:rsidRPr="001E1495">
              <w:rPr>
                <w:sz w:val="20"/>
                <w:szCs w:val="20"/>
              </w:rPr>
              <w:t>Group</w:t>
            </w:r>
          </w:p>
        </w:tc>
        <w:tc>
          <w:tcPr>
            <w:tcW w:w="1038" w:type="dxa"/>
            <w:noWrap/>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1228" w:type="dxa"/>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RBC Count (x10^6/uL)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Hemoglobin (g/dL)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Hematocrit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MCV (fL)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MCH (pg)</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MCHC (g/dL)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Red Cell Distribution Width (&amp;)</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Platelet Count (x10^3/uL)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WBC Count (x10^3/uL)</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Pr="001E1495" w:rsidRDefault="0061200D" w:rsidP="000A492A">
            <w:pPr>
              <w:rPr>
                <w:sz w:val="20"/>
                <w:szCs w:val="20"/>
              </w:rPr>
            </w:pPr>
            <w:r>
              <w:rPr>
                <w:sz w:val="20"/>
                <w:szCs w:val="20"/>
              </w:rPr>
              <w:t>ObN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Garfield </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6.95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16.4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50.2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72.2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13.4</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E6795A">
              <w:rPr>
                <w:sz w:val="20"/>
                <w:szCs w:val="20"/>
              </w:rPr>
              <w:t>ObN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Adams</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7.78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17.1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50.6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207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14.3</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E6795A">
              <w:rPr>
                <w:sz w:val="20"/>
                <w:szCs w:val="20"/>
              </w:rPr>
              <w:t>ObN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Arthur </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7.03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16.8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49.1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69.8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11.1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E6795A">
              <w:rPr>
                <w:sz w:val="20"/>
                <w:szCs w:val="20"/>
              </w:rPr>
              <w:t>ObN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Polk </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7.58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16.9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49.6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65.4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10.7</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E6795A">
              <w:rPr>
                <w:sz w:val="20"/>
                <w:szCs w:val="20"/>
              </w:rPr>
              <w:t>ObN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Taylor</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18.2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69.5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8.2</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E6795A">
              <w:rPr>
                <w:sz w:val="20"/>
                <w:szCs w:val="20"/>
              </w:rPr>
              <w:t>ObN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Truman </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17.8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52.0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69.3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8.1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Pr="001E1495" w:rsidRDefault="0061200D" w:rsidP="000A492A">
            <w:pPr>
              <w:rPr>
                <w:sz w:val="20"/>
                <w:szCs w:val="20"/>
              </w:rPr>
            </w:pPr>
            <w:r>
              <w:rPr>
                <w:sz w:val="20"/>
                <w:szCs w:val="20"/>
              </w:rPr>
              <w:t>ObP</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Harding</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7.64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17.1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49.7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403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6.5</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6C67C3">
              <w:rPr>
                <w:sz w:val="20"/>
                <w:szCs w:val="20"/>
              </w:rPr>
              <w:t>ObP</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Harrison</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7.09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16.4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48.7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68.6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11.1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6C67C3">
              <w:rPr>
                <w:sz w:val="20"/>
                <w:szCs w:val="20"/>
              </w:rPr>
              <w:t>ObP</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Hoover </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7.69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17.4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51.4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66.8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8.2</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6C67C3">
              <w:rPr>
                <w:sz w:val="20"/>
                <w:szCs w:val="20"/>
              </w:rPr>
              <w:t>ObP</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Jackson </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68.5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11.9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352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6.3</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6C67C3">
              <w:rPr>
                <w:sz w:val="20"/>
                <w:szCs w:val="20"/>
              </w:rPr>
              <w:t>ObP</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Lynden</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18.3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53.5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67.7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11.8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166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18.5</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6C67C3">
              <w:rPr>
                <w:sz w:val="20"/>
                <w:szCs w:val="20"/>
              </w:rPr>
              <w:t>ObP</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Wilson</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6.86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46.3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67.5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Pr="001E1495" w:rsidRDefault="0061200D" w:rsidP="000A492A">
            <w:pPr>
              <w:rPr>
                <w:sz w:val="20"/>
                <w:szCs w:val="20"/>
              </w:rPr>
            </w:pPr>
            <w:r>
              <w:rPr>
                <w:sz w:val="20"/>
                <w:szCs w:val="20"/>
              </w:rPr>
              <w:t>WLD</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Carter</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7.05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16.3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47.9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67.9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373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9.4</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F03D14">
              <w:rPr>
                <w:sz w:val="20"/>
                <w:szCs w:val="20"/>
              </w:rPr>
              <w:t>WLD</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Clinton</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7.37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16.9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67.8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370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9.8</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F03D14">
              <w:rPr>
                <w:sz w:val="20"/>
                <w:szCs w:val="20"/>
              </w:rPr>
              <w:t>WLD</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Custer </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8.27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19.2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56.3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68.0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8.9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F03D14">
              <w:rPr>
                <w:sz w:val="20"/>
                <w:szCs w:val="20"/>
              </w:rPr>
              <w:t>WLD</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Houston</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6.86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16.1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47.3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69.0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395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8.6</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F03D14">
              <w:rPr>
                <w:sz w:val="20"/>
                <w:szCs w:val="20"/>
              </w:rPr>
              <w:t>WLD</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King </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8.36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18.2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62.8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21.8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377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8.1</w:t>
            </w:r>
          </w:p>
        </w:tc>
      </w:tr>
      <w:tr w:rsidR="0061200D"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F03D14">
              <w:rPr>
                <w:sz w:val="20"/>
                <w:szCs w:val="20"/>
              </w:rPr>
              <w:t>WLD</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Nixon</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7.35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48.9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7.6</w:t>
            </w:r>
          </w:p>
        </w:tc>
      </w:tr>
      <w:tr w:rsidR="0061200D"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Pr="001E1495" w:rsidRDefault="0061200D" w:rsidP="000A492A">
            <w:pPr>
              <w:rPr>
                <w:sz w:val="20"/>
                <w:szCs w:val="20"/>
              </w:rPr>
            </w:pPr>
            <w:r>
              <w:rPr>
                <w:sz w:val="20"/>
                <w:szCs w:val="20"/>
              </w:rPr>
              <w:t>ExN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Lincoln</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5.69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37.8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66.4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21.9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328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9.1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Pr="001E1495" w:rsidRDefault="0061200D" w:rsidP="000A492A">
            <w:pPr>
              <w:rPr>
                <w:sz w:val="20"/>
                <w:szCs w:val="20"/>
              </w:rPr>
            </w:pPr>
            <w:r>
              <w:rPr>
                <w:sz w:val="20"/>
                <w:szCs w:val="20"/>
              </w:rPr>
              <w:t>ExN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Madison</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6.36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67.9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302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A70911">
              <w:rPr>
                <w:sz w:val="20"/>
                <w:szCs w:val="20"/>
              </w:rPr>
              <w:t>ExN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Monroe</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5.77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39.6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68.6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6.5</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A70911">
              <w:rPr>
                <w:sz w:val="20"/>
                <w:szCs w:val="20"/>
              </w:rPr>
              <w:t>ExN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Obama</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4.74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10.7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31.7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66.9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10.2</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61200D" w:rsidRDefault="0061200D">
            <w:r w:rsidRPr="00A70911">
              <w:rPr>
                <w:sz w:val="20"/>
                <w:szCs w:val="20"/>
              </w:rPr>
              <w:t>ExN</w:t>
            </w:r>
          </w:p>
        </w:tc>
        <w:tc>
          <w:tcPr>
            <w:tcW w:w="103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Taft</w:t>
            </w:r>
          </w:p>
        </w:tc>
        <w:tc>
          <w:tcPr>
            <w:tcW w:w="1228"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5.60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37.6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67.0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14.8</w:t>
            </w:r>
          </w:p>
        </w:tc>
      </w:tr>
    </w:tbl>
    <w:p w:rsidR="000A492A" w:rsidRPr="000A492A" w:rsidRDefault="000A492A" w:rsidP="000A492A">
      <w:pPr>
        <w:pStyle w:val="Caption"/>
      </w:pPr>
      <w:r>
        <w:t>Table</w:t>
      </w:r>
      <w:r>
        <w:rPr>
          <w:color w:val="FF0000"/>
        </w:rPr>
        <w:t xml:space="preserve"> 28</w:t>
      </w:r>
      <w:r>
        <w:t>: (Continued) Baseline complete blood count (CBC), part 1</w:t>
      </w:r>
    </w:p>
    <w:tbl>
      <w:tblPr>
        <w:tblStyle w:val="TableClassic1"/>
        <w:tblW w:w="0" w:type="auto"/>
        <w:tblLayout w:type="fixed"/>
        <w:tblLook w:val="04A0" w:firstRow="1" w:lastRow="0" w:firstColumn="1" w:lastColumn="0" w:noHBand="0" w:noVBand="1"/>
      </w:tblPr>
      <w:tblGrid>
        <w:gridCol w:w="810"/>
        <w:gridCol w:w="1080"/>
        <w:gridCol w:w="1170"/>
        <w:gridCol w:w="1350"/>
        <w:gridCol w:w="1260"/>
        <w:gridCol w:w="720"/>
        <w:gridCol w:w="720"/>
        <w:gridCol w:w="900"/>
        <w:gridCol w:w="1350"/>
        <w:gridCol w:w="1350"/>
        <w:gridCol w:w="1296"/>
      </w:tblGrid>
      <w:tr w:rsidR="0061200D" w:rsidRPr="001E1495" w:rsidTr="00E00B5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dxa"/>
            <w:noWrap/>
          </w:tcPr>
          <w:p w:rsidR="0061200D" w:rsidRPr="001E1495" w:rsidRDefault="0061200D" w:rsidP="000A492A">
            <w:pPr>
              <w:rPr>
                <w:sz w:val="20"/>
                <w:szCs w:val="20"/>
              </w:rPr>
            </w:pPr>
            <w:r w:rsidRPr="001E1495">
              <w:rPr>
                <w:sz w:val="20"/>
                <w:szCs w:val="20"/>
              </w:rPr>
              <w:t>Group</w:t>
            </w:r>
          </w:p>
        </w:tc>
        <w:tc>
          <w:tcPr>
            <w:tcW w:w="108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117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RBC Count (x10^6/uL)</w:t>
            </w:r>
          </w:p>
        </w:tc>
        <w:tc>
          <w:tcPr>
            <w:tcW w:w="135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Hemoglobin (g/dL)</w:t>
            </w:r>
          </w:p>
        </w:tc>
        <w:tc>
          <w:tcPr>
            <w:tcW w:w="126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Hematocrit (%)</w:t>
            </w:r>
          </w:p>
        </w:tc>
        <w:tc>
          <w:tcPr>
            <w:tcW w:w="72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MCV (fL) </w:t>
            </w:r>
          </w:p>
        </w:tc>
        <w:tc>
          <w:tcPr>
            <w:tcW w:w="72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MCH (pg)</w:t>
            </w:r>
          </w:p>
        </w:tc>
        <w:tc>
          <w:tcPr>
            <w:tcW w:w="90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MCHC (g/dL)</w:t>
            </w:r>
          </w:p>
        </w:tc>
        <w:tc>
          <w:tcPr>
            <w:tcW w:w="135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Red Cell Distribution Width (&amp;)</w:t>
            </w:r>
          </w:p>
        </w:tc>
        <w:tc>
          <w:tcPr>
            <w:tcW w:w="135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Platelet Count (x10^3/uL)</w:t>
            </w:r>
          </w:p>
        </w:tc>
        <w:tc>
          <w:tcPr>
            <w:tcW w:w="1296"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WBC Count (x10^3/uL)</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Pr="001E1495" w:rsidRDefault="0061200D" w:rsidP="000A492A">
            <w:pPr>
              <w:rPr>
                <w:sz w:val="20"/>
                <w:szCs w:val="20"/>
              </w:rPr>
            </w:pPr>
            <w:r>
              <w:rPr>
                <w:sz w:val="20"/>
                <w:szCs w:val="20"/>
              </w:rPr>
              <w:t>ExN</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Tyler</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6.69</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15.1</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45.4</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68.0</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22.6</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33.3</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12.9</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522</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11.6</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Pr="001E1495" w:rsidRDefault="0061200D" w:rsidP="000A492A">
            <w:pPr>
              <w:rPr>
                <w:sz w:val="20"/>
                <w:szCs w:val="20"/>
              </w:rPr>
            </w:pPr>
            <w:r>
              <w:rPr>
                <w:sz w:val="20"/>
                <w:szCs w:val="20"/>
              </w:rPr>
              <w:t>ExP</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Fillmore</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5.28</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12.3</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36.4</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68.9</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23.2</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33.7</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12.0</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437</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7.4</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Default="0061200D">
            <w:r w:rsidRPr="00A735D4">
              <w:rPr>
                <w:sz w:val="20"/>
                <w:szCs w:val="20"/>
              </w:rPr>
              <w:t>ExP</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Ford</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6.11</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13.8</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41.8</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68.4</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22.5</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32.9</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13.5</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509</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15.5</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Default="0061200D">
            <w:r w:rsidRPr="00A735D4">
              <w:rPr>
                <w:sz w:val="20"/>
                <w:szCs w:val="20"/>
              </w:rPr>
              <w:t>ExP</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Franklin</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5.07</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11.6</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34.4</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67.8</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23.0</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33.9</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13.3</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458</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Default="0061200D">
            <w:r w:rsidRPr="00A735D4">
              <w:rPr>
                <w:sz w:val="20"/>
                <w:szCs w:val="20"/>
              </w:rPr>
              <w:t>ExP</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Grant</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5.83</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13.3</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40.3</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69.2</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22.8</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32.9</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12.9</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257</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Default="0061200D">
            <w:r w:rsidRPr="00A735D4">
              <w:rPr>
                <w:sz w:val="20"/>
                <w:szCs w:val="20"/>
              </w:rPr>
              <w:t>ExP</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Quincy </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5.07</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11.8</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35.1</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69.3</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23.3</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33.6</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12.4</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415</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8.1</w:t>
            </w:r>
          </w:p>
        </w:tc>
      </w:tr>
      <w:tr w:rsidR="0061200D"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Default="0061200D">
            <w:r w:rsidRPr="00A735D4">
              <w:rPr>
                <w:sz w:val="20"/>
                <w:szCs w:val="20"/>
              </w:rPr>
              <w:t>ExP</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Sherman</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6.01</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13.6</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40.0</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66.6</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22.6</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33.9</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13.0</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314</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7.4</w:t>
            </w:r>
          </w:p>
        </w:tc>
      </w:tr>
      <w:tr w:rsidR="0061200D"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Pr="001E1495" w:rsidRDefault="0061200D" w:rsidP="000A492A">
            <w:pPr>
              <w:rPr>
                <w:sz w:val="20"/>
                <w:szCs w:val="20"/>
              </w:rPr>
            </w:pPr>
            <w:r>
              <w:rPr>
                <w:sz w:val="20"/>
                <w:szCs w:val="20"/>
              </w:rPr>
              <w:t>IBW</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Bush </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5.03</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11.0</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32.6</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65.0</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21.8</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33.6</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13.4</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348</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10.2</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Default="0061200D">
            <w:r w:rsidRPr="00DD05C1">
              <w:rPr>
                <w:sz w:val="20"/>
                <w:szCs w:val="20"/>
              </w:rPr>
              <w:t>IBW</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Ernie</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5.39</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12.3</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36.3</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67.3</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22.8</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33.9</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13.0</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312</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Default="0061200D">
            <w:r w:rsidRPr="00DD05C1">
              <w:rPr>
                <w:sz w:val="20"/>
                <w:szCs w:val="20"/>
              </w:rPr>
              <w:t>IBW</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Johnson</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5.76</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12.6</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37.6</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65.2</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21.9</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33.6</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13.3</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390</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9.0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Default="0061200D">
            <w:r w:rsidRPr="00DD05C1">
              <w:rPr>
                <w:sz w:val="20"/>
                <w:szCs w:val="20"/>
              </w:rPr>
              <w:t>IBW</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Kennedy</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5.50</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11.9</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35.4</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64.4</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21.7</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33.7</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12.9</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360</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13.6</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Default="0061200D">
            <w:r w:rsidRPr="00DD05C1">
              <w:rPr>
                <w:sz w:val="20"/>
                <w:szCs w:val="20"/>
              </w:rPr>
              <w:t>IBW</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Pierce</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5.14</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11.8</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34.5</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67.1</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22.9</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34.1</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12.8</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368</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13.9</w:t>
            </w:r>
          </w:p>
        </w:tc>
      </w:tr>
      <w:tr w:rsidR="0061200D"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810" w:type="dxa"/>
            <w:noWrap/>
            <w:hideMark/>
          </w:tcPr>
          <w:p w:rsidR="0061200D" w:rsidRDefault="0061200D">
            <w:r w:rsidRPr="00DD05C1">
              <w:rPr>
                <w:sz w:val="20"/>
                <w:szCs w:val="20"/>
              </w:rPr>
              <w:t>IBW</w:t>
            </w:r>
          </w:p>
        </w:tc>
        <w:tc>
          <w:tcPr>
            <w:tcW w:w="108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York</w:t>
            </w:r>
          </w:p>
        </w:tc>
        <w:tc>
          <w:tcPr>
            <w:tcW w:w="117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4.71</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10.1</w:t>
            </w:r>
          </w:p>
        </w:tc>
        <w:tc>
          <w:tcPr>
            <w:tcW w:w="126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30.1</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64.0</w:t>
            </w:r>
          </w:p>
        </w:tc>
        <w:tc>
          <w:tcPr>
            <w:tcW w:w="72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21.5</w:t>
            </w:r>
          </w:p>
        </w:tc>
        <w:tc>
          <w:tcPr>
            <w:tcW w:w="90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33.6</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13.1</w:t>
            </w:r>
          </w:p>
        </w:tc>
        <w:tc>
          <w:tcPr>
            <w:tcW w:w="1350"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341</w:t>
            </w:r>
          </w:p>
        </w:tc>
        <w:tc>
          <w:tcPr>
            <w:tcW w:w="1296" w:type="dxa"/>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12.8</w:t>
            </w:r>
          </w:p>
        </w:tc>
      </w:tr>
    </w:tbl>
    <w:p w:rsidR="000A492A" w:rsidRDefault="000A492A" w:rsidP="000A492A">
      <w:pPr>
        <w:rPr>
          <w:b/>
          <w:bCs/>
          <w:caps/>
          <w:sz w:val="28"/>
        </w:rPr>
      </w:pPr>
    </w:p>
    <w:p w:rsidR="000A492A" w:rsidRDefault="000A492A" w:rsidP="000A492A">
      <w:pPr>
        <w:rPr>
          <w:b/>
          <w:bCs/>
          <w:caps/>
          <w:sz w:val="28"/>
        </w:rPr>
      </w:pPr>
    </w:p>
    <w:p w:rsidR="000A492A" w:rsidRDefault="000A492A" w:rsidP="000A492A">
      <w:pPr>
        <w:rPr>
          <w:b/>
          <w:bCs/>
          <w:caps/>
          <w:sz w:val="28"/>
        </w:rPr>
      </w:pPr>
    </w:p>
    <w:p w:rsidR="000A492A" w:rsidRDefault="000A492A" w:rsidP="000A492A">
      <w:pPr>
        <w:rPr>
          <w:b/>
          <w:bCs/>
          <w:caps/>
          <w:sz w:val="28"/>
        </w:rPr>
      </w:pPr>
    </w:p>
    <w:p w:rsidR="000A492A" w:rsidRDefault="000A492A" w:rsidP="000A492A">
      <w:pPr>
        <w:rPr>
          <w:b/>
          <w:bCs/>
          <w:caps/>
          <w:sz w:val="28"/>
        </w:rPr>
      </w:pPr>
    </w:p>
    <w:p w:rsidR="000A492A" w:rsidRDefault="000A492A" w:rsidP="000A492A">
      <w:pPr>
        <w:rPr>
          <w:b/>
          <w:bCs/>
          <w:caps/>
          <w:sz w:val="28"/>
        </w:rPr>
      </w:pPr>
    </w:p>
    <w:p w:rsidR="000A492A" w:rsidRDefault="000A492A" w:rsidP="000A492A">
      <w:pPr>
        <w:pStyle w:val="Caption"/>
      </w:pPr>
      <w:bookmarkStart w:id="187" w:name="_Toc369774748"/>
      <w:bookmarkStart w:id="188" w:name="_Toc376465851"/>
      <w:r>
        <w:t xml:space="preserve">Table </w:t>
      </w:r>
      <w:fldSimple w:instr=" SEQ Table \* ARABIC ">
        <w:r w:rsidR="00736DB0">
          <w:rPr>
            <w:noProof/>
          </w:rPr>
          <w:t>29</w:t>
        </w:r>
      </w:fldSimple>
      <w:r>
        <w:t xml:space="preserve"> Baseline complete blood count</w:t>
      </w:r>
      <w:bookmarkEnd w:id="187"/>
      <w:r>
        <w:t>, part 2</w:t>
      </w:r>
      <w:bookmarkEnd w:id="188"/>
    </w:p>
    <w:tbl>
      <w:tblPr>
        <w:tblStyle w:val="TableClassic1"/>
        <w:tblW w:w="0" w:type="auto"/>
        <w:tblLook w:val="04A0" w:firstRow="1" w:lastRow="0" w:firstColumn="1" w:lastColumn="0" w:noHBand="0" w:noVBand="1"/>
      </w:tblPr>
      <w:tblGrid>
        <w:gridCol w:w="772"/>
        <w:gridCol w:w="972"/>
        <w:gridCol w:w="1555"/>
        <w:gridCol w:w="1533"/>
        <w:gridCol w:w="1661"/>
        <w:gridCol w:w="1741"/>
        <w:gridCol w:w="1506"/>
        <w:gridCol w:w="1518"/>
        <w:gridCol w:w="1486"/>
      </w:tblGrid>
      <w:tr w:rsidR="0061200D" w:rsidRPr="001E1495" w:rsidTr="00E00B5F">
        <w:trPr>
          <w:cnfStyle w:val="100000000000" w:firstRow="1" w:lastRow="0" w:firstColumn="0" w:lastColumn="0" w:oddVBand="0" w:evenVBand="0" w:oddHBand="0" w:evenHBand="0" w:firstRowFirstColumn="0" w:firstRowLastColumn="0" w:lastRowFirstColumn="0" w:lastRowLastColumn="0"/>
          <w:trHeight w:val="93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0A492A">
            <w:pPr>
              <w:rPr>
                <w:sz w:val="20"/>
                <w:szCs w:val="20"/>
              </w:rPr>
            </w:pPr>
            <w:r w:rsidRPr="001E1495">
              <w:rPr>
                <w:sz w:val="20"/>
                <w:szCs w:val="20"/>
              </w:rPr>
              <w:t>Group</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Seg. Neut. Absolute (X10^3/uL)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Band Neut. Absolute (x10^3/uL)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Lymphocyte Absolute (x10^3/uL)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Act. Lymphocyte Absolute (x10^3/uL)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Monocyte Absolute (x10^3/uL)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Eosinophil Absolute (x10^3/uL)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Basophil Absolute (x10^3/uL) </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Garfield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Adams</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0.57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0.14</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Arthur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3.22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0.44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0.44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Polk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8.45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Taylor</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5.66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0.08</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Truman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4.94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0.08</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Harding</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3.97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2.02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0.07</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Harrison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6.55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3.55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Hoover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4.59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Jackson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Lynden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0.93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Wilson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Carter</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6.02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Clinton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5.78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0.59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Custer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4.98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0.53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0.18</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Houston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0.52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King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0.08</w:t>
            </w:r>
          </w:p>
        </w:tc>
      </w:tr>
      <w:tr w:rsidR="0061200D"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Nixon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0.53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0.08</w:t>
            </w:r>
          </w:p>
        </w:tc>
      </w:tr>
      <w:tr w:rsidR="0061200D"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Lincoln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6.83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0.55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Madison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2.18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Monroe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4.55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0.07</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Obama</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7.55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0.51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bl>
    <w:p w:rsidR="000A492A" w:rsidRPr="003E1680" w:rsidRDefault="003E1680" w:rsidP="003E1680">
      <w:pPr>
        <w:pStyle w:val="Caption"/>
      </w:pPr>
      <w:r>
        <w:t xml:space="preserve">Table </w:t>
      </w:r>
      <w:r>
        <w:rPr>
          <w:color w:val="FF0000"/>
        </w:rPr>
        <w:t>29</w:t>
      </w:r>
      <w:r>
        <w:t xml:space="preserve"> (Continued) Baseline complete blood count, part 2</w:t>
      </w:r>
    </w:p>
    <w:tbl>
      <w:tblPr>
        <w:tblStyle w:val="TableClassic1"/>
        <w:tblW w:w="0" w:type="auto"/>
        <w:tblLayout w:type="fixed"/>
        <w:tblLook w:val="04A0" w:firstRow="1" w:lastRow="0" w:firstColumn="1" w:lastColumn="0" w:noHBand="0" w:noVBand="1"/>
      </w:tblPr>
      <w:tblGrid>
        <w:gridCol w:w="810"/>
        <w:gridCol w:w="1080"/>
        <w:gridCol w:w="1350"/>
        <w:gridCol w:w="1440"/>
        <w:gridCol w:w="1530"/>
        <w:gridCol w:w="1620"/>
        <w:gridCol w:w="1440"/>
        <w:gridCol w:w="1350"/>
        <w:gridCol w:w="1386"/>
      </w:tblGrid>
      <w:tr w:rsidR="0061200D" w:rsidRPr="001E1495" w:rsidTr="00E00B5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dxa"/>
          </w:tcPr>
          <w:p w:rsidR="0061200D" w:rsidRPr="001E1495" w:rsidRDefault="0061200D" w:rsidP="000A492A">
            <w:pPr>
              <w:rPr>
                <w:sz w:val="20"/>
                <w:szCs w:val="20"/>
              </w:rPr>
            </w:pPr>
            <w:r w:rsidRPr="001E1495">
              <w:rPr>
                <w:sz w:val="20"/>
                <w:szCs w:val="20"/>
              </w:rPr>
              <w:t>Group</w:t>
            </w:r>
          </w:p>
        </w:tc>
        <w:tc>
          <w:tcPr>
            <w:tcW w:w="1080" w:type="dxa"/>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135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Seg. Neut. Absolute (X10^3/uL) </w:t>
            </w:r>
          </w:p>
        </w:tc>
        <w:tc>
          <w:tcPr>
            <w:tcW w:w="144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Band Neut. Absolute (x10^3/uL)</w:t>
            </w:r>
          </w:p>
        </w:tc>
        <w:tc>
          <w:tcPr>
            <w:tcW w:w="153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Lymphocyte Absolute (x10^3/uL)</w:t>
            </w:r>
          </w:p>
        </w:tc>
        <w:tc>
          <w:tcPr>
            <w:tcW w:w="162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Act. Lymphocyte Absolute (x10^3/uL)</w:t>
            </w:r>
          </w:p>
        </w:tc>
        <w:tc>
          <w:tcPr>
            <w:tcW w:w="144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Monocyte Absolute (x10^3/uL)</w:t>
            </w:r>
          </w:p>
        </w:tc>
        <w:tc>
          <w:tcPr>
            <w:tcW w:w="1350"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Eosinophil Absolute (x10^3/uL) </w:t>
            </w:r>
          </w:p>
        </w:tc>
        <w:tc>
          <w:tcPr>
            <w:tcW w:w="1386" w:type="dxa"/>
            <w:noWrap/>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Basophil Absolute (x10^3/uL) </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ExN</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Taft</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11.99</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1.63</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0.89</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0.30</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ExN</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Tyler</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9.63</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1.62</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0.23</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0.12</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ExP</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Fillmore</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5.55</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1.48</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0.30</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0.07</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Ford</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11.63</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2.48</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1.24</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0.16</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Franklin</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10.06</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2.19</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0.52</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0.13</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Grant</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4.58</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0.92</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0.18</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0.43</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Quincy </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5.75</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2.27</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0.08</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Sherman</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4.51</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2.44</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0.37</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0.07</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IBW</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Bush </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7.96</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1.53</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0.41</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0.31</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Ernie</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7.90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1.50</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0.60</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Johnson</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7.83</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0.99</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0.09</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0.09</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Kennedy</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1.90</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0.54</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0.95</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Pierce</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11.40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1.67</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0.42</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0.42</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r w:rsidR="00862D67"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York</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11.26</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3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1.28</w:t>
            </w:r>
          </w:p>
        </w:tc>
        <w:tc>
          <w:tcPr>
            <w:tcW w:w="162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4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0.13</w:t>
            </w:r>
          </w:p>
        </w:tc>
        <w:tc>
          <w:tcPr>
            <w:tcW w:w="1350"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0.13</w:t>
            </w:r>
          </w:p>
        </w:tc>
        <w:tc>
          <w:tcPr>
            <w:tcW w:w="1386" w:type="dxa"/>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r>
    </w:tbl>
    <w:p w:rsidR="000A492A" w:rsidRDefault="000A492A" w:rsidP="000A492A">
      <w:pPr>
        <w:rPr>
          <w:b/>
          <w:bCs/>
          <w:caps/>
          <w:sz w:val="28"/>
        </w:rPr>
      </w:pPr>
    </w:p>
    <w:p w:rsidR="000A492A" w:rsidRDefault="000A492A" w:rsidP="000A492A">
      <w:pPr>
        <w:rPr>
          <w:b/>
          <w:bCs/>
          <w:caps/>
          <w:sz w:val="28"/>
        </w:rPr>
      </w:pPr>
    </w:p>
    <w:p w:rsidR="000A492A" w:rsidRDefault="000A492A" w:rsidP="000A492A">
      <w:pPr>
        <w:rPr>
          <w:b/>
          <w:bCs/>
          <w:caps/>
          <w:sz w:val="28"/>
        </w:rPr>
      </w:pPr>
    </w:p>
    <w:p w:rsidR="003E1680" w:rsidRDefault="003E1680" w:rsidP="000A492A">
      <w:pPr>
        <w:rPr>
          <w:b/>
          <w:bCs/>
          <w:caps/>
          <w:sz w:val="28"/>
        </w:rPr>
      </w:pPr>
    </w:p>
    <w:p w:rsidR="003E1680" w:rsidRDefault="003E1680" w:rsidP="000A492A">
      <w:pPr>
        <w:rPr>
          <w:b/>
          <w:bCs/>
          <w:caps/>
          <w:sz w:val="28"/>
        </w:rPr>
      </w:pPr>
    </w:p>
    <w:p w:rsidR="003E1680" w:rsidRDefault="003E1680" w:rsidP="000A492A">
      <w:pPr>
        <w:rPr>
          <w:b/>
          <w:bCs/>
          <w:caps/>
          <w:sz w:val="28"/>
        </w:rPr>
      </w:pPr>
    </w:p>
    <w:p w:rsidR="000A492A" w:rsidRDefault="000A492A" w:rsidP="000A492A">
      <w:pPr>
        <w:pStyle w:val="Caption"/>
      </w:pPr>
      <w:bookmarkStart w:id="189" w:name="_Toc369774749"/>
      <w:bookmarkStart w:id="190" w:name="_Toc376465852"/>
      <w:r>
        <w:t xml:space="preserve">Table </w:t>
      </w:r>
      <w:fldSimple w:instr=" SEQ Table \* ARABIC ">
        <w:r w:rsidR="00736DB0">
          <w:rPr>
            <w:noProof/>
          </w:rPr>
          <w:t>30</w:t>
        </w:r>
      </w:fldSimple>
      <w:r>
        <w:t xml:space="preserve"> Baseline complete blood count</w:t>
      </w:r>
      <w:bookmarkEnd w:id="189"/>
      <w:r w:rsidR="003E1680">
        <w:t>, part 3</w:t>
      </w:r>
      <w:bookmarkEnd w:id="190"/>
    </w:p>
    <w:tbl>
      <w:tblPr>
        <w:tblStyle w:val="TableClassic1"/>
        <w:tblW w:w="0" w:type="auto"/>
        <w:tblLook w:val="04A0" w:firstRow="1" w:lastRow="0" w:firstColumn="1" w:lastColumn="0" w:noHBand="0" w:noVBand="1"/>
      </w:tblPr>
      <w:tblGrid>
        <w:gridCol w:w="772"/>
        <w:gridCol w:w="972"/>
        <w:gridCol w:w="1634"/>
        <w:gridCol w:w="1614"/>
        <w:gridCol w:w="2057"/>
        <w:gridCol w:w="1771"/>
        <w:gridCol w:w="2191"/>
        <w:gridCol w:w="1733"/>
      </w:tblGrid>
      <w:tr w:rsidR="0061200D" w:rsidRPr="001E1495" w:rsidTr="00E00B5F">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0A492A">
            <w:pPr>
              <w:rPr>
                <w:sz w:val="20"/>
                <w:szCs w:val="20"/>
              </w:rPr>
            </w:pPr>
            <w:r w:rsidRPr="001E1495">
              <w:rPr>
                <w:sz w:val="20"/>
                <w:szCs w:val="20"/>
              </w:rPr>
              <w:t>Group</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Other Absolute (x10^3/uL)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Blast Absolute (x10^3/uL)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Promyelocyte Absolute (x10^3/uL)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Myelocyte Absolute (x10^3/uL)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Metamyelocyte Absolute (x10^3/uL)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Segmented Neutrophils (%)</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Garfield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77</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Adams</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Arthur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63</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Polk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Taylor</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Truman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Harding</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Harrison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Hoover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56</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Jackson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Lynden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81</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Wilson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Carter</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64</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Clinton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59</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Custer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56</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Houston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55</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King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58</w:t>
            </w:r>
          </w:p>
        </w:tc>
      </w:tr>
      <w:tr w:rsidR="0061200D"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Nixon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60</w:t>
            </w:r>
          </w:p>
        </w:tc>
      </w:tr>
      <w:tr w:rsidR="0061200D"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Lincoln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75</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Madison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75</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Monroe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70</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Obama</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74</w:t>
            </w:r>
          </w:p>
        </w:tc>
      </w:tr>
      <w:tr w:rsidR="0061200D"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Taft</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81</w:t>
            </w:r>
          </w:p>
        </w:tc>
      </w:tr>
    </w:tbl>
    <w:p w:rsidR="003E1680" w:rsidRPr="003E1680" w:rsidRDefault="003E1680" w:rsidP="003E1680">
      <w:pPr>
        <w:pStyle w:val="Caption"/>
      </w:pPr>
      <w:r>
        <w:t xml:space="preserve">Table </w:t>
      </w:r>
      <w:r w:rsidR="00760611">
        <w:rPr>
          <w:color w:val="FF0000"/>
        </w:rPr>
        <w:t>30</w:t>
      </w:r>
      <w:r>
        <w:t xml:space="preserve"> (Continued) Baseline complete blood count, part 3</w:t>
      </w:r>
    </w:p>
    <w:tbl>
      <w:tblPr>
        <w:tblStyle w:val="TableClassic1"/>
        <w:tblW w:w="0" w:type="auto"/>
        <w:tblLayout w:type="fixed"/>
        <w:tblLook w:val="04A0" w:firstRow="1" w:lastRow="0" w:firstColumn="1" w:lastColumn="0" w:noHBand="0" w:noVBand="1"/>
      </w:tblPr>
      <w:tblGrid>
        <w:gridCol w:w="810"/>
        <w:gridCol w:w="1080"/>
        <w:gridCol w:w="1440"/>
        <w:gridCol w:w="1484"/>
        <w:gridCol w:w="1936"/>
        <w:gridCol w:w="1620"/>
        <w:gridCol w:w="2070"/>
        <w:gridCol w:w="1566"/>
      </w:tblGrid>
      <w:tr w:rsidR="0061200D" w:rsidRPr="001E1495" w:rsidTr="00E00B5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dxa"/>
          </w:tcPr>
          <w:p w:rsidR="0061200D" w:rsidRPr="001E1495" w:rsidRDefault="0061200D" w:rsidP="00A4558B">
            <w:pPr>
              <w:rPr>
                <w:sz w:val="20"/>
                <w:szCs w:val="20"/>
              </w:rPr>
            </w:pPr>
            <w:r w:rsidRPr="001E1495">
              <w:rPr>
                <w:sz w:val="20"/>
                <w:szCs w:val="20"/>
              </w:rPr>
              <w:t>Group</w:t>
            </w:r>
          </w:p>
        </w:tc>
        <w:tc>
          <w:tcPr>
            <w:tcW w:w="1080" w:type="dxa"/>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1440"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Other Absolute (x10^3/uL)</w:t>
            </w:r>
          </w:p>
        </w:tc>
        <w:tc>
          <w:tcPr>
            <w:tcW w:w="1484"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Blast Absolute (x10^3/uL)</w:t>
            </w:r>
          </w:p>
        </w:tc>
        <w:tc>
          <w:tcPr>
            <w:tcW w:w="1936"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Promyelocyte Absolute (x10^3/uL) </w:t>
            </w:r>
          </w:p>
        </w:tc>
        <w:tc>
          <w:tcPr>
            <w:tcW w:w="1620"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Myelocyte Absolute (x10^3/uL)</w:t>
            </w:r>
          </w:p>
        </w:tc>
        <w:tc>
          <w:tcPr>
            <w:tcW w:w="2070"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Metamyelocyte Absolute (x10^3/uL)</w:t>
            </w:r>
          </w:p>
        </w:tc>
        <w:tc>
          <w:tcPr>
            <w:tcW w:w="1566"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Segmented Neutrophils (%)</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ExN</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Tyler</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0.07</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0.07</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0.07</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0.07</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0.07</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83</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Fillmore</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75</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Ford</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75</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Franklin</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78</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Grant</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75</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Quincy </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71</w:t>
            </w:r>
          </w:p>
        </w:tc>
      </w:tr>
      <w:tr w:rsidR="00862D67"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Sherman</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61</w:t>
            </w:r>
          </w:p>
        </w:tc>
      </w:tr>
      <w:tr w:rsidR="00862D67"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Bush </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78</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Ernie</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79</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Johnson</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87</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Kennedy</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75</w:t>
            </w:r>
          </w:p>
        </w:tc>
      </w:tr>
      <w:tr w:rsidR="00862D67" w:rsidRPr="001E1495" w:rsidTr="00E00B5F">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Pierce</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82</w:t>
            </w:r>
          </w:p>
        </w:tc>
      </w:tr>
      <w:tr w:rsidR="00862D67" w:rsidRPr="001E1495" w:rsidTr="00E00B5F">
        <w:trPr>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York</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484"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93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20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0.00</w:t>
            </w:r>
          </w:p>
        </w:tc>
        <w:tc>
          <w:tcPr>
            <w:tcW w:w="156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88</w:t>
            </w:r>
          </w:p>
        </w:tc>
      </w:tr>
    </w:tbl>
    <w:p w:rsidR="003E1680" w:rsidRDefault="003E1680" w:rsidP="000A492A">
      <w:pPr>
        <w:rPr>
          <w:b/>
          <w:bCs/>
          <w:caps/>
          <w:sz w:val="28"/>
        </w:rPr>
      </w:pPr>
    </w:p>
    <w:p w:rsidR="003E1680" w:rsidRDefault="003E1680" w:rsidP="000A492A">
      <w:pPr>
        <w:rPr>
          <w:b/>
          <w:bCs/>
          <w:caps/>
          <w:sz w:val="28"/>
        </w:rPr>
      </w:pPr>
    </w:p>
    <w:p w:rsidR="003E1680" w:rsidRDefault="003E1680" w:rsidP="000A492A">
      <w:pPr>
        <w:rPr>
          <w:b/>
          <w:bCs/>
          <w:caps/>
          <w:sz w:val="28"/>
        </w:rPr>
      </w:pPr>
    </w:p>
    <w:p w:rsidR="003E1680" w:rsidRDefault="003E1680" w:rsidP="000A492A">
      <w:pPr>
        <w:rPr>
          <w:b/>
          <w:bCs/>
          <w:caps/>
          <w:sz w:val="28"/>
        </w:rPr>
      </w:pPr>
    </w:p>
    <w:p w:rsidR="003E1680" w:rsidRDefault="003E1680" w:rsidP="000A492A">
      <w:pPr>
        <w:rPr>
          <w:b/>
          <w:bCs/>
          <w:caps/>
          <w:sz w:val="28"/>
        </w:rPr>
      </w:pPr>
    </w:p>
    <w:p w:rsidR="003E1680" w:rsidRDefault="003E1680" w:rsidP="000A492A">
      <w:pPr>
        <w:rPr>
          <w:b/>
          <w:bCs/>
          <w:caps/>
          <w:sz w:val="28"/>
        </w:rPr>
      </w:pPr>
    </w:p>
    <w:p w:rsidR="003E1680" w:rsidRDefault="003E1680" w:rsidP="000A492A">
      <w:pPr>
        <w:rPr>
          <w:b/>
          <w:bCs/>
          <w:caps/>
          <w:sz w:val="28"/>
        </w:rPr>
      </w:pPr>
    </w:p>
    <w:p w:rsidR="0017652C" w:rsidRDefault="0017652C" w:rsidP="000A492A">
      <w:pPr>
        <w:pStyle w:val="Caption"/>
        <w:sectPr w:rsidR="0017652C" w:rsidSect="005E613D">
          <w:pgSz w:w="15840" w:h="12240" w:orient="landscape" w:code="1"/>
          <w:pgMar w:top="1800" w:right="1440" w:bottom="1800" w:left="1872" w:header="720" w:footer="1440" w:gutter="0"/>
          <w:cols w:space="720"/>
          <w:noEndnote/>
          <w:docGrid w:linePitch="360"/>
        </w:sectPr>
      </w:pPr>
      <w:bookmarkStart w:id="191" w:name="_Toc369774750"/>
    </w:p>
    <w:p w:rsidR="000A492A" w:rsidRDefault="000A492A" w:rsidP="000A492A">
      <w:pPr>
        <w:pStyle w:val="Caption"/>
      </w:pPr>
      <w:bookmarkStart w:id="192" w:name="_Toc376465853"/>
      <w:r>
        <w:t xml:space="preserve">Table </w:t>
      </w:r>
      <w:fldSimple w:instr=" SEQ Table \* ARABIC ">
        <w:r w:rsidR="00736DB0">
          <w:rPr>
            <w:noProof/>
          </w:rPr>
          <w:t>31</w:t>
        </w:r>
      </w:fldSimple>
      <w:r>
        <w:t xml:space="preserve"> Baseline complete blood count</w:t>
      </w:r>
      <w:bookmarkEnd w:id="191"/>
      <w:r w:rsidR="003E1680">
        <w:t>, part 4</w:t>
      </w:r>
      <w:bookmarkEnd w:id="192"/>
    </w:p>
    <w:tbl>
      <w:tblPr>
        <w:tblStyle w:val="TableClassic1"/>
        <w:tblW w:w="0" w:type="auto"/>
        <w:tblLook w:val="04A0" w:firstRow="1" w:lastRow="0" w:firstColumn="1" w:lastColumn="0" w:noHBand="0" w:noVBand="1"/>
      </w:tblPr>
      <w:tblGrid>
        <w:gridCol w:w="772"/>
        <w:gridCol w:w="1028"/>
        <w:gridCol w:w="1578"/>
        <w:gridCol w:w="1539"/>
        <w:gridCol w:w="1328"/>
        <w:gridCol w:w="1383"/>
        <w:gridCol w:w="1228"/>
      </w:tblGrid>
      <w:tr w:rsidR="0061200D" w:rsidRPr="001E1495" w:rsidTr="0017652C">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0A492A">
            <w:pPr>
              <w:rPr>
                <w:sz w:val="20"/>
                <w:szCs w:val="20"/>
              </w:rPr>
            </w:pPr>
            <w:r w:rsidRPr="001E1495">
              <w:rPr>
                <w:sz w:val="20"/>
                <w:szCs w:val="20"/>
              </w:rPr>
              <w:t>Group</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Band Neutrophils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Lymphocytes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Monocytes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Eosinophils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Basophils (%)</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Garfield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Adams</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Arthur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Polk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Taylor</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Truman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Harding</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Harrison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Hoover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Jackson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Lynden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Wilson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Carter</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Clinton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Custer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Houston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King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17652C">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Nixon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17652C">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Lincoln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Madison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Monroe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Obama</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61200D"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Taft</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Pr="001E1495" w:rsidRDefault="00862D67" w:rsidP="00CA3387">
            <w:pPr>
              <w:rPr>
                <w:sz w:val="20"/>
                <w:szCs w:val="20"/>
              </w:rPr>
            </w:pPr>
            <w:r>
              <w:rPr>
                <w:sz w:val="20"/>
                <w:szCs w:val="20"/>
              </w:rPr>
              <w:t>ExN</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Tyler</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Pr="001E1495" w:rsidRDefault="00862D67" w:rsidP="00CA3387">
            <w:pPr>
              <w:rPr>
                <w:sz w:val="20"/>
                <w:szCs w:val="20"/>
              </w:rPr>
            </w:pPr>
            <w:r>
              <w:rPr>
                <w:sz w:val="20"/>
                <w:szCs w:val="20"/>
              </w:rPr>
              <w:t>ExP</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Fillmore</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Ford</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Franklin</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Grant</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Quincy </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Sherman</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33</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Pr="001E1495" w:rsidRDefault="00862D67" w:rsidP="00CA3387">
            <w:pPr>
              <w:rPr>
                <w:sz w:val="20"/>
                <w:szCs w:val="20"/>
              </w:rPr>
            </w:pPr>
            <w:r>
              <w:rPr>
                <w:sz w:val="20"/>
                <w:szCs w:val="20"/>
              </w:rPr>
              <w:t>IBW</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Bush </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Ernie</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Johnson</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Kennedy</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Pierce</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r w:rsidR="00862D67" w:rsidRPr="001E1495" w:rsidTr="0017652C">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York</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c>
          <w:tcPr>
            <w:tcW w:w="0" w:type="auto"/>
            <w:noWrap/>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w:t>
            </w:r>
          </w:p>
        </w:tc>
      </w:tr>
    </w:tbl>
    <w:p w:rsidR="0017652C" w:rsidRDefault="0017652C" w:rsidP="000A492A">
      <w:pPr>
        <w:rPr>
          <w:b/>
          <w:bCs/>
          <w:caps/>
          <w:sz w:val="28"/>
        </w:rPr>
        <w:sectPr w:rsidR="0017652C" w:rsidSect="0017652C">
          <w:pgSz w:w="12240" w:h="15840" w:code="1"/>
          <w:pgMar w:top="1440" w:right="1800" w:bottom="1872" w:left="1800" w:header="720" w:footer="1440" w:gutter="0"/>
          <w:cols w:space="720"/>
          <w:noEndnote/>
          <w:docGrid w:linePitch="360"/>
        </w:sectPr>
      </w:pPr>
    </w:p>
    <w:p w:rsidR="000A492A" w:rsidRDefault="000A492A" w:rsidP="000A492A">
      <w:pPr>
        <w:pStyle w:val="Caption"/>
      </w:pPr>
      <w:bookmarkStart w:id="193" w:name="_Toc369774751"/>
      <w:bookmarkStart w:id="194" w:name="_Toc376465854"/>
      <w:r>
        <w:t xml:space="preserve">Table </w:t>
      </w:r>
      <w:fldSimple w:instr=" SEQ Table \* ARABIC ">
        <w:r w:rsidR="00736DB0">
          <w:rPr>
            <w:noProof/>
          </w:rPr>
          <w:t>32</w:t>
        </w:r>
      </w:fldSimple>
      <w:r>
        <w:t xml:space="preserve"> Baseline chemistry</w:t>
      </w:r>
      <w:bookmarkEnd w:id="193"/>
      <w:r w:rsidR="003E1680">
        <w:t>, part 1</w:t>
      </w:r>
      <w:bookmarkEnd w:id="194"/>
    </w:p>
    <w:tbl>
      <w:tblPr>
        <w:tblStyle w:val="TableClassic1"/>
        <w:tblW w:w="0" w:type="auto"/>
        <w:tblLook w:val="04A0" w:firstRow="1" w:lastRow="0" w:firstColumn="1" w:lastColumn="0" w:noHBand="0" w:noVBand="1"/>
      </w:tblPr>
      <w:tblGrid>
        <w:gridCol w:w="772"/>
        <w:gridCol w:w="972"/>
        <w:gridCol w:w="1342"/>
        <w:gridCol w:w="1282"/>
        <w:gridCol w:w="1248"/>
        <w:gridCol w:w="1197"/>
        <w:gridCol w:w="1647"/>
        <w:gridCol w:w="1621"/>
        <w:gridCol w:w="1419"/>
        <w:gridCol w:w="1244"/>
      </w:tblGrid>
      <w:tr w:rsidR="0061200D" w:rsidRPr="001E1495" w:rsidTr="00A4558B">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0A492A">
            <w:pPr>
              <w:rPr>
                <w:sz w:val="20"/>
                <w:szCs w:val="20"/>
              </w:rPr>
            </w:pPr>
            <w:r w:rsidRPr="001E1495">
              <w:rPr>
                <w:sz w:val="20"/>
                <w:szCs w:val="20"/>
              </w:rPr>
              <w:t>Group</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Glucose (mg/dL)</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AST (GOT) (U/L)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ALT (GPT) (U/L)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Alk. Ptase (U/L)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vertAlign w:val="superscript"/>
              </w:rPr>
            </w:pPr>
            <w:r w:rsidRPr="001E1495">
              <w:rPr>
                <w:sz w:val="20"/>
                <w:szCs w:val="20"/>
              </w:rPr>
              <w:t>Total Bilirubin (mg/dL)</w:t>
            </w:r>
            <w:r w:rsidRPr="001E1495">
              <w:rPr>
                <w:sz w:val="20"/>
                <w:szCs w:val="20"/>
                <w:vertAlign w:val="superscript"/>
              </w:rPr>
              <w:t>a</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Cholesterol (mg/dL)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Total Protein (g/dL)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Albumin (g/dL)</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Garfield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Adams</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92</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Arthur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96</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Polk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3.3</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Taylor</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96</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3.3</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Truman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3.1</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Harding</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183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3.1</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Harrison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111</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Hoover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106</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Jackson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90</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3.2</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Lynden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Wilson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3.1</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Carter</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3.2</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Clinton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105</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Custer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106</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Houston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91</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King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r>
      <w:tr w:rsidR="0061200D" w:rsidRPr="001E1495" w:rsidTr="00A4558B">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Nixon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182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3.3</w:t>
            </w:r>
          </w:p>
        </w:tc>
      </w:tr>
      <w:tr w:rsidR="0061200D" w:rsidRPr="001E1495" w:rsidTr="00A4558B">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Lincoln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89</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Madison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184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Monroe</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111</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Obama</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90</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w:t>
            </w:r>
          </w:p>
        </w:tc>
      </w:tr>
      <w:tr w:rsidR="0061200D" w:rsidRPr="001E1495" w:rsidTr="00A4558B">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Taft</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91</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w:t>
            </w:r>
          </w:p>
        </w:tc>
      </w:tr>
    </w:tbl>
    <w:p w:rsidR="000A492A" w:rsidRDefault="000A492A" w:rsidP="000A492A">
      <w:pPr>
        <w:rPr>
          <w:b/>
          <w:bCs/>
          <w:caps/>
          <w:sz w:val="28"/>
        </w:rPr>
      </w:pPr>
    </w:p>
    <w:p w:rsidR="00A4558B" w:rsidRPr="00A4558B" w:rsidRDefault="00A4558B" w:rsidP="00A4558B">
      <w:pPr>
        <w:pStyle w:val="Caption"/>
      </w:pPr>
      <w:r>
        <w:t xml:space="preserve">Table </w:t>
      </w:r>
      <w:r>
        <w:rPr>
          <w:color w:val="FF0000"/>
        </w:rPr>
        <w:t>33</w:t>
      </w:r>
      <w:r>
        <w:t xml:space="preserve"> (Continued) Baseline chemistry, part 1</w:t>
      </w:r>
    </w:p>
    <w:tbl>
      <w:tblPr>
        <w:tblStyle w:val="TableClassic1"/>
        <w:tblW w:w="0" w:type="auto"/>
        <w:tblLayout w:type="fixed"/>
        <w:tblLook w:val="04A0" w:firstRow="1" w:lastRow="0" w:firstColumn="1" w:lastColumn="0" w:noHBand="0" w:noVBand="1"/>
      </w:tblPr>
      <w:tblGrid>
        <w:gridCol w:w="810"/>
        <w:gridCol w:w="1080"/>
        <w:gridCol w:w="1080"/>
        <w:gridCol w:w="1260"/>
        <w:gridCol w:w="1080"/>
        <w:gridCol w:w="1170"/>
        <w:gridCol w:w="1440"/>
        <w:gridCol w:w="1620"/>
        <w:gridCol w:w="1260"/>
        <w:gridCol w:w="1206"/>
        <w:gridCol w:w="738"/>
      </w:tblGrid>
      <w:tr w:rsidR="0061200D" w:rsidRPr="001E1495" w:rsidTr="00A4558B">
        <w:trPr>
          <w:gridAfter w:val="1"/>
          <w:cnfStyle w:val="100000000000" w:firstRow="1" w:lastRow="0" w:firstColumn="0" w:lastColumn="0" w:oddVBand="0" w:evenVBand="0" w:oddHBand="0" w:evenHBand="0" w:firstRowFirstColumn="0" w:firstRowLastColumn="0" w:lastRowFirstColumn="0" w:lastRowLastColumn="0"/>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61200D" w:rsidRPr="001E1495" w:rsidRDefault="0061200D" w:rsidP="00A4558B">
            <w:pPr>
              <w:rPr>
                <w:sz w:val="20"/>
                <w:szCs w:val="20"/>
              </w:rPr>
            </w:pPr>
            <w:r w:rsidRPr="001E1495">
              <w:rPr>
                <w:sz w:val="20"/>
                <w:szCs w:val="20"/>
              </w:rPr>
              <w:t>Group</w:t>
            </w:r>
          </w:p>
        </w:tc>
        <w:tc>
          <w:tcPr>
            <w:tcW w:w="1080" w:type="dxa"/>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1080" w:type="dxa"/>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Glucose (mg/dL)</w:t>
            </w:r>
          </w:p>
        </w:tc>
        <w:tc>
          <w:tcPr>
            <w:tcW w:w="1260" w:type="dxa"/>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AST (GOT) (U/L)</w:t>
            </w:r>
          </w:p>
        </w:tc>
        <w:tc>
          <w:tcPr>
            <w:tcW w:w="1080"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ALT (GPT) (U/L)</w:t>
            </w:r>
          </w:p>
        </w:tc>
        <w:tc>
          <w:tcPr>
            <w:tcW w:w="1170"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Alk. Ptase (U/L)</w:t>
            </w:r>
          </w:p>
        </w:tc>
        <w:tc>
          <w:tcPr>
            <w:tcW w:w="1440"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vertAlign w:val="superscript"/>
              </w:rPr>
            </w:pPr>
            <w:r w:rsidRPr="001E1495">
              <w:rPr>
                <w:sz w:val="20"/>
                <w:szCs w:val="20"/>
              </w:rPr>
              <w:t>Total Bilirubin (mg/dL)</w:t>
            </w:r>
            <w:r w:rsidRPr="001E1495">
              <w:rPr>
                <w:sz w:val="20"/>
                <w:szCs w:val="20"/>
                <w:vertAlign w:val="superscript"/>
              </w:rPr>
              <w:t>a</w:t>
            </w:r>
          </w:p>
        </w:tc>
        <w:tc>
          <w:tcPr>
            <w:tcW w:w="1620"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Cholesterol (mg/dL)</w:t>
            </w:r>
          </w:p>
        </w:tc>
        <w:tc>
          <w:tcPr>
            <w:tcW w:w="1260"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Total Protein (g/dL) </w:t>
            </w:r>
          </w:p>
        </w:tc>
        <w:tc>
          <w:tcPr>
            <w:tcW w:w="1206" w:type="dxa"/>
            <w:noWrap/>
          </w:tcPr>
          <w:p w:rsidR="0061200D" w:rsidRPr="001E1495" w:rsidRDefault="0061200D" w:rsidP="00A4558B">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Albumin (g/dL)</w:t>
            </w:r>
          </w:p>
        </w:tc>
      </w:tr>
      <w:tr w:rsidR="00862D67" w:rsidRPr="001E1495" w:rsidTr="00A4558B">
        <w:trPr>
          <w:gridAfter w:val="1"/>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ExN</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Tyler</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32</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32</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0.09</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181</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5.1</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w:t>
            </w:r>
          </w:p>
        </w:tc>
      </w:tr>
      <w:tr w:rsidR="00862D67" w:rsidRPr="001E1495" w:rsidTr="00A4558B">
        <w:trPr>
          <w:gridAfter w:val="1"/>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Fillmore</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94</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0.09</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174</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r>
      <w:tr w:rsidR="00862D67" w:rsidRPr="001E1495" w:rsidTr="00A4558B">
        <w:trPr>
          <w:gridAfter w:val="1"/>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Ford</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111</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34</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48</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213</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5.3</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3.1</w:t>
            </w:r>
          </w:p>
        </w:tc>
      </w:tr>
      <w:tr w:rsidR="00862D67" w:rsidRPr="001E1495" w:rsidTr="00A4558B">
        <w:trPr>
          <w:gridAfter w:val="1"/>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Franklin</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35</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161</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5.2</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r>
      <w:tr w:rsidR="00862D67" w:rsidRPr="001E1495" w:rsidTr="00A4558B">
        <w:trPr>
          <w:gridAfter w:val="1"/>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Grant</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92</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39</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182</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r>
      <w:tr w:rsidR="00862D67" w:rsidRPr="001E1495" w:rsidTr="00A4558B">
        <w:trPr>
          <w:gridAfter w:val="1"/>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Quincy </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86</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37</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173</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5.3</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r>
      <w:tr w:rsidR="00862D67" w:rsidRPr="001E1495" w:rsidTr="00A4558B">
        <w:trPr>
          <w:gridAfter w:val="1"/>
          <w:wAfter w:w="738" w:type="dxa"/>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Sherman</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138</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32</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37</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187</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r>
      <w:tr w:rsidR="00862D67" w:rsidRPr="001E1495" w:rsidTr="00A4558B">
        <w:trPr>
          <w:gridAfter w:val="1"/>
          <w:wAfter w:w="738" w:type="dxa"/>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Bush </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87</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36</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37</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202</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r>
      <w:tr w:rsidR="00862D67" w:rsidRPr="001E1495" w:rsidTr="00A4558B">
        <w:trPr>
          <w:gridAfter w:val="1"/>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Ernie</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34</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36</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39</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246</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5.3</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w:t>
            </w:r>
          </w:p>
        </w:tc>
      </w:tr>
      <w:tr w:rsidR="00862D67" w:rsidRPr="001E1495" w:rsidTr="00A4558B">
        <w:trPr>
          <w:gridAfter w:val="1"/>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Johnson</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116</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44</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35</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59</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0.09</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220</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5.3</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3.1</w:t>
            </w:r>
          </w:p>
        </w:tc>
      </w:tr>
      <w:tr w:rsidR="00862D67" w:rsidRPr="001E1495" w:rsidTr="00A4558B">
        <w:trPr>
          <w:gridAfter w:val="1"/>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Kennedy</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73</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42</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53</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190</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5.5</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r>
      <w:tr w:rsidR="00862D67" w:rsidRPr="001E1495" w:rsidTr="00A4558B">
        <w:trPr>
          <w:gridAfter w:val="1"/>
          <w:wAfter w:w="738" w:type="dxa"/>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Pierce</w:t>
            </w:r>
          </w:p>
        </w:tc>
        <w:tc>
          <w:tcPr>
            <w:tcW w:w="108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81</w:t>
            </w:r>
          </w:p>
        </w:tc>
        <w:tc>
          <w:tcPr>
            <w:tcW w:w="1260" w:type="dxa"/>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54</w:t>
            </w:r>
          </w:p>
        </w:tc>
        <w:tc>
          <w:tcPr>
            <w:tcW w:w="108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42</w:t>
            </w:r>
          </w:p>
        </w:tc>
        <w:tc>
          <w:tcPr>
            <w:tcW w:w="117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62</w:t>
            </w:r>
          </w:p>
        </w:tc>
        <w:tc>
          <w:tcPr>
            <w:tcW w:w="144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162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273</w:t>
            </w:r>
          </w:p>
        </w:tc>
        <w:tc>
          <w:tcPr>
            <w:tcW w:w="1260"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5.3</w:t>
            </w:r>
          </w:p>
        </w:tc>
        <w:tc>
          <w:tcPr>
            <w:tcW w:w="1206" w:type="dxa"/>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w:t>
            </w:r>
          </w:p>
        </w:tc>
      </w:tr>
      <w:tr w:rsidR="00862D67" w:rsidRPr="001E1495" w:rsidTr="00A4558B">
        <w:trPr>
          <w:gridAfter w:val="1"/>
          <w:wAfter w:w="738" w:type="dxa"/>
          <w:trHeight w:val="315"/>
        </w:trPr>
        <w:tc>
          <w:tcPr>
            <w:cnfStyle w:val="001000000000" w:firstRow="0" w:lastRow="0" w:firstColumn="1" w:lastColumn="0" w:oddVBand="0" w:evenVBand="0" w:oddHBand="0" w:evenHBand="0" w:firstRowFirstColumn="0" w:firstRowLastColumn="0" w:lastRowFirstColumn="0" w:lastRowLastColumn="0"/>
            <w:tcW w:w="810" w:type="dxa"/>
            <w:tcBorders>
              <w:bottom w:val="single" w:sz="12" w:space="0" w:color="000000"/>
            </w:tcBorders>
          </w:tcPr>
          <w:p w:rsidR="00862D67" w:rsidRDefault="00862D67" w:rsidP="00CA3387">
            <w:r w:rsidRPr="00DD05C1">
              <w:rPr>
                <w:sz w:val="20"/>
                <w:szCs w:val="20"/>
              </w:rPr>
              <w:t>IBW</w:t>
            </w:r>
          </w:p>
        </w:tc>
        <w:tc>
          <w:tcPr>
            <w:tcW w:w="1080" w:type="dxa"/>
            <w:tcBorders>
              <w:bottom w:val="single" w:sz="12" w:space="0" w:color="000000"/>
            </w:tcBorders>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York</w:t>
            </w:r>
          </w:p>
        </w:tc>
        <w:tc>
          <w:tcPr>
            <w:tcW w:w="1080" w:type="dxa"/>
            <w:tcBorders>
              <w:bottom w:val="single" w:sz="12" w:space="0" w:color="000000"/>
            </w:tcBorders>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84</w:t>
            </w:r>
          </w:p>
        </w:tc>
        <w:tc>
          <w:tcPr>
            <w:tcW w:w="1260" w:type="dxa"/>
            <w:tcBorders>
              <w:bottom w:val="single" w:sz="12" w:space="0" w:color="000000"/>
            </w:tcBorders>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w:t>
            </w:r>
          </w:p>
        </w:tc>
        <w:tc>
          <w:tcPr>
            <w:tcW w:w="1080" w:type="dxa"/>
            <w:tcBorders>
              <w:bottom w:val="single" w:sz="12" w:space="0" w:color="000000"/>
            </w:tcBorders>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30</w:t>
            </w:r>
          </w:p>
        </w:tc>
        <w:tc>
          <w:tcPr>
            <w:tcW w:w="1170" w:type="dxa"/>
            <w:tcBorders>
              <w:bottom w:val="single" w:sz="12" w:space="0" w:color="000000"/>
            </w:tcBorders>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76</w:t>
            </w:r>
          </w:p>
        </w:tc>
        <w:tc>
          <w:tcPr>
            <w:tcW w:w="1440" w:type="dxa"/>
            <w:tcBorders>
              <w:bottom w:val="single" w:sz="12" w:space="0" w:color="000000"/>
            </w:tcBorders>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0.1</w:t>
            </w:r>
          </w:p>
        </w:tc>
        <w:tc>
          <w:tcPr>
            <w:tcW w:w="1620" w:type="dxa"/>
            <w:tcBorders>
              <w:bottom w:val="single" w:sz="12" w:space="0" w:color="000000"/>
            </w:tcBorders>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224</w:t>
            </w:r>
          </w:p>
        </w:tc>
        <w:tc>
          <w:tcPr>
            <w:tcW w:w="1260" w:type="dxa"/>
            <w:tcBorders>
              <w:bottom w:val="single" w:sz="12" w:space="0" w:color="000000"/>
            </w:tcBorders>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1206" w:type="dxa"/>
            <w:tcBorders>
              <w:bottom w:val="single" w:sz="12" w:space="0" w:color="000000"/>
            </w:tcBorders>
            <w:noWrap/>
            <w:hideMark/>
          </w:tcPr>
          <w:p w:rsidR="00862D67" w:rsidRPr="001E1495" w:rsidRDefault="00862D67" w:rsidP="00A4558B">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2.7</w:t>
            </w:r>
          </w:p>
        </w:tc>
      </w:tr>
      <w:tr w:rsidR="00862D67" w:rsidRPr="001E1495" w:rsidTr="00A4558B">
        <w:trPr>
          <w:trHeight w:val="315"/>
        </w:trPr>
        <w:tc>
          <w:tcPr>
            <w:cnfStyle w:val="001000000000" w:firstRow="0" w:lastRow="0" w:firstColumn="1" w:lastColumn="0" w:oddVBand="0" w:evenVBand="0" w:oddHBand="0" w:evenHBand="0" w:firstRowFirstColumn="0" w:firstRowLastColumn="0" w:lastRowFirstColumn="0" w:lastRowLastColumn="0"/>
            <w:tcW w:w="12744" w:type="dxa"/>
            <w:gridSpan w:val="11"/>
            <w:tcBorders>
              <w:top w:val="single" w:sz="12" w:space="0" w:color="000000"/>
              <w:bottom w:val="nil"/>
              <w:right w:val="nil"/>
            </w:tcBorders>
          </w:tcPr>
          <w:p w:rsidR="00862D67" w:rsidRPr="00A4558B" w:rsidRDefault="00862D67" w:rsidP="00A4558B">
            <w:pPr>
              <w:rPr>
                <w:sz w:val="18"/>
                <w:szCs w:val="18"/>
              </w:rPr>
            </w:pPr>
            <w:r w:rsidRPr="00A4558B">
              <w:rPr>
                <w:sz w:val="18"/>
                <w:szCs w:val="18"/>
                <w:vertAlign w:val="superscript"/>
              </w:rPr>
              <w:t>a</w:t>
            </w:r>
            <w:r w:rsidRPr="00A4558B">
              <w:rPr>
                <w:sz w:val="18"/>
                <w:szCs w:val="18"/>
              </w:rPr>
              <w:t xml:space="preserve"> &lt;0.1 entered as 0.09</w:t>
            </w:r>
          </w:p>
        </w:tc>
      </w:tr>
    </w:tbl>
    <w:p w:rsidR="00A4558B" w:rsidRDefault="00A4558B" w:rsidP="000A492A">
      <w:pPr>
        <w:rPr>
          <w:b/>
          <w:bCs/>
          <w:caps/>
          <w:sz w:val="28"/>
        </w:rPr>
      </w:pPr>
    </w:p>
    <w:p w:rsidR="00A4558B" w:rsidRDefault="00A4558B" w:rsidP="000A492A">
      <w:pPr>
        <w:rPr>
          <w:b/>
          <w:bCs/>
          <w:caps/>
          <w:sz w:val="28"/>
        </w:rPr>
      </w:pPr>
    </w:p>
    <w:p w:rsidR="00A4558B" w:rsidRDefault="00A4558B" w:rsidP="000A492A">
      <w:pPr>
        <w:rPr>
          <w:b/>
          <w:bCs/>
          <w:caps/>
          <w:sz w:val="28"/>
        </w:rPr>
      </w:pPr>
    </w:p>
    <w:p w:rsidR="00A4558B" w:rsidRDefault="00A4558B" w:rsidP="000A492A">
      <w:pPr>
        <w:rPr>
          <w:b/>
          <w:bCs/>
          <w:caps/>
          <w:sz w:val="28"/>
        </w:rPr>
      </w:pPr>
    </w:p>
    <w:p w:rsidR="0061200D" w:rsidRDefault="0061200D" w:rsidP="000A492A">
      <w:pPr>
        <w:rPr>
          <w:b/>
          <w:bCs/>
          <w:caps/>
          <w:sz w:val="28"/>
        </w:rPr>
      </w:pPr>
    </w:p>
    <w:p w:rsidR="00A4558B" w:rsidRDefault="00A4558B" w:rsidP="000A492A">
      <w:pPr>
        <w:rPr>
          <w:b/>
          <w:bCs/>
          <w:caps/>
          <w:sz w:val="28"/>
        </w:rPr>
      </w:pPr>
    </w:p>
    <w:p w:rsidR="000A492A" w:rsidRDefault="000A492A" w:rsidP="000A492A">
      <w:pPr>
        <w:pStyle w:val="Caption"/>
      </w:pPr>
      <w:bookmarkStart w:id="195" w:name="_Toc369774752"/>
      <w:bookmarkStart w:id="196" w:name="_Toc376465855"/>
      <w:r>
        <w:t xml:space="preserve">Table </w:t>
      </w:r>
      <w:fldSimple w:instr=" SEQ Table \* ARABIC ">
        <w:r w:rsidR="00736DB0">
          <w:rPr>
            <w:noProof/>
          </w:rPr>
          <w:t>33</w:t>
        </w:r>
      </w:fldSimple>
      <w:r>
        <w:t xml:space="preserve"> </w:t>
      </w:r>
      <w:r w:rsidRPr="007256F9">
        <w:t>Baseline chemistry</w:t>
      </w:r>
      <w:bookmarkEnd w:id="195"/>
      <w:r w:rsidR="00A4558B">
        <w:t>, part 2</w:t>
      </w:r>
      <w:bookmarkEnd w:id="196"/>
    </w:p>
    <w:tbl>
      <w:tblPr>
        <w:tblStyle w:val="TableClassic1"/>
        <w:tblW w:w="0" w:type="auto"/>
        <w:tblLook w:val="04A0" w:firstRow="1" w:lastRow="0" w:firstColumn="1" w:lastColumn="0" w:noHBand="0" w:noVBand="1"/>
      </w:tblPr>
      <w:tblGrid>
        <w:gridCol w:w="772"/>
        <w:gridCol w:w="972"/>
        <w:gridCol w:w="1363"/>
        <w:gridCol w:w="1399"/>
        <w:gridCol w:w="1662"/>
        <w:gridCol w:w="1818"/>
        <w:gridCol w:w="1472"/>
        <w:gridCol w:w="1531"/>
        <w:gridCol w:w="1755"/>
      </w:tblGrid>
      <w:tr w:rsidR="0061200D" w:rsidRPr="001E1495" w:rsidTr="0064777D">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0A492A">
            <w:pPr>
              <w:rPr>
                <w:sz w:val="20"/>
                <w:szCs w:val="20"/>
              </w:rPr>
            </w:pPr>
            <w:r w:rsidRPr="001E1495">
              <w:rPr>
                <w:sz w:val="20"/>
                <w:szCs w:val="20"/>
              </w:rPr>
              <w:t>Group</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Globulin (g/dL)</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Urea N (mg/dL)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Creatinine (mg/dL)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Phosphorus (mg/dL)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Calcium (mg/dL)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Sodium (mmol/L)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Potassium (mmol/L) </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Garfield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5.1</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Adams</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4.9</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Arthur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5.2</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Polk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Taylor</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Truman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4.9</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Harding</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4.8</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Harrison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Hoover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4.9</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Jackson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Lynden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Wilson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5.8</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Carter</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2.1</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Clinton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Custer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5.2</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Houston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4.9</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King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r>
      <w:tr w:rsidR="0061200D" w:rsidRPr="001E1495" w:rsidTr="0064777D">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Nixon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w:t>
            </w:r>
          </w:p>
        </w:tc>
      </w:tr>
      <w:tr w:rsidR="0061200D" w:rsidRPr="001E1495" w:rsidTr="0064777D">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Lincoln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Madison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4.1</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Monroe</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3.7</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Obama</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4.4</w:t>
            </w:r>
          </w:p>
        </w:tc>
      </w:tr>
      <w:tr w:rsidR="0061200D"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Taft</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3.7</w:t>
            </w:r>
          </w:p>
        </w:tc>
      </w:tr>
    </w:tbl>
    <w:p w:rsidR="0064777D" w:rsidRPr="0064777D" w:rsidRDefault="0064777D" w:rsidP="0064777D">
      <w:pPr>
        <w:pStyle w:val="Caption"/>
      </w:pPr>
      <w:r>
        <w:t xml:space="preserve">Table </w:t>
      </w:r>
      <w:r>
        <w:rPr>
          <w:color w:val="FF0000"/>
        </w:rPr>
        <w:t>34</w:t>
      </w:r>
      <w:r>
        <w:t xml:space="preserve"> (Continued) </w:t>
      </w:r>
      <w:r w:rsidRPr="007256F9">
        <w:t>Baseline chemistry</w:t>
      </w:r>
      <w:r>
        <w:t>, part 2</w:t>
      </w:r>
    </w:p>
    <w:tbl>
      <w:tblPr>
        <w:tblStyle w:val="TableClassic1"/>
        <w:tblW w:w="0" w:type="auto"/>
        <w:tblLayout w:type="fixed"/>
        <w:tblLook w:val="04A0" w:firstRow="1" w:lastRow="0" w:firstColumn="1" w:lastColumn="0" w:noHBand="0" w:noVBand="1"/>
      </w:tblPr>
      <w:tblGrid>
        <w:gridCol w:w="810"/>
        <w:gridCol w:w="1080"/>
        <w:gridCol w:w="1170"/>
        <w:gridCol w:w="1260"/>
        <w:gridCol w:w="1620"/>
        <w:gridCol w:w="1710"/>
        <w:gridCol w:w="1350"/>
        <w:gridCol w:w="1440"/>
        <w:gridCol w:w="1566"/>
      </w:tblGrid>
      <w:tr w:rsidR="0061200D" w:rsidRPr="001E1495" w:rsidTr="0064777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dxa"/>
          </w:tcPr>
          <w:p w:rsidR="0061200D" w:rsidRPr="001E1495" w:rsidRDefault="0061200D" w:rsidP="00CA3387">
            <w:pPr>
              <w:rPr>
                <w:sz w:val="20"/>
                <w:szCs w:val="20"/>
              </w:rPr>
            </w:pPr>
            <w:r w:rsidRPr="001E1495">
              <w:rPr>
                <w:sz w:val="20"/>
                <w:szCs w:val="20"/>
              </w:rPr>
              <w:t>Group</w:t>
            </w:r>
          </w:p>
        </w:tc>
        <w:tc>
          <w:tcPr>
            <w:tcW w:w="1080" w:type="dxa"/>
          </w:tcPr>
          <w:p w:rsidR="0061200D" w:rsidRPr="001E1495" w:rsidRDefault="0061200D" w:rsidP="00CA3387">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1170" w:type="dxa"/>
          </w:tcPr>
          <w:p w:rsidR="0061200D" w:rsidRPr="001E1495" w:rsidRDefault="0061200D" w:rsidP="00CA3387">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Globulin (g/dL)</w:t>
            </w:r>
          </w:p>
        </w:tc>
        <w:tc>
          <w:tcPr>
            <w:tcW w:w="1260" w:type="dxa"/>
          </w:tcPr>
          <w:p w:rsidR="0061200D" w:rsidRPr="001E1495" w:rsidRDefault="0061200D" w:rsidP="00CA3387">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Urea N (mg/dL)</w:t>
            </w:r>
          </w:p>
        </w:tc>
        <w:tc>
          <w:tcPr>
            <w:tcW w:w="1620" w:type="dxa"/>
            <w:noWrap/>
          </w:tcPr>
          <w:p w:rsidR="0061200D" w:rsidRPr="001E1495" w:rsidRDefault="0061200D" w:rsidP="00CA3387">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Creatinine (mg/dL)</w:t>
            </w:r>
          </w:p>
        </w:tc>
        <w:tc>
          <w:tcPr>
            <w:tcW w:w="1710" w:type="dxa"/>
            <w:noWrap/>
          </w:tcPr>
          <w:p w:rsidR="0061200D" w:rsidRPr="001E1495" w:rsidRDefault="0061200D" w:rsidP="00CA3387">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Phosphorus (mg/dL)</w:t>
            </w:r>
          </w:p>
        </w:tc>
        <w:tc>
          <w:tcPr>
            <w:tcW w:w="1350" w:type="dxa"/>
            <w:noWrap/>
          </w:tcPr>
          <w:p w:rsidR="0061200D" w:rsidRPr="001E1495" w:rsidRDefault="0061200D" w:rsidP="00CA3387">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Calcium (mg/dL)</w:t>
            </w:r>
          </w:p>
        </w:tc>
        <w:tc>
          <w:tcPr>
            <w:tcW w:w="1440" w:type="dxa"/>
            <w:noWrap/>
          </w:tcPr>
          <w:p w:rsidR="0061200D" w:rsidRPr="001E1495" w:rsidRDefault="0061200D" w:rsidP="00CA3387">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Sodium (mmol/L)</w:t>
            </w:r>
          </w:p>
        </w:tc>
        <w:tc>
          <w:tcPr>
            <w:tcW w:w="1566" w:type="dxa"/>
            <w:noWrap/>
          </w:tcPr>
          <w:p w:rsidR="0061200D" w:rsidRPr="001E1495" w:rsidRDefault="0061200D" w:rsidP="00CA3387">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Potassium (mmol/L) </w:t>
            </w:r>
          </w:p>
        </w:tc>
      </w:tr>
      <w:tr w:rsidR="00862D67"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ExN</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Tyler</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9.7</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147</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4.6</w:t>
            </w:r>
          </w:p>
        </w:tc>
      </w:tr>
      <w:tr w:rsidR="00862D67"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ExP</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Fillmore</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5.2</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9.8</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146</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4.5</w:t>
            </w:r>
          </w:p>
        </w:tc>
      </w:tr>
      <w:tr w:rsidR="00862D67"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Ford</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9.9</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147</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3.8</w:t>
            </w:r>
          </w:p>
        </w:tc>
      </w:tr>
      <w:tr w:rsidR="00862D67"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Franklin</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148</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r>
      <w:tr w:rsidR="00862D67"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Grant</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2.0</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5.1</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148</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4.4</w:t>
            </w:r>
          </w:p>
        </w:tc>
      </w:tr>
      <w:tr w:rsidR="00862D67"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Quincy </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5.9</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146</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4.1</w:t>
            </w:r>
          </w:p>
        </w:tc>
      </w:tr>
      <w:tr w:rsidR="00862D67" w:rsidRPr="001E1495" w:rsidTr="0064777D">
        <w:trPr>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A735D4">
              <w:rPr>
                <w:sz w:val="20"/>
                <w:szCs w:val="20"/>
              </w:rPr>
              <w:t>ExP</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Sherman</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4.5</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9.8</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146</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3.5</w:t>
            </w:r>
          </w:p>
        </w:tc>
      </w:tr>
      <w:tr w:rsidR="00862D67" w:rsidRPr="001E1495" w:rsidTr="0064777D">
        <w:trPr>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Pr="001E1495" w:rsidRDefault="00862D67" w:rsidP="00CA3387">
            <w:pPr>
              <w:rPr>
                <w:sz w:val="20"/>
                <w:szCs w:val="20"/>
              </w:rPr>
            </w:pPr>
            <w:r>
              <w:rPr>
                <w:sz w:val="20"/>
                <w:szCs w:val="20"/>
              </w:rPr>
              <w:t>IBW</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Bush </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4.2</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146</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4.2</w:t>
            </w:r>
          </w:p>
        </w:tc>
      </w:tr>
      <w:tr w:rsidR="00862D67"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Ernie</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4.1</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145</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4.0</w:t>
            </w:r>
          </w:p>
        </w:tc>
      </w:tr>
      <w:tr w:rsidR="00862D67"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Johnson</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0.8</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4.3</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10.4</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148</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3.9</w:t>
            </w:r>
          </w:p>
        </w:tc>
      </w:tr>
      <w:tr w:rsidR="00862D67"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Kennedy</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2.8</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0.7</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4.5</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147</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4.4</w:t>
            </w:r>
          </w:p>
        </w:tc>
      </w:tr>
      <w:tr w:rsidR="00862D67" w:rsidRPr="001E1495" w:rsidTr="0064777D">
        <w:trPr>
          <w:trHeight w:val="300"/>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Pierce</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3.4</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9.8</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146</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4.1</w:t>
            </w:r>
          </w:p>
        </w:tc>
      </w:tr>
      <w:tr w:rsidR="00862D67" w:rsidRPr="001E1495" w:rsidTr="0064777D">
        <w:trPr>
          <w:trHeight w:val="315"/>
        </w:trPr>
        <w:tc>
          <w:tcPr>
            <w:cnfStyle w:val="001000000000" w:firstRow="0" w:lastRow="0" w:firstColumn="1" w:lastColumn="0" w:oddVBand="0" w:evenVBand="0" w:oddHBand="0" w:evenHBand="0" w:firstRowFirstColumn="0" w:firstRowLastColumn="0" w:lastRowFirstColumn="0" w:lastRowLastColumn="0"/>
            <w:tcW w:w="810" w:type="dxa"/>
          </w:tcPr>
          <w:p w:rsidR="00862D67" w:rsidRDefault="00862D67" w:rsidP="00CA3387">
            <w:r w:rsidRPr="00DD05C1">
              <w:rPr>
                <w:sz w:val="20"/>
                <w:szCs w:val="20"/>
              </w:rPr>
              <w:t>IBW</w:t>
            </w:r>
          </w:p>
        </w:tc>
        <w:tc>
          <w:tcPr>
            <w:tcW w:w="108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York</w:t>
            </w:r>
          </w:p>
        </w:tc>
        <w:tc>
          <w:tcPr>
            <w:tcW w:w="117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1260" w:type="dxa"/>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w:t>
            </w:r>
          </w:p>
        </w:tc>
        <w:tc>
          <w:tcPr>
            <w:tcW w:w="162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0.6</w:t>
            </w:r>
          </w:p>
        </w:tc>
        <w:tc>
          <w:tcPr>
            <w:tcW w:w="171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4.7</w:t>
            </w:r>
          </w:p>
        </w:tc>
        <w:tc>
          <w:tcPr>
            <w:tcW w:w="135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w:t>
            </w:r>
          </w:p>
        </w:tc>
        <w:tc>
          <w:tcPr>
            <w:tcW w:w="1440"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146</w:t>
            </w:r>
          </w:p>
        </w:tc>
        <w:tc>
          <w:tcPr>
            <w:tcW w:w="1566" w:type="dxa"/>
            <w:noWrap/>
            <w:hideMark/>
          </w:tcPr>
          <w:p w:rsidR="00862D67" w:rsidRPr="001E1495" w:rsidRDefault="00862D67" w:rsidP="00CA3387">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3.8</w:t>
            </w:r>
          </w:p>
        </w:tc>
      </w:tr>
    </w:tbl>
    <w:p w:rsidR="0064777D" w:rsidRDefault="0064777D" w:rsidP="000A492A">
      <w:pPr>
        <w:rPr>
          <w:b/>
          <w:bCs/>
          <w:caps/>
          <w:sz w:val="28"/>
        </w:rPr>
      </w:pPr>
    </w:p>
    <w:p w:rsidR="0064777D" w:rsidRDefault="0064777D" w:rsidP="000A492A">
      <w:pPr>
        <w:rPr>
          <w:b/>
          <w:bCs/>
          <w:caps/>
          <w:sz w:val="28"/>
        </w:rPr>
      </w:pPr>
    </w:p>
    <w:p w:rsidR="008204D3" w:rsidRDefault="008204D3" w:rsidP="000A492A">
      <w:pPr>
        <w:rPr>
          <w:b/>
          <w:bCs/>
          <w:caps/>
          <w:sz w:val="28"/>
        </w:rPr>
      </w:pPr>
    </w:p>
    <w:p w:rsidR="008204D3" w:rsidRDefault="008204D3" w:rsidP="000A492A">
      <w:pPr>
        <w:rPr>
          <w:b/>
          <w:bCs/>
          <w:caps/>
          <w:sz w:val="28"/>
        </w:rPr>
      </w:pPr>
    </w:p>
    <w:p w:rsidR="008204D3" w:rsidRDefault="008204D3" w:rsidP="000A492A">
      <w:pPr>
        <w:rPr>
          <w:b/>
          <w:bCs/>
          <w:caps/>
          <w:sz w:val="28"/>
        </w:rPr>
      </w:pPr>
    </w:p>
    <w:p w:rsidR="008204D3" w:rsidRDefault="008204D3" w:rsidP="000A492A">
      <w:pPr>
        <w:rPr>
          <w:b/>
          <w:bCs/>
          <w:caps/>
          <w:sz w:val="28"/>
        </w:rPr>
      </w:pPr>
    </w:p>
    <w:p w:rsidR="008204D3" w:rsidRDefault="008204D3" w:rsidP="000A492A">
      <w:pPr>
        <w:rPr>
          <w:b/>
          <w:bCs/>
          <w:caps/>
          <w:sz w:val="28"/>
        </w:rPr>
      </w:pPr>
    </w:p>
    <w:p w:rsidR="0064777D" w:rsidRDefault="0064777D" w:rsidP="000A492A">
      <w:pPr>
        <w:rPr>
          <w:b/>
          <w:bCs/>
          <w:caps/>
          <w:sz w:val="28"/>
        </w:rPr>
      </w:pPr>
    </w:p>
    <w:p w:rsidR="008204D3" w:rsidRDefault="008204D3" w:rsidP="000A492A">
      <w:pPr>
        <w:pStyle w:val="Caption"/>
        <w:sectPr w:rsidR="008204D3" w:rsidSect="005E613D">
          <w:pgSz w:w="15840" w:h="12240" w:orient="landscape" w:code="1"/>
          <w:pgMar w:top="1800" w:right="1440" w:bottom="1800" w:left="1872" w:header="720" w:footer="1440" w:gutter="0"/>
          <w:cols w:space="720"/>
          <w:noEndnote/>
          <w:docGrid w:linePitch="360"/>
        </w:sectPr>
      </w:pPr>
      <w:bookmarkStart w:id="197" w:name="_Toc369774753"/>
    </w:p>
    <w:p w:rsidR="000A492A" w:rsidRDefault="000A492A" w:rsidP="000A492A">
      <w:pPr>
        <w:pStyle w:val="Caption"/>
      </w:pPr>
      <w:bookmarkStart w:id="198" w:name="_Toc376465856"/>
      <w:r>
        <w:t xml:space="preserve">Table </w:t>
      </w:r>
      <w:fldSimple w:instr=" SEQ Table \* ARABIC ">
        <w:r w:rsidR="00736DB0">
          <w:rPr>
            <w:noProof/>
          </w:rPr>
          <w:t>34</w:t>
        </w:r>
      </w:fldSimple>
      <w:r>
        <w:t xml:space="preserve"> Baseline chemistry</w:t>
      </w:r>
      <w:bookmarkEnd w:id="197"/>
      <w:r w:rsidR="008204D3">
        <w:t>, part 3</w:t>
      </w:r>
      <w:bookmarkEnd w:id="198"/>
    </w:p>
    <w:tbl>
      <w:tblPr>
        <w:tblStyle w:val="TableClassic1"/>
        <w:tblW w:w="0" w:type="auto"/>
        <w:tblLook w:val="04A0" w:firstRow="1" w:lastRow="0" w:firstColumn="1" w:lastColumn="0" w:noHBand="0" w:noVBand="1"/>
      </w:tblPr>
      <w:tblGrid>
        <w:gridCol w:w="772"/>
        <w:gridCol w:w="1028"/>
        <w:gridCol w:w="1537"/>
        <w:gridCol w:w="1844"/>
        <w:gridCol w:w="1669"/>
        <w:gridCol w:w="1058"/>
        <w:gridCol w:w="948"/>
      </w:tblGrid>
      <w:tr w:rsidR="0061200D" w:rsidRPr="001E1495" w:rsidTr="008204D3">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0A492A">
            <w:pPr>
              <w:rPr>
                <w:sz w:val="20"/>
                <w:szCs w:val="20"/>
              </w:rPr>
            </w:pPr>
            <w:r w:rsidRPr="001E1495">
              <w:rPr>
                <w:sz w:val="20"/>
                <w:szCs w:val="20"/>
              </w:rPr>
              <w:t>Group</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Chloride (mmol/L)</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Bicarbonate (mmol/L)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Anion Gap (mmol/L) </w:t>
            </w:r>
          </w:p>
        </w:tc>
        <w:tc>
          <w:tcPr>
            <w:tcW w:w="0" w:type="auto"/>
            <w:hideMark/>
          </w:tcPr>
          <w:p w:rsidR="0061200D" w:rsidRPr="00765E97" w:rsidRDefault="0061200D" w:rsidP="000A492A">
            <w:pPr>
              <w:cnfStyle w:val="100000000000" w:firstRow="1" w:lastRow="0" w:firstColumn="0" w:lastColumn="0" w:oddVBand="0" w:evenVBand="0" w:oddHBand="0" w:evenHBand="0" w:firstRowFirstColumn="0" w:firstRowLastColumn="0" w:lastRowFirstColumn="0" w:lastRowLastColumn="0"/>
              <w:rPr>
                <w:sz w:val="20"/>
                <w:szCs w:val="20"/>
                <w:vertAlign w:val="superscript"/>
              </w:rPr>
            </w:pPr>
            <w:r w:rsidRPr="001E1495">
              <w:rPr>
                <w:sz w:val="20"/>
                <w:szCs w:val="20"/>
              </w:rPr>
              <w:t>GGT (U/L)</w:t>
            </w:r>
            <w:r>
              <w:rPr>
                <w:sz w:val="20"/>
                <w:szCs w:val="20"/>
                <w:vertAlign w:val="superscript"/>
              </w:rPr>
              <w:t>a</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A/G Ratio</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Garfield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Adams</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111</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Arthur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110</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Polk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Taylor</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Truman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112</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Harding</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110</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Harrison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110</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Hoover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112</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Jackson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112</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Lynden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Wilson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116</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Carter</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111</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Clinton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Custer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115</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Houston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King </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111</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r>
      <w:tr w:rsidR="0061200D" w:rsidRPr="001E1495" w:rsidTr="008204D3">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Nixon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r>
      <w:tr w:rsidR="0061200D" w:rsidRPr="001E1495" w:rsidTr="008204D3">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Lincoln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113</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Madison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115</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21</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Monroe</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Obama</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114</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61200D"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Taft</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116</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862D67"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Pr="001E1495" w:rsidRDefault="00862D67" w:rsidP="00CA3387">
            <w:pPr>
              <w:rPr>
                <w:sz w:val="20"/>
                <w:szCs w:val="20"/>
              </w:rPr>
            </w:pPr>
            <w:r>
              <w:rPr>
                <w:sz w:val="20"/>
                <w:szCs w:val="20"/>
              </w:rPr>
              <w:t>ExN</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Tyler</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115</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862D67"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Pr="001E1495" w:rsidRDefault="00862D67" w:rsidP="00CA3387">
            <w:pPr>
              <w:rPr>
                <w:sz w:val="20"/>
                <w:szCs w:val="20"/>
              </w:rPr>
            </w:pPr>
            <w:r>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Fillmore</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114</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862D67"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Ford</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114</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4</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r>
      <w:tr w:rsidR="00862D67"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Franklin</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114</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r>
      <w:tr w:rsidR="00862D67"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Grant</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116</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r>
      <w:tr w:rsidR="00862D67"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Quincy </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113</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17</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r>
      <w:tr w:rsidR="00862D67" w:rsidRPr="001E1495" w:rsidTr="008204D3">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Sherman</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113</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23</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862D67" w:rsidRPr="001E1495" w:rsidTr="008204D3">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862D67" w:rsidRPr="001E1495" w:rsidRDefault="00862D67" w:rsidP="00CA3387">
            <w:pPr>
              <w:rPr>
                <w:sz w:val="20"/>
                <w:szCs w:val="20"/>
              </w:rPr>
            </w:pPr>
            <w:r>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Bush </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115</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862D67"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Ernie</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112</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862D67"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Johnson</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113</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24</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r>
      <w:tr w:rsidR="00862D67"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Kennedy</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112</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25</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w:t>
            </w:r>
          </w:p>
        </w:tc>
      </w:tr>
      <w:tr w:rsidR="00862D67" w:rsidRPr="001E1495" w:rsidTr="008204D3">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Pierce</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113</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22</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15</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2.99</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w:t>
            </w:r>
          </w:p>
        </w:tc>
      </w:tr>
      <w:tr w:rsidR="00862D67" w:rsidRPr="001E1495" w:rsidTr="00F214CD">
        <w:trPr>
          <w:trHeight w:val="315"/>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tcPr>
          <w:p w:rsidR="00862D67" w:rsidRDefault="00862D67" w:rsidP="00CA3387">
            <w:r w:rsidRPr="00DD05C1">
              <w:rPr>
                <w:sz w:val="20"/>
                <w:szCs w:val="20"/>
              </w:rPr>
              <w:t>IBW</w:t>
            </w:r>
          </w:p>
        </w:tc>
        <w:tc>
          <w:tcPr>
            <w:tcW w:w="0" w:type="auto"/>
            <w:tcBorders>
              <w:bottom w:val="single" w:sz="12" w:space="0" w:color="000000"/>
            </w:tcBorders>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York</w:t>
            </w:r>
          </w:p>
        </w:tc>
        <w:tc>
          <w:tcPr>
            <w:tcW w:w="0" w:type="auto"/>
            <w:tcBorders>
              <w:bottom w:val="single" w:sz="12" w:space="0" w:color="000000"/>
            </w:tcBorders>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115</w:t>
            </w:r>
          </w:p>
        </w:tc>
        <w:tc>
          <w:tcPr>
            <w:tcW w:w="0" w:type="auto"/>
            <w:tcBorders>
              <w:bottom w:val="single" w:sz="12" w:space="0" w:color="000000"/>
            </w:tcBorders>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21</w:t>
            </w:r>
          </w:p>
        </w:tc>
        <w:tc>
          <w:tcPr>
            <w:tcW w:w="0" w:type="auto"/>
            <w:tcBorders>
              <w:bottom w:val="single" w:sz="12" w:space="0" w:color="000000"/>
            </w:tcBorders>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14</w:t>
            </w:r>
          </w:p>
        </w:tc>
        <w:tc>
          <w:tcPr>
            <w:tcW w:w="0" w:type="auto"/>
            <w:tcBorders>
              <w:bottom w:val="single" w:sz="12" w:space="0" w:color="000000"/>
            </w:tcBorders>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3</w:t>
            </w:r>
          </w:p>
        </w:tc>
        <w:tc>
          <w:tcPr>
            <w:tcW w:w="0" w:type="auto"/>
            <w:tcBorders>
              <w:bottom w:val="single" w:sz="12" w:space="0" w:color="000000"/>
            </w:tcBorders>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1.2</w:t>
            </w:r>
          </w:p>
        </w:tc>
      </w:tr>
      <w:tr w:rsidR="00862D67" w:rsidRPr="001E1495" w:rsidTr="00F214CD">
        <w:trPr>
          <w:trHeight w:val="315"/>
        </w:trPr>
        <w:tc>
          <w:tcPr>
            <w:cnfStyle w:val="001000000000" w:firstRow="0" w:lastRow="0" w:firstColumn="1" w:lastColumn="0" w:oddVBand="0" w:evenVBand="0" w:oddHBand="0" w:evenHBand="0" w:firstRowFirstColumn="0" w:firstRowLastColumn="0" w:lastRowFirstColumn="0" w:lastRowLastColumn="0"/>
            <w:tcW w:w="0" w:type="auto"/>
            <w:gridSpan w:val="7"/>
            <w:tcBorders>
              <w:top w:val="single" w:sz="12" w:space="0" w:color="000000"/>
              <w:bottom w:val="nil"/>
              <w:right w:val="nil"/>
            </w:tcBorders>
          </w:tcPr>
          <w:p w:rsidR="00862D67" w:rsidRPr="008204D3" w:rsidRDefault="00862D67" w:rsidP="000A492A">
            <w:pPr>
              <w:rPr>
                <w:bCs/>
                <w:caps/>
                <w:sz w:val="18"/>
                <w:szCs w:val="18"/>
              </w:rPr>
            </w:pPr>
            <w:r w:rsidRPr="008204D3">
              <w:rPr>
                <w:sz w:val="18"/>
                <w:szCs w:val="18"/>
                <w:vertAlign w:val="superscript"/>
              </w:rPr>
              <w:t xml:space="preserve">a </w:t>
            </w:r>
            <w:r w:rsidRPr="008204D3">
              <w:rPr>
                <w:sz w:val="18"/>
                <w:szCs w:val="18"/>
              </w:rPr>
              <w:t>&lt;3 entered as 2.99</w:t>
            </w:r>
          </w:p>
        </w:tc>
      </w:tr>
    </w:tbl>
    <w:p w:rsidR="008204D3" w:rsidRDefault="008204D3" w:rsidP="000A492A">
      <w:pPr>
        <w:rPr>
          <w:b/>
          <w:bCs/>
          <w:caps/>
          <w:sz w:val="28"/>
        </w:rPr>
        <w:sectPr w:rsidR="008204D3" w:rsidSect="008204D3">
          <w:pgSz w:w="12240" w:h="15840" w:code="1"/>
          <w:pgMar w:top="1440" w:right="1800" w:bottom="1872" w:left="1800" w:header="720" w:footer="1440" w:gutter="0"/>
          <w:cols w:space="720"/>
          <w:noEndnote/>
          <w:docGrid w:linePitch="360"/>
        </w:sectPr>
      </w:pPr>
    </w:p>
    <w:p w:rsidR="000A492A" w:rsidRDefault="000A492A" w:rsidP="000A492A">
      <w:pPr>
        <w:pStyle w:val="Caption"/>
      </w:pPr>
      <w:bookmarkStart w:id="199" w:name="_Toc369774754"/>
      <w:bookmarkStart w:id="200" w:name="_Toc376465857"/>
      <w:r>
        <w:t xml:space="preserve">Table </w:t>
      </w:r>
      <w:fldSimple w:instr=" SEQ Table \* ARABIC ">
        <w:r w:rsidR="00736DB0">
          <w:rPr>
            <w:noProof/>
          </w:rPr>
          <w:t>35</w:t>
        </w:r>
      </w:fldSimple>
      <w:r>
        <w:t xml:space="preserve"> Baseline urinalysis</w:t>
      </w:r>
      <w:bookmarkEnd w:id="199"/>
      <w:bookmarkEnd w:id="200"/>
    </w:p>
    <w:tbl>
      <w:tblPr>
        <w:tblStyle w:val="TableClassic1"/>
        <w:tblW w:w="0" w:type="auto"/>
        <w:tblLook w:val="04A0" w:firstRow="1" w:lastRow="0" w:firstColumn="1" w:lastColumn="0" w:noHBand="0" w:noVBand="1"/>
      </w:tblPr>
      <w:tblGrid>
        <w:gridCol w:w="772"/>
        <w:gridCol w:w="1028"/>
        <w:gridCol w:w="805"/>
        <w:gridCol w:w="495"/>
        <w:gridCol w:w="1383"/>
        <w:gridCol w:w="995"/>
        <w:gridCol w:w="1006"/>
        <w:gridCol w:w="1006"/>
      </w:tblGrid>
      <w:tr w:rsidR="0061200D" w:rsidRPr="001E1495" w:rsidTr="00F214CD">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0A492A">
            <w:pPr>
              <w:rPr>
                <w:sz w:val="20"/>
                <w:szCs w:val="20"/>
              </w:rPr>
            </w:pPr>
            <w:r w:rsidRPr="001E1495">
              <w:rPr>
                <w:sz w:val="20"/>
                <w:szCs w:val="20"/>
              </w:rPr>
              <w:t>Group</w:t>
            </w:r>
          </w:p>
        </w:tc>
        <w:tc>
          <w:tcPr>
            <w:tcW w:w="0" w:type="auto"/>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Dog</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Sp-Gr.</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pH</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Prot. (mg/dL)</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Uro. </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Bilirubin</w:t>
            </w:r>
          </w:p>
        </w:tc>
        <w:tc>
          <w:tcPr>
            <w:tcW w:w="0" w:type="auto"/>
            <w:hideMark/>
          </w:tcPr>
          <w:p w:rsidR="0061200D" w:rsidRPr="001E1495" w:rsidRDefault="0061200D" w:rsidP="000A492A">
            <w:pPr>
              <w:cnfStyle w:val="100000000000" w:firstRow="1" w:lastRow="0" w:firstColumn="0" w:lastColumn="0" w:oddVBand="0" w:evenVBand="0" w:oddHBand="0" w:evenHBand="0" w:firstRowFirstColumn="0" w:firstRowLastColumn="0" w:lastRowFirstColumn="0" w:lastRowLastColumn="0"/>
              <w:rPr>
                <w:sz w:val="20"/>
                <w:szCs w:val="20"/>
              </w:rPr>
            </w:pPr>
            <w:r w:rsidRPr="001E1495">
              <w:rPr>
                <w:sz w:val="20"/>
                <w:szCs w:val="20"/>
              </w:rPr>
              <w:t>Bld.</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Garfield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Adams</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trace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Arthur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1.068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Polk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Taylor</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E6795A">
              <w:rPr>
                <w:sz w:val="20"/>
                <w:szCs w:val="20"/>
              </w:rPr>
              <w:t>ObN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Truman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Harding</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Harrison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trace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Hoover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1.036</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trace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Jackson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trace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Lynden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1.029</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6C67C3">
              <w:rPr>
                <w:sz w:val="20"/>
                <w:szCs w:val="20"/>
              </w:rPr>
              <w:t>ObP</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Wilson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Carter</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1.047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30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Clinton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1.032</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Custer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trace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2+</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Houston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King </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F03D14">
              <w:rPr>
                <w:sz w:val="20"/>
                <w:szCs w:val="20"/>
              </w:rPr>
              <w:t>WLD</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Nixon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Lincoln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1.023</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6.5</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Pr="001E1495" w:rsidRDefault="0061200D" w:rsidP="00CA3387">
            <w:pPr>
              <w:rPr>
                <w:sz w:val="20"/>
                <w:szCs w:val="20"/>
              </w:rPr>
            </w:pPr>
            <w:r>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Madison</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trace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Monroe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1.028</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Obama</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1.017</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61200D"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61200D" w:rsidRDefault="0061200D" w:rsidP="00CA3387">
            <w:r w:rsidRPr="00A70911">
              <w:rPr>
                <w:sz w:val="20"/>
                <w:szCs w:val="20"/>
              </w:rPr>
              <w:t>ExN</w:t>
            </w:r>
          </w:p>
        </w:tc>
        <w:tc>
          <w:tcPr>
            <w:tcW w:w="0" w:type="auto"/>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Taft</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1.014</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5.0</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61200D" w:rsidRPr="001E1495" w:rsidRDefault="0061200D"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Pr="001E1495" w:rsidRDefault="00862D67" w:rsidP="00CA3387">
            <w:pPr>
              <w:rPr>
                <w:sz w:val="20"/>
                <w:szCs w:val="20"/>
              </w:rPr>
            </w:pPr>
            <w:r>
              <w:rPr>
                <w:sz w:val="20"/>
                <w:szCs w:val="20"/>
              </w:rPr>
              <w:t>ExN</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Tyler</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1.031</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Pr="001E1495" w:rsidRDefault="00862D67" w:rsidP="00CA3387">
            <w:pPr>
              <w:rPr>
                <w:sz w:val="20"/>
                <w:szCs w:val="20"/>
              </w:rPr>
            </w:pPr>
            <w:r>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Fillmore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1.015</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Ford</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1.006</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Franklin</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1.027</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6.5</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Grant</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1.006</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Quincy </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1.011</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A735D4">
              <w:rPr>
                <w:sz w:val="20"/>
                <w:szCs w:val="20"/>
              </w:rPr>
              <w:t>ExP</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Sherman</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1.008</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6.5</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862D67" w:rsidRPr="001E1495" w:rsidRDefault="00862D67" w:rsidP="00CA3387">
            <w:pPr>
              <w:rPr>
                <w:sz w:val="20"/>
                <w:szCs w:val="20"/>
              </w:rPr>
            </w:pPr>
            <w:r>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 xml:space="preserve">Bush </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1.013</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Ernie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1.009</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Johnson</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1.042</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trace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Elevated</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trace</w:t>
            </w:r>
          </w:p>
        </w:tc>
      </w:tr>
      <w:tr w:rsidR="00862D67"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Kennedy</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1.013</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7.0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00"/>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Pierce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1.037</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8.0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Positive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r w:rsidR="00862D67" w:rsidRPr="001E1495" w:rsidTr="00F214CD">
        <w:trPr>
          <w:trHeight w:val="315"/>
        </w:trPr>
        <w:tc>
          <w:tcPr>
            <w:cnfStyle w:val="001000000000" w:firstRow="0" w:lastRow="0" w:firstColumn="1" w:lastColumn="0" w:oddVBand="0" w:evenVBand="0" w:oddHBand="0" w:evenHBand="0" w:firstRowFirstColumn="0" w:firstRowLastColumn="0" w:lastRowFirstColumn="0" w:lastRowLastColumn="0"/>
            <w:tcW w:w="0" w:type="auto"/>
          </w:tcPr>
          <w:p w:rsidR="00862D67" w:rsidRDefault="00862D67" w:rsidP="00CA3387">
            <w:r w:rsidRPr="00DD05C1">
              <w:rPr>
                <w:sz w:val="20"/>
                <w:szCs w:val="20"/>
              </w:rPr>
              <w:t>IBW</w:t>
            </w:r>
          </w:p>
        </w:tc>
        <w:tc>
          <w:tcPr>
            <w:tcW w:w="0" w:type="auto"/>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sz w:val="20"/>
                <w:szCs w:val="20"/>
              </w:rPr>
            </w:pPr>
            <w:r w:rsidRPr="001E1495">
              <w:rPr>
                <w:bCs/>
                <w:sz w:val="20"/>
                <w:szCs w:val="20"/>
              </w:rPr>
              <w:t>York</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1.021</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bCs/>
                <w:caps/>
                <w:sz w:val="20"/>
                <w:szCs w:val="20"/>
              </w:rPr>
            </w:pPr>
            <w:r w:rsidRPr="001E1495">
              <w:rPr>
                <w:bCs/>
                <w:caps/>
                <w:sz w:val="20"/>
                <w:szCs w:val="20"/>
              </w:rPr>
              <w:t>6.0</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 </w:t>
            </w:r>
            <w:r>
              <w:rPr>
                <w:sz w:val="20"/>
                <w:szCs w:val="20"/>
              </w:rPr>
              <w:t>N</w:t>
            </w:r>
            <w:r w:rsidRPr="001E1495">
              <w:rPr>
                <w:sz w:val="20"/>
                <w:szCs w:val="20"/>
              </w:rPr>
              <w:t>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Norm.</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Negative</w:t>
            </w:r>
          </w:p>
        </w:tc>
        <w:tc>
          <w:tcPr>
            <w:tcW w:w="0" w:type="auto"/>
            <w:noWrap/>
            <w:hideMark/>
          </w:tcPr>
          <w:p w:rsidR="00862D67" w:rsidRPr="001E1495" w:rsidRDefault="00862D67" w:rsidP="000A492A">
            <w:pPr>
              <w:cnfStyle w:val="000000000000" w:firstRow="0" w:lastRow="0" w:firstColumn="0" w:lastColumn="0" w:oddVBand="0" w:evenVBand="0" w:oddHBand="0" w:evenHBand="0" w:firstRowFirstColumn="0" w:firstRowLastColumn="0" w:lastRowFirstColumn="0" w:lastRowLastColumn="0"/>
              <w:rPr>
                <w:sz w:val="20"/>
                <w:szCs w:val="20"/>
              </w:rPr>
            </w:pPr>
            <w:r w:rsidRPr="001E1495">
              <w:rPr>
                <w:sz w:val="20"/>
                <w:szCs w:val="20"/>
              </w:rPr>
              <w:t xml:space="preserve">Negative </w:t>
            </w:r>
          </w:p>
        </w:tc>
      </w:tr>
    </w:tbl>
    <w:p w:rsidR="00FD7864" w:rsidRDefault="00FD7864" w:rsidP="000A492A">
      <w:pPr>
        <w:rPr>
          <w:b/>
          <w:bCs/>
          <w:caps/>
          <w:sz w:val="28"/>
        </w:rPr>
      </w:pPr>
    </w:p>
    <w:p w:rsidR="00FD7864" w:rsidRDefault="00FD7864" w:rsidP="00FD7864">
      <w:pPr>
        <w:rPr>
          <w:i/>
          <w:iCs/>
          <w:sz w:val="20"/>
          <w:szCs w:val="20"/>
        </w:rPr>
        <w:sectPr w:rsidR="00FD7864" w:rsidSect="00DD624E">
          <w:pgSz w:w="12240" w:h="15840" w:code="1"/>
          <w:pgMar w:top="1440" w:right="1800" w:bottom="1872" w:left="1800" w:header="720" w:footer="1440" w:gutter="0"/>
          <w:cols w:space="720"/>
          <w:noEndnote/>
          <w:docGrid w:linePitch="360"/>
        </w:sectPr>
      </w:pPr>
    </w:p>
    <w:p w:rsidR="00D75D34" w:rsidRDefault="00D75D34" w:rsidP="00D75D34">
      <w:pPr>
        <w:pStyle w:val="Caption"/>
      </w:pPr>
      <w:bookmarkStart w:id="201" w:name="_Toc376465858"/>
      <w:r>
        <w:t xml:space="preserve">Table </w:t>
      </w:r>
      <w:fldSimple w:instr=" SEQ Table \* ARABIC ">
        <w:r w:rsidR="00736DB0">
          <w:rPr>
            <w:noProof/>
          </w:rPr>
          <w:t>36</w:t>
        </w:r>
      </w:fldSimple>
      <w:r w:rsidRPr="00A11037">
        <w:t xml:space="preserve"> </w:t>
      </w:r>
      <w:r>
        <w:t>Average daily food consumption</w:t>
      </w:r>
      <w:bookmarkEnd w:id="201"/>
    </w:p>
    <w:tbl>
      <w:tblPr>
        <w:tblStyle w:val="TableClassic1"/>
        <w:tblW w:w="0" w:type="auto"/>
        <w:tblLook w:val="04A0" w:firstRow="1" w:lastRow="0" w:firstColumn="1" w:lastColumn="0" w:noHBand="0" w:noVBand="1"/>
      </w:tblPr>
      <w:tblGrid>
        <w:gridCol w:w="773"/>
        <w:gridCol w:w="917"/>
        <w:gridCol w:w="672"/>
        <w:gridCol w:w="871"/>
        <w:gridCol w:w="628"/>
        <w:gridCol w:w="1034"/>
        <w:gridCol w:w="1056"/>
        <w:gridCol w:w="1262"/>
        <w:gridCol w:w="1243"/>
        <w:gridCol w:w="1490"/>
        <w:gridCol w:w="1529"/>
        <w:gridCol w:w="1269"/>
      </w:tblGrid>
      <w:tr w:rsidR="00FD7864" w:rsidRPr="00F01949" w:rsidTr="00FD786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FD7864" w:rsidRPr="00F01949" w:rsidRDefault="00FD7864" w:rsidP="00FD7864">
            <w:pPr>
              <w:rPr>
                <w:sz w:val="20"/>
                <w:szCs w:val="20"/>
              </w:rPr>
            </w:pPr>
            <w:r w:rsidRPr="00F01949">
              <w:rPr>
                <w:sz w:val="20"/>
                <w:szCs w:val="20"/>
              </w:rPr>
              <w:t>Group</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Weight (kg)</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BCS</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BW^0.75)</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consumed (kcal)</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BW^0.75)</w:t>
            </w:r>
          </w:p>
        </w:tc>
        <w:tc>
          <w:tcPr>
            <w:tcW w:w="0" w:type="auto"/>
            <w:hideMark/>
          </w:tcPr>
          <w:p w:rsidR="00FD7864" w:rsidRPr="00F01949" w:rsidRDefault="00FD7864" w:rsidP="00FD786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not consumed (kcal)</w:t>
            </w:r>
          </w:p>
        </w:tc>
      </w:tr>
      <w:tr w:rsidR="00FD7864" w:rsidRPr="00F01949" w:rsidTr="00FD7864">
        <w:trPr>
          <w:trHeight w:val="315"/>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FD7864" w:rsidRPr="00F01949" w:rsidRDefault="00D75D34" w:rsidP="00D75D34">
            <w:pPr>
              <w:rPr>
                <w:color w:val="000000"/>
                <w:sz w:val="20"/>
                <w:szCs w:val="20"/>
              </w:rPr>
            </w:pPr>
            <w:r w:rsidRPr="00F01949">
              <w:rPr>
                <w:color w:val="000000"/>
                <w:sz w:val="20"/>
                <w:szCs w:val="20"/>
              </w:rPr>
              <w:t>ObN</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16.80</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683.69</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40.70</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82.39</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640.88</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38.15</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77.23</w:t>
            </w:r>
          </w:p>
        </w:tc>
        <w:tc>
          <w:tcPr>
            <w:tcW w:w="0" w:type="auto"/>
            <w:noWrap/>
            <w:vAlign w:val="bottom"/>
            <w:hideMark/>
          </w:tcPr>
          <w:p w:rsidR="00FD7864" w:rsidRPr="00F01949" w:rsidRDefault="00FD786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42.81</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694.28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42.86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85.98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694.28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42.86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85.98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687.52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45.23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89.31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687.52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45.23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89.31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659.57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46.45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90.17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659.57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46.45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90.17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621.02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47.05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89.68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621.02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47.05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89.68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365.52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23.73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47.02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365.52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23.73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47.02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403.30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27.25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53.45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403.30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27.25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53.45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431.37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32.19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61.59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431.37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32.19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61.59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488.80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42.14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77.77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488.80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42.14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77.77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611.83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58.83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105.65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611.83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58.83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105.65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1405.66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111.56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210.19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635.69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50.45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95.05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769.98</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1138.80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91.84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172.34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876.15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70.66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132.59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262.65</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1142.37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90.66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170.82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1094.77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86.89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163.70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47.60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1165.22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93.97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176.34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1165.22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93.97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176.34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1160.75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92.12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173.56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1160.75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92.12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173.56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16.80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755.28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44.96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91.02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431.62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25.69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52.01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323.66</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17.00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789.36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46.43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94.28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789.36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46.43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94.28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796.76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48.58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97.77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796.76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48.58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97.77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797.78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52.49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103.63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797.78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52.49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103.63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798.68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55.46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108.04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798.68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55.46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108.04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17.00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594.60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34.98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71.02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467.01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27.47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55.78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127.59</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610.43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37.68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75.60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610.43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37.68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75.60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pP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587.33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38.14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75.55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587.33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38.14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75.55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bl>
    <w:p w:rsidR="00D75D34" w:rsidRDefault="00D75D34" w:rsidP="00D75D34">
      <w:pPr>
        <w:pStyle w:val="Caption"/>
      </w:pPr>
      <w:r>
        <w:t xml:space="preserve">Table </w:t>
      </w:r>
      <w:r>
        <w:rPr>
          <w:color w:val="FF0000"/>
        </w:rPr>
        <w:t>36</w:t>
      </w:r>
      <w:r>
        <w:t xml:space="preserve"> (Continued) </w:t>
      </w:r>
      <w:r w:rsidRPr="00E0309F">
        <w:t>Average daily food consumption</w:t>
      </w:r>
    </w:p>
    <w:tbl>
      <w:tblPr>
        <w:tblStyle w:val="TableClassic1"/>
        <w:tblW w:w="0" w:type="auto"/>
        <w:tblLook w:val="04A0" w:firstRow="1" w:lastRow="0" w:firstColumn="1" w:lastColumn="0" w:noHBand="0" w:noVBand="1"/>
      </w:tblPr>
      <w:tblGrid>
        <w:gridCol w:w="772"/>
        <w:gridCol w:w="972"/>
        <w:gridCol w:w="672"/>
        <w:gridCol w:w="869"/>
        <w:gridCol w:w="628"/>
        <w:gridCol w:w="1029"/>
        <w:gridCol w:w="1047"/>
        <w:gridCol w:w="1252"/>
        <w:gridCol w:w="1236"/>
        <w:gridCol w:w="1485"/>
        <w:gridCol w:w="1521"/>
        <w:gridCol w:w="1261"/>
      </w:tblGrid>
      <w:tr w:rsidR="00D75D34" w:rsidRPr="00F01949" w:rsidTr="00D75D3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D75D34" w:rsidRPr="00F01949" w:rsidRDefault="00D75D34" w:rsidP="00D75D34">
            <w:pPr>
              <w:rPr>
                <w:sz w:val="20"/>
                <w:szCs w:val="20"/>
              </w:rPr>
            </w:pPr>
            <w:r w:rsidRPr="00F01949">
              <w:rPr>
                <w:sz w:val="20"/>
                <w:szCs w:val="20"/>
              </w:rPr>
              <w:t>Group</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Weight (kg)</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BCS</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BW^0.75)</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consumed (kcal)</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BW^0.75)</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not consumed (kcal)</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D75D34" w:rsidRPr="00F01949" w:rsidRDefault="00D75D34" w:rsidP="00D75D34">
            <w:pPr>
              <w:jc w:val="center"/>
              <w:rPr>
                <w:color w:val="000000"/>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600.09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42.26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82.04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600.09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42.26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82.04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607.75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45.35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86.78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607.75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45.35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86.78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673.09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41.55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83.36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672.91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41.54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83.33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0.19</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16.00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710.49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44.41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88.81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710.49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44.41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88.81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706.53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47.74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93.63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706.53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47.74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93.63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704.75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52.59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100.62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704.75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52.59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100.62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13.00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797.40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61.34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116.47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797.40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61.34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116.47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D75D34" w:rsidRPr="00F01949" w:rsidRDefault="00D75D34" w:rsidP="00D75D34">
            <w:pPr>
              <w:jc w:val="center"/>
              <w:rPr>
                <w:color w:val="000000"/>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1520.91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98.76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195.64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698.99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45.39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89.91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821.92</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15.80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1176.19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74.44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148.42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1176.19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74.44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148.42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1142.12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73.21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145.50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1142.12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73.21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145.50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1151.18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74.75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148.08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1151.18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74.75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148.08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1165.98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74.74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148.54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1165.98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74.74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148.54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18.00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913.03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50.72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104.48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708.23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39.35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81.04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204.80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980.93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56.38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115.14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786.04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45.17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92.26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194.88</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970.84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56.44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114.95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970.84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56.44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114.95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974.16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59.40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119.54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974.16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59.40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119.54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981.69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59.14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119.37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981.69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59.14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119.37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851.51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46.79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96.64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721.46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39.64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81.88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130.06</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890.57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50.60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103.64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847.56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48.16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98.64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43.01</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878.32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51.06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103.99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839.64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48.82</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99.41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38.67</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15.80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893.63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56.56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112.76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893.63</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56.56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112.76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15.80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884.19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55.96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111.57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884.19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55.96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111.57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D75D34" w:rsidRPr="00F01949" w:rsidRDefault="00D75D34" w:rsidP="00D75D34">
            <w:pPr>
              <w:jc w:val="center"/>
              <w:rPr>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1302.16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71.55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147.78</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1035.05</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56.87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117.46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267.11</w:t>
            </w:r>
          </w:p>
        </w:tc>
      </w:tr>
    </w:tbl>
    <w:p w:rsidR="00EA5EB8" w:rsidRDefault="00EA5EB8" w:rsidP="00EA5EB8">
      <w:pPr>
        <w:pStyle w:val="Caption"/>
      </w:pPr>
      <w:r w:rsidRPr="0061777B">
        <w:t xml:space="preserve">Table </w:t>
      </w:r>
      <w:r w:rsidRPr="00EA5EB8">
        <w:rPr>
          <w:color w:val="FF0000"/>
        </w:rPr>
        <w:t>36</w:t>
      </w:r>
      <w:r w:rsidRPr="0061777B">
        <w:t xml:space="preserve"> (Continued) Average daily food consumption</w:t>
      </w:r>
    </w:p>
    <w:tbl>
      <w:tblPr>
        <w:tblStyle w:val="TableClassic1"/>
        <w:tblW w:w="0" w:type="auto"/>
        <w:tblLook w:val="04A0" w:firstRow="1" w:lastRow="0" w:firstColumn="1" w:lastColumn="0" w:noHBand="0" w:noVBand="1"/>
      </w:tblPr>
      <w:tblGrid>
        <w:gridCol w:w="772"/>
        <w:gridCol w:w="950"/>
        <w:gridCol w:w="672"/>
        <w:gridCol w:w="870"/>
        <w:gridCol w:w="628"/>
        <w:gridCol w:w="1031"/>
        <w:gridCol w:w="1050"/>
        <w:gridCol w:w="1256"/>
        <w:gridCol w:w="1239"/>
        <w:gridCol w:w="1487"/>
        <w:gridCol w:w="1524"/>
        <w:gridCol w:w="1265"/>
      </w:tblGrid>
      <w:tr w:rsidR="00D75D34" w:rsidRPr="00F01949" w:rsidTr="00D75D3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D75D34" w:rsidRPr="00F01949" w:rsidRDefault="00D75D34" w:rsidP="00D75D34">
            <w:pPr>
              <w:rPr>
                <w:sz w:val="20"/>
                <w:szCs w:val="20"/>
              </w:rPr>
            </w:pPr>
            <w:r w:rsidRPr="00F01949">
              <w:rPr>
                <w:sz w:val="20"/>
                <w:szCs w:val="20"/>
              </w:rPr>
              <w:t>Group</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Weight (kg)</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BCS</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BW^0.75)</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consumed (kcal)</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BW^0.75)</w:t>
            </w:r>
          </w:p>
        </w:tc>
        <w:tc>
          <w:tcPr>
            <w:tcW w:w="0" w:type="auto"/>
            <w:hideMark/>
          </w:tcPr>
          <w:p w:rsidR="00D75D34" w:rsidRPr="00F01949" w:rsidRDefault="00D75D34" w:rsidP="00D75D34">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not consumed (kcal)</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D75D34" w:rsidRPr="00F01949" w:rsidRDefault="00EA5EB8" w:rsidP="00EA5EB8">
            <w:pPr>
              <w:jc w:val="center"/>
              <w:rPr>
                <w:color w:val="000000"/>
                <w:sz w:val="20"/>
                <w:szCs w:val="20"/>
              </w:rPr>
            </w:pPr>
            <w:r w:rsidRPr="00F01949">
              <w:rPr>
                <w:color w:val="000000"/>
                <w:sz w:val="20"/>
                <w:szCs w:val="20"/>
              </w:rPr>
              <w:t>ObP</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18.20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1156.41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63.54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131.24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1156.41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63.54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131.24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17.80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1182.19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66.42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136.42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1182.19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66.42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136.42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16.20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1155.64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71.34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143.12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1155.64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71.34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143.12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16.20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1173.77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72.45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145.36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1173.77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72.45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145.36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1228.90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93.10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177.45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357.01</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27.05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51.55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871.89</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13.40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1040.14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77.62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148.51</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798.29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59.57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113.98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241.85</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13.60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1094.26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80.46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154.51</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1094.26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80.46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154.51</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1062.48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80.49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153.42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1062.48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80.49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153.42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13.80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1080.86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78.32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150.96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1080.86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78.32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150.96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1299.22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81.20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162.40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583.04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36.44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72.88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716.18</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15.80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1150.79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72.84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145.21</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1037.59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65.67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130.93</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113.20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16.20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1165.98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71.97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144.40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1165.98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71.97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144.40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15.60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1151.94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73.84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146.75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1151.94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73.84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146.75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ObP</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1166.24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72.89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145.78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1166.24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72.89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145.78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D75D34" w:rsidRPr="00F01949" w:rsidTr="00D75D34">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D75D34" w:rsidRPr="00F01949" w:rsidRDefault="00EA5EB8" w:rsidP="00EA5EB8">
            <w:pPr>
              <w:jc w:val="center"/>
              <w:rPr>
                <w:sz w:val="20"/>
                <w:szCs w:val="20"/>
              </w:rPr>
            </w:pPr>
            <w:r w:rsidRPr="00F01949">
              <w:rPr>
                <w:sz w:val="20"/>
                <w:szCs w:val="20"/>
              </w:rPr>
              <w:t>WLD</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Carter</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B</w:t>
            </w:r>
          </w:p>
        </w:tc>
        <w:tc>
          <w:tcPr>
            <w:tcW w:w="0" w:type="auto"/>
            <w:vAlign w:val="center"/>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12.50</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954.89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76.39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143.64</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440.79</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35.26</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66.31</w:t>
            </w:r>
          </w:p>
        </w:tc>
        <w:tc>
          <w:tcPr>
            <w:tcW w:w="0" w:type="auto"/>
            <w:noWrap/>
            <w:vAlign w:val="bottom"/>
            <w:hideMark/>
          </w:tcPr>
          <w:p w:rsidR="00D75D34" w:rsidRPr="00F01949" w:rsidRDefault="00D75D34"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514.10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sz w:val="20"/>
                <w:szCs w:val="20"/>
              </w:rPr>
              <w:t>WLD</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Carter</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O1</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10.90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939.52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86.19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156.62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64.87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5.95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10.81</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874.65</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sz w:val="20"/>
                <w:szCs w:val="20"/>
              </w:rPr>
              <w:t>WLD</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Carter</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M1</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10.80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945.57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87.55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158.72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945.57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87.55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158.72</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sz w:val="20"/>
                <w:szCs w:val="20"/>
              </w:rPr>
              <w:t>WLD</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Carter</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M2</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sz w:val="20"/>
                <w:szCs w:val="20"/>
              </w:rPr>
              <w:t>WLD</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Carter</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E</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sz w:val="20"/>
                <w:szCs w:val="20"/>
              </w:rPr>
              <w:t>WLD</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Clinton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18.10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667.73</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36.89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76.09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643.90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35.57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73.38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23.83</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sz w:val="20"/>
                <w:szCs w:val="20"/>
              </w:rPr>
              <w:t>WLD</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Clinton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17.20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622.50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36.19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73.70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580.17</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33.73</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68.69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42.33</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sz w:val="20"/>
                <w:szCs w:val="20"/>
              </w:rPr>
              <w:t>WLD</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Clinton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16.10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632.03</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39.26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78.64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632.03</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39.26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78.64</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sz w:val="20"/>
                <w:szCs w:val="20"/>
              </w:rPr>
              <w:t>WLD</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Clinton</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15.20</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634.05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41.71</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82.36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634.05</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41.71</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82.36</w:t>
            </w:r>
          </w:p>
        </w:tc>
        <w:tc>
          <w:tcPr>
            <w:tcW w:w="0" w:type="auto"/>
            <w:noWrap/>
            <w:vAlign w:val="bottom"/>
            <w:hideMark/>
          </w:tcPr>
          <w:p w:rsidR="00EA5EB8" w:rsidRPr="00F01949" w:rsidRDefault="00EA5EB8" w:rsidP="00D75D34">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bl>
    <w:p w:rsidR="00EA5EB8" w:rsidRDefault="00EA5EB8" w:rsidP="00EA5EB8">
      <w:pPr>
        <w:pStyle w:val="Caption"/>
      </w:pPr>
      <w:r w:rsidRPr="00517EBF">
        <w:t xml:space="preserve">Table </w:t>
      </w:r>
      <w:r w:rsidRPr="00EA5EB8">
        <w:rPr>
          <w:color w:val="FF0000"/>
        </w:rPr>
        <w:t>36</w:t>
      </w:r>
      <w:r w:rsidRPr="00517EBF">
        <w:t xml:space="preserve"> (Continued) Average daily food consumption</w:t>
      </w:r>
    </w:p>
    <w:tbl>
      <w:tblPr>
        <w:tblStyle w:val="TableClassic1"/>
        <w:tblW w:w="0" w:type="auto"/>
        <w:tblLook w:val="04A0" w:firstRow="1" w:lastRow="0" w:firstColumn="1" w:lastColumn="0" w:noHBand="0" w:noVBand="1"/>
      </w:tblPr>
      <w:tblGrid>
        <w:gridCol w:w="772"/>
        <w:gridCol w:w="961"/>
        <w:gridCol w:w="672"/>
        <w:gridCol w:w="869"/>
        <w:gridCol w:w="628"/>
        <w:gridCol w:w="1029"/>
        <w:gridCol w:w="1049"/>
        <w:gridCol w:w="1254"/>
        <w:gridCol w:w="1238"/>
        <w:gridCol w:w="1486"/>
        <w:gridCol w:w="1523"/>
        <w:gridCol w:w="1263"/>
      </w:tblGrid>
      <w:tr w:rsidR="00EA5EB8" w:rsidRPr="00F01949" w:rsidTr="00F029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EA5EB8" w:rsidRPr="00F01949" w:rsidRDefault="00EA5EB8" w:rsidP="00F02921">
            <w:pPr>
              <w:rPr>
                <w:sz w:val="20"/>
                <w:szCs w:val="20"/>
              </w:rPr>
            </w:pPr>
            <w:r w:rsidRPr="00F01949">
              <w:rPr>
                <w:sz w:val="20"/>
                <w:szCs w:val="20"/>
              </w:rPr>
              <w:t>Group</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Weight (kg)</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BCS</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BW^0.75)</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consumed (kcal)</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BW^0.75)</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not consumed (kcal)</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EA5EB8" w:rsidRPr="00F01949" w:rsidRDefault="00EA5EB8" w:rsidP="00EA5EB8">
            <w:pPr>
              <w:jc w:val="center"/>
              <w:rPr>
                <w:color w:val="000000"/>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Clinton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612.79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46.42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88.49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612.24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46.38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88.41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0.55</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Custer</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632.51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38.10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76.91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538.99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32.47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65.54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93.52</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Custer</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15.70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625.98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39.87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79.37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625.98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39.87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79.37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Custer</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620.85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42.52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83.12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620.85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42.52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83.12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Custer</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637.34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48.28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92.03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637.34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48.28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92.03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Custer</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626.90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55.48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101.72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626.90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55.48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101.72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Houston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1327.30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81.93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164.37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752.01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46.42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93.13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575.29</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Houston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15.30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1120.02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73.20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144.78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654.57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42.78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84.61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465.46</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Houston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1120.02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75.68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148.43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1097.30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74.14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145.42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22.72</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Houston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14.70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1151.73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78.35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153.41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1151.73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78.35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153.41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Houston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13.40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1120.02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83.58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159.92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987.72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73.71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141.03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132.31</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King</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14.10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1502.91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106.59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206.55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943.03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66.88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129.60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559.88</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King</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1129.74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85.59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163.13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782.84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59.31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113.04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346.89</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King</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1120.57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84.89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161.81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1120.57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84.89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161.81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King</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13.00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1159.24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89.17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169.32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1159.24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89.17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169.32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King</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Nixon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16.30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756.56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46.41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93.26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602.14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36.94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74.23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154.42</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Nixon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15.30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745.28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48.71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96.34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719.62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47.03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93.02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25.66</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Nixon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742.35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50.85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99.39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742.35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50.85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99.39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Nixon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752.61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55.34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106.27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752.61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55.34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106.27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WLD</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Nixon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762.87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64.65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119.82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761.77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64.56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119.65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1.10</w:t>
            </w:r>
          </w:p>
        </w:tc>
      </w:tr>
      <w:tr w:rsidR="00EA5EB8" w:rsidRPr="00F01949" w:rsidTr="00F02921">
        <w:trPr>
          <w:trHeight w:val="315"/>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EA5EB8" w:rsidRPr="00F01949" w:rsidRDefault="00EA5EB8" w:rsidP="00EA5EB8">
            <w:pPr>
              <w:jc w:val="center"/>
              <w:rPr>
                <w:color w:val="000000"/>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Lincoln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1328.07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97.65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187.53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1328.07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97.65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187.53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EA5EB8" w:rsidRPr="00F01949" w:rsidRDefault="00EA5EB8" w:rsidP="00EA5EB8">
            <w:pPr>
              <w:jc w:val="center"/>
              <w:rPr>
                <w:color w:val="000000"/>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Lincoln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4023.00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271.82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533.15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2043.40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138.07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270.81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1979.59</w:t>
            </w:r>
          </w:p>
        </w:tc>
      </w:tr>
    </w:tbl>
    <w:p w:rsidR="00EA5EB8" w:rsidRDefault="00EA5EB8" w:rsidP="00EA5EB8">
      <w:pPr>
        <w:pStyle w:val="Caption"/>
      </w:pPr>
      <w:r w:rsidRPr="00593372">
        <w:t xml:space="preserve">Table </w:t>
      </w:r>
      <w:r w:rsidRPr="00EA5EB8">
        <w:rPr>
          <w:color w:val="FF0000"/>
        </w:rPr>
        <w:t>36</w:t>
      </w:r>
      <w:r w:rsidRPr="00593372">
        <w:t xml:space="preserve"> (Continued) Average daily food consumption</w:t>
      </w:r>
    </w:p>
    <w:tbl>
      <w:tblPr>
        <w:tblStyle w:val="TableClassic1"/>
        <w:tblW w:w="0" w:type="auto"/>
        <w:tblLook w:val="04A0" w:firstRow="1" w:lastRow="0" w:firstColumn="1" w:lastColumn="0" w:noHBand="0" w:noVBand="1"/>
      </w:tblPr>
      <w:tblGrid>
        <w:gridCol w:w="772"/>
        <w:gridCol w:w="972"/>
        <w:gridCol w:w="672"/>
        <w:gridCol w:w="869"/>
        <w:gridCol w:w="628"/>
        <w:gridCol w:w="1029"/>
        <w:gridCol w:w="1047"/>
        <w:gridCol w:w="1252"/>
        <w:gridCol w:w="1236"/>
        <w:gridCol w:w="1485"/>
        <w:gridCol w:w="1521"/>
        <w:gridCol w:w="1261"/>
      </w:tblGrid>
      <w:tr w:rsidR="00EA5EB8" w:rsidRPr="00F01949" w:rsidTr="00F029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EA5EB8" w:rsidRPr="00F01949" w:rsidRDefault="00EA5EB8" w:rsidP="00F02921">
            <w:pPr>
              <w:rPr>
                <w:sz w:val="20"/>
                <w:szCs w:val="20"/>
              </w:rPr>
            </w:pPr>
            <w:r w:rsidRPr="00F01949">
              <w:rPr>
                <w:sz w:val="20"/>
                <w:szCs w:val="20"/>
              </w:rPr>
              <w:t>Group</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Weight (kg)</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BCS</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BW^0.75)</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consumed (kcal)</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BW^0.75)</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not consumed (kcal)</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EA5EB8" w:rsidRPr="00F01949" w:rsidRDefault="00EA5EB8" w:rsidP="00EA5EB8">
            <w:pPr>
              <w:jc w:val="center"/>
              <w:rPr>
                <w:color w:val="000000"/>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Lincoln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16.40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2998.55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182.84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367.94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1861.16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113.49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228.38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1137.39</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Lincoln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3476.63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197.54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404.60</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1784.71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101.40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207.70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1691.92</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Lincoln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3793.78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201.80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420.20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1606.29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85.44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177.91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2187.49</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Madison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1134.33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92.98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173.77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1134.46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92.99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173.79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-0.13</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Madison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3990.96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316.74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596.76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1672.65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132.75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250.11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2318.31</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Madison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3320.93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240.65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463.82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1830.27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132.63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255.63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1490.66</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Madison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4150.88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292.32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567.44</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1468.96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103.45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200.81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2681.91</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Madison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4168.49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251.11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506.87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1912.46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115.21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232.55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2256.03</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Monroe</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1306.11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110.69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205.15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1306.50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110.72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205.21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-0.38</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Monroe</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3995.56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302.69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576.96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2759.64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209.06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398.49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1235.92</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Monroe</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15.40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3331.27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216.32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428.52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1951.26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126.71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251.00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1380.01</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Monroe</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3795.44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237.21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474.43</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1768.37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110.52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221.05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2027.07</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Monroe</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3775.79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219.52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447.06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1792.62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104.22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212.25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1983.16</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Obama</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1321.56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122.37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221.83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1321.30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122.34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221.79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0.26</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Obama</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12.00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3873.16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322.76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600.73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2023.75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168.65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313.89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1849.41</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Obama</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3083.80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244.75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461.11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1895.10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150.41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283.37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1188.70</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Obama</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3035.05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219.93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423.89</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1637.94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118.69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228.76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1397.11</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Obama</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14.40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3038.88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211.03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411.09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1481.22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102.86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200.38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1557.66</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Taft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11.00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1129.23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102.66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186.95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1128.72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102.61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186.87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0.51</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Taft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12.40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3844.32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310.03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581.77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1796.70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144.90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271.90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2047.62</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Taft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3366.36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267.17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503.37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1532.01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121.59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229.08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1834.35</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Taft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13.40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3386.02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252.69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483.46</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1641.39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122.49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234.36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1744.63</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EA5EB8">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Taft</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14.00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3401.72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242.98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470.00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1605.39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114.67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221.81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1796.32</w:t>
            </w:r>
          </w:p>
        </w:tc>
      </w:tr>
    </w:tbl>
    <w:p w:rsidR="00EA5EB8" w:rsidRDefault="00EA5EB8" w:rsidP="00EA5EB8">
      <w:pPr>
        <w:pStyle w:val="Caption"/>
      </w:pPr>
      <w:r w:rsidRPr="00883FFF">
        <w:t xml:space="preserve">Table </w:t>
      </w:r>
      <w:r w:rsidRPr="00EA5EB8">
        <w:rPr>
          <w:color w:val="FF0000"/>
        </w:rPr>
        <w:t>36</w:t>
      </w:r>
      <w:r w:rsidRPr="00883FFF">
        <w:t xml:space="preserve"> (Continued) Average daily food consumption</w:t>
      </w:r>
    </w:p>
    <w:tbl>
      <w:tblPr>
        <w:tblStyle w:val="TableClassic1"/>
        <w:tblW w:w="0" w:type="auto"/>
        <w:tblLook w:val="04A0" w:firstRow="1" w:lastRow="0" w:firstColumn="1" w:lastColumn="0" w:noHBand="0" w:noVBand="1"/>
      </w:tblPr>
      <w:tblGrid>
        <w:gridCol w:w="772"/>
        <w:gridCol w:w="928"/>
        <w:gridCol w:w="672"/>
        <w:gridCol w:w="871"/>
        <w:gridCol w:w="628"/>
        <w:gridCol w:w="1033"/>
        <w:gridCol w:w="1054"/>
        <w:gridCol w:w="1260"/>
        <w:gridCol w:w="1241"/>
        <w:gridCol w:w="1489"/>
        <w:gridCol w:w="1528"/>
        <w:gridCol w:w="1268"/>
      </w:tblGrid>
      <w:tr w:rsidR="00EA5EB8" w:rsidRPr="00F01949" w:rsidTr="00F029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EA5EB8" w:rsidRPr="00F01949" w:rsidRDefault="00EA5EB8" w:rsidP="00F02921">
            <w:pPr>
              <w:rPr>
                <w:sz w:val="20"/>
                <w:szCs w:val="20"/>
              </w:rPr>
            </w:pPr>
            <w:r w:rsidRPr="00F01949">
              <w:rPr>
                <w:sz w:val="20"/>
                <w:szCs w:val="20"/>
              </w:rPr>
              <w:t>Group</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Weight (kg)</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BCS</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BW^0.75)</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consumed (kcal)</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BW^0.75)</w:t>
            </w:r>
          </w:p>
        </w:tc>
        <w:tc>
          <w:tcPr>
            <w:tcW w:w="0" w:type="auto"/>
            <w:hideMark/>
          </w:tcPr>
          <w:p w:rsidR="00EA5EB8" w:rsidRPr="00F01949" w:rsidRDefault="00EA5EB8"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not consumed (kcal)</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EA5EB8" w:rsidRPr="00F01949" w:rsidRDefault="00EA5EB8" w:rsidP="007A66F2">
            <w:pPr>
              <w:jc w:val="center"/>
              <w:rPr>
                <w:color w:val="000000"/>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Tyler</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1130.63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97.47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179.88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1130.12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97.42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179.80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0.51</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7A66F2">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Tyler</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13.00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3866.27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297.41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564.72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2086.29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160.48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304.73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1779.99</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7A66F2">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Tyler</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2926.44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221.70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422.58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1831.29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138.73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264.44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1095.15</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7A66F2">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Tyler</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14.40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3082.02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214.03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416.93</w:t>
            </w:r>
          </w:p>
        </w:tc>
        <w:tc>
          <w:tcPr>
            <w:tcW w:w="0" w:type="auto"/>
            <w:noWrap/>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1387.03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96.32</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187.63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1694.99</w:t>
            </w:r>
          </w:p>
        </w:tc>
      </w:tr>
      <w:tr w:rsidR="00EA5EB8" w:rsidRPr="00F01949" w:rsidTr="00F02921">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A5EB8" w:rsidRPr="00F01949" w:rsidRDefault="00EA5EB8" w:rsidP="007A66F2">
            <w:pPr>
              <w:jc w:val="center"/>
              <w:rPr>
                <w:sz w:val="20"/>
                <w:szCs w:val="20"/>
              </w:rPr>
            </w:pPr>
            <w:r w:rsidRPr="00F01949">
              <w:rPr>
                <w:color w:val="000000"/>
                <w:sz w:val="20"/>
                <w:szCs w:val="20"/>
              </w:rPr>
              <w:t>ExN</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Tyler</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3039.90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199.99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394.89</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1469.98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96.71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190.95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1569.92</w:t>
            </w:r>
          </w:p>
        </w:tc>
      </w:tr>
      <w:tr w:rsidR="00EA5EB8"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EA5EB8" w:rsidRPr="00F01949" w:rsidRDefault="00EA5EB8" w:rsidP="007A66F2">
            <w:pPr>
              <w:jc w:val="center"/>
              <w:rPr>
                <w:color w:val="000000"/>
                <w:sz w:val="20"/>
                <w:szCs w:val="20"/>
              </w:rPr>
            </w:pPr>
            <w:r w:rsidRPr="00F01949">
              <w:rPr>
                <w:color w:val="000000"/>
                <w:sz w:val="20"/>
                <w:szCs w:val="20"/>
              </w:rPr>
              <w:t>ExP</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Fillmore</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11.20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751.84</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67.13</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122.80</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751.58</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67.11</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122.76</w:t>
            </w:r>
          </w:p>
        </w:tc>
        <w:tc>
          <w:tcPr>
            <w:tcW w:w="0" w:type="auto"/>
            <w:noWrap/>
            <w:vAlign w:val="bottom"/>
            <w:hideMark/>
          </w:tcPr>
          <w:p w:rsidR="00EA5EB8" w:rsidRPr="00F01949" w:rsidRDefault="00EA5EB8"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0.26</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Fillmore</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12.40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2907.30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234.46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439.97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1456.97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117.50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220.49</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1450.33</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Fillmore</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2243.14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183.86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343.63</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1271.66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104.23</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194.80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971.48</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Fillmore</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12.80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2615.55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204.34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386.50</w:t>
            </w:r>
          </w:p>
        </w:tc>
        <w:tc>
          <w:tcPr>
            <w:tcW w:w="0" w:type="auto"/>
            <w:noWrap/>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1054.95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82.42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155.89</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1560.60</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Fillmore</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2662.77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211.33</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398.16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1155.64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91.72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172.80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1507.12</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Ford</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11.40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847.81</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74.37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136.65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847.81</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74.37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136.65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Ford</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13.00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3301.02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253.92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482.16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2033.70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156.44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297.05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1267.32</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Ford</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13.60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2622.95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192.86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370.37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1988.65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146.22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280.80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634.30</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Ford</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15.40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3030.71</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196.80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389.86</w:t>
            </w:r>
          </w:p>
        </w:tc>
        <w:tc>
          <w:tcPr>
            <w:tcW w:w="0" w:type="auto"/>
            <w:noWrap/>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1755.10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113.97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225.77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1275.61</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Ford</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3021.52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188.85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377.69</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1415.62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88.48</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176.95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1605.91</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Franklin</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12.20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1216.39</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99.70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186.34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1216.14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99.68</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186.30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0.26</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Franklin</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14.40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3814.71</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264.91</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516.05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2515.74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174.70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340.33</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1298.97</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Franklin</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14.20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3418.31</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240.73</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467.30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1877.49</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132.22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256.66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1540.82</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Franklin</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15.80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w:t>
            </w:r>
          </w:p>
        </w:tc>
        <w:tc>
          <w:tcPr>
            <w:tcW w:w="0" w:type="auto"/>
            <w:noWrap/>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3382.70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214.09</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426.85</w:t>
            </w:r>
          </w:p>
        </w:tc>
        <w:tc>
          <w:tcPr>
            <w:tcW w:w="0" w:type="auto"/>
            <w:noWrap/>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1622.37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102.68</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204.72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1760.33</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Franklin</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15.40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3404.52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221.07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437.94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1442.42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93.66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185.55</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1962.11</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Grant</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11.80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566.91</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48.04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89.04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566.91</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48.04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89.04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Grant</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13.60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2997.78</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220.43</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423.30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1851.71</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136.16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261.47</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1146.07</w:t>
            </w:r>
          </w:p>
        </w:tc>
      </w:tr>
      <w:tr w:rsidR="007A66F2"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7A66F2" w:rsidRPr="00F01949" w:rsidRDefault="007A66F2" w:rsidP="007A66F2">
            <w:pPr>
              <w:jc w:val="center"/>
              <w:rPr>
                <w:sz w:val="20"/>
                <w:szCs w:val="20"/>
              </w:rPr>
            </w:pPr>
            <w:r w:rsidRPr="00F01949">
              <w:rPr>
                <w:color w:val="000000"/>
                <w:sz w:val="20"/>
                <w:szCs w:val="20"/>
              </w:rPr>
              <w:t>ExP</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Grant</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13.80</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2990.64</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216.71</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417.69</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1740.42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126.12</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243.08</w:t>
            </w:r>
          </w:p>
        </w:tc>
        <w:tc>
          <w:tcPr>
            <w:tcW w:w="0" w:type="auto"/>
            <w:noWrap/>
            <w:vAlign w:val="bottom"/>
            <w:hideMark/>
          </w:tcPr>
          <w:p w:rsidR="007A66F2" w:rsidRPr="00F01949" w:rsidRDefault="007A66F2"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1250.21</w:t>
            </w:r>
          </w:p>
        </w:tc>
      </w:tr>
    </w:tbl>
    <w:p w:rsidR="00184139" w:rsidRDefault="00184139" w:rsidP="00184139">
      <w:pPr>
        <w:pStyle w:val="Caption"/>
      </w:pPr>
      <w:r w:rsidRPr="00AC1870">
        <w:t xml:space="preserve">Table </w:t>
      </w:r>
      <w:r w:rsidRPr="00184139">
        <w:rPr>
          <w:color w:val="FF0000"/>
        </w:rPr>
        <w:t>36</w:t>
      </w:r>
      <w:r w:rsidRPr="00AC1870">
        <w:t xml:space="preserve"> (Continued) Average daily food consumption</w:t>
      </w:r>
    </w:p>
    <w:tbl>
      <w:tblPr>
        <w:tblStyle w:val="TableClassic1"/>
        <w:tblW w:w="0" w:type="auto"/>
        <w:tblLook w:val="04A0" w:firstRow="1" w:lastRow="0" w:firstColumn="1" w:lastColumn="0" w:noHBand="0" w:noVBand="1"/>
      </w:tblPr>
      <w:tblGrid>
        <w:gridCol w:w="772"/>
        <w:gridCol w:w="1028"/>
        <w:gridCol w:w="672"/>
        <w:gridCol w:w="867"/>
        <w:gridCol w:w="628"/>
        <w:gridCol w:w="1023"/>
        <w:gridCol w:w="1038"/>
        <w:gridCol w:w="1241"/>
        <w:gridCol w:w="1230"/>
        <w:gridCol w:w="1479"/>
        <w:gridCol w:w="1513"/>
        <w:gridCol w:w="1253"/>
      </w:tblGrid>
      <w:tr w:rsidR="00184139" w:rsidRPr="00F01949" w:rsidTr="00F029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184139" w:rsidRPr="00F01949" w:rsidRDefault="00184139" w:rsidP="00F02921">
            <w:pPr>
              <w:rPr>
                <w:sz w:val="20"/>
                <w:szCs w:val="20"/>
              </w:rPr>
            </w:pPr>
            <w:r w:rsidRPr="00F01949">
              <w:rPr>
                <w:sz w:val="20"/>
                <w:szCs w:val="20"/>
              </w:rPr>
              <w:t>Group</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Weight (kg)</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BCS</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BW^0.75)</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consumed (kcal)</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BW^0.75)</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not consumed (kcal)</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184139" w:rsidRPr="00F01949" w:rsidRDefault="00184139" w:rsidP="00184139">
            <w:pPr>
              <w:jc w:val="center"/>
              <w:rPr>
                <w:color w:val="000000"/>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Grant</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3021.90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201.46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396.47</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1291.18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86.08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169.40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1730.72</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Grant</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15.20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3030.94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199.40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393.73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1402.06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92.24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182.13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1628.88</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Quincy</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12.00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1221.88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101.82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189.51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1222.52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101.88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189.61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-0.64</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Quincy</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14.20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4070.34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286.64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556.44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2695.82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189.85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368.53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1374.52</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Quincy</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14.60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3775.28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258.58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505.46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2195.92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150.41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294.00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1579.36</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Quincy</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16.60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3768.00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226.99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458.17</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1923.56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115.88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233.90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1844.44</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Quincy</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18.00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3760.09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208.89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430.27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2042.38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113.47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233.71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1717.70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Sherman</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12.60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651.53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51.71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97.42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651.65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51.72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97.44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-0.13</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Sherman</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14.00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3489.27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249.23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482.10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1896.25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135.45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262.00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1593.02</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Sherman</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14.20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3405.93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239.85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465.61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1815.34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127.84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248.17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1590.59</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Sherman</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3418.05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208.42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419.42</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1695.63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103.39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208.06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1722.43</w:t>
            </w:r>
          </w:p>
        </w:tc>
      </w:tr>
      <w:tr w:rsidR="00184139" w:rsidRPr="00F01949" w:rsidTr="00F02921">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ExP</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Sherman</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3460.81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198.90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406.22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2054.51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118.08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241.15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1406.30</w:t>
            </w:r>
          </w:p>
        </w:tc>
      </w:tr>
      <w:tr w:rsidR="00184139" w:rsidRPr="00F01949" w:rsidTr="00F02921">
        <w:trPr>
          <w:trHeight w:val="315"/>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184139" w:rsidRPr="00F01949" w:rsidRDefault="00184139" w:rsidP="00184139">
            <w:pPr>
              <w:jc w:val="center"/>
              <w:rPr>
                <w:color w:val="000000"/>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Bush</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1503.68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130.75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240.79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1503.68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130.75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240.79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Bush</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1507.51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129.96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239.84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1507.51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129.96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239.84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Bush</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13.10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1503.68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114.78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218.37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1503.68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114.78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218.37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Bush</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13.80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1271.40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92.13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177.57</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1271.40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92.13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177.57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Bush</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1147.35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86.92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165.68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1147.35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86.92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165.68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Ernie</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1037.08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84.32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157.90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1036.70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84.28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157.84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0.38</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Ernie</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1025.59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82.71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155.21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1025.59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82.71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155.21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Ernie</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12.90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935.24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72.50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137.40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935.24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72.50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137.40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Ernie</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12.80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802.25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62.68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118.55</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802.25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62.68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118.55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Ernie</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572.02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46.51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87.09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572.02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46.51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87.09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Johnson</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1129.23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99.05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182.01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1128.59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99.00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181.91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0.64</w:t>
            </w:r>
          </w:p>
        </w:tc>
      </w:tr>
    </w:tbl>
    <w:p w:rsidR="00184139" w:rsidRDefault="00184139" w:rsidP="00184139">
      <w:pPr>
        <w:pStyle w:val="Caption"/>
      </w:pPr>
      <w:r w:rsidRPr="00D95575">
        <w:t xml:space="preserve">Table </w:t>
      </w:r>
      <w:r w:rsidRPr="00184139">
        <w:rPr>
          <w:color w:val="FF0000"/>
        </w:rPr>
        <w:t>36</w:t>
      </w:r>
      <w:r w:rsidRPr="00D95575">
        <w:t xml:space="preserve"> (Continued) Average daily food consumption</w:t>
      </w:r>
    </w:p>
    <w:tbl>
      <w:tblPr>
        <w:tblStyle w:val="TableClassic1"/>
        <w:tblW w:w="0" w:type="auto"/>
        <w:tblLook w:val="04A0" w:firstRow="1" w:lastRow="0" w:firstColumn="1" w:lastColumn="0" w:noHBand="0" w:noVBand="1"/>
      </w:tblPr>
      <w:tblGrid>
        <w:gridCol w:w="773"/>
        <w:gridCol w:w="1006"/>
        <w:gridCol w:w="672"/>
        <w:gridCol w:w="868"/>
        <w:gridCol w:w="628"/>
        <w:gridCol w:w="1025"/>
        <w:gridCol w:w="1041"/>
        <w:gridCol w:w="1245"/>
        <w:gridCol w:w="1232"/>
        <w:gridCol w:w="1481"/>
        <w:gridCol w:w="1516"/>
        <w:gridCol w:w="1257"/>
      </w:tblGrid>
      <w:tr w:rsidR="00184139" w:rsidRPr="00F01949" w:rsidTr="00F029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184139" w:rsidRPr="00F01949" w:rsidRDefault="00184139" w:rsidP="00F02921">
            <w:pPr>
              <w:rPr>
                <w:sz w:val="20"/>
                <w:szCs w:val="20"/>
              </w:rPr>
            </w:pPr>
            <w:r w:rsidRPr="00F01949">
              <w:rPr>
                <w:sz w:val="20"/>
                <w:szCs w:val="20"/>
              </w:rPr>
              <w:t>Group</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Weight (kg)</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BCS</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BW^0.75)</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consumed (kcal)</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BW^0.75)</w:t>
            </w:r>
          </w:p>
        </w:tc>
        <w:tc>
          <w:tcPr>
            <w:tcW w:w="0" w:type="auto"/>
            <w:hideMark/>
          </w:tcPr>
          <w:p w:rsidR="00184139" w:rsidRPr="00F01949" w:rsidRDefault="00184139"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not consumed (kcal)</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184139" w:rsidRPr="00F01949" w:rsidRDefault="00184139" w:rsidP="00184139">
            <w:pPr>
              <w:jc w:val="center"/>
              <w:rPr>
                <w:color w:val="000000"/>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Johnson</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1115.95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98.76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181.07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1115.95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98.76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181.07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Johnson</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933.70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80.49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148.55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933.70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80.49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148.55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Johnson</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11.80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805.82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68.29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126.57</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805.82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68.29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126.57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Johnson</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10.70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592.95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55.42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100.23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592.95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55.42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100.23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Kennedy</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1220.10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107.97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197.96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1219.97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107.96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197.94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0.13</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Kennedy</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1129.74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99.10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182.10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1129.74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99.10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182.10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Kennedy</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12.00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1127.18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93.93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174.83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1127.18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93.93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174.83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Kennedy</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984.24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80.02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149.86</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984.24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80.02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149.86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Kennedy</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11.70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916.35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78.32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144.85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916.09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78.30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144.81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0.26</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Pierce</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10.50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1413.32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134.60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242.30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1413.32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134.60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242.30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Pierce</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11.00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1390.35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230.19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1390.35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126.40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230.19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Pierce</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1222.39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100.20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187.26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1222.39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100.20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187.26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Pierce</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1078.94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87.72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164.27</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1078.94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87.72</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164.27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Pierce</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11.50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949.53</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82.57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152.05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949.27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82.55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152.01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0.26</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York</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9.90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1506.87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152.21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269.99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1506.74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152.20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269.97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0.13</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York</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1478.15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143.51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257.09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1478.15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143.51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257.09</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York</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1304.58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115.45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211.67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1304.58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115.45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211.67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York</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11.70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1280.08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109.41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202.35</w:t>
            </w:r>
          </w:p>
        </w:tc>
        <w:tc>
          <w:tcPr>
            <w:tcW w:w="0" w:type="auto"/>
            <w:noWrap/>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1280.08</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109.41</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202.35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r w:rsidR="00184139" w:rsidRPr="00F01949" w:rsidTr="00F02921">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184139" w:rsidRPr="00F01949" w:rsidRDefault="00184139" w:rsidP="00184139">
            <w:pPr>
              <w:jc w:val="center"/>
              <w:rPr>
                <w:sz w:val="20"/>
                <w:szCs w:val="20"/>
              </w:rPr>
            </w:pPr>
            <w:r w:rsidRPr="00F01949">
              <w:rPr>
                <w:color w:val="000000"/>
                <w:sz w:val="20"/>
                <w:szCs w:val="20"/>
              </w:rPr>
              <w:t>IBW</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York</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center"/>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11.10</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1147.35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103.36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188.67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1147.35</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103.36</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188.67</w:t>
            </w:r>
          </w:p>
        </w:tc>
        <w:tc>
          <w:tcPr>
            <w:tcW w:w="0" w:type="auto"/>
            <w:noWrap/>
            <w:vAlign w:val="bottom"/>
            <w:hideMark/>
          </w:tcPr>
          <w:p w:rsidR="00184139" w:rsidRPr="00F01949" w:rsidRDefault="00184139" w:rsidP="00F02921">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0.00</w:t>
            </w:r>
          </w:p>
        </w:tc>
      </w:tr>
    </w:tbl>
    <w:p w:rsidR="00184139" w:rsidRDefault="00184139" w:rsidP="000A492A">
      <w:pPr>
        <w:rPr>
          <w:b/>
          <w:bCs/>
          <w:caps/>
          <w:sz w:val="28"/>
        </w:rPr>
      </w:pPr>
    </w:p>
    <w:p w:rsidR="00F02921" w:rsidRDefault="00F02921" w:rsidP="000A492A">
      <w:pPr>
        <w:rPr>
          <w:b/>
          <w:bCs/>
          <w:caps/>
          <w:sz w:val="28"/>
        </w:rPr>
      </w:pPr>
    </w:p>
    <w:p w:rsidR="00F02921" w:rsidRDefault="00F02921" w:rsidP="000A492A">
      <w:pPr>
        <w:rPr>
          <w:b/>
          <w:bCs/>
          <w:caps/>
          <w:sz w:val="28"/>
        </w:rPr>
      </w:pPr>
    </w:p>
    <w:p w:rsidR="00F02921" w:rsidRDefault="00F02921" w:rsidP="000A492A">
      <w:pPr>
        <w:rPr>
          <w:b/>
          <w:bCs/>
          <w:caps/>
          <w:sz w:val="28"/>
        </w:rPr>
      </w:pPr>
    </w:p>
    <w:p w:rsidR="00F02921" w:rsidRDefault="00F02921" w:rsidP="00F02921">
      <w:pPr>
        <w:pStyle w:val="Caption"/>
      </w:pPr>
      <w:bookmarkStart w:id="202" w:name="_Toc376465859"/>
      <w:r>
        <w:t xml:space="preserve">Table </w:t>
      </w:r>
      <w:fldSimple w:instr=" SEQ Table \* ARABIC ">
        <w:r w:rsidR="00736DB0">
          <w:rPr>
            <w:noProof/>
          </w:rPr>
          <w:t>37</w:t>
        </w:r>
      </w:fldSimple>
      <w:r w:rsidRPr="00A11037">
        <w:t xml:space="preserve"> </w:t>
      </w:r>
      <w:r w:rsidR="00022F3E">
        <w:t>Change in a</w:t>
      </w:r>
      <w:r>
        <w:t>verage daily food consumption</w:t>
      </w:r>
      <w:r w:rsidR="00022F3E">
        <w:t>, part 1</w:t>
      </w:r>
      <w:bookmarkEnd w:id="202"/>
    </w:p>
    <w:tbl>
      <w:tblPr>
        <w:tblStyle w:val="TableClassic1"/>
        <w:tblW w:w="0" w:type="auto"/>
        <w:tblLook w:val="04A0" w:firstRow="1" w:lastRow="0" w:firstColumn="1" w:lastColumn="0" w:noHBand="0" w:noVBand="1"/>
      </w:tblPr>
      <w:tblGrid>
        <w:gridCol w:w="772"/>
        <w:gridCol w:w="972"/>
        <w:gridCol w:w="672"/>
        <w:gridCol w:w="1052"/>
        <w:gridCol w:w="1083"/>
        <w:gridCol w:w="978"/>
        <w:gridCol w:w="1009"/>
        <w:gridCol w:w="1137"/>
        <w:gridCol w:w="1168"/>
        <w:gridCol w:w="1221"/>
        <w:gridCol w:w="1252"/>
        <w:gridCol w:w="1428"/>
      </w:tblGrid>
      <w:tr w:rsidR="00F02921" w:rsidRPr="00F01949" w:rsidTr="00F029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F02921" w:rsidRPr="00F01949" w:rsidRDefault="00F02921" w:rsidP="00F02921">
            <w:pPr>
              <w:rPr>
                <w:sz w:val="20"/>
                <w:szCs w:val="20"/>
              </w:rPr>
            </w:pPr>
            <w:r w:rsidRPr="00F01949">
              <w:rPr>
                <w:sz w:val="20"/>
                <w:szCs w:val="20"/>
              </w:rPr>
              <w:t>Group</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F02921" w:rsidRPr="00F01949" w:rsidRDefault="00F0292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Change weight (kg)</w:t>
            </w:r>
          </w:p>
        </w:tc>
        <w:tc>
          <w:tcPr>
            <w:tcW w:w="0" w:type="auto"/>
            <w:hideMark/>
          </w:tcPr>
          <w:p w:rsidR="00F02921" w:rsidRPr="00F01949" w:rsidRDefault="00F0292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 Change weight (kg)</w:t>
            </w:r>
          </w:p>
        </w:tc>
        <w:tc>
          <w:tcPr>
            <w:tcW w:w="0" w:type="auto"/>
            <w:hideMark/>
          </w:tcPr>
          <w:p w:rsidR="00F02921" w:rsidRPr="00F01949" w:rsidRDefault="00F0292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Change BCS</w:t>
            </w:r>
          </w:p>
        </w:tc>
        <w:tc>
          <w:tcPr>
            <w:tcW w:w="0" w:type="auto"/>
            <w:hideMark/>
          </w:tcPr>
          <w:p w:rsidR="00F02921" w:rsidRPr="00F01949" w:rsidRDefault="00F0292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 Change BCS</w:t>
            </w:r>
          </w:p>
        </w:tc>
        <w:tc>
          <w:tcPr>
            <w:tcW w:w="0" w:type="auto"/>
            <w:hideMark/>
          </w:tcPr>
          <w:p w:rsidR="00F02921" w:rsidRPr="00F01949" w:rsidRDefault="00F0292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Change Amt Offered (kcal)</w:t>
            </w:r>
          </w:p>
        </w:tc>
        <w:tc>
          <w:tcPr>
            <w:tcW w:w="0" w:type="auto"/>
            <w:hideMark/>
          </w:tcPr>
          <w:p w:rsidR="00F02921" w:rsidRPr="00F01949" w:rsidRDefault="00F0292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 Change Amt Offered (kcal)</w:t>
            </w:r>
          </w:p>
        </w:tc>
        <w:tc>
          <w:tcPr>
            <w:tcW w:w="0" w:type="auto"/>
            <w:hideMark/>
          </w:tcPr>
          <w:p w:rsidR="00F02921" w:rsidRPr="00F01949" w:rsidRDefault="00F0292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Change Amt Offered (kcal/kg BW)</w:t>
            </w:r>
          </w:p>
        </w:tc>
        <w:tc>
          <w:tcPr>
            <w:tcW w:w="0" w:type="auto"/>
            <w:hideMark/>
          </w:tcPr>
          <w:p w:rsidR="00F02921" w:rsidRPr="00F01949" w:rsidRDefault="00F0292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 Change Amt Offered (kcal/kg BW)</w:t>
            </w:r>
          </w:p>
        </w:tc>
        <w:tc>
          <w:tcPr>
            <w:tcW w:w="0" w:type="auto"/>
            <w:hideMark/>
          </w:tcPr>
          <w:p w:rsidR="00F02921" w:rsidRPr="00F01949" w:rsidRDefault="00F0292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Change Amt offered (kcal/kg BW^0.75)</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-3.83</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-4.54</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-6.92</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0.15</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24.12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0.04</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-5.75</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-0.14</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-7.78</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0.25</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62.66</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-6.35</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-0.16</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-7.29</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-65.85</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-0.18</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-8.46</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-0.36</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-14.57</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0.25</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0.33</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-123.29</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-0.34</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-18.40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-0.78</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-30.75</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0.44</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-246.32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-0.67</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-35.10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-1.48</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-58.63</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263.29</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0.19</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20.90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0.19</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39.37</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240.45</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17.59</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0.16</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33.85</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244.91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19.44</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36.62</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-41.48</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-0.05</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-3.63</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-0.08</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-6.75</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-42.50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-0.06</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-7.53</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-12.62</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0.14</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0.22</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-43.39</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-0.06</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-10.51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-0.23</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-17.03</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83C86" w:rsidRPr="00F01949" w:rsidRDefault="00F83C86" w:rsidP="00F02921">
            <w:pPr>
              <w:rPr>
                <w:sz w:val="20"/>
                <w:szCs w:val="20"/>
              </w:rPr>
            </w:pPr>
            <w:r w:rsidRPr="00F01949">
              <w:rPr>
                <w:color w:val="000000"/>
                <w:sz w:val="20"/>
                <w:szCs w:val="20"/>
              </w:rPr>
              <w:t>ObN</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hideMark/>
          </w:tcPr>
          <w:p w:rsidR="00F83C86" w:rsidRPr="00F01949" w:rsidRDefault="00F83C86"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7.27</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-3.16</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hideMark/>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-4.53</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tcPr>
          <w:p w:rsidR="00F83C86" w:rsidRPr="00F01949" w:rsidRDefault="00F83C86" w:rsidP="002E6D61">
            <w:pPr>
              <w:jc w:val="center"/>
              <w:rPr>
                <w:color w:val="000000"/>
                <w:sz w:val="20"/>
                <w:szCs w:val="20"/>
              </w:rPr>
            </w:pPr>
            <w:r w:rsidRPr="00F01949">
              <w:rPr>
                <w:color w:val="000000"/>
                <w:sz w:val="20"/>
                <w:szCs w:val="20"/>
              </w:rPr>
              <w:t>ObN</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2.80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0.16</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-5.49</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-7.28</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-11.01</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83C86" w:rsidRPr="00F01949" w:rsidRDefault="00F83C86" w:rsidP="002E6D61">
            <w:pPr>
              <w:jc w:val="center"/>
              <w:rPr>
                <w:sz w:val="20"/>
                <w:szCs w:val="20"/>
              </w:rPr>
            </w:pPr>
            <w:r w:rsidRPr="00F01949">
              <w:rPr>
                <w:color w:val="000000"/>
                <w:sz w:val="20"/>
                <w:szCs w:val="20"/>
              </w:rPr>
              <w:t>ObN</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0.22</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-13.15</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-0.02</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-10.38</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-15.75</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83C86" w:rsidRPr="00F01949" w:rsidRDefault="00F83C86" w:rsidP="002E6D61">
            <w:pPr>
              <w:jc w:val="center"/>
              <w:rPr>
                <w:sz w:val="20"/>
                <w:szCs w:val="20"/>
              </w:rPr>
            </w:pPr>
            <w:r w:rsidRPr="00F01949">
              <w:rPr>
                <w:color w:val="000000"/>
                <w:sz w:val="20"/>
                <w:szCs w:val="20"/>
              </w:rPr>
              <w:t>ObN</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-33.44</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-0.05</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-6.19</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-0.15</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-10.28</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83C86" w:rsidRPr="00F01949" w:rsidRDefault="00F83C86" w:rsidP="002E6D61">
            <w:pPr>
              <w:jc w:val="center"/>
              <w:rPr>
                <w:sz w:val="20"/>
                <w:szCs w:val="20"/>
              </w:rPr>
            </w:pPr>
            <w:r w:rsidRPr="00F01949">
              <w:rPr>
                <w:color w:val="000000"/>
                <w:sz w:val="20"/>
                <w:szCs w:val="20"/>
              </w:rPr>
              <w:t>ObN</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2.80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-31.65</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-0.05</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-11.04</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-0.27</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-17.27</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83C86" w:rsidRPr="00F01949" w:rsidRDefault="00F83C86" w:rsidP="002E6D61">
            <w:pPr>
              <w:jc w:val="center"/>
              <w:rPr>
                <w:sz w:val="20"/>
                <w:szCs w:val="20"/>
              </w:rPr>
            </w:pPr>
            <w:r w:rsidRPr="00F01949">
              <w:rPr>
                <w:color w:val="000000"/>
                <w:sz w:val="20"/>
                <w:szCs w:val="20"/>
              </w:rPr>
              <w:t>ObN</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3.20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0.22</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-124.31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-0.18</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-19.79</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-0.48</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-33.11</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83C86" w:rsidRPr="00F01949" w:rsidRDefault="00F83C86" w:rsidP="002E6D61">
            <w:pPr>
              <w:jc w:val="center"/>
              <w:rPr>
                <w:sz w:val="20"/>
                <w:szCs w:val="20"/>
              </w:rPr>
            </w:pPr>
            <w:r w:rsidRPr="00F01949">
              <w:rPr>
                <w:color w:val="000000"/>
                <w:sz w:val="20"/>
                <w:szCs w:val="20"/>
              </w:rPr>
              <w:t>ObP</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378.79</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0.25</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25.55</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0.26</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50.14</w:t>
            </w:r>
          </w:p>
        </w:tc>
      </w:tr>
      <w:tr w:rsidR="00F83C86"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83C86" w:rsidRPr="00F01949" w:rsidRDefault="00F83C86" w:rsidP="002E6D61">
            <w:pPr>
              <w:jc w:val="center"/>
              <w:rPr>
                <w:sz w:val="20"/>
                <w:szCs w:val="20"/>
              </w:rPr>
            </w:pPr>
            <w:r w:rsidRPr="00F01949">
              <w:rPr>
                <w:color w:val="000000"/>
                <w:sz w:val="20"/>
                <w:szCs w:val="20"/>
              </w:rPr>
              <w:t>ObP</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vAlign w:val="bottom"/>
          </w:tcPr>
          <w:p w:rsidR="00F83C86" w:rsidRPr="00F01949" w:rsidRDefault="00F83C86" w:rsidP="002E6D6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369.73</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0.24</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24.01</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0.24</w:t>
            </w:r>
          </w:p>
        </w:tc>
        <w:tc>
          <w:tcPr>
            <w:tcW w:w="0" w:type="auto"/>
            <w:noWrap/>
            <w:vAlign w:val="bottom"/>
          </w:tcPr>
          <w:p w:rsidR="00F83C86" w:rsidRPr="00F01949" w:rsidRDefault="00F83C86">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47.56</w:t>
            </w:r>
          </w:p>
        </w:tc>
      </w:tr>
      <w:tr w:rsidR="00F01949"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01949" w:rsidRPr="00F01949" w:rsidRDefault="00F01949" w:rsidP="00F01949">
            <w:pPr>
              <w:jc w:val="center"/>
              <w:rPr>
                <w:sz w:val="20"/>
                <w:szCs w:val="20"/>
              </w:rPr>
            </w:pPr>
            <w:r w:rsidRPr="00F01949">
              <w:rPr>
                <w:color w:val="000000"/>
                <w:sz w:val="20"/>
                <w:szCs w:val="20"/>
              </w:rPr>
              <w:t>ObP</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354.93</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0.23</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24.02</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0.24</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47.10</w:t>
            </w:r>
          </w:p>
        </w:tc>
      </w:tr>
      <w:tr w:rsidR="00F01949" w:rsidRPr="00F01949" w:rsidTr="002E6D6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01949" w:rsidRPr="00F01949" w:rsidRDefault="00F01949" w:rsidP="00F01949">
            <w:pPr>
              <w:jc w:val="center"/>
              <w:rPr>
                <w:sz w:val="20"/>
                <w:szCs w:val="20"/>
              </w:rPr>
            </w:pPr>
            <w:r w:rsidRPr="00F01949">
              <w:rPr>
                <w:color w:val="000000"/>
                <w:sz w:val="20"/>
                <w:szCs w:val="20"/>
              </w:rPr>
              <w:t>ObP</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0.80</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0.04</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-57.81</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-0.06</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-5.72</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-10.47</w:t>
            </w:r>
          </w:p>
        </w:tc>
      </w:tr>
    </w:tbl>
    <w:p w:rsidR="00F02921" w:rsidRDefault="00F02921" w:rsidP="00F02921">
      <w:pPr>
        <w:pStyle w:val="Caption"/>
      </w:pPr>
      <w:r>
        <w:t xml:space="preserve">Table </w:t>
      </w:r>
      <w:r>
        <w:rPr>
          <w:color w:val="FF0000"/>
        </w:rPr>
        <w:t>3</w:t>
      </w:r>
      <w:r w:rsidR="00022F3E">
        <w:rPr>
          <w:color w:val="FF0000"/>
        </w:rPr>
        <w:t>7</w:t>
      </w:r>
      <w:r>
        <w:t xml:space="preserve"> (Continued) </w:t>
      </w:r>
      <w:r w:rsidR="00022F3E">
        <w:t>Change in average daily food consumption, part 1</w:t>
      </w:r>
    </w:p>
    <w:tbl>
      <w:tblPr>
        <w:tblStyle w:val="TableClassic1"/>
        <w:tblW w:w="0" w:type="auto"/>
        <w:jc w:val="center"/>
        <w:tblLook w:val="04A0" w:firstRow="1" w:lastRow="0" w:firstColumn="1" w:lastColumn="0" w:noHBand="0" w:noVBand="1"/>
      </w:tblPr>
      <w:tblGrid>
        <w:gridCol w:w="772"/>
        <w:gridCol w:w="972"/>
        <w:gridCol w:w="672"/>
        <w:gridCol w:w="1052"/>
        <w:gridCol w:w="1083"/>
        <w:gridCol w:w="978"/>
        <w:gridCol w:w="1009"/>
        <w:gridCol w:w="1137"/>
        <w:gridCol w:w="1168"/>
        <w:gridCol w:w="1221"/>
        <w:gridCol w:w="1252"/>
        <w:gridCol w:w="1428"/>
      </w:tblGrid>
      <w:tr w:rsidR="00022F3E" w:rsidRPr="00F01949" w:rsidTr="00F01949">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22F3E" w:rsidRPr="00F01949" w:rsidRDefault="00022F3E" w:rsidP="002E6D61">
            <w:pPr>
              <w:rPr>
                <w:sz w:val="20"/>
                <w:szCs w:val="20"/>
              </w:rPr>
            </w:pPr>
            <w:r w:rsidRPr="00F01949">
              <w:rPr>
                <w:sz w:val="20"/>
                <w:szCs w:val="20"/>
              </w:rPr>
              <w:t>Group</w:t>
            </w:r>
          </w:p>
        </w:tc>
        <w:tc>
          <w:tcPr>
            <w:tcW w:w="0" w:type="auto"/>
            <w:hideMark/>
          </w:tcPr>
          <w:p w:rsidR="00022F3E" w:rsidRPr="00F01949" w:rsidRDefault="00022F3E" w:rsidP="002E6D6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022F3E" w:rsidRPr="00F01949" w:rsidRDefault="00022F3E" w:rsidP="002E6D6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022F3E" w:rsidRPr="00F01949" w:rsidRDefault="00022F3E" w:rsidP="002E6D6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Change weight (kg)</w:t>
            </w:r>
          </w:p>
        </w:tc>
        <w:tc>
          <w:tcPr>
            <w:tcW w:w="0" w:type="auto"/>
            <w:hideMark/>
          </w:tcPr>
          <w:p w:rsidR="00022F3E" w:rsidRPr="00F01949" w:rsidRDefault="00022F3E" w:rsidP="002E6D6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 Change weight (kg)</w:t>
            </w:r>
          </w:p>
        </w:tc>
        <w:tc>
          <w:tcPr>
            <w:tcW w:w="0" w:type="auto"/>
            <w:hideMark/>
          </w:tcPr>
          <w:p w:rsidR="00022F3E" w:rsidRPr="00F01949" w:rsidRDefault="00022F3E" w:rsidP="002E6D6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Change BCS</w:t>
            </w:r>
          </w:p>
        </w:tc>
        <w:tc>
          <w:tcPr>
            <w:tcW w:w="0" w:type="auto"/>
            <w:hideMark/>
          </w:tcPr>
          <w:p w:rsidR="00022F3E" w:rsidRPr="00F01949" w:rsidRDefault="00022F3E" w:rsidP="002E6D6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 Change BCS</w:t>
            </w:r>
          </w:p>
        </w:tc>
        <w:tc>
          <w:tcPr>
            <w:tcW w:w="0" w:type="auto"/>
            <w:hideMark/>
          </w:tcPr>
          <w:p w:rsidR="00022F3E" w:rsidRPr="00F01949" w:rsidRDefault="00022F3E" w:rsidP="002E6D6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Change Amt Offered (kcal)</w:t>
            </w:r>
          </w:p>
        </w:tc>
        <w:tc>
          <w:tcPr>
            <w:tcW w:w="0" w:type="auto"/>
            <w:hideMark/>
          </w:tcPr>
          <w:p w:rsidR="00022F3E" w:rsidRPr="00F01949" w:rsidRDefault="00022F3E" w:rsidP="002E6D6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 Change Amt Offered (kcal)</w:t>
            </w:r>
          </w:p>
        </w:tc>
        <w:tc>
          <w:tcPr>
            <w:tcW w:w="0" w:type="auto"/>
            <w:hideMark/>
          </w:tcPr>
          <w:p w:rsidR="00022F3E" w:rsidRPr="00F01949" w:rsidRDefault="00022F3E" w:rsidP="002E6D6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Change Amt Offered (kcal/kg BW)</w:t>
            </w:r>
          </w:p>
        </w:tc>
        <w:tc>
          <w:tcPr>
            <w:tcW w:w="0" w:type="auto"/>
            <w:hideMark/>
          </w:tcPr>
          <w:p w:rsidR="00022F3E" w:rsidRPr="00F01949" w:rsidRDefault="00022F3E" w:rsidP="002E6D6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 Change Amt Offered (kcal/kg BW)</w:t>
            </w:r>
          </w:p>
        </w:tc>
        <w:tc>
          <w:tcPr>
            <w:tcW w:w="0" w:type="auto"/>
            <w:hideMark/>
          </w:tcPr>
          <w:p w:rsidR="00022F3E" w:rsidRPr="00F01949" w:rsidRDefault="00022F3E" w:rsidP="002E6D61">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Change Amt offered (kcal/kg BW^0.75)</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-61.13</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-0.07</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-8.68</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-15.06</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0.08</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-68.66</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-0.08</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-8.41</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-14.89</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0.05</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-26.80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-0.03</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-4.28</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-7.36</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-42.12</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-0.05</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-9.77</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-0.21</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-16.13</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0.22</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-32.67</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-0.04</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-9.17</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hideMark/>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-14.94</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0.02</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119.97</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5.13</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0.07</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11.36</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0.33</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146.51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4.66</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0.22</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128.39</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-0.91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2.42</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-0.03</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134.64</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12.64</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0.14</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22.94</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166.42</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0.14</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0.14</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24.03</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-0.60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-0.05</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148.05</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0.12</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14.78</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0.16</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26.50</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133.24</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9.23</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18.01</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0.03</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147.28</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7.36</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15.65</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color w:val="000000"/>
                <w:sz w:val="20"/>
                <w:szCs w:val="20"/>
              </w:rPr>
              <w:t>ObP</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132.99</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8.31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16.62</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sz w:val="20"/>
                <w:szCs w:val="20"/>
              </w:rPr>
              <w:t>WLD</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Carter</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M1</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0.14</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9.32</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-11.16</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-0.15</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-15.08</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sz w:val="20"/>
                <w:szCs w:val="20"/>
              </w:rPr>
              <w:t>WLD</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Carter</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M2</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sz w:val="20"/>
                <w:szCs w:val="20"/>
              </w:rPr>
              <w:t>WLD</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Carter</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E</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sz w:val="20"/>
                <w:szCs w:val="20"/>
              </w:rPr>
              <w:t>WLD</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Clinton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35.70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0.05</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-2.37</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-0.06</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-2.54</w:t>
            </w:r>
          </w:p>
        </w:tc>
      </w:tr>
      <w:tr w:rsidR="002E6D61"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2E6D61" w:rsidRPr="00F01949" w:rsidRDefault="002E6D61" w:rsidP="00F55A52">
            <w:pPr>
              <w:jc w:val="center"/>
              <w:rPr>
                <w:sz w:val="20"/>
                <w:szCs w:val="20"/>
              </w:rPr>
            </w:pPr>
            <w:r w:rsidRPr="00F01949">
              <w:rPr>
                <w:sz w:val="20"/>
                <w:szCs w:val="20"/>
              </w:rPr>
              <w:t>WLD</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Clinton</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2.90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0.16</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33.69</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0.05</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-4.82</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tcPr>
          <w:p w:rsidR="002E6D61" w:rsidRPr="00F01949" w:rsidRDefault="002E6D61" w:rsidP="00F55A5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-6.27</w:t>
            </w:r>
          </w:p>
        </w:tc>
      </w:tr>
      <w:tr w:rsidR="00F01949"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bottom"/>
          </w:tcPr>
          <w:p w:rsidR="00F01949" w:rsidRPr="00F01949" w:rsidRDefault="00F01949" w:rsidP="00F01949">
            <w:pPr>
              <w:jc w:val="center"/>
              <w:rPr>
                <w:color w:val="000000"/>
                <w:sz w:val="20"/>
                <w:szCs w:val="20"/>
              </w:rPr>
            </w:pPr>
            <w:r w:rsidRPr="00F01949">
              <w:rPr>
                <w:color w:val="000000"/>
                <w:sz w:val="20"/>
                <w:szCs w:val="20"/>
              </w:rPr>
              <w:t>WLD</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Clinton</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4.90</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0.27</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3.00</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0.33</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54.95</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0.08</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-9.53</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-0.26</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-12.39</w:t>
            </w:r>
          </w:p>
        </w:tc>
      </w:tr>
      <w:tr w:rsidR="00F01949"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F01949" w:rsidRPr="00F01949" w:rsidRDefault="00F01949" w:rsidP="00F01949">
            <w:pPr>
              <w:jc w:val="center"/>
              <w:rPr>
                <w:sz w:val="20"/>
                <w:szCs w:val="20"/>
              </w:rPr>
            </w:pPr>
            <w:r w:rsidRPr="00F01949">
              <w:rPr>
                <w:color w:val="000000"/>
                <w:sz w:val="20"/>
                <w:szCs w:val="20"/>
              </w:rPr>
              <w:t>WLD</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Custer</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0.12</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11.66</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0.02</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-4.42</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-0.12</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-6.21</w:t>
            </w:r>
          </w:p>
        </w:tc>
      </w:tr>
      <w:tr w:rsidR="00F01949" w:rsidRPr="00F01949" w:rsidTr="00F01949">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tcPr>
          <w:p w:rsidR="00F01949" w:rsidRPr="00F01949" w:rsidRDefault="00F01949" w:rsidP="00F01949">
            <w:pPr>
              <w:jc w:val="center"/>
              <w:rPr>
                <w:sz w:val="20"/>
                <w:szCs w:val="20"/>
              </w:rPr>
            </w:pPr>
            <w:r w:rsidRPr="00F01949">
              <w:rPr>
                <w:color w:val="000000"/>
                <w:sz w:val="20"/>
                <w:szCs w:val="20"/>
              </w:rPr>
              <w:t>WLD</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Custer</w:t>
            </w:r>
          </w:p>
        </w:tc>
        <w:tc>
          <w:tcPr>
            <w:tcW w:w="0" w:type="auto"/>
            <w:noWrap/>
            <w:vAlign w:val="bottom"/>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3.40</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3.00</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0.33</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-4.83</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-10.18</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-0.27</w:t>
            </w:r>
          </w:p>
        </w:tc>
        <w:tc>
          <w:tcPr>
            <w:tcW w:w="0" w:type="auto"/>
            <w:noWrap/>
            <w:vAlign w:val="bottom"/>
          </w:tcPr>
          <w:p w:rsidR="00F01949" w:rsidRPr="00F01949" w:rsidRDefault="00F01949" w:rsidP="00F0194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-15.12</w:t>
            </w:r>
          </w:p>
        </w:tc>
      </w:tr>
    </w:tbl>
    <w:p w:rsidR="009B172A" w:rsidRDefault="009B172A" w:rsidP="009B172A">
      <w:pPr>
        <w:pStyle w:val="Caption"/>
      </w:pPr>
      <w:r>
        <w:t xml:space="preserve">Table </w:t>
      </w:r>
      <w:r>
        <w:rPr>
          <w:color w:val="FF0000"/>
        </w:rPr>
        <w:t>37</w:t>
      </w:r>
      <w:r>
        <w:t xml:space="preserve"> (Continued) Change in average daily food consumption, part 1</w:t>
      </w:r>
    </w:p>
    <w:tbl>
      <w:tblPr>
        <w:tblStyle w:val="TableClassic1"/>
        <w:tblW w:w="0" w:type="auto"/>
        <w:tblLook w:val="04A0" w:firstRow="1" w:lastRow="0" w:firstColumn="1" w:lastColumn="0" w:noHBand="0" w:noVBand="1"/>
      </w:tblPr>
      <w:tblGrid>
        <w:gridCol w:w="772"/>
        <w:gridCol w:w="972"/>
        <w:gridCol w:w="672"/>
        <w:gridCol w:w="868"/>
        <w:gridCol w:w="674"/>
        <w:gridCol w:w="997"/>
        <w:gridCol w:w="1044"/>
        <w:gridCol w:w="1249"/>
        <w:gridCol w:w="1235"/>
        <w:gridCol w:w="1483"/>
        <w:gridCol w:w="1519"/>
        <w:gridCol w:w="1259"/>
      </w:tblGrid>
      <w:tr w:rsidR="00F02921" w:rsidRPr="00F01949" w:rsidTr="00F029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F02921" w:rsidRPr="00F01949" w:rsidRDefault="00F02921" w:rsidP="00F02921">
            <w:pPr>
              <w:rPr>
                <w:sz w:val="20"/>
                <w:szCs w:val="20"/>
              </w:rPr>
            </w:pPr>
            <w:r w:rsidRPr="00F01949">
              <w:rPr>
                <w:sz w:val="20"/>
                <w:szCs w:val="20"/>
              </w:rPr>
              <w:t>Group</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Weight (kg)</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BCS</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BW^0.75)</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consumed (kcal)</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BW^0.75)</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not consumed (kcal)</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F02921">
            <w:pPr>
              <w:jc w:val="center"/>
              <w:rPr>
                <w:sz w:val="20"/>
                <w:szCs w:val="20"/>
              </w:rPr>
            </w:pPr>
            <w:r w:rsidRPr="00F01949">
              <w:rPr>
                <w:color w:val="000000"/>
                <w:sz w:val="20"/>
                <w:szCs w:val="20"/>
              </w:rPr>
              <w:t>WLD</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Custer</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5.30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0.32</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0.56</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5.61</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-17.37</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-0.46</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-24.81</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F02921">
            <w:pPr>
              <w:jc w:val="center"/>
              <w:rPr>
                <w:sz w:val="20"/>
                <w:szCs w:val="20"/>
              </w:rPr>
            </w:pPr>
            <w:r w:rsidRPr="00F01949">
              <w:rPr>
                <w:color w:val="000000"/>
                <w:sz w:val="20"/>
                <w:szCs w:val="20"/>
              </w:rPr>
              <w:t>WLD</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Houston</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207.28</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0.16</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6.25</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0.08</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15.94</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F02921">
            <w:pPr>
              <w:jc w:val="center"/>
              <w:rPr>
                <w:sz w:val="20"/>
                <w:szCs w:val="20"/>
              </w:rPr>
            </w:pPr>
            <w:r w:rsidRPr="00F01949">
              <w:rPr>
                <w:color w:val="000000"/>
                <w:sz w:val="20"/>
                <w:szCs w:val="20"/>
              </w:rPr>
              <w:t>WLD</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Houston</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175.57</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3.58</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0.04</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10.96</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F02921">
            <w:pPr>
              <w:jc w:val="center"/>
              <w:rPr>
                <w:sz w:val="20"/>
                <w:szCs w:val="20"/>
              </w:rPr>
            </w:pPr>
            <w:r w:rsidRPr="00F01949">
              <w:rPr>
                <w:color w:val="000000"/>
                <w:sz w:val="20"/>
                <w:szCs w:val="20"/>
              </w:rPr>
              <w:t>WLD</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Houston</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2.80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0.33</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207.28</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0.16</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-1.65</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-0.02</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4.46</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F02921">
            <w:pPr>
              <w:jc w:val="center"/>
              <w:rPr>
                <w:sz w:val="20"/>
                <w:szCs w:val="20"/>
              </w:rPr>
            </w:pPr>
            <w:r w:rsidRPr="00F01949">
              <w:rPr>
                <w:color w:val="000000"/>
                <w:sz w:val="20"/>
                <w:szCs w:val="20"/>
              </w:rPr>
              <w:t>WLD</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King</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0.90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0.06</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382.34</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0.25</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21.70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44.74</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F02921">
            <w:pPr>
              <w:jc w:val="center"/>
              <w:rPr>
                <w:sz w:val="20"/>
                <w:szCs w:val="20"/>
              </w:rPr>
            </w:pPr>
            <w:r w:rsidRPr="00F01949">
              <w:rPr>
                <w:color w:val="000000"/>
                <w:sz w:val="20"/>
                <w:szCs w:val="20"/>
              </w:rPr>
              <w:t>WLD</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King</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0.08</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343.67</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0.23</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17.42</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0.16</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37.22</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F02921">
            <w:pPr>
              <w:jc w:val="center"/>
              <w:rPr>
                <w:sz w:val="20"/>
                <w:szCs w:val="20"/>
              </w:rPr>
            </w:pPr>
            <w:r w:rsidRPr="00F01949">
              <w:rPr>
                <w:color w:val="000000"/>
                <w:sz w:val="20"/>
                <w:szCs w:val="20"/>
              </w:rPr>
              <w:t>WLD</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King</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hideMark/>
          </w:tcPr>
          <w:p w:rsidR="009B172A" w:rsidRPr="00F01949" w:rsidRDefault="009B172A">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9B172A" w:rsidRPr="00F01949" w:rsidRDefault="009B172A">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9B172A" w:rsidRPr="00F01949" w:rsidRDefault="009B172A">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9B172A" w:rsidRPr="00F01949" w:rsidRDefault="009B172A">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9B172A" w:rsidRPr="00F01949" w:rsidRDefault="009B172A">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9B172A" w:rsidRPr="00F01949" w:rsidRDefault="009B172A">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9B172A" w:rsidRPr="00F01949" w:rsidRDefault="009B172A">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9B172A" w:rsidRPr="00F01949" w:rsidRDefault="009B172A">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c>
          <w:tcPr>
            <w:tcW w:w="0" w:type="auto"/>
            <w:noWrap/>
            <w:vAlign w:val="bottom"/>
            <w:hideMark/>
          </w:tcPr>
          <w:p w:rsidR="009B172A" w:rsidRPr="00F01949" w:rsidRDefault="009B172A">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F02921">
            <w:pPr>
              <w:jc w:val="center"/>
              <w:rPr>
                <w:sz w:val="20"/>
                <w:szCs w:val="20"/>
              </w:rPr>
            </w:pPr>
            <w:r w:rsidRPr="00F01949">
              <w:rPr>
                <w:color w:val="000000"/>
                <w:sz w:val="20"/>
                <w:szCs w:val="20"/>
              </w:rPr>
              <w:t>WLD</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Nixon</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0.11</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14.22</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0.02</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-4.43</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-6.13</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F02921">
            <w:pPr>
              <w:jc w:val="center"/>
              <w:rPr>
                <w:sz w:val="20"/>
                <w:szCs w:val="20"/>
              </w:rPr>
            </w:pPr>
            <w:r w:rsidRPr="00F01949">
              <w:rPr>
                <w:color w:val="000000"/>
                <w:sz w:val="20"/>
                <w:szCs w:val="20"/>
              </w:rPr>
              <w:t>WLD</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Nixon</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2.70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0.22</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3.95</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-8.92</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-0.19</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-13.01</w:t>
            </w:r>
          </w:p>
        </w:tc>
      </w:tr>
      <w:tr w:rsidR="009B172A" w:rsidRPr="00F01949" w:rsidTr="00656379">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F02921">
            <w:pPr>
              <w:jc w:val="center"/>
              <w:rPr>
                <w:sz w:val="20"/>
                <w:szCs w:val="20"/>
              </w:rPr>
            </w:pPr>
            <w:r w:rsidRPr="00F01949">
              <w:rPr>
                <w:color w:val="000000"/>
                <w:sz w:val="20"/>
                <w:szCs w:val="20"/>
              </w:rPr>
              <w:t>WLD</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Nixon</w:t>
            </w:r>
          </w:p>
        </w:tc>
        <w:tc>
          <w:tcPr>
            <w:tcW w:w="0" w:type="auto"/>
            <w:noWrap/>
            <w:vAlign w:val="bottom"/>
            <w:hideMark/>
          </w:tcPr>
          <w:p w:rsidR="009B172A" w:rsidRPr="00F01949" w:rsidRDefault="009B172A"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4.50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0.28</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0.44</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-6.31</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-0.01</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-18.24</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-0.39</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-26.56</w:t>
            </w:r>
          </w:p>
        </w:tc>
      </w:tr>
      <w:tr w:rsidR="009B172A" w:rsidRPr="00F01949" w:rsidTr="00656379">
        <w:trPr>
          <w:trHeight w:val="315"/>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9B172A" w:rsidRPr="00F01949" w:rsidRDefault="009B172A" w:rsidP="00656379">
            <w:pPr>
              <w:jc w:val="center"/>
              <w:rPr>
                <w:color w:val="000000"/>
                <w:sz w:val="20"/>
                <w:szCs w:val="20"/>
              </w:rPr>
            </w:pPr>
            <w:r w:rsidRPr="00F01949">
              <w:rPr>
                <w:color w:val="000000"/>
                <w:sz w:val="20"/>
                <w:szCs w:val="20"/>
              </w:rPr>
              <w:t>ExN</w:t>
            </w:r>
          </w:p>
        </w:tc>
        <w:tc>
          <w:tcPr>
            <w:tcW w:w="0" w:type="auto"/>
            <w:noWrap/>
            <w:vAlign w:val="bottom"/>
            <w:hideMark/>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Lincoln</w:t>
            </w:r>
          </w:p>
        </w:tc>
        <w:tc>
          <w:tcPr>
            <w:tcW w:w="0" w:type="auto"/>
            <w:noWrap/>
            <w:vAlign w:val="bottom"/>
            <w:hideMark/>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-2.80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-0.21</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-1670.48</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-85.19</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-0.87</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-180.41</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9B172A" w:rsidRPr="00F01949" w:rsidRDefault="009B172A" w:rsidP="00656379">
            <w:pPr>
              <w:jc w:val="center"/>
              <w:rPr>
                <w:sz w:val="20"/>
                <w:szCs w:val="20"/>
              </w:rPr>
            </w:pPr>
            <w:r w:rsidRPr="00F01949">
              <w:rPr>
                <w:color w:val="000000"/>
                <w:sz w:val="20"/>
                <w:szCs w:val="20"/>
              </w:rPr>
              <w:t>ExN</w:t>
            </w:r>
          </w:p>
        </w:tc>
        <w:tc>
          <w:tcPr>
            <w:tcW w:w="0" w:type="auto"/>
            <w:noWrap/>
            <w:vAlign w:val="bottom"/>
            <w:hideMark/>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Lincoln</w:t>
            </w:r>
          </w:p>
        </w:tc>
        <w:tc>
          <w:tcPr>
            <w:tcW w:w="0" w:type="auto"/>
            <w:noWrap/>
            <w:vAlign w:val="bottom"/>
            <w:hideMark/>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-0.29</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-2148.57</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-1.62</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-99.88</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-1.02</w:t>
            </w:r>
          </w:p>
        </w:tc>
        <w:tc>
          <w:tcPr>
            <w:tcW w:w="0" w:type="auto"/>
            <w:noWrap/>
            <w:vAlign w:val="bottom"/>
            <w:hideMark/>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-217.07</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9B172A" w:rsidRPr="00F01949" w:rsidRDefault="009B172A" w:rsidP="00656379">
            <w:pPr>
              <w:jc w:val="center"/>
              <w:rPr>
                <w:sz w:val="20"/>
                <w:szCs w:val="20"/>
              </w:rPr>
            </w:pPr>
            <w:r w:rsidRPr="00F01949">
              <w:rPr>
                <w:color w:val="000000"/>
                <w:sz w:val="20"/>
                <w:szCs w:val="20"/>
              </w:rPr>
              <w:t>ExN</w:t>
            </w:r>
          </w:p>
        </w:tc>
        <w:tc>
          <w:tcPr>
            <w:tcW w:w="0" w:type="auto"/>
            <w:noWrap/>
            <w:vAlign w:val="bottom"/>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Lincoln</w:t>
            </w:r>
          </w:p>
        </w:tc>
        <w:tc>
          <w:tcPr>
            <w:tcW w:w="0" w:type="auto"/>
            <w:noWrap/>
            <w:vAlign w:val="bottom"/>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-5.20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-0.38</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-2465.72</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-1.86</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-104.14</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-1.07</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-232.67</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9B172A" w:rsidRPr="00F01949" w:rsidRDefault="009B172A" w:rsidP="00656379">
            <w:pPr>
              <w:jc w:val="center"/>
              <w:rPr>
                <w:sz w:val="20"/>
                <w:szCs w:val="20"/>
              </w:rPr>
            </w:pPr>
            <w:r w:rsidRPr="00F01949">
              <w:rPr>
                <w:color w:val="000000"/>
                <w:sz w:val="20"/>
                <w:szCs w:val="20"/>
              </w:rPr>
              <w:t>ExN</w:t>
            </w:r>
          </w:p>
        </w:tc>
        <w:tc>
          <w:tcPr>
            <w:tcW w:w="0" w:type="auto"/>
            <w:noWrap/>
            <w:vAlign w:val="bottom"/>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Madison</w:t>
            </w:r>
          </w:p>
        </w:tc>
        <w:tc>
          <w:tcPr>
            <w:tcW w:w="0" w:type="auto"/>
            <w:noWrap/>
            <w:vAlign w:val="bottom"/>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-2186.60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-1.93</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-147.67</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-1.59</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-290.05</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9B172A" w:rsidRPr="00F01949" w:rsidRDefault="009B172A" w:rsidP="00656379">
            <w:pPr>
              <w:jc w:val="center"/>
              <w:rPr>
                <w:sz w:val="20"/>
                <w:szCs w:val="20"/>
              </w:rPr>
            </w:pPr>
            <w:r w:rsidRPr="00F01949">
              <w:rPr>
                <w:color w:val="000000"/>
                <w:sz w:val="20"/>
                <w:szCs w:val="20"/>
              </w:rPr>
              <w:t>ExN</w:t>
            </w:r>
          </w:p>
        </w:tc>
        <w:tc>
          <w:tcPr>
            <w:tcW w:w="0" w:type="auto"/>
            <w:noWrap/>
            <w:vAlign w:val="bottom"/>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Madison</w:t>
            </w:r>
          </w:p>
        </w:tc>
        <w:tc>
          <w:tcPr>
            <w:tcW w:w="0" w:type="auto"/>
            <w:noWrap/>
            <w:vAlign w:val="bottom"/>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-0.16</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-3016.54</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-2.66</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-199.34</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-2.14</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-393.68</w:t>
            </w:r>
          </w:p>
        </w:tc>
      </w:tr>
      <w:tr w:rsidR="009B172A"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9B172A" w:rsidRPr="00F01949" w:rsidRDefault="009B172A" w:rsidP="00656379">
            <w:pPr>
              <w:jc w:val="center"/>
              <w:rPr>
                <w:sz w:val="20"/>
                <w:szCs w:val="20"/>
              </w:rPr>
            </w:pPr>
            <w:r w:rsidRPr="00F01949">
              <w:rPr>
                <w:color w:val="000000"/>
                <w:sz w:val="20"/>
                <w:szCs w:val="20"/>
              </w:rPr>
              <w:t>ExN</w:t>
            </w:r>
          </w:p>
        </w:tc>
        <w:tc>
          <w:tcPr>
            <w:tcW w:w="0" w:type="auto"/>
            <w:noWrap/>
            <w:vAlign w:val="bottom"/>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Madison</w:t>
            </w:r>
          </w:p>
        </w:tc>
        <w:tc>
          <w:tcPr>
            <w:tcW w:w="0" w:type="auto"/>
            <w:noWrap/>
            <w:vAlign w:val="bottom"/>
          </w:tcPr>
          <w:p w:rsidR="009B172A" w:rsidRPr="00F01949" w:rsidRDefault="009B172A"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-4.40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-0.36</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-3034.16</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-2.67</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-158.14</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-1.70</w:t>
            </w:r>
          </w:p>
        </w:tc>
        <w:tc>
          <w:tcPr>
            <w:tcW w:w="0" w:type="auto"/>
            <w:noWrap/>
            <w:vAlign w:val="bottom"/>
          </w:tcPr>
          <w:p w:rsidR="009B172A" w:rsidRPr="00F01949" w:rsidRDefault="009B172A">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-333.10</w:t>
            </w:r>
          </w:p>
        </w:tc>
      </w:tr>
      <w:tr w:rsidR="00656379"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656379" w:rsidRPr="00F01949" w:rsidRDefault="00656379" w:rsidP="00656379">
            <w:pPr>
              <w:jc w:val="center"/>
              <w:rPr>
                <w:sz w:val="20"/>
                <w:szCs w:val="20"/>
              </w:rPr>
            </w:pPr>
            <w:r w:rsidRPr="00F01949">
              <w:rPr>
                <w:color w:val="000000"/>
                <w:sz w:val="20"/>
                <w:szCs w:val="20"/>
              </w:rPr>
              <w:t>ExN</w:t>
            </w:r>
          </w:p>
        </w:tc>
        <w:tc>
          <w:tcPr>
            <w:tcW w:w="0" w:type="auto"/>
            <w:noWrap/>
            <w:vAlign w:val="bottom"/>
          </w:tcPr>
          <w:p w:rsidR="00656379" w:rsidRPr="00F01949" w:rsidRDefault="00656379"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Monroe</w:t>
            </w:r>
          </w:p>
        </w:tc>
        <w:tc>
          <w:tcPr>
            <w:tcW w:w="0" w:type="auto"/>
            <w:noWrap/>
            <w:vAlign w:val="bottom"/>
          </w:tcPr>
          <w:p w:rsidR="00656379" w:rsidRPr="00F01949" w:rsidRDefault="00656379"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-0.31</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-0.25</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-2025.15</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-1.55</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-105.63</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-0.95</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-223.37</w:t>
            </w:r>
          </w:p>
        </w:tc>
      </w:tr>
      <w:tr w:rsidR="00656379"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656379" w:rsidRPr="00F01949" w:rsidRDefault="00656379" w:rsidP="00656379">
            <w:pPr>
              <w:jc w:val="center"/>
              <w:rPr>
                <w:sz w:val="20"/>
                <w:szCs w:val="20"/>
              </w:rPr>
            </w:pPr>
            <w:r w:rsidRPr="00F01949">
              <w:rPr>
                <w:color w:val="000000"/>
                <w:sz w:val="20"/>
                <w:szCs w:val="20"/>
              </w:rPr>
              <w:t>ExN</w:t>
            </w:r>
          </w:p>
        </w:tc>
        <w:tc>
          <w:tcPr>
            <w:tcW w:w="0" w:type="auto"/>
            <w:noWrap/>
            <w:vAlign w:val="bottom"/>
          </w:tcPr>
          <w:p w:rsidR="00656379" w:rsidRPr="00F01949" w:rsidRDefault="00656379"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Monroe</w:t>
            </w:r>
          </w:p>
        </w:tc>
        <w:tc>
          <w:tcPr>
            <w:tcW w:w="0" w:type="auto"/>
            <w:noWrap/>
            <w:vAlign w:val="bottom"/>
          </w:tcPr>
          <w:p w:rsidR="00656379" w:rsidRPr="00F01949" w:rsidRDefault="00656379"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-0.36</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-0.50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-2489.33</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-1.91</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-126.53</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-269.28</w:t>
            </w:r>
          </w:p>
        </w:tc>
      </w:tr>
      <w:tr w:rsidR="00656379"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656379" w:rsidRPr="00F01949" w:rsidRDefault="00656379" w:rsidP="00656379">
            <w:pPr>
              <w:jc w:val="center"/>
              <w:rPr>
                <w:sz w:val="20"/>
                <w:szCs w:val="20"/>
              </w:rPr>
            </w:pPr>
            <w:r w:rsidRPr="00F01949">
              <w:rPr>
                <w:color w:val="000000"/>
                <w:sz w:val="20"/>
                <w:szCs w:val="20"/>
              </w:rPr>
              <w:t>ExN</w:t>
            </w:r>
          </w:p>
        </w:tc>
        <w:tc>
          <w:tcPr>
            <w:tcW w:w="0" w:type="auto"/>
            <w:noWrap/>
            <w:vAlign w:val="bottom"/>
          </w:tcPr>
          <w:p w:rsidR="00656379" w:rsidRPr="00F01949" w:rsidRDefault="00656379"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Monroe</w:t>
            </w:r>
          </w:p>
        </w:tc>
        <w:tc>
          <w:tcPr>
            <w:tcW w:w="0" w:type="auto"/>
            <w:noWrap/>
            <w:vAlign w:val="bottom"/>
          </w:tcPr>
          <w:p w:rsidR="00656379" w:rsidRPr="00F01949" w:rsidRDefault="00656379"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-5.40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-0.46</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-2469.67</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-1.89</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-108.83</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-0.98</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-241.91</w:t>
            </w:r>
          </w:p>
        </w:tc>
      </w:tr>
      <w:tr w:rsidR="00656379"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656379" w:rsidRPr="00F01949" w:rsidRDefault="00656379" w:rsidP="00656379">
            <w:pPr>
              <w:jc w:val="center"/>
              <w:rPr>
                <w:sz w:val="20"/>
                <w:szCs w:val="20"/>
              </w:rPr>
            </w:pPr>
            <w:r w:rsidRPr="00F01949">
              <w:rPr>
                <w:color w:val="000000"/>
                <w:sz w:val="20"/>
                <w:szCs w:val="20"/>
              </w:rPr>
              <w:t>ExN</w:t>
            </w:r>
          </w:p>
        </w:tc>
        <w:tc>
          <w:tcPr>
            <w:tcW w:w="0" w:type="auto"/>
            <w:noWrap/>
            <w:vAlign w:val="bottom"/>
          </w:tcPr>
          <w:p w:rsidR="00656379" w:rsidRPr="00F01949" w:rsidRDefault="00656379"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Obama</w:t>
            </w:r>
          </w:p>
        </w:tc>
        <w:tc>
          <w:tcPr>
            <w:tcW w:w="0" w:type="auto"/>
            <w:noWrap/>
            <w:vAlign w:val="bottom"/>
          </w:tcPr>
          <w:p w:rsidR="00656379" w:rsidRPr="00F01949" w:rsidRDefault="00656379"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-1762.25</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-1.33</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-122.38</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656379" w:rsidRPr="00F01949" w:rsidRDefault="00656379">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-239.29</w:t>
            </w:r>
          </w:p>
        </w:tc>
      </w:tr>
      <w:tr w:rsidR="00F01949"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01949" w:rsidRDefault="00F01949" w:rsidP="00F01949">
            <w:pPr>
              <w:jc w:val="center"/>
            </w:pPr>
            <w:r w:rsidRPr="00ED0C62">
              <w:rPr>
                <w:rFonts w:ascii="Calibri" w:hAnsi="Calibri"/>
                <w:color w:val="000000"/>
                <w:sz w:val="22"/>
                <w:szCs w:val="22"/>
              </w:rPr>
              <w:t>ExN</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Obama</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-0.28</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-1713.49</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-97.56</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-202.06</w:t>
            </w:r>
          </w:p>
        </w:tc>
      </w:tr>
      <w:tr w:rsidR="00F01949"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01949" w:rsidRDefault="00F01949" w:rsidP="00F01949">
            <w:pPr>
              <w:jc w:val="center"/>
            </w:pPr>
            <w:r w:rsidRPr="00ED0C62">
              <w:rPr>
                <w:rFonts w:ascii="Calibri" w:hAnsi="Calibri"/>
                <w:color w:val="000000"/>
                <w:sz w:val="22"/>
                <w:szCs w:val="22"/>
              </w:rPr>
              <w:t>ExN</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Obama</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-0.33</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-1717.32</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-88.67</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-189.27</w:t>
            </w:r>
          </w:p>
        </w:tc>
      </w:tr>
      <w:tr w:rsidR="00F01949"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01949" w:rsidRDefault="00F01949" w:rsidP="00F01949">
            <w:pPr>
              <w:jc w:val="center"/>
            </w:pPr>
            <w:r w:rsidRPr="00ED0C62">
              <w:rPr>
                <w:rFonts w:ascii="Calibri" w:hAnsi="Calibri"/>
                <w:color w:val="000000"/>
                <w:sz w:val="22"/>
                <w:szCs w:val="22"/>
              </w:rPr>
              <w:t>ExN</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Taft</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-2237.14</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-1.98</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-164.51</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-316.41</w:t>
            </w:r>
          </w:p>
        </w:tc>
      </w:tr>
    </w:tbl>
    <w:p w:rsidR="00F02921" w:rsidRDefault="00656379" w:rsidP="00F02921">
      <w:pPr>
        <w:pStyle w:val="Caption"/>
      </w:pPr>
      <w:r>
        <w:t xml:space="preserve">Table </w:t>
      </w:r>
      <w:r>
        <w:rPr>
          <w:color w:val="FF0000"/>
        </w:rPr>
        <w:t>37</w:t>
      </w:r>
      <w:r>
        <w:t xml:space="preserve"> (Continued) Change in average daily food consumption, part 1</w:t>
      </w:r>
    </w:p>
    <w:tbl>
      <w:tblPr>
        <w:tblStyle w:val="TableClassic1"/>
        <w:tblW w:w="0" w:type="auto"/>
        <w:tblLook w:val="04A0" w:firstRow="1" w:lastRow="0" w:firstColumn="1" w:lastColumn="0" w:noHBand="0" w:noVBand="1"/>
      </w:tblPr>
      <w:tblGrid>
        <w:gridCol w:w="772"/>
        <w:gridCol w:w="1016"/>
        <w:gridCol w:w="672"/>
        <w:gridCol w:w="867"/>
        <w:gridCol w:w="674"/>
        <w:gridCol w:w="992"/>
        <w:gridCol w:w="1037"/>
        <w:gridCol w:w="1240"/>
        <w:gridCol w:w="1230"/>
        <w:gridCol w:w="1479"/>
        <w:gridCol w:w="1512"/>
        <w:gridCol w:w="1253"/>
      </w:tblGrid>
      <w:tr w:rsidR="00F02921" w:rsidRPr="00F01949" w:rsidTr="00F029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F02921" w:rsidRPr="00F01949" w:rsidRDefault="00F02921" w:rsidP="00F02921">
            <w:pPr>
              <w:rPr>
                <w:sz w:val="20"/>
                <w:szCs w:val="20"/>
              </w:rPr>
            </w:pPr>
            <w:r w:rsidRPr="00F01949">
              <w:rPr>
                <w:sz w:val="20"/>
                <w:szCs w:val="20"/>
              </w:rPr>
              <w:t>Group</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Dog</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Point</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Weight (kg)</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BCS</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offered (kcal/kg BW^0.75)</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consumed (kcal)</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Consumption (kcal/kg BW^0.75)</w:t>
            </w:r>
          </w:p>
        </w:tc>
        <w:tc>
          <w:tcPr>
            <w:tcW w:w="0" w:type="auto"/>
            <w:hideMark/>
          </w:tcPr>
          <w:p w:rsidR="00F02921" w:rsidRPr="00F01949"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01949">
              <w:rPr>
                <w:sz w:val="20"/>
                <w:szCs w:val="20"/>
              </w:rPr>
              <w:t>Amount not consumed (kcal)</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D7392" w:rsidRPr="00F01949" w:rsidRDefault="008D7392" w:rsidP="00F02921">
            <w:pPr>
              <w:jc w:val="center"/>
              <w:rPr>
                <w:sz w:val="20"/>
                <w:szCs w:val="20"/>
              </w:rPr>
            </w:pPr>
            <w:r w:rsidRPr="00F01949">
              <w:rPr>
                <w:color w:val="000000"/>
                <w:sz w:val="20"/>
                <w:szCs w:val="20"/>
              </w:rPr>
              <w:t>ExN</w:t>
            </w:r>
          </w:p>
        </w:tc>
        <w:tc>
          <w:tcPr>
            <w:tcW w:w="0" w:type="auto"/>
            <w:noWrap/>
            <w:vAlign w:val="bottom"/>
            <w:hideMark/>
          </w:tcPr>
          <w:p w:rsidR="008D7392" w:rsidRPr="00F01949" w:rsidRDefault="008D739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Taft</w:t>
            </w:r>
          </w:p>
        </w:tc>
        <w:tc>
          <w:tcPr>
            <w:tcW w:w="0" w:type="auto"/>
            <w:noWrap/>
            <w:vAlign w:val="bottom"/>
            <w:hideMark/>
          </w:tcPr>
          <w:p w:rsidR="008D7392" w:rsidRPr="00F01949" w:rsidRDefault="008D739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-0.22</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-2256.79</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-150.03</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-1.46</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-296.51</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D7392" w:rsidRPr="00F01949" w:rsidRDefault="008D7392" w:rsidP="00F02921">
            <w:pPr>
              <w:jc w:val="center"/>
              <w:rPr>
                <w:sz w:val="20"/>
                <w:szCs w:val="20"/>
              </w:rPr>
            </w:pPr>
            <w:r w:rsidRPr="00F01949">
              <w:rPr>
                <w:color w:val="000000"/>
                <w:sz w:val="20"/>
                <w:szCs w:val="20"/>
              </w:rPr>
              <w:t>ExN</w:t>
            </w:r>
          </w:p>
        </w:tc>
        <w:tc>
          <w:tcPr>
            <w:tcW w:w="0" w:type="auto"/>
            <w:noWrap/>
            <w:vAlign w:val="bottom"/>
            <w:hideMark/>
          </w:tcPr>
          <w:p w:rsidR="008D7392" w:rsidRPr="00F01949" w:rsidRDefault="008D739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Taft</w:t>
            </w:r>
          </w:p>
        </w:tc>
        <w:tc>
          <w:tcPr>
            <w:tcW w:w="0" w:type="auto"/>
            <w:noWrap/>
            <w:vAlign w:val="bottom"/>
            <w:hideMark/>
          </w:tcPr>
          <w:p w:rsidR="008D7392" w:rsidRPr="00F01949" w:rsidRDefault="008D7392" w:rsidP="00F02921">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-3.00</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-0.27</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-2272.49</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-2.01</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-140.32</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-1.37</w:t>
            </w:r>
          </w:p>
        </w:tc>
        <w:tc>
          <w:tcPr>
            <w:tcW w:w="0" w:type="auto"/>
            <w:noWrap/>
            <w:vAlign w:val="bottom"/>
            <w:hideMark/>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-283.05</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8D7392" w:rsidRPr="00F01949" w:rsidRDefault="008D7392" w:rsidP="00656379">
            <w:pPr>
              <w:jc w:val="center"/>
              <w:rPr>
                <w:sz w:val="20"/>
                <w:szCs w:val="20"/>
              </w:rPr>
            </w:pPr>
            <w:r w:rsidRPr="00F01949">
              <w:rPr>
                <w:color w:val="000000"/>
                <w:sz w:val="20"/>
                <w:szCs w:val="20"/>
              </w:rPr>
              <w:t>ExN</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Tyler</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-0.14</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-1795.81</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-1.59</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-124.23</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-1.27</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-242.70</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8D7392" w:rsidRPr="00F01949" w:rsidRDefault="008D7392" w:rsidP="00656379">
            <w:pPr>
              <w:jc w:val="center"/>
              <w:rPr>
                <w:sz w:val="20"/>
                <w:szCs w:val="20"/>
              </w:rPr>
            </w:pPr>
            <w:r w:rsidRPr="00F01949">
              <w:rPr>
                <w:color w:val="000000"/>
                <w:sz w:val="20"/>
                <w:szCs w:val="20"/>
              </w:rPr>
              <w:t>ExN</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Tyler</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-2.80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-0.24</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-1951.39</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-1.73</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-116.56</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-237.05</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8D7392" w:rsidRPr="00F01949" w:rsidRDefault="008D7392" w:rsidP="00656379">
            <w:pPr>
              <w:jc w:val="center"/>
              <w:rPr>
                <w:sz w:val="20"/>
                <w:szCs w:val="20"/>
              </w:rPr>
            </w:pPr>
            <w:r w:rsidRPr="00F01949">
              <w:rPr>
                <w:color w:val="000000"/>
                <w:sz w:val="20"/>
                <w:szCs w:val="20"/>
              </w:rPr>
              <w:t>ExN</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Tyler</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-0.31</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-1909.27</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-1.69</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-102.53</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-1.05</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-215.01</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8D7392" w:rsidRPr="00F01949" w:rsidRDefault="008D7392" w:rsidP="00656379">
            <w:pPr>
              <w:jc w:val="center"/>
              <w:rPr>
                <w:sz w:val="20"/>
                <w:szCs w:val="20"/>
              </w:rPr>
            </w:pPr>
            <w:r w:rsidRPr="00F01949">
              <w:rPr>
                <w:color w:val="000000"/>
                <w:sz w:val="20"/>
                <w:szCs w:val="20"/>
              </w:rPr>
              <w:t>ExP</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Fillmore</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-0.09</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-1491.30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-1.98</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-116.74</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-1.74</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-220.82</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8D7392" w:rsidRPr="00F01949" w:rsidRDefault="008D7392" w:rsidP="00656379">
            <w:pPr>
              <w:jc w:val="center"/>
              <w:rPr>
                <w:sz w:val="20"/>
                <w:szCs w:val="20"/>
              </w:rPr>
            </w:pPr>
            <w:r w:rsidRPr="00F01949">
              <w:rPr>
                <w:color w:val="000000"/>
                <w:sz w:val="20"/>
                <w:szCs w:val="20"/>
              </w:rPr>
              <w:t>ExP</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Fillmore</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-0.14</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-1863.71</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-2.48</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-137.21</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-2.04</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-263.70</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8D7392" w:rsidRPr="00F01949" w:rsidRDefault="008D7392" w:rsidP="00656379">
            <w:pPr>
              <w:jc w:val="center"/>
              <w:rPr>
                <w:sz w:val="20"/>
                <w:szCs w:val="20"/>
              </w:rPr>
            </w:pPr>
            <w:r w:rsidRPr="00F01949">
              <w:rPr>
                <w:color w:val="000000"/>
                <w:sz w:val="20"/>
                <w:szCs w:val="20"/>
              </w:rPr>
              <w:t>ExP</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Fillmore</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-0.13</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-1910.93</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-2.54</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-144.20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-2.15</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-275.35</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8D7392" w:rsidRPr="00F01949" w:rsidRDefault="008D7392" w:rsidP="00656379">
            <w:pPr>
              <w:jc w:val="center"/>
              <w:rPr>
                <w:sz w:val="20"/>
                <w:szCs w:val="20"/>
              </w:rPr>
            </w:pPr>
            <w:r w:rsidRPr="00F01949">
              <w:rPr>
                <w:color w:val="000000"/>
                <w:sz w:val="20"/>
                <w:szCs w:val="20"/>
              </w:rPr>
              <w:t>ExP</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Ford</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-0.19</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-1775.14</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-2.09</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-118.49</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-1.59</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-233.72</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8D7392" w:rsidRPr="00F01949" w:rsidRDefault="008D7392" w:rsidP="00656379">
            <w:pPr>
              <w:jc w:val="center"/>
              <w:rPr>
                <w:sz w:val="20"/>
                <w:szCs w:val="20"/>
              </w:rPr>
            </w:pPr>
            <w:r w:rsidRPr="00F01949">
              <w:rPr>
                <w:color w:val="000000"/>
                <w:sz w:val="20"/>
                <w:szCs w:val="20"/>
              </w:rPr>
              <w:t>ExP</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Ford</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-0.35</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-2182.90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-2.57</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-122.43</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-1.65</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-253.20</w:t>
            </w:r>
          </w:p>
        </w:tc>
      </w:tr>
      <w:tr w:rsidR="008D7392"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8D7392" w:rsidRPr="00F01949" w:rsidRDefault="008D7392" w:rsidP="00656379">
            <w:pPr>
              <w:jc w:val="center"/>
              <w:rPr>
                <w:sz w:val="20"/>
                <w:szCs w:val="20"/>
              </w:rPr>
            </w:pPr>
            <w:r w:rsidRPr="00F01949">
              <w:rPr>
                <w:color w:val="000000"/>
                <w:sz w:val="20"/>
                <w:szCs w:val="20"/>
              </w:rPr>
              <w:t>ExP</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Ford</w:t>
            </w:r>
          </w:p>
        </w:tc>
        <w:tc>
          <w:tcPr>
            <w:tcW w:w="0" w:type="auto"/>
            <w:noWrap/>
            <w:vAlign w:val="bottom"/>
          </w:tcPr>
          <w:p w:rsidR="008D7392" w:rsidRPr="00F01949" w:rsidRDefault="008D7392" w:rsidP="0065637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-0.80</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-2173.71</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-2.56</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-114.48</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-1.54</w:t>
            </w:r>
          </w:p>
        </w:tc>
        <w:tc>
          <w:tcPr>
            <w:tcW w:w="0" w:type="auto"/>
            <w:noWrap/>
            <w:vAlign w:val="bottom"/>
          </w:tcPr>
          <w:p w:rsidR="008D7392" w:rsidRPr="00F01949" w:rsidRDefault="008D7392">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-241.04</w:t>
            </w:r>
          </w:p>
        </w:tc>
      </w:tr>
      <w:tr w:rsidR="00FB2677"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Pr="00F01949" w:rsidRDefault="00FB2677" w:rsidP="00FB2677">
            <w:pPr>
              <w:jc w:val="center"/>
              <w:rPr>
                <w:sz w:val="20"/>
                <w:szCs w:val="20"/>
              </w:rPr>
            </w:pPr>
            <w:r w:rsidRPr="00F01949">
              <w:rPr>
                <w:color w:val="000000"/>
                <w:sz w:val="20"/>
                <w:szCs w:val="20"/>
              </w:rPr>
              <w:t>ExP</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Franklin</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-0.16</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-2201.91</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-1.81</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-141.02</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-1.41</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-280.96</w:t>
            </w:r>
          </w:p>
        </w:tc>
      </w:tr>
      <w:tr w:rsidR="00FB2677"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Pr="00F01949" w:rsidRDefault="00FB2677" w:rsidP="00FB2677">
            <w:pPr>
              <w:jc w:val="center"/>
              <w:rPr>
                <w:sz w:val="20"/>
                <w:szCs w:val="20"/>
              </w:rPr>
            </w:pPr>
            <w:r w:rsidRPr="00F01949">
              <w:rPr>
                <w:color w:val="000000"/>
                <w:sz w:val="20"/>
                <w:szCs w:val="20"/>
              </w:rPr>
              <w:t>ExP</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Franklin</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-3.60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-0.40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-2166.31</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-1.78</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-114.39</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-1.15</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-240.51</w:t>
            </w:r>
          </w:p>
        </w:tc>
      </w:tr>
      <w:tr w:rsidR="00FB2677"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Pr="00F01949" w:rsidRDefault="00FB2677" w:rsidP="00FB2677">
            <w:pPr>
              <w:jc w:val="center"/>
              <w:rPr>
                <w:sz w:val="20"/>
                <w:szCs w:val="20"/>
              </w:rPr>
            </w:pPr>
            <w:r w:rsidRPr="00F01949">
              <w:rPr>
                <w:color w:val="000000"/>
                <w:sz w:val="20"/>
                <w:szCs w:val="20"/>
              </w:rPr>
              <w:t>ExP</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Franklin</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-3.20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-0.26</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-0.60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-2188.13</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-1.80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-121.37</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-1.22</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-251.60</w:t>
            </w:r>
          </w:p>
        </w:tc>
      </w:tr>
      <w:tr w:rsidR="00FB2677"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Pr="00F01949" w:rsidRDefault="00FB2677" w:rsidP="00FB2677">
            <w:pPr>
              <w:jc w:val="center"/>
              <w:rPr>
                <w:sz w:val="20"/>
                <w:szCs w:val="20"/>
              </w:rPr>
            </w:pPr>
            <w:r w:rsidRPr="00F01949">
              <w:rPr>
                <w:color w:val="000000"/>
                <w:sz w:val="20"/>
                <w:szCs w:val="20"/>
              </w:rPr>
              <w:t>ExP</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Grant</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-0.17</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-2423.73</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-4.28</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-168.67</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-3.51</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-328.65</w:t>
            </w:r>
          </w:p>
        </w:tc>
      </w:tr>
      <w:tr w:rsidR="00FB2677" w:rsidRPr="00F01949"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tcPr>
          <w:p w:rsidR="00FB2677" w:rsidRPr="00F01949" w:rsidRDefault="00FB2677" w:rsidP="00FB2677">
            <w:pPr>
              <w:jc w:val="center"/>
              <w:rPr>
                <w:color w:val="000000"/>
                <w:sz w:val="20"/>
                <w:szCs w:val="20"/>
              </w:rPr>
            </w:pPr>
            <w:r w:rsidRPr="00F01949">
              <w:rPr>
                <w:color w:val="000000"/>
                <w:sz w:val="20"/>
                <w:szCs w:val="20"/>
              </w:rPr>
              <w:t>ExP</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Grant</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-3.20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-0.27</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-0.50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-2454.99</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-4.33</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-153.42</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-3.19</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-307.43</w:t>
            </w:r>
          </w:p>
        </w:tc>
      </w:tr>
      <w:tr w:rsidR="00FB2677"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Pr="00F01949" w:rsidRDefault="00FB2677" w:rsidP="00FB2677">
            <w:pPr>
              <w:jc w:val="center"/>
              <w:rPr>
                <w:sz w:val="20"/>
                <w:szCs w:val="20"/>
              </w:rPr>
            </w:pPr>
            <w:r w:rsidRPr="00F01949">
              <w:rPr>
                <w:color w:val="000000"/>
                <w:sz w:val="20"/>
                <w:szCs w:val="20"/>
              </w:rPr>
              <w:t>ExP</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Grant</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-3.40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-0.29</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-0.50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-2464.03</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-4.35</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-151.36</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-3.15</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-304.68</w:t>
            </w:r>
          </w:p>
        </w:tc>
      </w:tr>
      <w:tr w:rsidR="00FB2677"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Pr="00F01949" w:rsidRDefault="00FB2677" w:rsidP="00FB2677">
            <w:pPr>
              <w:jc w:val="center"/>
              <w:rPr>
                <w:sz w:val="20"/>
                <w:szCs w:val="20"/>
              </w:rPr>
            </w:pPr>
            <w:r w:rsidRPr="00F01949">
              <w:rPr>
                <w:color w:val="000000"/>
                <w:sz w:val="20"/>
                <w:szCs w:val="20"/>
              </w:rPr>
              <w:t>ExP</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Quincy</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-0.22</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-0.60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-2553.39</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-2.09</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-156.76</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-1.54</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-315.94</w:t>
            </w:r>
          </w:p>
        </w:tc>
      </w:tr>
      <w:tr w:rsidR="00FB2677"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Pr="00F01949" w:rsidRDefault="00FB2677" w:rsidP="00FB2677">
            <w:pPr>
              <w:jc w:val="center"/>
              <w:rPr>
                <w:sz w:val="20"/>
                <w:szCs w:val="20"/>
              </w:rPr>
            </w:pPr>
            <w:r w:rsidRPr="00F01949">
              <w:rPr>
                <w:color w:val="000000"/>
                <w:sz w:val="20"/>
                <w:szCs w:val="20"/>
              </w:rPr>
              <w:t>ExP</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Quincy</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-4.60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-0.38</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-0.80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-2546.12</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-2.08</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-125.16</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-1.23</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-268.66</w:t>
            </w:r>
          </w:p>
        </w:tc>
      </w:tr>
      <w:tr w:rsidR="00FB2677"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Pr="00F01949" w:rsidRDefault="00FB2677" w:rsidP="00FB2677">
            <w:pPr>
              <w:jc w:val="center"/>
              <w:rPr>
                <w:sz w:val="20"/>
                <w:szCs w:val="20"/>
              </w:rPr>
            </w:pPr>
            <w:r w:rsidRPr="00F01949">
              <w:rPr>
                <w:color w:val="000000"/>
                <w:sz w:val="20"/>
                <w:szCs w:val="20"/>
              </w:rPr>
              <w:t>ExP</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Quincy</w:t>
            </w:r>
          </w:p>
        </w:tc>
        <w:tc>
          <w:tcPr>
            <w:tcW w:w="0" w:type="auto"/>
            <w:noWrap/>
            <w:vAlign w:val="bottom"/>
          </w:tcPr>
          <w:p w:rsidR="00FB2677" w:rsidRPr="00F01949" w:rsidRDefault="00FB2677" w:rsidP="00FB2677">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-6.00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-0.50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-4.00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-0.80</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-2538.21</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-2.08</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-107.07</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-1.05</w:t>
            </w:r>
          </w:p>
        </w:tc>
        <w:tc>
          <w:tcPr>
            <w:tcW w:w="0" w:type="auto"/>
            <w:noWrap/>
            <w:vAlign w:val="bottom"/>
          </w:tcPr>
          <w:p w:rsidR="00FB2677" w:rsidRPr="00F01949" w:rsidRDefault="00FB267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-240.76</w:t>
            </w:r>
          </w:p>
        </w:tc>
      </w:tr>
      <w:tr w:rsidR="00F01949"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01949" w:rsidRDefault="00F01949" w:rsidP="00F01949">
            <w:pPr>
              <w:jc w:val="center"/>
            </w:pPr>
            <w:r w:rsidRPr="00C31089">
              <w:rPr>
                <w:rFonts w:ascii="Calibri" w:hAnsi="Calibri"/>
                <w:color w:val="000000"/>
                <w:sz w:val="22"/>
                <w:szCs w:val="22"/>
              </w:rPr>
              <w:t>ExP</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Sherman</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-2754.40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-4.23</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-188.15</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-3.64</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-368.19</w:t>
            </w:r>
          </w:p>
        </w:tc>
      </w:tr>
      <w:tr w:rsidR="00F01949"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01949" w:rsidRDefault="00F01949" w:rsidP="00F01949">
            <w:pPr>
              <w:jc w:val="center"/>
            </w:pPr>
            <w:r w:rsidRPr="00C31089">
              <w:rPr>
                <w:rFonts w:ascii="Calibri" w:hAnsi="Calibri"/>
                <w:color w:val="000000"/>
                <w:sz w:val="22"/>
                <w:szCs w:val="22"/>
              </w:rPr>
              <w:t>ExP</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Sherman</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-3.80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-2766.53</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-4.25</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-156.71</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-3.03</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-322.00</w:t>
            </w:r>
          </w:p>
        </w:tc>
      </w:tr>
      <w:tr w:rsidR="00F01949" w:rsidRPr="00F01949" w:rsidTr="00656379">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01949" w:rsidRDefault="00F01949" w:rsidP="00F01949">
            <w:pPr>
              <w:jc w:val="center"/>
            </w:pPr>
            <w:r w:rsidRPr="00C31089">
              <w:rPr>
                <w:rFonts w:ascii="Calibri" w:hAnsi="Calibri"/>
                <w:color w:val="000000"/>
                <w:sz w:val="22"/>
                <w:szCs w:val="22"/>
              </w:rPr>
              <w:t>ExP</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Sherman</w:t>
            </w:r>
          </w:p>
        </w:tc>
        <w:tc>
          <w:tcPr>
            <w:tcW w:w="0" w:type="auto"/>
            <w:noWrap/>
            <w:vAlign w:val="bottom"/>
          </w:tcPr>
          <w:p w:rsidR="00F01949" w:rsidRDefault="00F01949" w:rsidP="00F01949">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-4.80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-0.38</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-2809.28</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-4.31</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-147.19</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-2.85</w:t>
            </w:r>
          </w:p>
        </w:tc>
        <w:tc>
          <w:tcPr>
            <w:tcW w:w="0" w:type="auto"/>
            <w:noWrap/>
            <w:vAlign w:val="bottom"/>
          </w:tcPr>
          <w:p w:rsidR="00F01949" w:rsidRDefault="00F01949" w:rsidP="00F019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-308.80</w:t>
            </w:r>
          </w:p>
        </w:tc>
      </w:tr>
    </w:tbl>
    <w:p w:rsidR="00FB2677" w:rsidRDefault="00FB2677" w:rsidP="00FB2677">
      <w:pPr>
        <w:pStyle w:val="Caption"/>
      </w:pPr>
      <w:r>
        <w:t xml:space="preserve">Table </w:t>
      </w:r>
      <w:r>
        <w:rPr>
          <w:color w:val="FF0000"/>
        </w:rPr>
        <w:t>37</w:t>
      </w:r>
      <w:r>
        <w:t xml:space="preserve"> (Continued) Change in average daily food consumption, part 1</w:t>
      </w:r>
    </w:p>
    <w:tbl>
      <w:tblPr>
        <w:tblStyle w:val="TableClassic1"/>
        <w:tblW w:w="0" w:type="auto"/>
        <w:tblLook w:val="04A0" w:firstRow="1" w:lastRow="0" w:firstColumn="1" w:lastColumn="0" w:noHBand="0" w:noVBand="1"/>
      </w:tblPr>
      <w:tblGrid>
        <w:gridCol w:w="772"/>
        <w:gridCol w:w="996"/>
        <w:gridCol w:w="672"/>
        <w:gridCol w:w="868"/>
        <w:gridCol w:w="674"/>
        <w:gridCol w:w="994"/>
        <w:gridCol w:w="1040"/>
        <w:gridCol w:w="1244"/>
        <w:gridCol w:w="1232"/>
        <w:gridCol w:w="1481"/>
        <w:gridCol w:w="1515"/>
        <w:gridCol w:w="1256"/>
      </w:tblGrid>
      <w:tr w:rsidR="00F02921" w:rsidRPr="00FD7864" w:rsidTr="00F029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F02921" w:rsidRPr="00FD7864" w:rsidRDefault="00F02921" w:rsidP="00F02921">
            <w:pPr>
              <w:rPr>
                <w:sz w:val="20"/>
                <w:szCs w:val="20"/>
              </w:rPr>
            </w:pPr>
            <w:r w:rsidRPr="00FD7864">
              <w:rPr>
                <w:sz w:val="20"/>
                <w:szCs w:val="20"/>
              </w:rPr>
              <w:t>Group</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Dog</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Point</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Weight (kg)</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BCS</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Amount offered (kcal)</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Amount offered (kcal/kg BW)</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Amount offered (kcal/kg BW^0.75)</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Amount consumed (kcal)</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Consumption (kcal/kg BW)</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Consumption (kcal/kg BW^0.75)</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Amount not consumed (kcal)</w:t>
            </w:r>
          </w:p>
        </w:tc>
      </w:tr>
      <w:tr w:rsidR="00FB2677" w:rsidRPr="00FD7864"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B2677" w:rsidRDefault="00FB2677" w:rsidP="00F02921">
            <w:pPr>
              <w:jc w:val="center"/>
            </w:pPr>
            <w:r w:rsidRPr="00E2552C">
              <w:rPr>
                <w:rFonts w:ascii="Calibri" w:hAnsi="Calibri"/>
                <w:color w:val="000000"/>
                <w:sz w:val="22"/>
                <w:szCs w:val="22"/>
              </w:rPr>
              <w:t>IBW</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Bush</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15.97</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22.41</w:t>
            </w:r>
          </w:p>
        </w:tc>
      </w:tr>
      <w:tr w:rsidR="00FB2677" w:rsidRPr="00FD7864"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B2677" w:rsidRDefault="00FB2677" w:rsidP="00F02921">
            <w:pPr>
              <w:jc w:val="center"/>
            </w:pPr>
            <w:r w:rsidRPr="00E2552C">
              <w:rPr>
                <w:rFonts w:ascii="Calibri" w:hAnsi="Calibri"/>
                <w:color w:val="000000"/>
                <w:sz w:val="22"/>
                <w:szCs w:val="22"/>
              </w:rPr>
              <w:t>IBW</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Bush</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232.28</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38.62</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63.21</w:t>
            </w:r>
          </w:p>
        </w:tc>
      </w:tr>
      <w:tr w:rsidR="00FB2677" w:rsidRPr="00FD7864"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B2677" w:rsidRDefault="00FB2677" w:rsidP="00F02921">
            <w:pPr>
              <w:jc w:val="center"/>
            </w:pPr>
            <w:r w:rsidRPr="00E2552C">
              <w:rPr>
                <w:rFonts w:ascii="Calibri" w:hAnsi="Calibri"/>
                <w:color w:val="000000"/>
                <w:sz w:val="22"/>
                <w:szCs w:val="22"/>
              </w:rPr>
              <w:t>IBW</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Bush</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356.33</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43.83</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0.34</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75.11</w:t>
            </w:r>
          </w:p>
        </w:tc>
      </w:tr>
      <w:tr w:rsidR="00FB2677" w:rsidRPr="00FD7864"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B2677" w:rsidRDefault="00FB2677" w:rsidP="00F02921">
            <w:pPr>
              <w:jc w:val="center"/>
            </w:pPr>
            <w:r w:rsidRPr="00E2552C">
              <w:rPr>
                <w:rFonts w:ascii="Calibri" w:hAnsi="Calibri"/>
                <w:color w:val="000000"/>
                <w:sz w:val="22"/>
                <w:szCs w:val="22"/>
              </w:rPr>
              <w:t>IBW</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Ernie</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101.84</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11.82</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20.50</w:t>
            </w:r>
          </w:p>
        </w:tc>
      </w:tr>
      <w:tr w:rsidR="00FB2677" w:rsidRPr="00FD7864"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B2677" w:rsidRDefault="00FB2677" w:rsidP="00F02921">
            <w:pPr>
              <w:jc w:val="center"/>
            </w:pPr>
            <w:r w:rsidRPr="00E2552C">
              <w:rPr>
                <w:rFonts w:ascii="Calibri" w:hAnsi="Calibri"/>
                <w:color w:val="000000"/>
                <w:sz w:val="22"/>
                <w:szCs w:val="22"/>
              </w:rPr>
              <w:t>IBW</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Ernie</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234.83</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21.64</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39.35</w:t>
            </w:r>
          </w:p>
        </w:tc>
      </w:tr>
      <w:tr w:rsidR="00FB2677" w:rsidRPr="00FD7864" w:rsidTr="00FB267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B2677" w:rsidRDefault="00FB2677" w:rsidP="00F02921">
            <w:pPr>
              <w:jc w:val="center"/>
            </w:pPr>
            <w:r w:rsidRPr="00E2552C">
              <w:rPr>
                <w:rFonts w:ascii="Calibri" w:hAnsi="Calibri"/>
                <w:color w:val="000000"/>
                <w:sz w:val="22"/>
                <w:szCs w:val="22"/>
              </w:rPr>
              <w:t>IBW</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Ernie</w:t>
            </w:r>
          </w:p>
        </w:tc>
        <w:tc>
          <w:tcPr>
            <w:tcW w:w="0" w:type="auto"/>
            <w:noWrap/>
            <w:vAlign w:val="bottom"/>
            <w:hideMark/>
          </w:tcPr>
          <w:p w:rsidR="00FB2677" w:rsidRDefault="00FB2677"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465.07</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0.45</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37.81</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0.45</w:t>
            </w:r>
          </w:p>
        </w:tc>
        <w:tc>
          <w:tcPr>
            <w:tcW w:w="0" w:type="auto"/>
            <w:noWrap/>
            <w:vAlign w:val="bottom"/>
            <w:hideMark/>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70.81</w:t>
            </w:r>
          </w:p>
        </w:tc>
      </w:tr>
      <w:tr w:rsidR="00FB2677"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Default="00FB2677" w:rsidP="00FB2677">
            <w:pPr>
              <w:jc w:val="center"/>
            </w:pPr>
            <w:r w:rsidRPr="00B67CEF">
              <w:rPr>
                <w:rFonts w:ascii="Calibri" w:hAnsi="Calibri"/>
                <w:color w:val="000000"/>
                <w:sz w:val="22"/>
                <w:szCs w:val="22"/>
              </w:rPr>
              <w:t>IBW</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Johnson</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-0.02</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195.52</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0.17</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18.56</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33.47</w:t>
            </w:r>
          </w:p>
        </w:tc>
      </w:tr>
      <w:tr w:rsidR="00FB2677"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Default="00FB2677" w:rsidP="00FB2677">
            <w:pPr>
              <w:jc w:val="center"/>
            </w:pPr>
            <w:r w:rsidRPr="00B67CEF">
              <w:rPr>
                <w:rFonts w:ascii="Calibri" w:hAnsi="Calibri"/>
                <w:color w:val="000000"/>
                <w:sz w:val="22"/>
                <w:szCs w:val="22"/>
              </w:rPr>
              <w:t>IBW</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Johnson</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323.40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0.29</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30.76</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0.31</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55.44</w:t>
            </w:r>
          </w:p>
        </w:tc>
      </w:tr>
      <w:tr w:rsidR="00FB2677"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Default="00FB2677" w:rsidP="00FB2677">
            <w:pPr>
              <w:jc w:val="center"/>
            </w:pPr>
            <w:r w:rsidRPr="00B67CEF">
              <w:rPr>
                <w:rFonts w:ascii="Calibri" w:hAnsi="Calibri"/>
                <w:color w:val="000000"/>
                <w:sz w:val="22"/>
                <w:szCs w:val="22"/>
              </w:rPr>
              <w:t>IBW</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Johnson</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536.28</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43.64</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0.44</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81.79</w:t>
            </w:r>
          </w:p>
        </w:tc>
      </w:tr>
      <w:tr w:rsidR="00FB2677"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Default="00FB2677" w:rsidP="00FB2677">
            <w:pPr>
              <w:jc w:val="center"/>
            </w:pPr>
            <w:r w:rsidRPr="00B67CEF">
              <w:rPr>
                <w:rFonts w:ascii="Calibri" w:hAnsi="Calibri"/>
                <w:color w:val="000000"/>
                <w:sz w:val="22"/>
                <w:szCs w:val="22"/>
              </w:rPr>
              <w:t>IBW</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92.91</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0.08</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14.04</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23.14</w:t>
            </w:r>
          </w:p>
        </w:tc>
      </w:tr>
      <w:tr w:rsidR="00FB2677"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Default="00FB2677" w:rsidP="00FB2677">
            <w:pPr>
              <w:jc w:val="center"/>
            </w:pPr>
            <w:r w:rsidRPr="00B67CEF">
              <w:rPr>
                <w:rFonts w:ascii="Calibri" w:hAnsi="Calibri"/>
                <w:color w:val="000000"/>
                <w:sz w:val="22"/>
                <w:szCs w:val="22"/>
              </w:rPr>
              <w:t>IBW</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-0.09</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235.85</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27.95</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48.11</w:t>
            </w:r>
          </w:p>
        </w:tc>
      </w:tr>
      <w:tr w:rsidR="00FB2677"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FB2677" w:rsidRDefault="00FB2677" w:rsidP="00FB2677">
            <w:pPr>
              <w:jc w:val="center"/>
            </w:pPr>
            <w:r w:rsidRPr="00B67CEF">
              <w:rPr>
                <w:rFonts w:ascii="Calibri" w:hAnsi="Calibri"/>
                <w:color w:val="000000"/>
                <w:sz w:val="22"/>
                <w:szCs w:val="22"/>
              </w:rPr>
              <w:t>IBW</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tcPr>
          <w:p w:rsidR="00FB2677" w:rsidRDefault="00FB2677" w:rsidP="00FB2677">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303.75</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29.65</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w:t>
            </w:r>
          </w:p>
        </w:tc>
        <w:tc>
          <w:tcPr>
            <w:tcW w:w="0" w:type="auto"/>
            <w:noWrap/>
            <w:vAlign w:val="bottom"/>
          </w:tcPr>
          <w:p w:rsidR="00FB2677" w:rsidRDefault="00FB2677">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53.11</w:t>
            </w:r>
          </w:p>
        </w:tc>
      </w:tr>
      <w:tr w:rsidR="009734A5"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9734A5" w:rsidRDefault="009734A5" w:rsidP="00426BBA">
            <w:pPr>
              <w:jc w:val="center"/>
            </w:pPr>
            <w:r w:rsidRPr="00B67CEF">
              <w:rPr>
                <w:rFonts w:ascii="Calibri" w:hAnsi="Calibri"/>
                <w:color w:val="000000"/>
                <w:sz w:val="22"/>
                <w:szCs w:val="22"/>
              </w:rPr>
              <w:t>IBW</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190.93</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34.41</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55.04</w:t>
            </w:r>
          </w:p>
        </w:tc>
      </w:tr>
      <w:tr w:rsidR="009734A5"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9734A5" w:rsidRDefault="009734A5" w:rsidP="00426BBA">
            <w:pPr>
              <w:jc w:val="center"/>
            </w:pPr>
            <w:r w:rsidRPr="00B67CEF">
              <w:rPr>
                <w:rFonts w:ascii="Calibri" w:hAnsi="Calibri"/>
                <w:color w:val="000000"/>
                <w:sz w:val="22"/>
                <w:szCs w:val="22"/>
              </w:rPr>
              <w:t>IBW</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-0.17</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334.38</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46.88</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0.35</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78.02</w:t>
            </w:r>
          </w:p>
        </w:tc>
      </w:tr>
      <w:tr w:rsidR="009734A5"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9734A5" w:rsidRDefault="009734A5" w:rsidP="00426BBA">
            <w:pPr>
              <w:jc w:val="center"/>
            </w:pPr>
            <w:r w:rsidRPr="00B67CEF">
              <w:rPr>
                <w:rFonts w:ascii="Calibri" w:hAnsi="Calibri"/>
                <w:color w:val="000000"/>
                <w:sz w:val="22"/>
                <w:szCs w:val="22"/>
              </w:rPr>
              <w:t>IBW</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463.79</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0.33</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52.03</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0.39</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90.25</w:t>
            </w:r>
          </w:p>
        </w:tc>
      </w:tr>
      <w:tr w:rsidR="009734A5"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9734A5" w:rsidRDefault="009734A5" w:rsidP="00426BBA">
            <w:pPr>
              <w:jc w:val="center"/>
            </w:pPr>
            <w:r w:rsidRPr="00B67CEF">
              <w:rPr>
                <w:rFonts w:ascii="Calibri" w:hAnsi="Calibri"/>
                <w:color w:val="000000"/>
                <w:sz w:val="22"/>
                <w:szCs w:val="22"/>
              </w:rPr>
              <w:t>IBW</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202.29</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36.76</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58.32</w:t>
            </w:r>
          </w:p>
        </w:tc>
      </w:tr>
      <w:tr w:rsidR="009734A5"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9734A5" w:rsidRDefault="009734A5" w:rsidP="00426BBA">
            <w:pPr>
              <w:jc w:val="center"/>
            </w:pPr>
            <w:r w:rsidRPr="00B67CEF">
              <w:rPr>
                <w:rFonts w:ascii="Calibri" w:hAnsi="Calibri"/>
                <w:color w:val="000000"/>
                <w:sz w:val="22"/>
                <w:szCs w:val="22"/>
              </w:rPr>
              <w:t>IBW</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226.79</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42.80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0.28</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67.64</w:t>
            </w:r>
          </w:p>
        </w:tc>
      </w:tr>
      <w:tr w:rsidR="009734A5"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9734A5" w:rsidRDefault="009734A5" w:rsidP="00426BBA">
            <w:pPr>
              <w:jc w:val="center"/>
            </w:pPr>
            <w:r w:rsidRPr="00B67CEF">
              <w:rPr>
                <w:rFonts w:ascii="Calibri" w:hAnsi="Calibri"/>
                <w:color w:val="000000"/>
                <w:sz w:val="22"/>
                <w:szCs w:val="22"/>
              </w:rPr>
              <w:t>IBW</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tcPr>
          <w:p w:rsidR="009734A5" w:rsidRDefault="009734A5"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359.52</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48.84</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0.32</w:t>
            </w:r>
          </w:p>
        </w:tc>
        <w:tc>
          <w:tcPr>
            <w:tcW w:w="0" w:type="auto"/>
            <w:noWrap/>
            <w:vAlign w:val="bottom"/>
          </w:tcPr>
          <w:p w:rsidR="009734A5" w:rsidRDefault="009734A5">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81.32</w:t>
            </w:r>
          </w:p>
        </w:tc>
      </w:tr>
    </w:tbl>
    <w:p w:rsidR="00A247DF" w:rsidRDefault="00A247DF" w:rsidP="008A0EBE">
      <w:pPr>
        <w:pStyle w:val="Caption"/>
      </w:pPr>
    </w:p>
    <w:p w:rsidR="00A247DF" w:rsidRDefault="00A247DF" w:rsidP="008A0EBE">
      <w:pPr>
        <w:pStyle w:val="Caption"/>
      </w:pPr>
    </w:p>
    <w:p w:rsidR="00A247DF" w:rsidRDefault="00A247DF" w:rsidP="008A0EBE">
      <w:pPr>
        <w:pStyle w:val="Caption"/>
      </w:pPr>
    </w:p>
    <w:p w:rsidR="008A0EBE" w:rsidRDefault="008A0EBE" w:rsidP="008A0EBE">
      <w:pPr>
        <w:pStyle w:val="Caption"/>
      </w:pPr>
      <w:r>
        <w:t xml:space="preserve">Table </w:t>
      </w:r>
      <w:r>
        <w:rPr>
          <w:color w:val="FF0000"/>
        </w:rPr>
        <w:t>37</w:t>
      </w:r>
      <w:r>
        <w:t xml:space="preserve"> (Continued) Change in average daily food consumption, part 1</w:t>
      </w:r>
    </w:p>
    <w:tbl>
      <w:tblPr>
        <w:tblStyle w:val="TableClassic1"/>
        <w:tblW w:w="0" w:type="auto"/>
        <w:tblLook w:val="04A0" w:firstRow="1" w:lastRow="0" w:firstColumn="1" w:lastColumn="0" w:noHBand="0" w:noVBand="1"/>
      </w:tblPr>
      <w:tblGrid>
        <w:gridCol w:w="772"/>
        <w:gridCol w:w="996"/>
        <w:gridCol w:w="672"/>
        <w:gridCol w:w="868"/>
        <w:gridCol w:w="628"/>
        <w:gridCol w:w="1028"/>
        <w:gridCol w:w="1043"/>
        <w:gridCol w:w="1247"/>
        <w:gridCol w:w="1233"/>
        <w:gridCol w:w="1482"/>
        <w:gridCol w:w="1517"/>
        <w:gridCol w:w="1258"/>
      </w:tblGrid>
      <w:tr w:rsidR="00F02921" w:rsidRPr="00FD7864" w:rsidTr="00F029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F02921" w:rsidRPr="00FD7864" w:rsidRDefault="00F02921" w:rsidP="00F02921">
            <w:pPr>
              <w:rPr>
                <w:sz w:val="20"/>
                <w:szCs w:val="20"/>
              </w:rPr>
            </w:pPr>
            <w:r w:rsidRPr="00FD7864">
              <w:rPr>
                <w:sz w:val="20"/>
                <w:szCs w:val="20"/>
              </w:rPr>
              <w:t>Group</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Dog</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Point</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Weight (kg)</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BCS</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Amount offered (kcal)</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Amount offered (kcal/kg BW)</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Amount offered (kcal/kg BW^0.75)</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Amount consumed (kcal)</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Consumption (kcal/kg BW)</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Consumption (kcal/kg BW^0.75)</w:t>
            </w:r>
          </w:p>
        </w:tc>
        <w:tc>
          <w:tcPr>
            <w:tcW w:w="0" w:type="auto"/>
            <w:hideMark/>
          </w:tcPr>
          <w:p w:rsidR="00F02921" w:rsidRPr="00FD7864" w:rsidRDefault="00F02921" w:rsidP="00F02921">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Amount not consumed (kcal)</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F02921" w:rsidRDefault="00F02921" w:rsidP="00F02921">
            <w:pPr>
              <w:jc w:val="center"/>
              <w:rPr>
                <w:rFonts w:ascii="Calibri" w:hAnsi="Calibri"/>
                <w:color w:val="000000"/>
                <w:sz w:val="22"/>
                <w:szCs w:val="22"/>
              </w:rPr>
            </w:pPr>
            <w:r>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Johnson</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O</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11.30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1115.95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98.76</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181.07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1115.95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98.76</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181.07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Johnson</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11.60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933.70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80.49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148.55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933.70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80.49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148.55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Johnson</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11.80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805.82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68.29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126.57</w:t>
            </w:r>
          </w:p>
        </w:tc>
        <w:tc>
          <w:tcPr>
            <w:tcW w:w="0" w:type="auto"/>
            <w:noWrap/>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805.82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68.29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126.57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Johnson</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10.70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592.95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55.42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100.23</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592.95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55.42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100.23</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B</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11.30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1220.10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107.97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197.96</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1219.97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107.96</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197.94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0.13</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O</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11.40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1129.74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99.10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182.10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1129.74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99.10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182.10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12.00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1127.18</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93.93</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174.83</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1127.18</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93.93</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174.83</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12.30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984.24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80.02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149.86</w:t>
            </w:r>
          </w:p>
        </w:tc>
        <w:tc>
          <w:tcPr>
            <w:tcW w:w="0" w:type="auto"/>
            <w:noWrap/>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984.24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80.02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149.86</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11.70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916.35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78.32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144.85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916.09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78.30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144.81</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0.26</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B</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10.50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1413.32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134.60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242.30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1413.32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134.60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242.30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O</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11.00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1390.35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126.40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230.19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1390.35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126.40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230.19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12.20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1222.39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100.20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187.26</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1222.39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100.20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187.26</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12.30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1078.94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87.72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164.27</w:t>
            </w:r>
          </w:p>
        </w:tc>
        <w:tc>
          <w:tcPr>
            <w:tcW w:w="0" w:type="auto"/>
            <w:noWrap/>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1078.94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87.72</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164.27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11.50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949.53</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82.57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152.05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949.27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82.55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152.01</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0.26</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B</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9.90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1506.87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152.21</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269.99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1506.74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152.20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269.97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0.13</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O</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10.30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1478.15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143.51</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257.09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1478.15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143.51</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257.09</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11.30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1304.58</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115.45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211.67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1304.58</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115.45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211.67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11.70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w:t>
            </w:r>
          </w:p>
        </w:tc>
        <w:tc>
          <w:tcPr>
            <w:tcW w:w="0" w:type="auto"/>
            <w:noWrap/>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1280.08</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109.41</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202.35</w:t>
            </w:r>
          </w:p>
        </w:tc>
        <w:tc>
          <w:tcPr>
            <w:tcW w:w="0" w:type="auto"/>
            <w:noWrap/>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1280.08</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109.41</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202.35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r w:rsidR="00F02921" w:rsidRPr="00FD7864" w:rsidTr="00F02921">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F02921" w:rsidRDefault="00F02921" w:rsidP="00F02921">
            <w:pPr>
              <w:jc w:val="center"/>
            </w:pPr>
            <w:r w:rsidRPr="00B67CEF">
              <w:rPr>
                <w:rFonts w:ascii="Calibri" w:hAnsi="Calibri"/>
                <w:color w:val="000000"/>
                <w:sz w:val="22"/>
                <w:szCs w:val="22"/>
              </w:rPr>
              <w:t>IBW</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center"/>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11.10</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1147.35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103.36</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188.67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1147.35</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103.36</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188.67</w:t>
            </w:r>
          </w:p>
        </w:tc>
        <w:tc>
          <w:tcPr>
            <w:tcW w:w="0" w:type="auto"/>
            <w:noWrap/>
            <w:vAlign w:val="bottom"/>
            <w:hideMark/>
          </w:tcPr>
          <w:p w:rsidR="00F02921" w:rsidRDefault="00F02921" w:rsidP="00F02921">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0.00</w:t>
            </w:r>
          </w:p>
        </w:tc>
      </w:tr>
    </w:tbl>
    <w:p w:rsidR="00F02921" w:rsidRDefault="00F02921" w:rsidP="000A492A">
      <w:pPr>
        <w:rPr>
          <w:b/>
          <w:bCs/>
          <w:caps/>
          <w:sz w:val="28"/>
        </w:rPr>
      </w:pPr>
    </w:p>
    <w:p w:rsidR="008A0EBE" w:rsidRDefault="008A0EBE" w:rsidP="000A492A">
      <w:pPr>
        <w:rPr>
          <w:b/>
          <w:bCs/>
          <w:caps/>
          <w:sz w:val="28"/>
        </w:rPr>
      </w:pPr>
    </w:p>
    <w:p w:rsidR="008A0EBE" w:rsidRDefault="008A0EBE" w:rsidP="000A492A">
      <w:pPr>
        <w:rPr>
          <w:b/>
          <w:bCs/>
          <w:caps/>
          <w:sz w:val="28"/>
        </w:rPr>
      </w:pPr>
    </w:p>
    <w:p w:rsidR="008A0EBE" w:rsidRDefault="008A0EBE" w:rsidP="000A492A">
      <w:pPr>
        <w:rPr>
          <w:b/>
          <w:bCs/>
          <w:caps/>
          <w:sz w:val="28"/>
        </w:rPr>
      </w:pPr>
    </w:p>
    <w:p w:rsidR="008A0EBE" w:rsidRDefault="008A0EBE" w:rsidP="008A0EBE">
      <w:pPr>
        <w:pStyle w:val="Caption"/>
      </w:pPr>
      <w:bookmarkStart w:id="203" w:name="_Toc376465860"/>
      <w:r>
        <w:t xml:space="preserve">Table </w:t>
      </w:r>
      <w:fldSimple w:instr=" SEQ Table \* ARABIC ">
        <w:r w:rsidR="00736DB0">
          <w:rPr>
            <w:noProof/>
          </w:rPr>
          <w:t>38</w:t>
        </w:r>
      </w:fldSimple>
      <w:r w:rsidRPr="00A11037">
        <w:t xml:space="preserve"> </w:t>
      </w:r>
      <w:r>
        <w:t>Change in average daily food consumption, part 2</w:t>
      </w:r>
      <w:bookmarkEnd w:id="203"/>
    </w:p>
    <w:tbl>
      <w:tblPr>
        <w:tblStyle w:val="TableClassic1"/>
        <w:tblW w:w="0" w:type="auto"/>
        <w:tblLook w:val="04A0" w:firstRow="1" w:lastRow="0" w:firstColumn="1" w:lastColumn="0" w:noHBand="0" w:noVBand="1"/>
      </w:tblPr>
      <w:tblGrid>
        <w:gridCol w:w="772"/>
        <w:gridCol w:w="980"/>
        <w:gridCol w:w="672"/>
        <w:gridCol w:w="1594"/>
        <w:gridCol w:w="1626"/>
        <w:gridCol w:w="1711"/>
        <w:gridCol w:w="1744"/>
        <w:gridCol w:w="1800"/>
        <w:gridCol w:w="1845"/>
      </w:tblGrid>
      <w:tr w:rsidR="008A0EBE" w:rsidRPr="00F02921" w:rsidTr="008A0EB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8A0EBE" w:rsidRPr="00F02921" w:rsidRDefault="008A0EBE" w:rsidP="00426BBA">
            <w:pPr>
              <w:rPr>
                <w:sz w:val="20"/>
                <w:szCs w:val="20"/>
              </w:rPr>
            </w:pPr>
            <w:r w:rsidRPr="00F02921">
              <w:rPr>
                <w:sz w:val="20"/>
                <w:szCs w:val="20"/>
              </w:rPr>
              <w:t>Group</w:t>
            </w:r>
          </w:p>
        </w:tc>
        <w:tc>
          <w:tcPr>
            <w:tcW w:w="0" w:type="auto"/>
            <w:hideMark/>
          </w:tcPr>
          <w:p w:rsidR="008A0EBE" w:rsidRPr="00F02921" w:rsidRDefault="008A0EBE" w:rsidP="00426BBA">
            <w:pPr>
              <w:cnfStyle w:val="100000000000" w:firstRow="1" w:lastRow="0" w:firstColumn="0" w:lastColumn="0" w:oddVBand="0" w:evenVBand="0" w:oddHBand="0" w:evenHBand="0" w:firstRowFirstColumn="0" w:firstRowLastColumn="0" w:lastRowFirstColumn="0" w:lastRowLastColumn="0"/>
              <w:rPr>
                <w:sz w:val="20"/>
                <w:szCs w:val="20"/>
              </w:rPr>
            </w:pPr>
            <w:r w:rsidRPr="00F02921">
              <w:rPr>
                <w:sz w:val="20"/>
                <w:szCs w:val="20"/>
              </w:rPr>
              <w:t>Dog</w:t>
            </w:r>
          </w:p>
        </w:tc>
        <w:tc>
          <w:tcPr>
            <w:tcW w:w="0" w:type="auto"/>
            <w:hideMark/>
          </w:tcPr>
          <w:p w:rsidR="008A0EBE" w:rsidRPr="00F02921" w:rsidRDefault="008A0EBE" w:rsidP="00426BBA">
            <w:pPr>
              <w:cnfStyle w:val="100000000000" w:firstRow="1" w:lastRow="0" w:firstColumn="0" w:lastColumn="0" w:oddVBand="0" w:evenVBand="0" w:oddHBand="0" w:evenHBand="0" w:firstRowFirstColumn="0" w:firstRowLastColumn="0" w:lastRowFirstColumn="0" w:lastRowLastColumn="0"/>
              <w:rPr>
                <w:sz w:val="20"/>
                <w:szCs w:val="20"/>
              </w:rPr>
            </w:pPr>
            <w:r w:rsidRPr="00F02921">
              <w:rPr>
                <w:sz w:val="20"/>
                <w:szCs w:val="20"/>
              </w:rPr>
              <w:t>Point</w:t>
            </w:r>
          </w:p>
        </w:tc>
        <w:tc>
          <w:tcPr>
            <w:tcW w:w="0" w:type="auto"/>
            <w:hideMark/>
          </w:tcPr>
          <w:p w:rsidR="008A0EBE" w:rsidRPr="008A0EBE" w:rsidRDefault="008A0EBE">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w:t>
            </w:r>
          </w:p>
        </w:tc>
        <w:tc>
          <w:tcPr>
            <w:tcW w:w="0" w:type="auto"/>
            <w:hideMark/>
          </w:tcPr>
          <w:p w:rsidR="008A0EBE" w:rsidRPr="008A0EBE" w:rsidRDefault="008A0EBE">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w:t>
            </w:r>
          </w:p>
        </w:tc>
        <w:tc>
          <w:tcPr>
            <w:tcW w:w="0" w:type="auto"/>
            <w:hideMark/>
          </w:tcPr>
          <w:p w:rsidR="008A0EBE" w:rsidRPr="008A0EBE" w:rsidRDefault="008A0EBE">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(kcal/kg BW)</w:t>
            </w:r>
          </w:p>
        </w:tc>
        <w:tc>
          <w:tcPr>
            <w:tcW w:w="0" w:type="auto"/>
            <w:hideMark/>
          </w:tcPr>
          <w:p w:rsidR="008A0EBE" w:rsidRPr="008A0EBE" w:rsidRDefault="008A0EBE">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(kcal/kg BW)</w:t>
            </w:r>
          </w:p>
        </w:tc>
        <w:tc>
          <w:tcPr>
            <w:tcW w:w="0" w:type="auto"/>
            <w:hideMark/>
          </w:tcPr>
          <w:p w:rsidR="008A0EBE" w:rsidRPr="008A0EBE" w:rsidRDefault="008A0EBE">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(kcal/kg BW^0.75)</w:t>
            </w:r>
          </w:p>
        </w:tc>
        <w:tc>
          <w:tcPr>
            <w:tcW w:w="0" w:type="auto"/>
            <w:hideMark/>
          </w:tcPr>
          <w:p w:rsidR="008A0EBE" w:rsidRPr="008A0EBE" w:rsidRDefault="008A0EBE">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(kcal/kg BW^0.75)</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Adams</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M1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-46.63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-12.08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Adams</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M2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-18.68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-8.30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-12.93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-0.17</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Adams</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E</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19.86</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-8.90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-12.44</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Arthur</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M1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-65.85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-8.46</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-0.36</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-14.57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-0.31</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Arthur</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M2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-123.29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-0.34</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-18.40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-30.75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Arthur</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E</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-246.32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-35.10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-58.63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-1.25</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Garfield</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M1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-459.08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-36.44</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-68.65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-0.72</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Garfield</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M2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-529.53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-43.52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-81.28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-0.86</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Garfield</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E</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-525.06</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-41.67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-78.51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-0.83</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Polk</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M1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-365.14</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-22.89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-45.75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-0.88</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Polk</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M2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-366.16</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-26.79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-1.04</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-51.62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-0.99</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Polk</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E</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-367.05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-29.77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-1.16</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-56.03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-1.08</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426BBA" w:rsidRPr="00F02921" w:rsidRDefault="00426BBA" w:rsidP="00426BBA">
            <w:r w:rsidRPr="00F02921">
              <w:rPr>
                <w:rFonts w:ascii="Calibri" w:hAnsi="Calibri"/>
                <w:color w:val="000000"/>
                <w:sz w:val="22"/>
                <w:szCs w:val="22"/>
              </w:rPr>
              <w:t>ObN</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Taylor</w:t>
            </w:r>
          </w:p>
        </w:tc>
        <w:tc>
          <w:tcPr>
            <w:tcW w:w="0" w:type="auto"/>
            <w:noWrap/>
            <w:hideMark/>
          </w:tcPr>
          <w:p w:rsidR="00426BBA" w:rsidRPr="00F02921"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F02921">
              <w:rPr>
                <w:rFonts w:ascii="Calibri" w:hAnsi="Calibri"/>
                <w:color w:val="000000"/>
                <w:sz w:val="22"/>
                <w:szCs w:val="22"/>
              </w:rPr>
              <w:t>M1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-120.32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-10.67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-19.77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-0.35</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426BBA" w:rsidRDefault="00426BBA" w:rsidP="00426BBA">
            <w:pPr>
              <w:jc w:val="center"/>
              <w:rPr>
                <w:rFonts w:ascii="Calibri" w:hAnsi="Calibri"/>
                <w:color w:val="000000"/>
                <w:sz w:val="22"/>
                <w:szCs w:val="22"/>
              </w:rPr>
            </w:pPr>
            <w:r>
              <w:rPr>
                <w:rFonts w:ascii="Calibri" w:hAnsi="Calibri"/>
                <w:color w:val="000000"/>
                <w:sz w:val="22"/>
                <w:szCs w:val="22"/>
              </w:rPr>
              <w:t>ObN</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Taylor</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-133.08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-14.79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-0.54</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-26.25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426BBA" w:rsidRDefault="00426BBA" w:rsidP="00426BBA">
            <w:pPr>
              <w:jc w:val="center"/>
            </w:pPr>
            <w:r w:rsidRPr="00484767">
              <w:rPr>
                <w:rFonts w:ascii="Calibri" w:hAnsi="Calibri"/>
                <w:color w:val="000000"/>
                <w:sz w:val="22"/>
                <w:szCs w:val="22"/>
              </w:rPr>
              <w:t>ObN</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Taylor</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-140.74</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-17.88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-30.99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-0.56</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426BBA" w:rsidRDefault="00426BBA" w:rsidP="00426BBA">
            <w:pPr>
              <w:jc w:val="center"/>
            </w:pPr>
            <w:r w:rsidRPr="00484767">
              <w:rPr>
                <w:rFonts w:ascii="Calibri" w:hAnsi="Calibri"/>
                <w:color w:val="000000"/>
                <w:sz w:val="22"/>
                <w:szCs w:val="22"/>
              </w:rPr>
              <w:t>ObN</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Truman</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-33.63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-6.20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-10.30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426BBA" w:rsidRDefault="00426BBA" w:rsidP="00426BBA">
            <w:pPr>
              <w:jc w:val="center"/>
            </w:pPr>
            <w:r w:rsidRPr="00484767">
              <w:rPr>
                <w:rFonts w:ascii="Calibri" w:hAnsi="Calibri"/>
                <w:color w:val="000000"/>
                <w:sz w:val="22"/>
                <w:szCs w:val="22"/>
              </w:rPr>
              <w:t>ObN</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Truman</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-31.84</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-11.06</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-17.29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426BBA" w:rsidRDefault="00426BBA" w:rsidP="00426BBA">
            <w:pPr>
              <w:jc w:val="center"/>
            </w:pPr>
            <w:r w:rsidRPr="00484767">
              <w:rPr>
                <w:rFonts w:ascii="Calibri" w:hAnsi="Calibri"/>
                <w:color w:val="000000"/>
                <w:sz w:val="22"/>
                <w:szCs w:val="22"/>
              </w:rPr>
              <w:t>ObN</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Truman</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-124.50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-19.80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-33.14</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-0.40</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426BBA" w:rsidRDefault="00426BBA" w:rsidP="00426BBA">
            <w:pPr>
              <w:jc w:val="center"/>
            </w:pPr>
            <w:r w:rsidRPr="00E75313">
              <w:rPr>
                <w:rFonts w:ascii="Calibri" w:hAnsi="Calibri"/>
                <w:color w:val="000000"/>
                <w:sz w:val="22"/>
                <w:szCs w:val="22"/>
              </w:rPr>
              <w:t>ObP</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Harding</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-443.13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-27.82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-55.59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-0.62</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426BBA" w:rsidRDefault="00426BBA" w:rsidP="00426BBA">
            <w:pPr>
              <w:jc w:val="center"/>
            </w:pPr>
            <w:r w:rsidRPr="00E75313">
              <w:rPr>
                <w:rFonts w:ascii="Calibri" w:hAnsi="Calibri"/>
                <w:color w:val="000000"/>
                <w:sz w:val="22"/>
                <w:szCs w:val="22"/>
              </w:rPr>
              <w:t>ObP</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Harding</w:t>
            </w:r>
          </w:p>
        </w:tc>
        <w:tc>
          <w:tcPr>
            <w:tcW w:w="0" w:type="auto"/>
            <w:noWrap/>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-452.19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-29.36</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-58.17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426BBA" w:rsidRDefault="00426BBA" w:rsidP="00426BBA">
            <w:pPr>
              <w:jc w:val="center"/>
            </w:pPr>
            <w:r w:rsidRPr="00E75313">
              <w:rPr>
                <w:rFonts w:ascii="Calibri" w:hAnsi="Calibri"/>
                <w:color w:val="000000"/>
                <w:sz w:val="22"/>
                <w:szCs w:val="22"/>
              </w:rPr>
              <w:t>ObP</w:t>
            </w:r>
          </w:p>
        </w:tc>
        <w:tc>
          <w:tcPr>
            <w:tcW w:w="0" w:type="auto"/>
            <w:noWrap/>
            <w:vAlign w:val="bottom"/>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Harding</w:t>
            </w:r>
          </w:p>
        </w:tc>
        <w:tc>
          <w:tcPr>
            <w:tcW w:w="0" w:type="auto"/>
            <w:noWrap/>
            <w:vAlign w:val="bottom"/>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-467.00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-29.35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-58.63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426BBA" w:rsidRDefault="00426BBA" w:rsidP="00426BBA">
            <w:pPr>
              <w:jc w:val="center"/>
            </w:pPr>
            <w:r w:rsidRPr="00E75313">
              <w:rPr>
                <w:rFonts w:ascii="Calibri" w:hAnsi="Calibri"/>
                <w:color w:val="000000"/>
                <w:sz w:val="22"/>
                <w:szCs w:val="22"/>
              </w:rPr>
              <w:t>ObP</w:t>
            </w:r>
          </w:p>
        </w:tc>
        <w:tc>
          <w:tcPr>
            <w:tcW w:w="0" w:type="auto"/>
            <w:noWrap/>
            <w:vAlign w:val="bottom"/>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Harrison</w:t>
            </w:r>
          </w:p>
        </w:tc>
        <w:tc>
          <w:tcPr>
            <w:tcW w:w="0" w:type="auto"/>
            <w:noWrap/>
            <w:vAlign w:val="bottom"/>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-262.62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-0.37</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-17.10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-33.90</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-0.42</w:t>
            </w:r>
          </w:p>
        </w:tc>
      </w:tr>
      <w:tr w:rsidR="00426BBA" w:rsidRPr="00F02921"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426BBA" w:rsidRDefault="00426BBA" w:rsidP="00426BBA">
            <w:pPr>
              <w:jc w:val="center"/>
            </w:pPr>
            <w:r w:rsidRPr="00E75313">
              <w:rPr>
                <w:rFonts w:ascii="Calibri" w:hAnsi="Calibri"/>
                <w:color w:val="000000"/>
                <w:sz w:val="22"/>
                <w:szCs w:val="22"/>
              </w:rPr>
              <w:t>ObP</w:t>
            </w:r>
          </w:p>
        </w:tc>
        <w:tc>
          <w:tcPr>
            <w:tcW w:w="0" w:type="auto"/>
            <w:noWrap/>
            <w:vAlign w:val="bottom"/>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Harrison</w:t>
            </w:r>
          </w:p>
        </w:tc>
        <w:tc>
          <w:tcPr>
            <w:tcW w:w="0" w:type="auto"/>
            <w:noWrap/>
            <w:vAlign w:val="bottom"/>
          </w:tcPr>
          <w:p w:rsidR="00426BBA" w:rsidRDefault="00426BBA"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-265.93</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-0.38</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-20.05</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-0.51</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-38.49</w:t>
            </w:r>
          </w:p>
        </w:tc>
        <w:tc>
          <w:tcPr>
            <w:tcW w:w="0" w:type="auto"/>
            <w:noWrap/>
            <w:vAlign w:val="bottom"/>
          </w:tcPr>
          <w:p w:rsidR="00426BBA" w:rsidRDefault="00426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w:t>
            </w:r>
          </w:p>
        </w:tc>
      </w:tr>
    </w:tbl>
    <w:p w:rsidR="008A0EBE" w:rsidRDefault="008A0EBE" w:rsidP="008A0EBE">
      <w:pPr>
        <w:pStyle w:val="Caption"/>
      </w:pPr>
      <w:r>
        <w:t xml:space="preserve">Table </w:t>
      </w:r>
      <w:r>
        <w:rPr>
          <w:color w:val="FF0000"/>
        </w:rPr>
        <w:t>38</w:t>
      </w:r>
      <w:r>
        <w:t xml:space="preserve"> (Continued) Change in average daily food consumption, part 2</w:t>
      </w:r>
    </w:p>
    <w:tbl>
      <w:tblPr>
        <w:tblStyle w:val="TableClassic1"/>
        <w:tblW w:w="0" w:type="auto"/>
        <w:tblLook w:val="04A0" w:firstRow="1" w:lastRow="0" w:firstColumn="1" w:lastColumn="0" w:noHBand="0" w:noVBand="1"/>
      </w:tblPr>
      <w:tblGrid>
        <w:gridCol w:w="772"/>
        <w:gridCol w:w="980"/>
        <w:gridCol w:w="672"/>
        <w:gridCol w:w="1594"/>
        <w:gridCol w:w="1626"/>
        <w:gridCol w:w="1711"/>
        <w:gridCol w:w="1744"/>
        <w:gridCol w:w="1800"/>
        <w:gridCol w:w="1845"/>
      </w:tblGrid>
      <w:tr w:rsidR="008A0EBE" w:rsidRPr="00FD7864" w:rsidTr="00426BB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8A0EBE" w:rsidRPr="00F02921" w:rsidRDefault="008A0EBE" w:rsidP="00426BBA">
            <w:pPr>
              <w:rPr>
                <w:sz w:val="20"/>
                <w:szCs w:val="20"/>
              </w:rPr>
            </w:pPr>
            <w:r w:rsidRPr="00F02921">
              <w:rPr>
                <w:sz w:val="20"/>
                <w:szCs w:val="20"/>
              </w:rPr>
              <w:t>Group</w:t>
            </w:r>
          </w:p>
        </w:tc>
        <w:tc>
          <w:tcPr>
            <w:tcW w:w="0" w:type="auto"/>
            <w:hideMark/>
          </w:tcPr>
          <w:p w:rsidR="008A0EBE" w:rsidRPr="00F02921" w:rsidRDefault="008A0EBE" w:rsidP="00426BBA">
            <w:pPr>
              <w:cnfStyle w:val="100000000000" w:firstRow="1" w:lastRow="0" w:firstColumn="0" w:lastColumn="0" w:oddVBand="0" w:evenVBand="0" w:oddHBand="0" w:evenHBand="0" w:firstRowFirstColumn="0" w:firstRowLastColumn="0" w:lastRowFirstColumn="0" w:lastRowLastColumn="0"/>
              <w:rPr>
                <w:sz w:val="20"/>
                <w:szCs w:val="20"/>
              </w:rPr>
            </w:pPr>
            <w:r w:rsidRPr="00F02921">
              <w:rPr>
                <w:sz w:val="20"/>
                <w:szCs w:val="20"/>
              </w:rPr>
              <w:t>Dog</w:t>
            </w:r>
          </w:p>
        </w:tc>
        <w:tc>
          <w:tcPr>
            <w:tcW w:w="0" w:type="auto"/>
            <w:hideMark/>
          </w:tcPr>
          <w:p w:rsidR="008A0EBE" w:rsidRPr="00F02921" w:rsidRDefault="008A0EBE" w:rsidP="00426BBA">
            <w:pPr>
              <w:cnfStyle w:val="100000000000" w:firstRow="1" w:lastRow="0" w:firstColumn="0" w:lastColumn="0" w:oddVBand="0" w:evenVBand="0" w:oddHBand="0" w:evenHBand="0" w:firstRowFirstColumn="0" w:firstRowLastColumn="0" w:lastRowFirstColumn="0" w:lastRowLastColumn="0"/>
              <w:rPr>
                <w:sz w:val="20"/>
                <w:szCs w:val="20"/>
              </w:rPr>
            </w:pPr>
            <w:r w:rsidRPr="00F02921">
              <w:rPr>
                <w:sz w:val="20"/>
                <w:szCs w:val="20"/>
              </w:rPr>
              <w:t>Point</w:t>
            </w:r>
          </w:p>
        </w:tc>
        <w:tc>
          <w:tcPr>
            <w:tcW w:w="0" w:type="auto"/>
            <w:hideMark/>
          </w:tcPr>
          <w:p w:rsidR="008A0EBE" w:rsidRPr="008A0EBE" w:rsidRDefault="008A0EBE"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w:t>
            </w:r>
          </w:p>
        </w:tc>
        <w:tc>
          <w:tcPr>
            <w:tcW w:w="0" w:type="auto"/>
            <w:hideMark/>
          </w:tcPr>
          <w:p w:rsidR="008A0EBE" w:rsidRPr="008A0EBE" w:rsidRDefault="008A0EBE"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w:t>
            </w:r>
          </w:p>
        </w:tc>
        <w:tc>
          <w:tcPr>
            <w:tcW w:w="0" w:type="auto"/>
            <w:hideMark/>
          </w:tcPr>
          <w:p w:rsidR="008A0EBE" w:rsidRPr="008A0EBE" w:rsidRDefault="008A0EBE"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(kcal/kg BW)</w:t>
            </w:r>
          </w:p>
        </w:tc>
        <w:tc>
          <w:tcPr>
            <w:tcW w:w="0" w:type="auto"/>
            <w:hideMark/>
          </w:tcPr>
          <w:p w:rsidR="008A0EBE" w:rsidRPr="008A0EBE" w:rsidRDefault="008A0EBE"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(kcal/kg BW)</w:t>
            </w:r>
          </w:p>
        </w:tc>
        <w:tc>
          <w:tcPr>
            <w:tcW w:w="0" w:type="auto"/>
            <w:hideMark/>
          </w:tcPr>
          <w:p w:rsidR="008A0EBE" w:rsidRPr="008A0EBE" w:rsidRDefault="008A0EBE"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(kcal/kg BW^0.75)</w:t>
            </w:r>
          </w:p>
        </w:tc>
        <w:tc>
          <w:tcPr>
            <w:tcW w:w="0" w:type="auto"/>
            <w:hideMark/>
          </w:tcPr>
          <w:p w:rsidR="008A0EBE" w:rsidRPr="008A0EBE" w:rsidRDefault="008A0EBE"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(kcal/kg BW^0.75)</w:t>
            </w:r>
          </w:p>
        </w:tc>
      </w:tr>
      <w:tr w:rsidR="001F7346"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F7346" w:rsidRDefault="001F7346" w:rsidP="00426BBA">
            <w:pPr>
              <w:jc w:val="center"/>
            </w:pPr>
            <w:r w:rsidRPr="00E75313">
              <w:rPr>
                <w:rFonts w:ascii="Calibri" w:hAnsi="Calibri"/>
                <w:color w:val="000000"/>
                <w:sz w:val="22"/>
                <w:szCs w:val="22"/>
              </w:rPr>
              <w:t>ObP</w:t>
            </w:r>
          </w:p>
        </w:tc>
        <w:tc>
          <w:tcPr>
            <w:tcW w:w="0" w:type="auto"/>
            <w:noWrap/>
            <w:vAlign w:val="bottom"/>
            <w:hideMark/>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Harrison</w:t>
            </w:r>
          </w:p>
        </w:tc>
        <w:tc>
          <w:tcPr>
            <w:tcW w:w="0" w:type="auto"/>
            <w:noWrap/>
            <w:vAlign w:val="bottom"/>
            <w:hideMark/>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-273.46</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-19.79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-38.33</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w:t>
            </w:r>
          </w:p>
        </w:tc>
      </w:tr>
      <w:tr w:rsidR="001F7346"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F7346" w:rsidRDefault="001F7346" w:rsidP="00426BBA">
            <w:pPr>
              <w:jc w:val="center"/>
            </w:pPr>
            <w:r w:rsidRPr="00E75313">
              <w:rPr>
                <w:rFonts w:ascii="Calibri" w:hAnsi="Calibri"/>
                <w:color w:val="000000"/>
                <w:sz w:val="22"/>
                <w:szCs w:val="22"/>
              </w:rPr>
              <w:t>ObP</w:t>
            </w:r>
          </w:p>
        </w:tc>
        <w:tc>
          <w:tcPr>
            <w:tcW w:w="0" w:type="auto"/>
            <w:noWrap/>
            <w:vAlign w:val="bottom"/>
            <w:hideMark/>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Hoover</w:t>
            </w:r>
          </w:p>
        </w:tc>
        <w:tc>
          <w:tcPr>
            <w:tcW w:w="0" w:type="auto"/>
            <w:noWrap/>
            <w:vAlign w:val="bottom"/>
            <w:hideMark/>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-118.19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-9.18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-17.54</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w:t>
            </w:r>
          </w:p>
        </w:tc>
      </w:tr>
      <w:tr w:rsidR="001F7346"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F7346" w:rsidRDefault="001F7346" w:rsidP="00426BBA">
            <w:pPr>
              <w:jc w:val="center"/>
            </w:pPr>
            <w:r w:rsidRPr="00E75313">
              <w:rPr>
                <w:rFonts w:ascii="Calibri" w:hAnsi="Calibri"/>
                <w:color w:val="000000"/>
                <w:sz w:val="22"/>
                <w:szCs w:val="22"/>
              </w:rPr>
              <w:t>ObP</w:t>
            </w:r>
          </w:p>
        </w:tc>
        <w:tc>
          <w:tcPr>
            <w:tcW w:w="0" w:type="auto"/>
            <w:noWrap/>
            <w:vAlign w:val="bottom"/>
            <w:hideMark/>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Hoover</w:t>
            </w:r>
          </w:p>
        </w:tc>
        <w:tc>
          <w:tcPr>
            <w:tcW w:w="0" w:type="auto"/>
            <w:noWrap/>
            <w:vAlign w:val="bottom"/>
            <w:hideMark/>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-172.17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-16.92</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-30.89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-0.38</w:t>
            </w:r>
          </w:p>
        </w:tc>
      </w:tr>
      <w:tr w:rsidR="001F7346"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1F7346" w:rsidRDefault="001F7346" w:rsidP="00426BBA">
            <w:pPr>
              <w:jc w:val="center"/>
            </w:pPr>
            <w:r w:rsidRPr="00E75313">
              <w:rPr>
                <w:rFonts w:ascii="Calibri" w:hAnsi="Calibri"/>
                <w:color w:val="000000"/>
                <w:sz w:val="22"/>
                <w:szCs w:val="22"/>
              </w:rPr>
              <w:t>ObP</w:t>
            </w:r>
          </w:p>
        </w:tc>
        <w:tc>
          <w:tcPr>
            <w:tcW w:w="0" w:type="auto"/>
            <w:noWrap/>
            <w:vAlign w:val="bottom"/>
            <w:hideMark/>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Hoover</w:t>
            </w:r>
          </w:p>
        </w:tc>
        <w:tc>
          <w:tcPr>
            <w:tcW w:w="0" w:type="auto"/>
            <w:noWrap/>
            <w:vAlign w:val="bottom"/>
            <w:hideMark/>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-162.73</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-16.32</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-0.41</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-29.69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-0.36</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E129D">
              <w:rPr>
                <w:rFonts w:ascii="Calibri" w:hAnsi="Calibri"/>
                <w:color w:val="000000"/>
                <w:sz w:val="22"/>
                <w:szCs w:val="22"/>
              </w:rPr>
              <w:t>ObP</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Jackson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-147.14</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-9.54</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-18.95</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E129D">
              <w:rPr>
                <w:rFonts w:ascii="Calibri" w:hAnsi="Calibri"/>
                <w:color w:val="000000"/>
                <w:sz w:val="22"/>
                <w:szCs w:val="22"/>
              </w:rPr>
              <w:t>ObP</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Jackson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-120.60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-14.47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-25.65</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E129D">
              <w:rPr>
                <w:rFonts w:ascii="Calibri" w:hAnsi="Calibri"/>
                <w:color w:val="000000"/>
                <w:sz w:val="22"/>
                <w:szCs w:val="22"/>
              </w:rPr>
              <w:t>ObP</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Jackson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-138.72</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-15.58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-27.90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E129D">
              <w:rPr>
                <w:rFonts w:ascii="Calibri" w:hAnsi="Calibri"/>
                <w:color w:val="000000"/>
                <w:sz w:val="22"/>
                <w:szCs w:val="22"/>
              </w:rPr>
              <w:t>ObP</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Lynden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-737.25</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-53.41</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-102.96</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-2.00</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E129D">
              <w:rPr>
                <w:rFonts w:ascii="Calibri" w:hAnsi="Calibri"/>
                <w:color w:val="000000"/>
                <w:sz w:val="22"/>
                <w:szCs w:val="22"/>
              </w:rPr>
              <w:t>ObP</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Lynden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-705.47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-53.44</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-101.87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-1.98</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E129D">
              <w:rPr>
                <w:rFonts w:ascii="Calibri" w:hAnsi="Calibri"/>
                <w:color w:val="000000"/>
                <w:sz w:val="22"/>
                <w:szCs w:val="22"/>
              </w:rPr>
              <w:t>ObP</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Lynden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-723.85</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-2.03</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-51.28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-99.41</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-1.93</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E129D">
              <w:rPr>
                <w:rFonts w:ascii="Calibri" w:hAnsi="Calibri"/>
                <w:color w:val="000000"/>
                <w:sz w:val="22"/>
                <w:szCs w:val="22"/>
              </w:rPr>
              <w:t>ObP</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Wilson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-582.94</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-35.53</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-71.52</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-0.98</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Pr="00EA5EB8" w:rsidRDefault="001F7346" w:rsidP="00426BBA">
            <w:pPr>
              <w:jc w:val="center"/>
            </w:pPr>
            <w:r w:rsidRPr="00EA5EB8">
              <w:rPr>
                <w:rFonts w:ascii="Calibri" w:hAnsi="Calibri"/>
                <w:color w:val="000000"/>
                <w:sz w:val="22"/>
                <w:szCs w:val="22"/>
              </w:rPr>
              <w:t>ObP</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Wilson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-568.90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-37.40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-1.03</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-73.87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-1.01</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E129D">
              <w:rPr>
                <w:rFonts w:ascii="Calibri" w:hAnsi="Calibri"/>
                <w:color w:val="000000"/>
                <w:sz w:val="22"/>
                <w:szCs w:val="22"/>
              </w:rPr>
              <w:t>ObP</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Wilson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-583.20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-36.45</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-72.90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C77FD">
              <w:rPr>
                <w:rFonts w:ascii="Calibri" w:hAnsi="Calibri"/>
                <w:sz w:val="22"/>
                <w:szCs w:val="22"/>
              </w:rPr>
              <w:t>WLD</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Carter</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M1</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-504.78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-1.15</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-52.29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-92.41</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-1.39</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C77FD">
              <w:rPr>
                <w:rFonts w:ascii="Calibri" w:hAnsi="Calibri"/>
                <w:sz w:val="22"/>
                <w:szCs w:val="22"/>
              </w:rPr>
              <w:t>WLD</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Carter</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M2</w:t>
            </w:r>
          </w:p>
        </w:tc>
        <w:tc>
          <w:tcPr>
            <w:tcW w:w="0" w:type="auto"/>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w:t>
            </w:r>
          </w:p>
        </w:tc>
        <w:tc>
          <w:tcPr>
            <w:tcW w:w="0" w:type="auto"/>
            <w:noWrap/>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w:t>
            </w:r>
          </w:p>
        </w:tc>
        <w:tc>
          <w:tcPr>
            <w:tcW w:w="0" w:type="auto"/>
            <w:noWrap/>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w:t>
            </w:r>
          </w:p>
        </w:tc>
        <w:tc>
          <w:tcPr>
            <w:tcW w:w="0" w:type="auto"/>
            <w:noWrap/>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w:t>
            </w:r>
          </w:p>
        </w:tc>
        <w:tc>
          <w:tcPr>
            <w:tcW w:w="0" w:type="auto"/>
            <w:noWrap/>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w:t>
            </w:r>
          </w:p>
        </w:tc>
        <w:tc>
          <w:tcPr>
            <w:tcW w:w="0" w:type="auto"/>
            <w:noWrap/>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C77FD">
              <w:rPr>
                <w:rFonts w:ascii="Calibri" w:hAnsi="Calibri"/>
                <w:sz w:val="22"/>
                <w:szCs w:val="22"/>
              </w:rPr>
              <w:t>WLD</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Carter</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Pr>
                <w:rFonts w:ascii="Calibri" w:hAnsi="Calibri"/>
                <w:sz w:val="22"/>
                <w:szCs w:val="22"/>
              </w:rPr>
              <w:t>E</w:t>
            </w:r>
          </w:p>
        </w:tc>
        <w:tc>
          <w:tcPr>
            <w:tcW w:w="0" w:type="auto"/>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c>
          <w:tcPr>
            <w:tcW w:w="0" w:type="auto"/>
            <w:noWrap/>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c>
          <w:tcPr>
            <w:tcW w:w="0" w:type="auto"/>
            <w:noWrap/>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c>
          <w:tcPr>
            <w:tcW w:w="0" w:type="auto"/>
            <w:noWrap/>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c>
          <w:tcPr>
            <w:tcW w:w="0" w:type="auto"/>
            <w:noWrap/>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c>
          <w:tcPr>
            <w:tcW w:w="0" w:type="auto"/>
            <w:noWrap/>
            <w:vAlign w:val="bottom"/>
          </w:tcPr>
          <w:p w:rsidR="001F7346" w:rsidRDefault="001F734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C77FD">
              <w:rPr>
                <w:rFonts w:ascii="Calibri" w:hAnsi="Calibri"/>
                <w:sz w:val="22"/>
                <w:szCs w:val="22"/>
              </w:rPr>
              <w:t>WLD</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Clinton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11.88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0.02</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-5.26</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-0.07</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4C77FD">
              <w:rPr>
                <w:rFonts w:ascii="Calibri" w:hAnsi="Calibri"/>
                <w:sz w:val="22"/>
                <w:szCs w:val="22"/>
              </w:rPr>
              <w:t>WLD</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Clinton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9.86</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0.02</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-6.14</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-8.99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tcPr>
          <w:p w:rsidR="001F7346" w:rsidRDefault="001F7346" w:rsidP="00426BBA">
            <w:pPr>
              <w:jc w:val="center"/>
              <w:rPr>
                <w:rFonts w:ascii="Calibri" w:hAnsi="Calibri"/>
                <w:color w:val="000000"/>
                <w:sz w:val="22"/>
                <w:szCs w:val="22"/>
              </w:rPr>
            </w:pPr>
            <w:r>
              <w:rPr>
                <w:rFonts w:ascii="Calibri" w:hAnsi="Calibri"/>
                <w:color w:val="000000"/>
                <w:sz w:val="22"/>
                <w:szCs w:val="22"/>
              </w:rPr>
              <w:t>WLD</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Clinton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31.67</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-10.81</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-15.03</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737B18">
              <w:rPr>
                <w:rFonts w:ascii="Calibri" w:hAnsi="Calibri"/>
                <w:color w:val="000000"/>
                <w:sz w:val="22"/>
                <w:szCs w:val="22"/>
              </w:rPr>
              <w:t>WLD</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Custer</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-81.86</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-10.05</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-0.31</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-17.58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737B18">
              <w:rPr>
                <w:rFonts w:ascii="Calibri" w:hAnsi="Calibri"/>
                <w:color w:val="000000"/>
                <w:sz w:val="22"/>
                <w:szCs w:val="22"/>
              </w:rPr>
              <w:t>WLD</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Custer</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-98.36</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-15.81</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-26.49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-0.40</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737B18">
              <w:rPr>
                <w:rFonts w:ascii="Calibri" w:hAnsi="Calibri"/>
                <w:color w:val="000000"/>
                <w:sz w:val="22"/>
                <w:szCs w:val="22"/>
              </w:rPr>
              <w:t>WLD</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Custer</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-87.91</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-23.01</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-0.71</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-36.18</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-0.55</w:t>
            </w:r>
          </w:p>
        </w:tc>
      </w:tr>
      <w:tr w:rsidR="001F7346"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1F7346" w:rsidRDefault="001F7346" w:rsidP="00426BBA">
            <w:pPr>
              <w:jc w:val="center"/>
            </w:pPr>
            <w:r w:rsidRPr="00737B18">
              <w:rPr>
                <w:rFonts w:ascii="Calibri" w:hAnsi="Calibri"/>
                <w:color w:val="000000"/>
                <w:sz w:val="22"/>
                <w:szCs w:val="22"/>
              </w:rPr>
              <w:t>WLD</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Houston</w:t>
            </w:r>
          </w:p>
        </w:tc>
        <w:tc>
          <w:tcPr>
            <w:tcW w:w="0" w:type="auto"/>
            <w:noWrap/>
            <w:vAlign w:val="bottom"/>
          </w:tcPr>
          <w:p w:rsidR="001F7346" w:rsidRDefault="001F7346"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-345.29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-0.46</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-27.72</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-0.60</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-52.29</w:t>
            </w:r>
          </w:p>
        </w:tc>
        <w:tc>
          <w:tcPr>
            <w:tcW w:w="0" w:type="auto"/>
            <w:noWrap/>
            <w:vAlign w:val="bottom"/>
          </w:tcPr>
          <w:p w:rsidR="001F7346" w:rsidRDefault="001F734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-0.56</w:t>
            </w:r>
          </w:p>
        </w:tc>
      </w:tr>
    </w:tbl>
    <w:p w:rsidR="008A0EBE" w:rsidRDefault="008A0EBE" w:rsidP="008A0EBE">
      <w:pPr>
        <w:pStyle w:val="Caption"/>
      </w:pPr>
      <w:r>
        <w:t xml:space="preserve">Table </w:t>
      </w:r>
      <w:r>
        <w:rPr>
          <w:color w:val="FF0000"/>
        </w:rPr>
        <w:t>38</w:t>
      </w:r>
      <w:r>
        <w:t xml:space="preserve"> (Continued) Change in average daily food consumption, part 2</w:t>
      </w:r>
    </w:p>
    <w:tbl>
      <w:tblPr>
        <w:tblStyle w:val="TableClassic1"/>
        <w:tblW w:w="0" w:type="auto"/>
        <w:tblLook w:val="04A0" w:firstRow="1" w:lastRow="0" w:firstColumn="1" w:lastColumn="0" w:noHBand="0" w:noVBand="1"/>
      </w:tblPr>
      <w:tblGrid>
        <w:gridCol w:w="773"/>
        <w:gridCol w:w="994"/>
        <w:gridCol w:w="672"/>
        <w:gridCol w:w="1592"/>
        <w:gridCol w:w="1624"/>
        <w:gridCol w:w="1709"/>
        <w:gridCol w:w="1741"/>
        <w:gridCol w:w="1797"/>
        <w:gridCol w:w="1842"/>
      </w:tblGrid>
      <w:tr w:rsidR="000538D6" w:rsidRPr="00FD7864" w:rsidTr="00426BB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0538D6" w:rsidRPr="00FD7864" w:rsidRDefault="000538D6" w:rsidP="00426BBA">
            <w:pPr>
              <w:rPr>
                <w:sz w:val="20"/>
                <w:szCs w:val="20"/>
              </w:rPr>
            </w:pPr>
            <w:r w:rsidRPr="00FD7864">
              <w:rPr>
                <w:sz w:val="20"/>
                <w:szCs w:val="20"/>
              </w:rPr>
              <w:t>Group</w:t>
            </w:r>
          </w:p>
        </w:tc>
        <w:tc>
          <w:tcPr>
            <w:tcW w:w="0" w:type="auto"/>
            <w:hideMark/>
          </w:tcPr>
          <w:p w:rsidR="000538D6" w:rsidRPr="00FD7864" w:rsidRDefault="000538D6" w:rsidP="00426BBA">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Dog</w:t>
            </w:r>
          </w:p>
        </w:tc>
        <w:tc>
          <w:tcPr>
            <w:tcW w:w="0" w:type="auto"/>
            <w:hideMark/>
          </w:tcPr>
          <w:p w:rsidR="000538D6" w:rsidRPr="00FD7864" w:rsidRDefault="000538D6" w:rsidP="00426BBA">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Point</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(kcal/kg BW)</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(kcal/kg BW)</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(kcal/kg BW^0.75)</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(kcal/kg BW^0.75)</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737B18">
              <w:rPr>
                <w:rFonts w:ascii="Calibri" w:hAnsi="Calibri"/>
                <w:color w:val="000000"/>
                <w:sz w:val="22"/>
                <w:szCs w:val="22"/>
              </w:rPr>
              <w:t>WLD</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Houston</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-399.71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-31.93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-60.28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737B18">
              <w:rPr>
                <w:rFonts w:ascii="Calibri" w:hAnsi="Calibri"/>
                <w:color w:val="000000"/>
                <w:sz w:val="22"/>
                <w:szCs w:val="22"/>
              </w:rPr>
              <w:t>WLD</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Houston</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-235.70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-27.29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-47.90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-0.51</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737B18">
              <w:rPr>
                <w:rFonts w:ascii="Calibri" w:hAnsi="Calibri"/>
                <w:color w:val="000000"/>
                <w:sz w:val="22"/>
                <w:szCs w:val="22"/>
              </w:rPr>
              <w:t>WLD</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King</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-177.54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-18.01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-32.21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737B18">
              <w:rPr>
                <w:rFonts w:ascii="Calibri" w:hAnsi="Calibri"/>
                <w:color w:val="000000"/>
                <w:sz w:val="22"/>
                <w:szCs w:val="22"/>
              </w:rPr>
              <w:t>WLD</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King</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-216.21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-22.29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-39.72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-0.31</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737B18">
              <w:rPr>
                <w:rFonts w:ascii="Calibri" w:hAnsi="Calibri"/>
                <w:color w:val="000000"/>
                <w:sz w:val="22"/>
                <w:szCs w:val="22"/>
              </w:rPr>
              <w:t>WLD</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King</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c>
          <w:tcPr>
            <w:tcW w:w="0" w:type="auto"/>
            <w:noWrap/>
            <w:vAlign w:val="bottom"/>
          </w:tcPr>
          <w:p w:rsidR="005C4FF1" w:rsidRDefault="005C4FF1">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c>
          <w:tcPr>
            <w:tcW w:w="0" w:type="auto"/>
            <w:noWrap/>
            <w:vAlign w:val="bottom"/>
          </w:tcPr>
          <w:p w:rsidR="005C4FF1" w:rsidRDefault="005C4FF1">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c>
          <w:tcPr>
            <w:tcW w:w="0" w:type="auto"/>
            <w:noWrap/>
            <w:vAlign w:val="bottom"/>
          </w:tcPr>
          <w:p w:rsidR="005C4FF1" w:rsidRDefault="005C4FF1">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c>
          <w:tcPr>
            <w:tcW w:w="0" w:type="auto"/>
            <w:noWrap/>
            <w:vAlign w:val="bottom"/>
          </w:tcPr>
          <w:p w:rsidR="005C4FF1" w:rsidRDefault="005C4FF1">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c>
          <w:tcPr>
            <w:tcW w:w="0" w:type="auto"/>
            <w:noWrap/>
            <w:vAlign w:val="bottom"/>
          </w:tcPr>
          <w:p w:rsidR="005C4FF1" w:rsidRDefault="005C4FF1">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737B18">
              <w:rPr>
                <w:rFonts w:ascii="Calibri" w:hAnsi="Calibri"/>
                <w:color w:val="000000"/>
                <w:sz w:val="22"/>
                <w:szCs w:val="22"/>
              </w:rPr>
              <w:t>WLD</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Nixon</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-140.21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-13.90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-25.16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-0.34</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737B18">
              <w:rPr>
                <w:rFonts w:ascii="Calibri" w:hAnsi="Calibri"/>
                <w:color w:val="000000"/>
                <w:sz w:val="22"/>
                <w:szCs w:val="22"/>
              </w:rPr>
              <w:t>WLD</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Nixon</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-150.47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-18.40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-32.04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w:t>
            </w:r>
          </w:p>
        </w:tc>
      </w:tr>
      <w:tr w:rsidR="005C4FF1" w:rsidRPr="00FD7864" w:rsidTr="000538D6">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737B18">
              <w:rPr>
                <w:rFonts w:ascii="Calibri" w:hAnsi="Calibri"/>
                <w:color w:val="000000"/>
                <w:sz w:val="22"/>
                <w:szCs w:val="22"/>
              </w:rPr>
              <w:t>WLD</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Nixon</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-159.63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-27.62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-45.42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-0.61</w:t>
            </w:r>
          </w:p>
        </w:tc>
      </w:tr>
      <w:tr w:rsidR="005C4FF1" w:rsidRPr="00FD7864" w:rsidTr="000538D6">
        <w:trPr>
          <w:trHeight w:val="315"/>
        </w:trPr>
        <w:tc>
          <w:tcPr>
            <w:cnfStyle w:val="001000000000" w:firstRow="0" w:lastRow="0" w:firstColumn="1" w:lastColumn="0" w:oddVBand="0" w:evenVBand="0" w:oddHBand="0" w:evenHBand="0" w:firstRowFirstColumn="0" w:firstRowLastColumn="0" w:lastRowFirstColumn="0" w:lastRowLastColumn="0"/>
            <w:tcW w:w="0" w:type="auto"/>
            <w:noWrap/>
            <w:vAlign w:val="bottom"/>
            <w:hideMark/>
          </w:tcPr>
          <w:p w:rsidR="005C4FF1" w:rsidRDefault="005C4FF1" w:rsidP="00426BBA">
            <w:pPr>
              <w:jc w:val="center"/>
              <w:rPr>
                <w:rFonts w:ascii="Calibri" w:hAnsi="Calibri"/>
                <w:color w:val="000000"/>
                <w:sz w:val="22"/>
                <w:szCs w:val="22"/>
              </w:rPr>
            </w:pPr>
            <w:r>
              <w:rPr>
                <w:rFonts w:ascii="Calibri" w:hAnsi="Calibri"/>
                <w:color w:val="000000"/>
                <w:sz w:val="22"/>
                <w:szCs w:val="22"/>
              </w:rPr>
              <w:t>ExN</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Lincoln</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-533.09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-15.83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-40.85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ED0C62">
              <w:rPr>
                <w:rFonts w:ascii="Calibri" w:hAnsi="Calibri"/>
                <w:color w:val="000000"/>
                <w:sz w:val="22"/>
                <w:szCs w:val="22"/>
              </w:rPr>
              <w:t>ExN</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Lincoln</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-456.64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-3.75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-20.17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-0.11</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Lincoln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-278.22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12.21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9.62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0.05</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Madison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-695.81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-39.64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-81.84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Madison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-334.51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-10.46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-27.03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Madison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-778.00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-22.22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-58.76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-0.34</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Monroe</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-644.76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-15.99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-45.79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Monroe</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-461.87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-15.84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-0.08</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Monroe</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-486.12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6.50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Obama</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-573.80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-28.06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-61.58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-0.28</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Obama</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-316.64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-6.98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Obama</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-159.91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19.48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21.41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0.10</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Taft</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-403.30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-18.98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-42.21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D0C6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Taft</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-512.67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-19.88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-47.49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r>
    </w:tbl>
    <w:p w:rsidR="008A0EBE" w:rsidRDefault="008A0EBE" w:rsidP="008A0EBE">
      <w:pPr>
        <w:pStyle w:val="Caption"/>
      </w:pPr>
      <w:r>
        <w:t xml:space="preserve">Table </w:t>
      </w:r>
      <w:r>
        <w:rPr>
          <w:color w:val="FF0000"/>
        </w:rPr>
        <w:t>38</w:t>
      </w:r>
      <w:r>
        <w:t xml:space="preserve"> (Continued) Change in average daily food consumption, part 2</w:t>
      </w:r>
    </w:p>
    <w:tbl>
      <w:tblPr>
        <w:tblStyle w:val="TableClassic1"/>
        <w:tblW w:w="0" w:type="auto"/>
        <w:tblLook w:val="04A0" w:firstRow="1" w:lastRow="0" w:firstColumn="1" w:lastColumn="0" w:noHBand="0" w:noVBand="1"/>
      </w:tblPr>
      <w:tblGrid>
        <w:gridCol w:w="773"/>
        <w:gridCol w:w="1016"/>
        <w:gridCol w:w="672"/>
        <w:gridCol w:w="1590"/>
        <w:gridCol w:w="1622"/>
        <w:gridCol w:w="1705"/>
        <w:gridCol w:w="1737"/>
        <w:gridCol w:w="1792"/>
        <w:gridCol w:w="1837"/>
      </w:tblGrid>
      <w:tr w:rsidR="000538D6" w:rsidRPr="00FD7864" w:rsidTr="00426BB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0538D6" w:rsidRPr="00FD7864" w:rsidRDefault="000538D6" w:rsidP="00426BBA">
            <w:pPr>
              <w:rPr>
                <w:sz w:val="20"/>
                <w:szCs w:val="20"/>
              </w:rPr>
            </w:pPr>
            <w:r w:rsidRPr="00FD7864">
              <w:rPr>
                <w:sz w:val="20"/>
                <w:szCs w:val="20"/>
              </w:rPr>
              <w:t>Group</w:t>
            </w:r>
          </w:p>
        </w:tc>
        <w:tc>
          <w:tcPr>
            <w:tcW w:w="0" w:type="auto"/>
            <w:hideMark/>
          </w:tcPr>
          <w:p w:rsidR="000538D6" w:rsidRPr="00FD7864" w:rsidRDefault="000538D6" w:rsidP="00426BBA">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Dog</w:t>
            </w:r>
          </w:p>
        </w:tc>
        <w:tc>
          <w:tcPr>
            <w:tcW w:w="0" w:type="auto"/>
            <w:hideMark/>
          </w:tcPr>
          <w:p w:rsidR="000538D6" w:rsidRPr="00FD7864" w:rsidRDefault="000538D6" w:rsidP="00426BBA">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Point</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(kcal/kg BW)</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(kcal/kg BW)</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(kcal/kg BW^0.75)</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(kcal/kg BW^0.75)</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ED0C62">
              <w:rPr>
                <w:rFonts w:ascii="Calibri" w:hAnsi="Calibri"/>
                <w:color w:val="000000"/>
                <w:sz w:val="22"/>
                <w:szCs w:val="22"/>
              </w:rPr>
              <w:t>ExN</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Taft</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-476.68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-12.06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-34.94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4C192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Tyler</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-701.17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-41.31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-84.64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4C192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Tyler</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-256.91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-7.84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-0.04</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4C1922">
              <w:rPr>
                <w:rFonts w:ascii="Calibri" w:hAnsi="Calibri"/>
                <w:color w:val="000000"/>
                <w:sz w:val="22"/>
                <w:szCs w:val="22"/>
              </w:rPr>
              <w:t>ExN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Tyler</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-339.87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-11.16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961A84">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Fillmore</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-520.07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-37.13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-72.04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-0.59</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961A84">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Fillmore</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-303.36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-15.31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-33.13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961A84">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Fillmore</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-404.06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-24.61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-50.04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-0.41</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961A84">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Ford</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-1140.84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-1.35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-71.85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-144.15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-1.05</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961A84">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Ford</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-907.29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-39.60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-89.11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-0.65</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961A84">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Ford</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-567.80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-14.11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-40.30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-0.29</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961A84">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Franklin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-661.35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-32.53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-70.36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-0.38</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961A84">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Franklin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-406.23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-18.42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-0.10</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961A84">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Franklin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-226.28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6.02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961A84">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Grant</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-1173.51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-78.07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-154.03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-1.73</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bottom"/>
          </w:tcPr>
          <w:p w:rsidR="005C4FF1" w:rsidRDefault="005C4FF1" w:rsidP="00426BBA">
            <w:pPr>
              <w:jc w:val="center"/>
              <w:rPr>
                <w:rFonts w:ascii="Calibri" w:hAnsi="Calibri"/>
                <w:color w:val="000000"/>
                <w:sz w:val="22"/>
                <w:szCs w:val="22"/>
              </w:rPr>
            </w:pPr>
            <w:r>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Grant</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-724.27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-38.04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-0.79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-80.36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-0.90</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C31089">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Grant</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-835.15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-44.20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-0.92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-93.09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-1.05</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C31089">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Quincy</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-973.40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-0.80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-48.53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-104.39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-0.55</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C31089">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Quincy</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-701.04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-0.57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-14.00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-44.28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C31089">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Quincy</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-819.86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-0.67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-11.59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-44.10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C31089">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Sherman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-1163.68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-1.79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-76.12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-150.73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-1.55</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C31089">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Sherman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-1043.97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-1.60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-51.67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-110.62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-1.14</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C31089">
              <w:rPr>
                <w:rFonts w:ascii="Calibri" w:hAnsi="Calibri"/>
                <w:color w:val="000000"/>
                <w:sz w:val="22"/>
                <w:szCs w:val="22"/>
              </w:rPr>
              <w:t>ExP</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Sherman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-1402.85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-2.15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-66.36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-1.28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-143.71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-1.47</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E2552C">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Bush</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15.97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22.41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0.09</w:t>
            </w:r>
          </w:p>
        </w:tc>
      </w:tr>
    </w:tbl>
    <w:p w:rsidR="008A0EBE" w:rsidRDefault="008A0EBE" w:rsidP="008A0EBE">
      <w:pPr>
        <w:pStyle w:val="Caption"/>
      </w:pPr>
      <w:r>
        <w:t xml:space="preserve">Table </w:t>
      </w:r>
      <w:r>
        <w:rPr>
          <w:color w:val="FF0000"/>
        </w:rPr>
        <w:t>38</w:t>
      </w:r>
      <w:r>
        <w:t xml:space="preserve"> (Continued) Change in average daily food consumption, part 2</w:t>
      </w:r>
    </w:p>
    <w:tbl>
      <w:tblPr>
        <w:tblStyle w:val="TableClassic1"/>
        <w:tblW w:w="0" w:type="auto"/>
        <w:tblLook w:val="04A0" w:firstRow="1" w:lastRow="0" w:firstColumn="1" w:lastColumn="0" w:noHBand="0" w:noVBand="1"/>
      </w:tblPr>
      <w:tblGrid>
        <w:gridCol w:w="772"/>
        <w:gridCol w:w="996"/>
        <w:gridCol w:w="672"/>
        <w:gridCol w:w="1591"/>
        <w:gridCol w:w="1624"/>
        <w:gridCol w:w="1709"/>
        <w:gridCol w:w="1741"/>
        <w:gridCol w:w="1797"/>
        <w:gridCol w:w="1842"/>
      </w:tblGrid>
      <w:tr w:rsidR="000538D6" w:rsidRPr="00FD7864" w:rsidTr="00426BB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0538D6" w:rsidRPr="00FD7864" w:rsidRDefault="000538D6" w:rsidP="00426BBA">
            <w:pPr>
              <w:rPr>
                <w:sz w:val="20"/>
                <w:szCs w:val="20"/>
              </w:rPr>
            </w:pPr>
            <w:r w:rsidRPr="00FD7864">
              <w:rPr>
                <w:sz w:val="20"/>
                <w:szCs w:val="20"/>
              </w:rPr>
              <w:t>Group</w:t>
            </w:r>
          </w:p>
        </w:tc>
        <w:tc>
          <w:tcPr>
            <w:tcW w:w="0" w:type="auto"/>
            <w:hideMark/>
          </w:tcPr>
          <w:p w:rsidR="000538D6" w:rsidRPr="00FD7864" w:rsidRDefault="000538D6" w:rsidP="00426BBA">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Dog</w:t>
            </w:r>
          </w:p>
        </w:tc>
        <w:tc>
          <w:tcPr>
            <w:tcW w:w="0" w:type="auto"/>
            <w:hideMark/>
          </w:tcPr>
          <w:p w:rsidR="000538D6" w:rsidRPr="00FD7864" w:rsidRDefault="000538D6" w:rsidP="00426BBA">
            <w:pPr>
              <w:cnfStyle w:val="100000000000" w:firstRow="1" w:lastRow="0" w:firstColumn="0" w:lastColumn="0" w:oddVBand="0" w:evenVBand="0" w:oddHBand="0" w:evenHBand="0" w:firstRowFirstColumn="0" w:firstRowLastColumn="0" w:lastRowFirstColumn="0" w:lastRowLastColumn="0"/>
              <w:rPr>
                <w:sz w:val="20"/>
                <w:szCs w:val="20"/>
              </w:rPr>
            </w:pPr>
            <w:r w:rsidRPr="00FD7864">
              <w:rPr>
                <w:sz w:val="20"/>
                <w:szCs w:val="20"/>
              </w:rPr>
              <w:t>Point</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(kcal/kg BW)</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(kcal/kg BW)</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Change consumption (kcal/kg BW^0.75)</w:t>
            </w:r>
          </w:p>
        </w:tc>
        <w:tc>
          <w:tcPr>
            <w:tcW w:w="0" w:type="auto"/>
            <w:hideMark/>
          </w:tcPr>
          <w:p w:rsidR="000538D6" w:rsidRPr="008A0EBE" w:rsidRDefault="000538D6" w:rsidP="00426BBA">
            <w:pPr>
              <w:jc w:val="center"/>
              <w:cnfStyle w:val="100000000000" w:firstRow="1" w:lastRow="0" w:firstColumn="0" w:lastColumn="0" w:oddVBand="0" w:evenVBand="0" w:oddHBand="0" w:evenHBand="0" w:firstRowFirstColumn="0" w:firstRowLastColumn="0" w:lastRowFirstColumn="0" w:lastRowLastColumn="0"/>
              <w:rPr>
                <w:rFonts w:ascii="Calibri" w:hAnsi="Calibri"/>
                <w:bCs/>
                <w:sz w:val="22"/>
                <w:szCs w:val="22"/>
              </w:rPr>
            </w:pPr>
            <w:r w:rsidRPr="008A0EBE">
              <w:rPr>
                <w:rFonts w:ascii="Calibri" w:hAnsi="Calibri"/>
                <w:bCs/>
                <w:sz w:val="22"/>
                <w:szCs w:val="22"/>
              </w:rPr>
              <w:t>% Change consumption  (kcal/kg BW^0.75)</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E2552C">
              <w:rPr>
                <w:rFonts w:ascii="Calibri" w:hAnsi="Calibri"/>
                <w:color w:val="000000"/>
                <w:sz w:val="22"/>
                <w:szCs w:val="22"/>
              </w:rPr>
              <w:t>IBW</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Bush</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232.28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38.62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63.21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E2552C">
              <w:rPr>
                <w:rFonts w:ascii="Calibri" w:hAnsi="Calibri"/>
                <w:color w:val="000000"/>
                <w:sz w:val="22"/>
                <w:szCs w:val="22"/>
              </w:rPr>
              <w:t>IBW</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Bush</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356.33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43.83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75.11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0.31</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E2552C">
              <w:rPr>
                <w:rFonts w:ascii="Calibri" w:hAnsi="Calibri"/>
                <w:color w:val="000000"/>
                <w:sz w:val="22"/>
                <w:szCs w:val="22"/>
              </w:rPr>
              <w:t>IBW</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Ernie</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101.46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11.79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20.44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E2552C">
              <w:rPr>
                <w:rFonts w:ascii="Calibri" w:hAnsi="Calibri"/>
                <w:color w:val="000000"/>
                <w:sz w:val="22"/>
                <w:szCs w:val="22"/>
              </w:rPr>
              <w:t>IBW</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Ernie</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234.45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21.61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39.29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r>
      <w:tr w:rsidR="005C4FF1" w:rsidRPr="00FD7864" w:rsidTr="000538D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5C4FF1" w:rsidRDefault="005C4FF1" w:rsidP="00426BBA">
            <w:pPr>
              <w:jc w:val="center"/>
            </w:pPr>
            <w:r w:rsidRPr="00E2552C">
              <w:rPr>
                <w:rFonts w:ascii="Calibri" w:hAnsi="Calibri"/>
                <w:color w:val="000000"/>
                <w:sz w:val="22"/>
                <w:szCs w:val="22"/>
              </w:rPr>
              <w:t>IBW</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Ernie</w:t>
            </w:r>
          </w:p>
        </w:tc>
        <w:tc>
          <w:tcPr>
            <w:tcW w:w="0" w:type="auto"/>
            <w:noWrap/>
            <w:vAlign w:val="bottom"/>
            <w:hideMark/>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464.68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37.78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70.75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0.45</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Johnson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194.88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18.51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33.36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0.18</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Johnson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322.76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30.71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55.34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0.30</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Johnson</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535.64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43.58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81.68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0.45</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92.78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0.08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14.03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23.12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0.12</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235.72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27.94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48.09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Kennedy</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303.88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29.66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53.13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0.27</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190.93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34.41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55.04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0.23</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334.38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46.88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78.02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0.32</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Pierce</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464.04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52.06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90.29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0.37</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M1</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202.16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36.75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58.30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0.22</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M2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226.66</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0.15</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42.79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0.28</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67.62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0.25</w:t>
            </w:r>
          </w:p>
        </w:tc>
      </w:tr>
      <w:tr w:rsidR="005C4FF1" w:rsidRPr="00FD7864" w:rsidTr="00426BBA">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rsidR="005C4FF1" w:rsidRDefault="005C4FF1" w:rsidP="00426BBA">
            <w:pPr>
              <w:jc w:val="center"/>
            </w:pPr>
            <w:r w:rsidRPr="00B67CEF">
              <w:rPr>
                <w:rFonts w:ascii="Calibri" w:hAnsi="Calibri"/>
                <w:color w:val="000000"/>
                <w:sz w:val="22"/>
                <w:szCs w:val="22"/>
              </w:rPr>
              <w:t>IBW</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York</w:t>
            </w:r>
          </w:p>
        </w:tc>
        <w:tc>
          <w:tcPr>
            <w:tcW w:w="0" w:type="auto"/>
            <w:noWrap/>
            <w:vAlign w:val="bottom"/>
          </w:tcPr>
          <w:p w:rsidR="005C4FF1" w:rsidRDefault="005C4FF1" w:rsidP="00426BBA">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E</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359.39</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0.24</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48.83</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0.32</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81.30</w:t>
            </w:r>
          </w:p>
        </w:tc>
        <w:tc>
          <w:tcPr>
            <w:tcW w:w="0" w:type="auto"/>
            <w:noWrap/>
            <w:vAlign w:val="bottom"/>
          </w:tcPr>
          <w:p w:rsidR="005C4FF1" w:rsidRDefault="005C4FF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Pr>
                <w:rFonts w:ascii="Calibri" w:hAnsi="Calibri"/>
                <w:color w:val="000000"/>
                <w:sz w:val="22"/>
                <w:szCs w:val="22"/>
              </w:rPr>
              <w:t>0.30</w:t>
            </w:r>
          </w:p>
        </w:tc>
      </w:tr>
    </w:tbl>
    <w:p w:rsidR="008A0EBE" w:rsidRDefault="008A0EBE" w:rsidP="000A492A">
      <w:pPr>
        <w:rPr>
          <w:b/>
          <w:bCs/>
          <w:caps/>
          <w:sz w:val="28"/>
        </w:rPr>
      </w:pPr>
    </w:p>
    <w:p w:rsidR="00F01949" w:rsidRDefault="00F01949" w:rsidP="000A492A">
      <w:pPr>
        <w:rPr>
          <w:b/>
          <w:bCs/>
          <w:caps/>
          <w:sz w:val="28"/>
        </w:rPr>
      </w:pPr>
    </w:p>
    <w:p w:rsidR="00F01949" w:rsidRDefault="00F01949" w:rsidP="000A492A">
      <w:pPr>
        <w:rPr>
          <w:b/>
          <w:bCs/>
          <w:caps/>
          <w:sz w:val="28"/>
        </w:rPr>
      </w:pPr>
    </w:p>
    <w:p w:rsidR="00F01949" w:rsidRDefault="00F01949" w:rsidP="000A492A">
      <w:pPr>
        <w:rPr>
          <w:b/>
          <w:bCs/>
          <w:caps/>
          <w:sz w:val="28"/>
        </w:rPr>
      </w:pPr>
    </w:p>
    <w:p w:rsidR="00F01949" w:rsidRDefault="00F01949" w:rsidP="000A492A">
      <w:pPr>
        <w:rPr>
          <w:b/>
          <w:bCs/>
          <w:caps/>
          <w:sz w:val="28"/>
        </w:rPr>
      </w:pPr>
    </w:p>
    <w:p w:rsidR="00F01949" w:rsidRDefault="00F01949" w:rsidP="000A492A">
      <w:pPr>
        <w:rPr>
          <w:b/>
          <w:bCs/>
          <w:caps/>
          <w:sz w:val="28"/>
        </w:rPr>
      </w:pPr>
    </w:p>
    <w:tbl>
      <w:tblPr>
        <w:tblStyle w:val="TableClassic1"/>
        <w:tblW w:w="0" w:type="auto"/>
        <w:tblLook w:val="04A0" w:firstRow="1" w:lastRow="0" w:firstColumn="1" w:lastColumn="0" w:noHBand="0" w:noVBand="1"/>
      </w:tblPr>
      <w:tblGrid>
        <w:gridCol w:w="773"/>
        <w:gridCol w:w="972"/>
        <w:gridCol w:w="728"/>
        <w:gridCol w:w="672"/>
        <w:gridCol w:w="761"/>
        <w:gridCol w:w="658"/>
        <w:gridCol w:w="836"/>
        <w:gridCol w:w="939"/>
        <w:gridCol w:w="725"/>
        <w:gridCol w:w="1051"/>
        <w:gridCol w:w="684"/>
        <w:gridCol w:w="1088"/>
        <w:gridCol w:w="1079"/>
        <w:gridCol w:w="852"/>
        <w:gridCol w:w="926"/>
      </w:tblGrid>
      <w:tr w:rsidR="00F01949" w:rsidRPr="00F01949" w:rsidTr="00F019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rsidR="00F01949" w:rsidRPr="00F01949" w:rsidRDefault="00F01949" w:rsidP="00F01949">
            <w:pPr>
              <w:jc w:val="center"/>
              <w:rPr>
                <w:color w:val="000000"/>
                <w:sz w:val="20"/>
                <w:szCs w:val="20"/>
              </w:rPr>
            </w:pPr>
            <w:r w:rsidRPr="00F01949">
              <w:rPr>
                <w:color w:val="000000"/>
                <w:sz w:val="20"/>
                <w:szCs w:val="20"/>
              </w:rPr>
              <w:t>Group</w:t>
            </w:r>
          </w:p>
        </w:tc>
        <w:tc>
          <w:tcPr>
            <w:tcW w:w="0" w:type="auto"/>
            <w:hideMark/>
          </w:tcPr>
          <w:p w:rsidR="00F01949" w:rsidRPr="00F01949" w:rsidRDefault="00F01949" w:rsidP="00F01949">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Dog</w:t>
            </w:r>
          </w:p>
        </w:tc>
        <w:tc>
          <w:tcPr>
            <w:tcW w:w="0" w:type="auto"/>
            <w:hideMark/>
          </w:tcPr>
          <w:p w:rsidR="00F01949" w:rsidRPr="00F01949" w:rsidRDefault="00F01949" w:rsidP="00F01949">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Week</w:t>
            </w:r>
          </w:p>
        </w:tc>
        <w:tc>
          <w:tcPr>
            <w:tcW w:w="0" w:type="auto"/>
            <w:hideMark/>
          </w:tcPr>
          <w:p w:rsidR="00F01949" w:rsidRPr="00F01949" w:rsidRDefault="00F01949" w:rsidP="00F01949">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Point</w:t>
            </w:r>
          </w:p>
        </w:tc>
        <w:tc>
          <w:tcPr>
            <w:tcW w:w="0" w:type="auto"/>
            <w:hideMark/>
          </w:tcPr>
          <w:p w:rsidR="00F01949" w:rsidRPr="00F01949" w:rsidRDefault="00F01949" w:rsidP="00F01949">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Scale Wt (kg)</w:t>
            </w:r>
          </w:p>
        </w:tc>
        <w:tc>
          <w:tcPr>
            <w:tcW w:w="0" w:type="auto"/>
            <w:hideMark/>
          </w:tcPr>
          <w:p w:rsidR="00F01949" w:rsidRPr="00F01949" w:rsidRDefault="00F01949" w:rsidP="00F01949">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BCS (1-9)</w:t>
            </w:r>
          </w:p>
        </w:tc>
        <w:tc>
          <w:tcPr>
            <w:tcW w:w="0" w:type="auto"/>
            <w:hideMark/>
          </w:tcPr>
          <w:p w:rsidR="00F01949" w:rsidRPr="00F01949" w:rsidRDefault="00F01949" w:rsidP="00F01949">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BMC (g)</w:t>
            </w:r>
          </w:p>
        </w:tc>
        <w:tc>
          <w:tcPr>
            <w:tcW w:w="0" w:type="auto"/>
            <w:hideMark/>
          </w:tcPr>
          <w:p w:rsidR="00F01949" w:rsidRPr="00F01949" w:rsidRDefault="00F01949" w:rsidP="00F01949">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Fat (g)</w:t>
            </w:r>
          </w:p>
        </w:tc>
        <w:tc>
          <w:tcPr>
            <w:tcW w:w="0" w:type="auto"/>
            <w:hideMark/>
          </w:tcPr>
          <w:p w:rsidR="00F01949" w:rsidRPr="00F01949" w:rsidRDefault="00F01949" w:rsidP="00F01949">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BF (%)</w:t>
            </w:r>
          </w:p>
        </w:tc>
        <w:tc>
          <w:tcPr>
            <w:tcW w:w="0" w:type="auto"/>
            <w:hideMark/>
          </w:tcPr>
          <w:p w:rsidR="00F01949" w:rsidRPr="00F01949" w:rsidRDefault="00F01949" w:rsidP="00F01949">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Lean (g)</w:t>
            </w:r>
          </w:p>
        </w:tc>
        <w:tc>
          <w:tcPr>
            <w:tcW w:w="0" w:type="auto"/>
            <w:hideMark/>
          </w:tcPr>
          <w:p w:rsidR="00F01949" w:rsidRPr="00F01949" w:rsidRDefault="00F01949" w:rsidP="00F01949">
            <w:pPr>
              <w:jc w:val="center"/>
              <w:cnfStyle w:val="100000000000" w:firstRow="1" w:lastRow="0" w:firstColumn="0" w:lastColumn="0" w:oddVBand="0" w:evenVBand="0" w:oddHBand="0" w:evenHBand="0" w:firstRowFirstColumn="0" w:firstRowLastColumn="0" w:lastRowFirstColumn="0" w:lastRowLastColumn="0"/>
              <w:rPr>
                <w:bCs/>
                <w:sz w:val="20"/>
                <w:szCs w:val="20"/>
              </w:rPr>
            </w:pPr>
            <w:r w:rsidRPr="00F01949">
              <w:rPr>
                <w:bCs/>
                <w:sz w:val="20"/>
                <w:szCs w:val="20"/>
              </w:rPr>
              <w:t>Lean (%)</w:t>
            </w:r>
          </w:p>
        </w:tc>
        <w:tc>
          <w:tcPr>
            <w:tcW w:w="0" w:type="auto"/>
            <w:hideMark/>
          </w:tcPr>
          <w:p w:rsidR="00F01949" w:rsidRPr="00F01949" w:rsidRDefault="00F01949" w:rsidP="00F01949">
            <w:pP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F01949">
              <w:rPr>
                <w:bCs/>
                <w:color w:val="000000"/>
                <w:sz w:val="20"/>
                <w:szCs w:val="20"/>
              </w:rPr>
              <w:t>Lean + BMC (g)</w:t>
            </w:r>
          </w:p>
        </w:tc>
        <w:tc>
          <w:tcPr>
            <w:tcW w:w="0" w:type="auto"/>
            <w:hideMark/>
          </w:tcPr>
          <w:p w:rsidR="00F01949" w:rsidRPr="00F01949" w:rsidRDefault="00F01949" w:rsidP="00F01949">
            <w:pP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F01949">
              <w:rPr>
                <w:bCs/>
                <w:color w:val="000000"/>
                <w:sz w:val="20"/>
                <w:szCs w:val="20"/>
              </w:rPr>
              <w:t>Total Mass (g)</w:t>
            </w:r>
          </w:p>
        </w:tc>
        <w:tc>
          <w:tcPr>
            <w:tcW w:w="0" w:type="auto"/>
            <w:hideMark/>
          </w:tcPr>
          <w:p w:rsidR="00F01949" w:rsidRPr="00F01949" w:rsidRDefault="00F01949" w:rsidP="00F01949">
            <w:pP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F01949">
              <w:rPr>
                <w:bCs/>
                <w:color w:val="000000"/>
                <w:sz w:val="20"/>
                <w:szCs w:val="20"/>
              </w:rPr>
              <w:t>Area (cm2)</w:t>
            </w:r>
          </w:p>
        </w:tc>
        <w:tc>
          <w:tcPr>
            <w:tcW w:w="0" w:type="auto"/>
            <w:hideMark/>
          </w:tcPr>
          <w:p w:rsidR="00F01949" w:rsidRPr="00F01949" w:rsidRDefault="00F01949" w:rsidP="00F01949">
            <w:pP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F01949">
              <w:rPr>
                <w:bCs/>
                <w:color w:val="000000"/>
                <w:sz w:val="20"/>
                <w:szCs w:val="20"/>
              </w:rPr>
              <w:t>BMD (g/cm2)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494.53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6616.70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9772.50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10267.00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16883.70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719.03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0.69</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481.18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6247.50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9161.50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9642.70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15890.20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707.82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0.68</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520.77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5678.10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8968.00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9488.80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15166.90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733.83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0.71</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487.84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4773.70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33.90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8819.10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9306.90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14080.60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706.62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0.69</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Adams</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509.80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3547.60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8868.60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9378.40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12926.00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741.03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0.69</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437.12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6521.70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8656.80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9093.90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15615.60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705.02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443.36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6208.60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7980.70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8424.00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14632.70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687.42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0.65</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425.01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4931.00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36.90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7997.30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8422.30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13353.30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671.81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425.63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3730.90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32.30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7389.90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7815.60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11546.50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665.81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0.64</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Arthur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404.46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2466.00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7686.10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0.73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8090.60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10556.60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655.81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393.47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3234.20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8543.10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8936.50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12170.70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625.40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368.92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3231.70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8663.90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0.71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9032.80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12264.50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600.19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395.82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3321.40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27.30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8466.10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8861.90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12183.40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636.20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379.11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3318.60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8432.80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8811.90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12130.50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617.80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Garfield</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400.89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3533.00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28.50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8483.00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8883.80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12416.80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652.21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458.44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7310.30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9427.40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9885.80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17196.10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739.43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423.30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6822.30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9334.10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9757.40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16579.70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680.62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441.14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6268.20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9345.60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9786.80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16055.00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701.02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438.20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5321.20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34.70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9578.00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10016.20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15337.40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717.03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Polk</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440.60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4815.20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33.40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9163.80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9604.40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14419.60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719.03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404.01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7266.70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8948.90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9352.90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16619.70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665.81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418.78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7150.40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44.80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8393.30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8812.10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15962.50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682.22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422.17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6244.20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8477.40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8899.50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15143.80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670.21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416.83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5339.00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8417.50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8834.30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14173.30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667.01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Taylor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409.97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4307.40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32.80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8409.70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8819.70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13127.00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679.02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0.60</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456.18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7722.30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8183.90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8640.10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16362.30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707.02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0.65</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456.35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7246.30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7763.90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8220.20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15466.50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708.62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0.64</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463.16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6274.80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7877.70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8340.90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14615.60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700.22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0.66</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451.59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5321.70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7683.30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8134.90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13456.60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682.22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0.66</w:t>
            </w:r>
          </w:p>
        </w:tc>
      </w:tr>
      <w:tr w:rsidR="00F01949" w:rsidRPr="00F01949" w:rsidTr="00F01949">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1</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Truman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425.72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4755.90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7677.70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8103.40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12859.30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660.21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0.65</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486.63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5545.00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35.80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9457.90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9944.50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15489.50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719.43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0.68</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502.75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5703.00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9108.80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9611.50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15314.60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750.24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0.67</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475.07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5491.10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35.20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9619.90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10095.00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15586.10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717.83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0.66</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486.45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5367.40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34.90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9536.10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10022.60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15390.00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735.83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0.66</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Harding</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472.96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5182.80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34.10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9554.90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10027.80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15210.60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724.63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0.65</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475.41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7304.30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10006.50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10481.90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17786.20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694.22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0.69</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471.68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6830.30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10018.40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10490.10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17320.40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701.42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0.67</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486.68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7099.90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9695.60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10182.30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17282.20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717.83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0.68</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492.93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6625.90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9647.90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10140.90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16766.80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722.63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0.68</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Harrison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487.00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6631.40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40.00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9454.60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9941.60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16573.00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718.23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0.68</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436.80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7985.10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10237.40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10674.20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18659.40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717.83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452.50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7265.60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41.00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9983.70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10436.20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17701.80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727.83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475.07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6887.50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40.50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9628.40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10103.50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16990.90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755.04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462.55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6163.10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9700.90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10163.40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16326.50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735.83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Hoover</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467.85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5766.60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36.50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9554.60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10022.50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15789.10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750.24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524.73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6277.90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34.20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11570.20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12095.00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18372.90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732.63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0.72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18.2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501.06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5696.60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31.70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11760.20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12261.30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17957.90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725.43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0.69</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517.31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5768.40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33.30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11042.50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11559.80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17328.20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745.44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0.69</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495.70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4956.30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30.00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11094.50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11590.20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16546.40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704.22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0.70</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Jackson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513.97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4618.00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28.70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10978.00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11492.00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16110.00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740.23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0.69</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431.32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3292.30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24.90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9503.20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0.72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9934.50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13226.80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702.22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13.4</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424.43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3091.60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23.70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9531.60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0.73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9956.00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13047.60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698.62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431.53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3546.90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26.30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9515.90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0.71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9947.40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13494.30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695.02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0.62</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438.68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3928.00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29.60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8885.80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9324.50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13252.50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717.03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0.61</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Lynden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438.42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3956.80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29.10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9207.30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9645.70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13602.50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697.02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0.63</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B</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474.77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6234.90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9130.10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9604.90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15839.80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710.23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0.67</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13</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O</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478.41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5837.00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9272.60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9751.00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15588.00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721.03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0.66</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16</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M1</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468.85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6295.60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39.70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9084.00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9552.90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15848.50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720.63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0.65</w:t>
            </w:r>
          </w:p>
        </w:tc>
      </w:tr>
      <w:tr w:rsidR="00F01949" w:rsidRPr="00F01949" w:rsidTr="00F01949">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20</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M2</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478.75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6134.10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39.40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8938.10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0.57</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9416.80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15551.00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727.03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0.66</w:t>
            </w:r>
          </w:p>
        </w:tc>
      </w:tr>
      <w:tr w:rsidR="00F01949" w:rsidRPr="00F01949" w:rsidTr="00F01949">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F01949" w:rsidRPr="00F01949" w:rsidRDefault="00F01949" w:rsidP="00F01949">
            <w:pPr>
              <w:jc w:val="center"/>
              <w:rPr>
                <w:color w:val="000000"/>
                <w:sz w:val="20"/>
                <w:szCs w:val="20"/>
              </w:rPr>
            </w:pPr>
            <w:r w:rsidRPr="00F01949">
              <w:rPr>
                <w:color w:val="000000"/>
                <w:sz w:val="20"/>
                <w:szCs w:val="20"/>
              </w:rPr>
              <w:t>2</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Wilson</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24</w:t>
            </w:r>
          </w:p>
        </w:tc>
        <w:tc>
          <w:tcPr>
            <w:tcW w:w="0" w:type="auto"/>
            <w:noWrap/>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F01949">
              <w:rPr>
                <w:color w:val="000000"/>
                <w:sz w:val="20"/>
                <w:szCs w:val="20"/>
              </w:rPr>
              <w:t>E</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484.55</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6450.10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40.80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8862.90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0.56</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9347.40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15797.50</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740.23</w:t>
            </w:r>
          </w:p>
        </w:tc>
        <w:tc>
          <w:tcPr>
            <w:tcW w:w="0" w:type="auto"/>
            <w:hideMark/>
          </w:tcPr>
          <w:p w:rsidR="00F01949" w:rsidRPr="00F01949" w:rsidRDefault="00F01949" w:rsidP="00F01949">
            <w:pPr>
              <w:jc w:val="center"/>
              <w:cnfStyle w:val="000000000000" w:firstRow="0" w:lastRow="0" w:firstColumn="0" w:lastColumn="0" w:oddVBand="0" w:evenVBand="0" w:oddHBand="0" w:evenHBand="0" w:firstRowFirstColumn="0" w:firstRowLastColumn="0" w:lastRowFirstColumn="0" w:lastRowLastColumn="0"/>
              <w:rPr>
                <w:sz w:val="20"/>
                <w:szCs w:val="20"/>
              </w:rPr>
            </w:pPr>
            <w:r w:rsidRPr="00F01949">
              <w:rPr>
                <w:sz w:val="20"/>
                <w:szCs w:val="20"/>
              </w:rPr>
              <w:t>0.66</w:t>
            </w:r>
          </w:p>
        </w:tc>
      </w:tr>
    </w:tbl>
    <w:p w:rsidR="00F01949" w:rsidRDefault="00F01949" w:rsidP="000A492A">
      <w:pPr>
        <w:rPr>
          <w:b/>
          <w:bCs/>
          <w:caps/>
          <w:sz w:val="28"/>
        </w:rPr>
        <w:sectPr w:rsidR="00F01949" w:rsidSect="0036625C">
          <w:pgSz w:w="15840" w:h="12240" w:orient="landscape" w:code="1"/>
          <w:pgMar w:top="1800" w:right="1440" w:bottom="1800" w:left="1872" w:header="720" w:footer="1440" w:gutter="0"/>
          <w:cols w:space="720"/>
          <w:noEndnote/>
          <w:docGrid w:linePitch="360"/>
        </w:sectPr>
      </w:pPr>
    </w:p>
    <w:p w:rsidR="009A605A" w:rsidRPr="00334400" w:rsidRDefault="009A605A" w:rsidP="009A605A">
      <w:pPr>
        <w:pStyle w:val="Heading1"/>
      </w:pPr>
      <w:bookmarkStart w:id="204" w:name="_Toc369774731"/>
      <w:bookmarkStart w:id="205" w:name="_Toc376465822"/>
      <w:r w:rsidRPr="00334400">
        <w:t>VITA</w:t>
      </w:r>
      <w:bookmarkEnd w:id="204"/>
      <w:bookmarkEnd w:id="205"/>
    </w:p>
    <w:p w:rsidR="009A605A" w:rsidRDefault="009A605A" w:rsidP="009A605A"/>
    <w:p w:rsidR="009A605A" w:rsidRDefault="009A605A" w:rsidP="009A605A">
      <w:r>
        <w:t>Maryanne Murphy is originally from New Jersey and received her dual BS in animal sciences and biological sciences from Rutgers University in 2004.  She then moved to the Midwest and earned her DVM from Iowa State University in 2008.  Maryanne returned to the East Coast and completed a rotating general medicine and surgery internship at Fifth Avenue Veterinary Specialists in New York City.</w:t>
      </w:r>
    </w:p>
    <w:p w:rsidR="009A605A" w:rsidRDefault="009A605A" w:rsidP="009A605A"/>
    <w:p w:rsidR="009A605A" w:rsidRPr="005E54E2" w:rsidRDefault="009A605A" w:rsidP="009A605A">
      <w:r>
        <w:t>After relocating to Tennessee in 2009, Maryanne completed a clinical nutrition residency at the University of Tennessee and was conferred as a Diplomate of the American College of Veterinary Nutrition in 2013.</w:t>
      </w:r>
    </w:p>
    <w:p w:rsidR="003D63DF" w:rsidRPr="005E54E2" w:rsidRDefault="003D63DF" w:rsidP="00AA7A1D">
      <w:pPr>
        <w:pStyle w:val="Caption"/>
      </w:pPr>
    </w:p>
    <w:sectPr w:rsidR="003D63DF" w:rsidRPr="005E54E2" w:rsidSect="009176C2">
      <w:pgSz w:w="12240" w:h="15840" w:code="1"/>
      <w:pgMar w:top="1440" w:right="1800" w:bottom="1872" w:left="1800" w:header="720" w:footer="1440" w:gutter="0"/>
      <w:cols w:space="720"/>
      <w:noEndnote/>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rsidR="007F0498" w:rsidRDefault="007F0498">
      <w:pPr>
        <w:pStyle w:val="BalloonText"/>
      </w:pPr>
      <w:r>
        <w:rPr>
          <w:rStyle w:val="CommentSubjectChar"/>
        </w:rPr>
        <w:annotationRef/>
      </w:r>
      <w:r>
        <w:t>Need to write</w:t>
      </w:r>
    </w:p>
  </w:comment>
  <w:comment w:id="1" w:author="Author" w:initials="A">
    <w:p w:rsidR="007F0498" w:rsidRDefault="007F0498">
      <w:pPr>
        <w:pStyle w:val="BalloonText"/>
      </w:pPr>
      <w:r>
        <w:rPr>
          <w:rStyle w:val="CommentSubjectChar"/>
        </w:rPr>
        <w:annotationRef/>
      </w:r>
      <w:r>
        <w:t>Need to write</w:t>
      </w:r>
    </w:p>
  </w:comment>
  <w:comment w:id="9" w:author="Author" w:initials="A">
    <w:p w:rsidR="007F0498" w:rsidRDefault="007F0498">
      <w:pPr>
        <w:pStyle w:val="CommentText"/>
      </w:pPr>
      <w:r>
        <w:rPr>
          <w:rStyle w:val="CommentReference"/>
        </w:rPr>
        <w:annotationRef/>
      </w:r>
      <w:r>
        <w:t>This is following the suggested citation by Nature.  Is this formatted correctly?</w:t>
      </w:r>
    </w:p>
  </w:comment>
  <w:comment w:id="11" w:author="Author" w:initials="A">
    <w:p w:rsidR="007F0498" w:rsidRDefault="007F0498">
      <w:pPr>
        <w:pStyle w:val="CommentText"/>
      </w:pPr>
      <w:r>
        <w:rPr>
          <w:rStyle w:val="CommentReference"/>
        </w:rPr>
        <w:annotationRef/>
      </w:r>
      <w:r>
        <w:t>Copyright Clearance Center says permission is not required for this type of use.  Is this cited correctly?</w:t>
      </w:r>
    </w:p>
  </w:comment>
  <w:comment w:id="15" w:author="Author" w:initials="A">
    <w:p w:rsidR="007F0498" w:rsidRDefault="007F0498">
      <w:pPr>
        <w:pStyle w:val="CommentText"/>
      </w:pPr>
      <w:r>
        <w:rPr>
          <w:rStyle w:val="CommentReference"/>
        </w:rPr>
        <w:annotationRef/>
      </w:r>
      <w:r>
        <w:t>I can’t find a link to request permissions for this article.  It is open access.  What do I need to do toi use this figure?</w:t>
      </w:r>
    </w:p>
  </w:comment>
  <w:comment w:id="17" w:author="Author" w:initials="A">
    <w:p w:rsidR="007F0498" w:rsidRDefault="007F0498">
      <w:pPr>
        <w:pStyle w:val="CommentText"/>
      </w:pPr>
      <w:r>
        <w:rPr>
          <w:rStyle w:val="CommentReference"/>
        </w:rPr>
        <w:annotationRef/>
      </w:r>
      <w:r>
        <w:t>This is Elsevier’s suggested citation for reprints with permission.</w:t>
      </w:r>
    </w:p>
  </w:comment>
  <w:comment w:id="34" w:author="Author" w:initials="A">
    <w:p w:rsidR="007F0498" w:rsidRDefault="007F0498">
      <w:pPr>
        <w:pStyle w:val="CommentText"/>
      </w:pPr>
      <w:r>
        <w:rPr>
          <w:rStyle w:val="CommentReference"/>
        </w:rPr>
        <w:annotationRef/>
      </w:r>
      <w:r>
        <w:t>Website says permission is not needed.  Proper citation?</w:t>
      </w:r>
    </w:p>
  </w:comment>
  <w:comment w:id="70" w:author="Author" w:initials="A">
    <w:p w:rsidR="007F0498" w:rsidRDefault="007F0498" w:rsidP="00111582">
      <w:pPr>
        <w:pStyle w:val="CommentText"/>
      </w:pPr>
      <w:r>
        <w:rPr>
          <w:rStyle w:val="CommentReference"/>
        </w:rPr>
        <w:annotationRef/>
      </w:r>
      <w:r>
        <w:t>Need to have Sun reconfirm this</w:t>
      </w:r>
    </w:p>
  </w:comment>
  <w:comment w:id="100" w:author="Author" w:initials="A">
    <w:p w:rsidR="007F0498" w:rsidRDefault="007F0498" w:rsidP="00962491">
      <w:pPr>
        <w:pStyle w:val="CommentText"/>
      </w:pPr>
      <w:r>
        <w:rPr>
          <w:rStyle w:val="CommentReference"/>
        </w:rPr>
        <w:annotationRef/>
      </w:r>
      <w:r>
        <w:t>These were diluted 1:2000. Data needs to be corrected and converted to mg/L (multiply by 2).</w:t>
      </w:r>
    </w:p>
  </w:comment>
  <w:comment w:id="111" w:author="Author" w:initials="A">
    <w:p w:rsidR="007F0498" w:rsidRDefault="007F0498" w:rsidP="00962491">
      <w:pPr>
        <w:pStyle w:val="CommentText"/>
      </w:pPr>
      <w:r>
        <w:rPr>
          <w:rStyle w:val="CommentReference"/>
        </w:rPr>
        <w:annotationRef/>
      </w:r>
      <w:r>
        <w:t>These were diluted 1:3. Data needs to be corrected.  Multiply by 3</w:t>
      </w:r>
    </w:p>
  </w:comment>
  <w:comment w:id="114" w:author="Author" w:initials="A">
    <w:p w:rsidR="007F0498" w:rsidRDefault="007F0498" w:rsidP="00962491">
      <w:pPr>
        <w:pStyle w:val="CommentText"/>
      </w:pPr>
      <w:r>
        <w:rPr>
          <w:rStyle w:val="CommentReference"/>
        </w:rPr>
        <w:annotationRef/>
      </w:r>
      <w:r>
        <w:t>Need to correct</w:t>
      </w:r>
    </w:p>
  </w:comment>
  <w:comment w:id="115" w:author="Author" w:initials="A">
    <w:p w:rsidR="007F0498" w:rsidRDefault="007F0498" w:rsidP="005817F5">
      <w:pPr>
        <w:pStyle w:val="CommentText"/>
      </w:pPr>
      <w:r>
        <w:rPr>
          <w:rStyle w:val="CommentReference"/>
        </w:rPr>
        <w:annotationRef/>
      </w:r>
      <w:proofErr w:type="gramStart"/>
      <w:r>
        <w:t>delete</w:t>
      </w:r>
      <w:proofErr w:type="gramEnd"/>
    </w:p>
  </w:comment>
  <w:comment w:id="116" w:author="Author" w:initials="A">
    <w:p w:rsidR="007F0498" w:rsidRDefault="007F0498" w:rsidP="005817F5">
      <w:pPr>
        <w:pStyle w:val="CommentText"/>
      </w:pPr>
      <w:r>
        <w:rPr>
          <w:rStyle w:val="CommentReference"/>
        </w:rPr>
        <w:annotationRef/>
      </w:r>
      <w:r>
        <w:t>Should be lower</w:t>
      </w:r>
    </w:p>
  </w:comment>
  <w:comment w:id="117" w:author="Author" w:initials="A">
    <w:p w:rsidR="007F0498" w:rsidRDefault="007F0498" w:rsidP="001D2FF5">
      <w:pPr>
        <w:pStyle w:val="CommentText"/>
      </w:pPr>
      <w:r>
        <w:rPr>
          <w:rStyle w:val="CommentReference"/>
        </w:rPr>
        <w:annotationRef/>
      </w:r>
      <w:r>
        <w:t xml:space="preserve">This is a direct quote from Krauss uncoupling protein Nature Review </w:t>
      </w:r>
    </w:p>
    <w:p w:rsidR="007F0498" w:rsidRDefault="007F0498" w:rsidP="001D2FF5">
      <w:pPr>
        <w:pStyle w:val="CommentText"/>
      </w:pPr>
      <w:proofErr w:type="gramStart"/>
      <w:r>
        <w:t>paper</w:t>
      </w:r>
      <w:proofErr w:type="gramEnd"/>
    </w:p>
  </w:comment>
  <w:comment w:id="113" w:author="Author" w:initials="A">
    <w:p w:rsidR="007F0498" w:rsidRDefault="007F0498">
      <w:pPr>
        <w:pStyle w:val="CommentText"/>
      </w:pPr>
      <w:r>
        <w:rPr>
          <w:rStyle w:val="CommentReference"/>
        </w:rPr>
        <w:annotationRef/>
      </w:r>
      <w:r>
        <w:t>Need to update</w:t>
      </w:r>
    </w:p>
  </w:comment>
  <w:comment w:id="145" w:author="Author" w:initials="A">
    <w:p w:rsidR="007F0498" w:rsidRDefault="007F0498" w:rsidP="0056709A">
      <w:pPr>
        <w:pStyle w:val="CommentText"/>
      </w:pPr>
      <w:r>
        <w:rPr>
          <w:rStyle w:val="CommentReference"/>
        </w:rPr>
        <w:annotationRef/>
      </w:r>
      <w:r>
        <w:t>Need to have Sun reconfirm this</w:t>
      </w:r>
    </w:p>
  </w:comment>
  <w:comment w:id="165" w:author="Author" w:initials="A">
    <w:p w:rsidR="007F0498" w:rsidRDefault="007F0498" w:rsidP="001F5CF0">
      <w:pPr>
        <w:pStyle w:val="CommentText"/>
      </w:pPr>
      <w:r>
        <w:rPr>
          <w:rStyle w:val="CommentReference"/>
        </w:rPr>
        <w:annotationRef/>
      </w:r>
      <w:r>
        <w:t>These were diluted 1:2000. Data needs to be corrected and converted to mg/L (multiply by 2).</w:t>
      </w:r>
    </w:p>
  </w:comment>
  <w:comment w:id="170" w:author="Author" w:initials="A">
    <w:p w:rsidR="007F0498" w:rsidRDefault="007F0498" w:rsidP="003C79C1">
      <w:pPr>
        <w:pStyle w:val="CommentText"/>
      </w:pPr>
      <w:r>
        <w:rPr>
          <w:rStyle w:val="CommentReference"/>
        </w:rPr>
        <w:annotationRef/>
      </w:r>
      <w:r>
        <w:t>These were diluted 1:3. Data needs to be corrected.  Multiply by 3</w:t>
      </w:r>
    </w:p>
  </w:comment>
  <w:comment w:id="173" w:author="Author" w:initials="A">
    <w:p w:rsidR="007F0498" w:rsidRDefault="007F0498" w:rsidP="00F24665">
      <w:pPr>
        <w:pStyle w:val="CommentText"/>
      </w:pPr>
      <w:r>
        <w:rPr>
          <w:rStyle w:val="CommentReference"/>
        </w:rPr>
        <w:annotationRef/>
      </w:r>
      <w:r>
        <w:t>Need to correct</w:t>
      </w:r>
    </w:p>
  </w:comment>
  <w:comment w:id="172" w:author="Author" w:initials="A">
    <w:p w:rsidR="007F0498" w:rsidRDefault="007F0498">
      <w:pPr>
        <w:pStyle w:val="CommentText"/>
      </w:pPr>
      <w:r>
        <w:rPr>
          <w:rStyle w:val="CommentReference"/>
        </w:rPr>
        <w:annotationRef/>
      </w:r>
      <w:r>
        <w:t>Needs to be updated</w:t>
      </w:r>
    </w:p>
  </w:comment>
  <w:comment w:id="175" w:author="Author" w:initials="A">
    <w:p w:rsidR="007F0498" w:rsidRDefault="007F0498" w:rsidP="00F24665">
      <w:pPr>
        <w:pStyle w:val="CommentText"/>
      </w:pPr>
      <w:r>
        <w:rPr>
          <w:rStyle w:val="CommentReference"/>
        </w:rPr>
        <w:annotationRef/>
      </w:r>
      <w:proofErr w:type="gramStart"/>
      <w:r>
        <w:t>delete</w:t>
      </w:r>
      <w:proofErr w:type="gramEnd"/>
    </w:p>
  </w:comment>
  <w:comment w:id="176" w:author="Author" w:initials="A">
    <w:p w:rsidR="007F0498" w:rsidRDefault="007F0498" w:rsidP="00F24665">
      <w:pPr>
        <w:pStyle w:val="CommentText"/>
      </w:pPr>
      <w:r>
        <w:rPr>
          <w:rStyle w:val="CommentReference"/>
        </w:rPr>
        <w:annotationRef/>
      </w:r>
      <w:r>
        <w:t>Should be lower</w:t>
      </w:r>
    </w:p>
  </w:comment>
  <w:comment w:id="177" w:author="Author" w:initials="A">
    <w:p w:rsidR="007F0498" w:rsidRDefault="007F0498" w:rsidP="001D2FF5">
      <w:pPr>
        <w:pStyle w:val="CommentText"/>
      </w:pPr>
      <w:r>
        <w:rPr>
          <w:rStyle w:val="CommentReference"/>
        </w:rPr>
        <w:annotationRef/>
      </w:r>
      <w:r>
        <w:t xml:space="preserve">This is a direct quote from Krauss uncoupling protein Nature Review </w:t>
      </w:r>
    </w:p>
    <w:p w:rsidR="007F0498" w:rsidRDefault="007F0498" w:rsidP="001D2FF5">
      <w:pPr>
        <w:pStyle w:val="CommentText"/>
      </w:pPr>
      <w:proofErr w:type="gramStart"/>
      <w:r>
        <w:t>paper</w:t>
      </w:r>
      <w:proofErr w:type="gramEnd"/>
    </w:p>
  </w:comment>
  <w:comment w:id="174" w:author="Author" w:initials="A">
    <w:p w:rsidR="007F0498" w:rsidRDefault="007F0498">
      <w:pPr>
        <w:pStyle w:val="CommentText"/>
      </w:pPr>
      <w:r>
        <w:rPr>
          <w:rStyle w:val="CommentReference"/>
        </w:rPr>
        <w:annotationRef/>
      </w:r>
      <w:r>
        <w:t>Needs to be updated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498" w:rsidRDefault="007F0498" w:rsidP="005E54E2">
      <w:r>
        <w:separator/>
      </w:r>
    </w:p>
    <w:p w:rsidR="007F0498" w:rsidRDefault="007F0498" w:rsidP="005E54E2"/>
    <w:p w:rsidR="007F0498" w:rsidRDefault="007F0498" w:rsidP="005E54E2"/>
    <w:p w:rsidR="007F0498" w:rsidRDefault="007F0498" w:rsidP="005E54E2"/>
  </w:endnote>
  <w:endnote w:type="continuationSeparator" w:id="0">
    <w:p w:rsidR="007F0498" w:rsidRDefault="007F0498" w:rsidP="005E54E2">
      <w:r>
        <w:continuationSeparator/>
      </w:r>
    </w:p>
    <w:p w:rsidR="007F0498" w:rsidRDefault="007F0498" w:rsidP="005E54E2"/>
    <w:p w:rsidR="007F0498" w:rsidRDefault="007F0498" w:rsidP="005E54E2"/>
    <w:p w:rsidR="007F0498" w:rsidRDefault="007F0498"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Neue-BoldCond">
    <w:panose1 w:val="00000000000000000000"/>
    <w:charset w:val="00"/>
    <w:family w:val="swiss"/>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dvsymbl">
    <w:panose1 w:val="00000000000000000000"/>
    <w:charset w:val="00"/>
    <w:family w:val="auto"/>
    <w:notTrueType/>
    <w:pitch w:val="default"/>
    <w:sig w:usb0="00000003" w:usb1="00000000" w:usb2="00000000" w:usb3="00000000" w:csb0="00000001" w:csb1="00000000"/>
  </w:font>
  <w:font w:name="AdvTT50a2f13e.I">
    <w:panose1 w:val="00000000000000000000"/>
    <w:charset w:val="00"/>
    <w:family w:val="swiss"/>
    <w:notTrueType/>
    <w:pitch w:val="default"/>
    <w:sig w:usb0="00000003" w:usb1="00000000" w:usb2="00000000" w:usb3="00000000" w:csb0="00000001" w:csb1="00000000"/>
  </w:font>
  <w:font w:name="AdvTT3713a231+03">
    <w:altName w:val="Times New Roman"/>
    <w:panose1 w:val="00000000000000000000"/>
    <w:charset w:val="A1"/>
    <w:family w:val="auto"/>
    <w:notTrueType/>
    <w:pitch w:val="default"/>
    <w:sig w:usb0="00000081" w:usb1="00000000" w:usb2="00000000" w:usb3="00000000" w:csb0="00000008" w:csb1="00000000"/>
  </w:font>
  <w:font w:name="AdvTT50a2f13e.I+03">
    <w:altName w:val="Times New Roman"/>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498" w:rsidRDefault="007F0498">
    <w:pPr>
      <w:jc w:val="right"/>
    </w:pPr>
    <w:r>
      <w:fldChar w:fldCharType="begin"/>
    </w:r>
    <w:r>
      <w:instrText xml:space="preserve"> PAGE   \* MERGEFORMAT </w:instrText>
    </w:r>
    <w:r>
      <w:fldChar w:fldCharType="separate"/>
    </w:r>
    <w:r w:rsidR="00B96DA8">
      <w:rPr>
        <w:noProof/>
      </w:rPr>
      <w:t>213</w:t>
    </w:r>
    <w:r>
      <w:rPr>
        <w:noProof/>
      </w:rPr>
      <w:fldChar w:fldCharType="end"/>
    </w:r>
  </w:p>
  <w:p w:rsidR="007F0498" w:rsidRDefault="007F0498"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498" w:rsidRDefault="007F0498" w:rsidP="005E54E2">
      <w:r>
        <w:separator/>
      </w:r>
    </w:p>
    <w:p w:rsidR="007F0498" w:rsidRDefault="007F0498" w:rsidP="005E54E2"/>
    <w:p w:rsidR="007F0498" w:rsidRDefault="007F0498" w:rsidP="005E54E2"/>
    <w:p w:rsidR="007F0498" w:rsidRDefault="007F0498" w:rsidP="005E54E2"/>
  </w:footnote>
  <w:footnote w:type="continuationSeparator" w:id="0">
    <w:p w:rsidR="007F0498" w:rsidRDefault="007F0498" w:rsidP="005E54E2">
      <w:r>
        <w:continuationSeparator/>
      </w:r>
    </w:p>
    <w:p w:rsidR="007F0498" w:rsidRDefault="007F0498" w:rsidP="005E54E2"/>
    <w:p w:rsidR="007F0498" w:rsidRDefault="007F0498" w:rsidP="005E54E2"/>
    <w:p w:rsidR="007F0498" w:rsidRDefault="007F0498"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26EE2"/>
    <w:multiLevelType w:val="hybridMultilevel"/>
    <w:tmpl w:val="2194A4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B3C28"/>
    <w:multiLevelType w:val="hybridMultilevel"/>
    <w:tmpl w:val="1838649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nsid w:val="0A3D01B4"/>
    <w:multiLevelType w:val="hybridMultilevel"/>
    <w:tmpl w:val="1A42A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B30A45"/>
    <w:multiLevelType w:val="hybridMultilevel"/>
    <w:tmpl w:val="393CFE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D255920"/>
    <w:multiLevelType w:val="hybridMultilevel"/>
    <w:tmpl w:val="DC44C0D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nsid w:val="2AD31821"/>
    <w:multiLevelType w:val="hybridMultilevel"/>
    <w:tmpl w:val="6E9839F2"/>
    <w:lvl w:ilvl="0" w:tplc="8CC25504">
      <w:start w:val="1"/>
      <w:numFmt w:val="decimal"/>
      <w:lvlText w:val="%1."/>
      <w:lvlJc w:val="left"/>
      <w:pPr>
        <w:ind w:left="360" w:hanging="360"/>
      </w:pPr>
      <w:rPr>
        <w:rFonts w:ascii="Arial" w:eastAsia="Times New Roman" w:hAnsi="Arial" w:cs="Aria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0462A74"/>
    <w:multiLevelType w:val="hybridMultilevel"/>
    <w:tmpl w:val="A30EE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5736BB"/>
    <w:multiLevelType w:val="hybridMultilevel"/>
    <w:tmpl w:val="2194A4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093C88"/>
    <w:multiLevelType w:val="multilevel"/>
    <w:tmpl w:val="F45E511C"/>
    <w:lvl w:ilvl="0">
      <w:start w:val="1"/>
      <w:numFmt w:val="decimal"/>
      <w:lvlText w:val="%1.0"/>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nsid w:val="3B1424F0"/>
    <w:multiLevelType w:val="hybridMultilevel"/>
    <w:tmpl w:val="55F6451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E383519"/>
    <w:multiLevelType w:val="hybridMultilevel"/>
    <w:tmpl w:val="2194A4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BB3696"/>
    <w:multiLevelType w:val="hybridMultilevel"/>
    <w:tmpl w:val="998E49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EF30C6"/>
    <w:multiLevelType w:val="hybridMultilevel"/>
    <w:tmpl w:val="2194A4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8C53B58"/>
    <w:multiLevelType w:val="hybridMultilevel"/>
    <w:tmpl w:val="AB3EF7A8"/>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B150A7F"/>
    <w:multiLevelType w:val="hybridMultilevel"/>
    <w:tmpl w:val="D8DCF57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4735753"/>
    <w:multiLevelType w:val="hybridMultilevel"/>
    <w:tmpl w:val="8BE2F7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A1D1F7F"/>
    <w:multiLevelType w:val="hybridMultilevel"/>
    <w:tmpl w:val="FCD079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6DA775DF"/>
    <w:multiLevelType w:val="hybridMultilevel"/>
    <w:tmpl w:val="A07A118E"/>
    <w:lvl w:ilvl="0" w:tplc="301AB934">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62E1EFB"/>
    <w:multiLevelType w:val="hybridMultilevel"/>
    <w:tmpl w:val="50F2EE7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62F4554"/>
    <w:multiLevelType w:val="hybridMultilevel"/>
    <w:tmpl w:val="E87C94B8"/>
    <w:lvl w:ilvl="0" w:tplc="8CC25504">
      <w:start w:val="1"/>
      <w:numFmt w:val="decimal"/>
      <w:lvlText w:val="%1."/>
      <w:lvlJc w:val="left"/>
      <w:pPr>
        <w:ind w:left="36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EBC58E4"/>
    <w:multiLevelType w:val="hybridMultilevel"/>
    <w:tmpl w:val="DD442E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6"/>
  </w:num>
  <w:num w:numId="3">
    <w:abstractNumId w:val="8"/>
  </w:num>
  <w:num w:numId="4">
    <w:abstractNumId w:val="4"/>
  </w:num>
  <w:num w:numId="5">
    <w:abstractNumId w:val="9"/>
  </w:num>
  <w:num w:numId="6">
    <w:abstractNumId w:val="7"/>
  </w:num>
  <w:num w:numId="7">
    <w:abstractNumId w:val="1"/>
  </w:num>
  <w:num w:numId="8">
    <w:abstractNumId w:val="18"/>
  </w:num>
  <w:num w:numId="9">
    <w:abstractNumId w:val="11"/>
  </w:num>
  <w:num w:numId="10">
    <w:abstractNumId w:val="16"/>
  </w:num>
  <w:num w:numId="11">
    <w:abstractNumId w:val="12"/>
  </w:num>
  <w:num w:numId="12">
    <w:abstractNumId w:val="14"/>
  </w:num>
  <w:num w:numId="13">
    <w:abstractNumId w:val="3"/>
  </w:num>
  <w:num w:numId="14">
    <w:abstractNumId w:val="0"/>
  </w:num>
  <w:num w:numId="15">
    <w:abstractNumId w:val="13"/>
  </w:num>
  <w:num w:numId="16">
    <w:abstractNumId w:val="20"/>
  </w:num>
  <w:num w:numId="17">
    <w:abstractNumId w:val="10"/>
  </w:num>
  <w:num w:numId="18">
    <w:abstractNumId w:val="5"/>
  </w:num>
  <w:num w:numId="19">
    <w:abstractNumId w:val="15"/>
  </w:num>
  <w:num w:numId="20">
    <w:abstractNumId w:val="17"/>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proofState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C7A"/>
    <w:rsid w:val="00001224"/>
    <w:rsid w:val="00002E63"/>
    <w:rsid w:val="00003F6A"/>
    <w:rsid w:val="00004677"/>
    <w:rsid w:val="00004922"/>
    <w:rsid w:val="00006F84"/>
    <w:rsid w:val="00007E9F"/>
    <w:rsid w:val="000104CB"/>
    <w:rsid w:val="00011532"/>
    <w:rsid w:val="000130BF"/>
    <w:rsid w:val="00014A3E"/>
    <w:rsid w:val="00014C2A"/>
    <w:rsid w:val="0001561F"/>
    <w:rsid w:val="000158A4"/>
    <w:rsid w:val="000166A9"/>
    <w:rsid w:val="00016A52"/>
    <w:rsid w:val="00017EEA"/>
    <w:rsid w:val="00022128"/>
    <w:rsid w:val="000223CB"/>
    <w:rsid w:val="00022F3E"/>
    <w:rsid w:val="000235E8"/>
    <w:rsid w:val="000236DC"/>
    <w:rsid w:val="00025B5D"/>
    <w:rsid w:val="00025B7A"/>
    <w:rsid w:val="00025BD5"/>
    <w:rsid w:val="00026957"/>
    <w:rsid w:val="00026DB4"/>
    <w:rsid w:val="00027130"/>
    <w:rsid w:val="0002775E"/>
    <w:rsid w:val="0003110D"/>
    <w:rsid w:val="0003184D"/>
    <w:rsid w:val="00032668"/>
    <w:rsid w:val="00032878"/>
    <w:rsid w:val="000329A9"/>
    <w:rsid w:val="00033C56"/>
    <w:rsid w:val="00036037"/>
    <w:rsid w:val="0004032C"/>
    <w:rsid w:val="00040528"/>
    <w:rsid w:val="0004342B"/>
    <w:rsid w:val="0004517E"/>
    <w:rsid w:val="000466B0"/>
    <w:rsid w:val="00046C51"/>
    <w:rsid w:val="00046DD8"/>
    <w:rsid w:val="00047037"/>
    <w:rsid w:val="000538D6"/>
    <w:rsid w:val="000560D3"/>
    <w:rsid w:val="00057004"/>
    <w:rsid w:val="0005711F"/>
    <w:rsid w:val="0005774B"/>
    <w:rsid w:val="00057884"/>
    <w:rsid w:val="00060DB2"/>
    <w:rsid w:val="00062186"/>
    <w:rsid w:val="0006255E"/>
    <w:rsid w:val="00062F91"/>
    <w:rsid w:val="000630B7"/>
    <w:rsid w:val="00064C5A"/>
    <w:rsid w:val="00065530"/>
    <w:rsid w:val="00065688"/>
    <w:rsid w:val="000656DC"/>
    <w:rsid w:val="00065BB7"/>
    <w:rsid w:val="00065E7F"/>
    <w:rsid w:val="00066CA3"/>
    <w:rsid w:val="00070E9A"/>
    <w:rsid w:val="00071FB8"/>
    <w:rsid w:val="000724ED"/>
    <w:rsid w:val="000726B2"/>
    <w:rsid w:val="00073203"/>
    <w:rsid w:val="00074A77"/>
    <w:rsid w:val="00076A95"/>
    <w:rsid w:val="00077EC3"/>
    <w:rsid w:val="0008204A"/>
    <w:rsid w:val="0008222C"/>
    <w:rsid w:val="0008245A"/>
    <w:rsid w:val="00083425"/>
    <w:rsid w:val="000840B4"/>
    <w:rsid w:val="000847C1"/>
    <w:rsid w:val="00084E38"/>
    <w:rsid w:val="00085149"/>
    <w:rsid w:val="000863B6"/>
    <w:rsid w:val="00087EFD"/>
    <w:rsid w:val="000907E8"/>
    <w:rsid w:val="000911D6"/>
    <w:rsid w:val="00093D0B"/>
    <w:rsid w:val="000952D7"/>
    <w:rsid w:val="000A0CC0"/>
    <w:rsid w:val="000A14FE"/>
    <w:rsid w:val="000A2582"/>
    <w:rsid w:val="000A492A"/>
    <w:rsid w:val="000A591E"/>
    <w:rsid w:val="000A5D8C"/>
    <w:rsid w:val="000A65B0"/>
    <w:rsid w:val="000B0F92"/>
    <w:rsid w:val="000B1473"/>
    <w:rsid w:val="000B1A75"/>
    <w:rsid w:val="000B2F3C"/>
    <w:rsid w:val="000B3EAB"/>
    <w:rsid w:val="000B5C42"/>
    <w:rsid w:val="000B6308"/>
    <w:rsid w:val="000C5CC3"/>
    <w:rsid w:val="000C5CD5"/>
    <w:rsid w:val="000C636C"/>
    <w:rsid w:val="000C66CF"/>
    <w:rsid w:val="000C7025"/>
    <w:rsid w:val="000C799F"/>
    <w:rsid w:val="000D197C"/>
    <w:rsid w:val="000D201B"/>
    <w:rsid w:val="000D3F2A"/>
    <w:rsid w:val="000D4C3C"/>
    <w:rsid w:val="000D5306"/>
    <w:rsid w:val="000D5D0B"/>
    <w:rsid w:val="000D6456"/>
    <w:rsid w:val="000D76FC"/>
    <w:rsid w:val="000E067D"/>
    <w:rsid w:val="000E0799"/>
    <w:rsid w:val="000E1B14"/>
    <w:rsid w:val="000E2C05"/>
    <w:rsid w:val="000E50C8"/>
    <w:rsid w:val="000E674C"/>
    <w:rsid w:val="000F14AA"/>
    <w:rsid w:val="000F1E33"/>
    <w:rsid w:val="000F29E8"/>
    <w:rsid w:val="000F3921"/>
    <w:rsid w:val="000F525F"/>
    <w:rsid w:val="000F55A5"/>
    <w:rsid w:val="000F7DA4"/>
    <w:rsid w:val="000F7EBA"/>
    <w:rsid w:val="001001EB"/>
    <w:rsid w:val="0010217F"/>
    <w:rsid w:val="001034FA"/>
    <w:rsid w:val="001039E8"/>
    <w:rsid w:val="00104279"/>
    <w:rsid w:val="0010435F"/>
    <w:rsid w:val="0010606D"/>
    <w:rsid w:val="00110F53"/>
    <w:rsid w:val="00111582"/>
    <w:rsid w:val="001116B7"/>
    <w:rsid w:val="00112A06"/>
    <w:rsid w:val="00112CAD"/>
    <w:rsid w:val="00113263"/>
    <w:rsid w:val="001133EC"/>
    <w:rsid w:val="00113734"/>
    <w:rsid w:val="00113A23"/>
    <w:rsid w:val="00114B29"/>
    <w:rsid w:val="001159A6"/>
    <w:rsid w:val="00116C0E"/>
    <w:rsid w:val="00116C97"/>
    <w:rsid w:val="00117185"/>
    <w:rsid w:val="00125969"/>
    <w:rsid w:val="001266A9"/>
    <w:rsid w:val="00126839"/>
    <w:rsid w:val="00126B17"/>
    <w:rsid w:val="0013021C"/>
    <w:rsid w:val="0013170F"/>
    <w:rsid w:val="00131B7E"/>
    <w:rsid w:val="00132F0C"/>
    <w:rsid w:val="001337B7"/>
    <w:rsid w:val="00134E52"/>
    <w:rsid w:val="00136898"/>
    <w:rsid w:val="0013775C"/>
    <w:rsid w:val="00140466"/>
    <w:rsid w:val="001444A7"/>
    <w:rsid w:val="00147E7C"/>
    <w:rsid w:val="001505CC"/>
    <w:rsid w:val="00153088"/>
    <w:rsid w:val="001531CB"/>
    <w:rsid w:val="00155C01"/>
    <w:rsid w:val="001560AB"/>
    <w:rsid w:val="00156688"/>
    <w:rsid w:val="00157034"/>
    <w:rsid w:val="00160114"/>
    <w:rsid w:val="00161BA5"/>
    <w:rsid w:val="00165284"/>
    <w:rsid w:val="00165324"/>
    <w:rsid w:val="00165CA8"/>
    <w:rsid w:val="001660B1"/>
    <w:rsid w:val="001668E0"/>
    <w:rsid w:val="00167658"/>
    <w:rsid w:val="00167A76"/>
    <w:rsid w:val="00171BD1"/>
    <w:rsid w:val="00171DCA"/>
    <w:rsid w:val="00172167"/>
    <w:rsid w:val="00173733"/>
    <w:rsid w:val="00175E4E"/>
    <w:rsid w:val="0017652C"/>
    <w:rsid w:val="001823D6"/>
    <w:rsid w:val="00182DFC"/>
    <w:rsid w:val="00184139"/>
    <w:rsid w:val="00184B68"/>
    <w:rsid w:val="001854FB"/>
    <w:rsid w:val="00186185"/>
    <w:rsid w:val="0019051C"/>
    <w:rsid w:val="00192F3F"/>
    <w:rsid w:val="00193060"/>
    <w:rsid w:val="001931A3"/>
    <w:rsid w:val="00193642"/>
    <w:rsid w:val="00196B7E"/>
    <w:rsid w:val="0019702C"/>
    <w:rsid w:val="001975C9"/>
    <w:rsid w:val="00197D02"/>
    <w:rsid w:val="001A000F"/>
    <w:rsid w:val="001A1A36"/>
    <w:rsid w:val="001A4422"/>
    <w:rsid w:val="001A49F3"/>
    <w:rsid w:val="001A66EB"/>
    <w:rsid w:val="001A7586"/>
    <w:rsid w:val="001B0EA9"/>
    <w:rsid w:val="001B1034"/>
    <w:rsid w:val="001B274E"/>
    <w:rsid w:val="001B31FB"/>
    <w:rsid w:val="001B40BF"/>
    <w:rsid w:val="001B4F8F"/>
    <w:rsid w:val="001B583E"/>
    <w:rsid w:val="001B6A9A"/>
    <w:rsid w:val="001B7057"/>
    <w:rsid w:val="001B7532"/>
    <w:rsid w:val="001B7A17"/>
    <w:rsid w:val="001B7DBF"/>
    <w:rsid w:val="001C031C"/>
    <w:rsid w:val="001C0CD2"/>
    <w:rsid w:val="001C39F6"/>
    <w:rsid w:val="001C4A7E"/>
    <w:rsid w:val="001C66FE"/>
    <w:rsid w:val="001C7FD7"/>
    <w:rsid w:val="001D07FE"/>
    <w:rsid w:val="001D26F2"/>
    <w:rsid w:val="001D2FF5"/>
    <w:rsid w:val="001D4107"/>
    <w:rsid w:val="001D43DE"/>
    <w:rsid w:val="001D4908"/>
    <w:rsid w:val="001D4E8E"/>
    <w:rsid w:val="001D6904"/>
    <w:rsid w:val="001D73C7"/>
    <w:rsid w:val="001D7777"/>
    <w:rsid w:val="001E00FF"/>
    <w:rsid w:val="001E1495"/>
    <w:rsid w:val="001E1F2C"/>
    <w:rsid w:val="001E2A0E"/>
    <w:rsid w:val="001E3F83"/>
    <w:rsid w:val="001E4000"/>
    <w:rsid w:val="001E438A"/>
    <w:rsid w:val="001F1242"/>
    <w:rsid w:val="001F23B2"/>
    <w:rsid w:val="001F3202"/>
    <w:rsid w:val="001F43C1"/>
    <w:rsid w:val="001F43C6"/>
    <w:rsid w:val="001F522F"/>
    <w:rsid w:val="001F5CF0"/>
    <w:rsid w:val="001F6BA4"/>
    <w:rsid w:val="001F7346"/>
    <w:rsid w:val="00200FDA"/>
    <w:rsid w:val="002010D0"/>
    <w:rsid w:val="0020135D"/>
    <w:rsid w:val="00201F7D"/>
    <w:rsid w:val="00202AEA"/>
    <w:rsid w:val="0020400A"/>
    <w:rsid w:val="00207083"/>
    <w:rsid w:val="00212719"/>
    <w:rsid w:val="00214623"/>
    <w:rsid w:val="00215029"/>
    <w:rsid w:val="002157DD"/>
    <w:rsid w:val="00215C1D"/>
    <w:rsid w:val="00216AA5"/>
    <w:rsid w:val="00217946"/>
    <w:rsid w:val="00220AD0"/>
    <w:rsid w:val="00221974"/>
    <w:rsid w:val="002225BE"/>
    <w:rsid w:val="00226870"/>
    <w:rsid w:val="00226BA7"/>
    <w:rsid w:val="00226D10"/>
    <w:rsid w:val="00230A04"/>
    <w:rsid w:val="00231EDB"/>
    <w:rsid w:val="00235F42"/>
    <w:rsid w:val="0023634B"/>
    <w:rsid w:val="00236E6D"/>
    <w:rsid w:val="002373C9"/>
    <w:rsid w:val="00240D09"/>
    <w:rsid w:val="00241D87"/>
    <w:rsid w:val="00241F99"/>
    <w:rsid w:val="002429E5"/>
    <w:rsid w:val="002435D3"/>
    <w:rsid w:val="002502E3"/>
    <w:rsid w:val="00252636"/>
    <w:rsid w:val="0025277A"/>
    <w:rsid w:val="0025290E"/>
    <w:rsid w:val="00254B6C"/>
    <w:rsid w:val="002565AE"/>
    <w:rsid w:val="002602FB"/>
    <w:rsid w:val="00261314"/>
    <w:rsid w:val="002614D9"/>
    <w:rsid w:val="00262974"/>
    <w:rsid w:val="002633E2"/>
    <w:rsid w:val="00263477"/>
    <w:rsid w:val="00265C9F"/>
    <w:rsid w:val="00265EE4"/>
    <w:rsid w:val="00267881"/>
    <w:rsid w:val="00271320"/>
    <w:rsid w:val="002722B3"/>
    <w:rsid w:val="00273174"/>
    <w:rsid w:val="00275790"/>
    <w:rsid w:val="00280413"/>
    <w:rsid w:val="00280CEF"/>
    <w:rsid w:val="00283D25"/>
    <w:rsid w:val="00286A54"/>
    <w:rsid w:val="0028713E"/>
    <w:rsid w:val="0028757A"/>
    <w:rsid w:val="0028764B"/>
    <w:rsid w:val="00287BC1"/>
    <w:rsid w:val="00292299"/>
    <w:rsid w:val="00292327"/>
    <w:rsid w:val="002928C6"/>
    <w:rsid w:val="00297516"/>
    <w:rsid w:val="002A007D"/>
    <w:rsid w:val="002A071A"/>
    <w:rsid w:val="002A0788"/>
    <w:rsid w:val="002A23F7"/>
    <w:rsid w:val="002A242F"/>
    <w:rsid w:val="002A3264"/>
    <w:rsid w:val="002A49F2"/>
    <w:rsid w:val="002A55AC"/>
    <w:rsid w:val="002A6F3E"/>
    <w:rsid w:val="002A7847"/>
    <w:rsid w:val="002B0DEE"/>
    <w:rsid w:val="002B318A"/>
    <w:rsid w:val="002B5E74"/>
    <w:rsid w:val="002C12E6"/>
    <w:rsid w:val="002C1725"/>
    <w:rsid w:val="002C1D55"/>
    <w:rsid w:val="002C773E"/>
    <w:rsid w:val="002D09DC"/>
    <w:rsid w:val="002D0A16"/>
    <w:rsid w:val="002D19BB"/>
    <w:rsid w:val="002D1F66"/>
    <w:rsid w:val="002D2E75"/>
    <w:rsid w:val="002D43E9"/>
    <w:rsid w:val="002D5701"/>
    <w:rsid w:val="002D5B87"/>
    <w:rsid w:val="002E04DB"/>
    <w:rsid w:val="002E06D4"/>
    <w:rsid w:val="002E0C33"/>
    <w:rsid w:val="002E1432"/>
    <w:rsid w:val="002E1B48"/>
    <w:rsid w:val="002E2492"/>
    <w:rsid w:val="002E32A7"/>
    <w:rsid w:val="002E3F87"/>
    <w:rsid w:val="002E5F14"/>
    <w:rsid w:val="002E6D61"/>
    <w:rsid w:val="002E726B"/>
    <w:rsid w:val="002F1789"/>
    <w:rsid w:val="002F1CE3"/>
    <w:rsid w:val="002F23F1"/>
    <w:rsid w:val="002F34C3"/>
    <w:rsid w:val="002F49A2"/>
    <w:rsid w:val="002F49E4"/>
    <w:rsid w:val="002F4CD9"/>
    <w:rsid w:val="002F5D71"/>
    <w:rsid w:val="002F6C76"/>
    <w:rsid w:val="00300B74"/>
    <w:rsid w:val="0030112E"/>
    <w:rsid w:val="003013F8"/>
    <w:rsid w:val="00302745"/>
    <w:rsid w:val="003029EB"/>
    <w:rsid w:val="00303DF5"/>
    <w:rsid w:val="00304609"/>
    <w:rsid w:val="00304BD0"/>
    <w:rsid w:val="003050E0"/>
    <w:rsid w:val="00306318"/>
    <w:rsid w:val="00307D77"/>
    <w:rsid w:val="0031000B"/>
    <w:rsid w:val="0031042F"/>
    <w:rsid w:val="00310F07"/>
    <w:rsid w:val="00311E08"/>
    <w:rsid w:val="00313B3D"/>
    <w:rsid w:val="00313E9E"/>
    <w:rsid w:val="003143D1"/>
    <w:rsid w:val="00314FFA"/>
    <w:rsid w:val="003150D5"/>
    <w:rsid w:val="00315695"/>
    <w:rsid w:val="00317036"/>
    <w:rsid w:val="00317F9D"/>
    <w:rsid w:val="003206F1"/>
    <w:rsid w:val="00320F78"/>
    <w:rsid w:val="0032450C"/>
    <w:rsid w:val="00325C16"/>
    <w:rsid w:val="00327784"/>
    <w:rsid w:val="00330EAB"/>
    <w:rsid w:val="00331FB0"/>
    <w:rsid w:val="00332248"/>
    <w:rsid w:val="00333F3B"/>
    <w:rsid w:val="00334081"/>
    <w:rsid w:val="00334400"/>
    <w:rsid w:val="003348A6"/>
    <w:rsid w:val="00334FC9"/>
    <w:rsid w:val="00335207"/>
    <w:rsid w:val="00335B70"/>
    <w:rsid w:val="0033642D"/>
    <w:rsid w:val="00336F03"/>
    <w:rsid w:val="00340E3A"/>
    <w:rsid w:val="003414E3"/>
    <w:rsid w:val="00347E50"/>
    <w:rsid w:val="003507FB"/>
    <w:rsid w:val="0035299A"/>
    <w:rsid w:val="0035626D"/>
    <w:rsid w:val="0035768F"/>
    <w:rsid w:val="00360696"/>
    <w:rsid w:val="00360B3C"/>
    <w:rsid w:val="0036251E"/>
    <w:rsid w:val="00362A5B"/>
    <w:rsid w:val="00362D07"/>
    <w:rsid w:val="003644A7"/>
    <w:rsid w:val="00364C85"/>
    <w:rsid w:val="0036625C"/>
    <w:rsid w:val="0036669A"/>
    <w:rsid w:val="003667F5"/>
    <w:rsid w:val="00372307"/>
    <w:rsid w:val="00372AB3"/>
    <w:rsid w:val="00373605"/>
    <w:rsid w:val="00374F09"/>
    <w:rsid w:val="00375CBA"/>
    <w:rsid w:val="00375D3A"/>
    <w:rsid w:val="003765BE"/>
    <w:rsid w:val="00376B5E"/>
    <w:rsid w:val="00377BDD"/>
    <w:rsid w:val="0038082C"/>
    <w:rsid w:val="00380A66"/>
    <w:rsid w:val="00381042"/>
    <w:rsid w:val="0038177C"/>
    <w:rsid w:val="003836EB"/>
    <w:rsid w:val="00383BC1"/>
    <w:rsid w:val="00383F6D"/>
    <w:rsid w:val="003840B7"/>
    <w:rsid w:val="003857A5"/>
    <w:rsid w:val="00386C3A"/>
    <w:rsid w:val="00387024"/>
    <w:rsid w:val="00387656"/>
    <w:rsid w:val="00392AC1"/>
    <w:rsid w:val="00392ED0"/>
    <w:rsid w:val="00393ACE"/>
    <w:rsid w:val="00395DA9"/>
    <w:rsid w:val="00396A55"/>
    <w:rsid w:val="003A0E08"/>
    <w:rsid w:val="003A2742"/>
    <w:rsid w:val="003A2A33"/>
    <w:rsid w:val="003A2AD1"/>
    <w:rsid w:val="003A487F"/>
    <w:rsid w:val="003A6030"/>
    <w:rsid w:val="003B015F"/>
    <w:rsid w:val="003B0C3C"/>
    <w:rsid w:val="003B15BE"/>
    <w:rsid w:val="003B1C9B"/>
    <w:rsid w:val="003B1CDB"/>
    <w:rsid w:val="003B29C3"/>
    <w:rsid w:val="003B36B4"/>
    <w:rsid w:val="003B4B1F"/>
    <w:rsid w:val="003B543A"/>
    <w:rsid w:val="003B7034"/>
    <w:rsid w:val="003C070F"/>
    <w:rsid w:val="003C0776"/>
    <w:rsid w:val="003C1575"/>
    <w:rsid w:val="003C26F1"/>
    <w:rsid w:val="003C3739"/>
    <w:rsid w:val="003C3F2F"/>
    <w:rsid w:val="003C482E"/>
    <w:rsid w:val="003C49AF"/>
    <w:rsid w:val="003C4C0B"/>
    <w:rsid w:val="003C5A50"/>
    <w:rsid w:val="003C609A"/>
    <w:rsid w:val="003C6C46"/>
    <w:rsid w:val="003C79C1"/>
    <w:rsid w:val="003C7BBD"/>
    <w:rsid w:val="003C7C6A"/>
    <w:rsid w:val="003C7FC5"/>
    <w:rsid w:val="003D07F7"/>
    <w:rsid w:val="003D0937"/>
    <w:rsid w:val="003D0FC0"/>
    <w:rsid w:val="003D4525"/>
    <w:rsid w:val="003D5275"/>
    <w:rsid w:val="003D5371"/>
    <w:rsid w:val="003D63DF"/>
    <w:rsid w:val="003D737F"/>
    <w:rsid w:val="003D7526"/>
    <w:rsid w:val="003D77D5"/>
    <w:rsid w:val="003E08D1"/>
    <w:rsid w:val="003E0EC0"/>
    <w:rsid w:val="003E1680"/>
    <w:rsid w:val="003E187B"/>
    <w:rsid w:val="003E20E3"/>
    <w:rsid w:val="003E276D"/>
    <w:rsid w:val="003E3842"/>
    <w:rsid w:val="003E479A"/>
    <w:rsid w:val="003E5FA4"/>
    <w:rsid w:val="003E64BA"/>
    <w:rsid w:val="003E6C60"/>
    <w:rsid w:val="003E7D46"/>
    <w:rsid w:val="003F1AC3"/>
    <w:rsid w:val="003F1C34"/>
    <w:rsid w:val="003F58BC"/>
    <w:rsid w:val="003F620C"/>
    <w:rsid w:val="003F688A"/>
    <w:rsid w:val="003F7474"/>
    <w:rsid w:val="003F7963"/>
    <w:rsid w:val="00401ED5"/>
    <w:rsid w:val="00403C34"/>
    <w:rsid w:val="00404616"/>
    <w:rsid w:val="004048EB"/>
    <w:rsid w:val="0040778E"/>
    <w:rsid w:val="00407A72"/>
    <w:rsid w:val="00407B6A"/>
    <w:rsid w:val="00407E1F"/>
    <w:rsid w:val="00410E7D"/>
    <w:rsid w:val="0041175C"/>
    <w:rsid w:val="00412B1B"/>
    <w:rsid w:val="004133C7"/>
    <w:rsid w:val="00414400"/>
    <w:rsid w:val="00415833"/>
    <w:rsid w:val="00416572"/>
    <w:rsid w:val="00417D25"/>
    <w:rsid w:val="00421CD4"/>
    <w:rsid w:val="004223A6"/>
    <w:rsid w:val="00422932"/>
    <w:rsid w:val="00424608"/>
    <w:rsid w:val="00426BBA"/>
    <w:rsid w:val="00426F91"/>
    <w:rsid w:val="00427833"/>
    <w:rsid w:val="00427A60"/>
    <w:rsid w:val="00430E51"/>
    <w:rsid w:val="00431423"/>
    <w:rsid w:val="004326C5"/>
    <w:rsid w:val="00433DA1"/>
    <w:rsid w:val="00434FE1"/>
    <w:rsid w:val="004404B2"/>
    <w:rsid w:val="00440ED8"/>
    <w:rsid w:val="004418F2"/>
    <w:rsid w:val="0044196E"/>
    <w:rsid w:val="00443888"/>
    <w:rsid w:val="00443CBC"/>
    <w:rsid w:val="004448B9"/>
    <w:rsid w:val="004454D8"/>
    <w:rsid w:val="00447CFE"/>
    <w:rsid w:val="00451EC9"/>
    <w:rsid w:val="004521A6"/>
    <w:rsid w:val="004522FF"/>
    <w:rsid w:val="00462692"/>
    <w:rsid w:val="004631DE"/>
    <w:rsid w:val="0046340B"/>
    <w:rsid w:val="00466822"/>
    <w:rsid w:val="004677E0"/>
    <w:rsid w:val="00467939"/>
    <w:rsid w:val="00473E40"/>
    <w:rsid w:val="0047414A"/>
    <w:rsid w:val="00474210"/>
    <w:rsid w:val="0047437A"/>
    <w:rsid w:val="00474A7D"/>
    <w:rsid w:val="00476D9D"/>
    <w:rsid w:val="00477822"/>
    <w:rsid w:val="00480B96"/>
    <w:rsid w:val="00480E88"/>
    <w:rsid w:val="00481607"/>
    <w:rsid w:val="00481862"/>
    <w:rsid w:val="00481A78"/>
    <w:rsid w:val="00482CA0"/>
    <w:rsid w:val="00482E4E"/>
    <w:rsid w:val="0048303E"/>
    <w:rsid w:val="00484332"/>
    <w:rsid w:val="00484F2E"/>
    <w:rsid w:val="00485E49"/>
    <w:rsid w:val="00486204"/>
    <w:rsid w:val="00486A56"/>
    <w:rsid w:val="0048749F"/>
    <w:rsid w:val="0049004B"/>
    <w:rsid w:val="00490FE8"/>
    <w:rsid w:val="00491273"/>
    <w:rsid w:val="00491675"/>
    <w:rsid w:val="00491BC8"/>
    <w:rsid w:val="004920F6"/>
    <w:rsid w:val="00492A76"/>
    <w:rsid w:val="00492F22"/>
    <w:rsid w:val="004965DF"/>
    <w:rsid w:val="00496F1D"/>
    <w:rsid w:val="004A0502"/>
    <w:rsid w:val="004A2C8F"/>
    <w:rsid w:val="004A6564"/>
    <w:rsid w:val="004A6580"/>
    <w:rsid w:val="004A67E8"/>
    <w:rsid w:val="004B0A1C"/>
    <w:rsid w:val="004B0F00"/>
    <w:rsid w:val="004B21AC"/>
    <w:rsid w:val="004B54BE"/>
    <w:rsid w:val="004B6D18"/>
    <w:rsid w:val="004B7908"/>
    <w:rsid w:val="004B7D4F"/>
    <w:rsid w:val="004B7F7F"/>
    <w:rsid w:val="004C0563"/>
    <w:rsid w:val="004C2071"/>
    <w:rsid w:val="004C387F"/>
    <w:rsid w:val="004C3D65"/>
    <w:rsid w:val="004C5E34"/>
    <w:rsid w:val="004C702D"/>
    <w:rsid w:val="004C71A3"/>
    <w:rsid w:val="004D0A7E"/>
    <w:rsid w:val="004D1BD8"/>
    <w:rsid w:val="004D2DDD"/>
    <w:rsid w:val="004D4390"/>
    <w:rsid w:val="004D5899"/>
    <w:rsid w:val="004D6472"/>
    <w:rsid w:val="004E139A"/>
    <w:rsid w:val="004E35A5"/>
    <w:rsid w:val="004E47E2"/>
    <w:rsid w:val="004E6222"/>
    <w:rsid w:val="004F0306"/>
    <w:rsid w:val="004F2A2B"/>
    <w:rsid w:val="004F3350"/>
    <w:rsid w:val="004F4ACC"/>
    <w:rsid w:val="004F4C7A"/>
    <w:rsid w:val="004F6AC1"/>
    <w:rsid w:val="004F6C68"/>
    <w:rsid w:val="004F6F90"/>
    <w:rsid w:val="005015D1"/>
    <w:rsid w:val="005019B7"/>
    <w:rsid w:val="00501E06"/>
    <w:rsid w:val="005049EE"/>
    <w:rsid w:val="00505D67"/>
    <w:rsid w:val="00506609"/>
    <w:rsid w:val="0050765B"/>
    <w:rsid w:val="005105BC"/>
    <w:rsid w:val="005105FA"/>
    <w:rsid w:val="005106A2"/>
    <w:rsid w:val="00510B82"/>
    <w:rsid w:val="00510FE0"/>
    <w:rsid w:val="0051132C"/>
    <w:rsid w:val="005122F4"/>
    <w:rsid w:val="005145CD"/>
    <w:rsid w:val="00514D81"/>
    <w:rsid w:val="005153D7"/>
    <w:rsid w:val="005155FD"/>
    <w:rsid w:val="00515774"/>
    <w:rsid w:val="0051717D"/>
    <w:rsid w:val="00520222"/>
    <w:rsid w:val="00521453"/>
    <w:rsid w:val="00521704"/>
    <w:rsid w:val="00523239"/>
    <w:rsid w:val="00526099"/>
    <w:rsid w:val="00526151"/>
    <w:rsid w:val="00527CF9"/>
    <w:rsid w:val="00530BA7"/>
    <w:rsid w:val="00531182"/>
    <w:rsid w:val="005325DE"/>
    <w:rsid w:val="005334FD"/>
    <w:rsid w:val="0053456F"/>
    <w:rsid w:val="00534AEE"/>
    <w:rsid w:val="005359B6"/>
    <w:rsid w:val="005375AD"/>
    <w:rsid w:val="00537946"/>
    <w:rsid w:val="00542503"/>
    <w:rsid w:val="0054266C"/>
    <w:rsid w:val="00544146"/>
    <w:rsid w:val="005450CF"/>
    <w:rsid w:val="00550EEE"/>
    <w:rsid w:val="00551076"/>
    <w:rsid w:val="0055137C"/>
    <w:rsid w:val="00551AE1"/>
    <w:rsid w:val="0055426F"/>
    <w:rsid w:val="00554A86"/>
    <w:rsid w:val="00554B6A"/>
    <w:rsid w:val="00556D8F"/>
    <w:rsid w:val="005575FC"/>
    <w:rsid w:val="00561480"/>
    <w:rsid w:val="00561C55"/>
    <w:rsid w:val="00562922"/>
    <w:rsid w:val="0056298F"/>
    <w:rsid w:val="00565724"/>
    <w:rsid w:val="00565A63"/>
    <w:rsid w:val="00566860"/>
    <w:rsid w:val="0056709A"/>
    <w:rsid w:val="005730ED"/>
    <w:rsid w:val="005770C4"/>
    <w:rsid w:val="0057784F"/>
    <w:rsid w:val="00580A09"/>
    <w:rsid w:val="00581431"/>
    <w:rsid w:val="005817F5"/>
    <w:rsid w:val="00582930"/>
    <w:rsid w:val="00583E83"/>
    <w:rsid w:val="00585C2D"/>
    <w:rsid w:val="005867AB"/>
    <w:rsid w:val="00587ADD"/>
    <w:rsid w:val="0059284B"/>
    <w:rsid w:val="00592A61"/>
    <w:rsid w:val="00596724"/>
    <w:rsid w:val="0059799D"/>
    <w:rsid w:val="00597C96"/>
    <w:rsid w:val="00597D3F"/>
    <w:rsid w:val="00597DF5"/>
    <w:rsid w:val="005A212A"/>
    <w:rsid w:val="005A3722"/>
    <w:rsid w:val="005A3DC2"/>
    <w:rsid w:val="005A5A62"/>
    <w:rsid w:val="005A5B19"/>
    <w:rsid w:val="005B00E8"/>
    <w:rsid w:val="005B0BDE"/>
    <w:rsid w:val="005B1117"/>
    <w:rsid w:val="005B1221"/>
    <w:rsid w:val="005B1737"/>
    <w:rsid w:val="005B256B"/>
    <w:rsid w:val="005B48F2"/>
    <w:rsid w:val="005B6D9C"/>
    <w:rsid w:val="005B6EFE"/>
    <w:rsid w:val="005B79E9"/>
    <w:rsid w:val="005C3AB3"/>
    <w:rsid w:val="005C4FF1"/>
    <w:rsid w:val="005C6603"/>
    <w:rsid w:val="005D072E"/>
    <w:rsid w:val="005D1EA6"/>
    <w:rsid w:val="005D2F2E"/>
    <w:rsid w:val="005D5437"/>
    <w:rsid w:val="005D6DC6"/>
    <w:rsid w:val="005E1D07"/>
    <w:rsid w:val="005E2003"/>
    <w:rsid w:val="005E4912"/>
    <w:rsid w:val="005E5242"/>
    <w:rsid w:val="005E54E2"/>
    <w:rsid w:val="005E613D"/>
    <w:rsid w:val="005E6F1F"/>
    <w:rsid w:val="005E7B27"/>
    <w:rsid w:val="005F03A1"/>
    <w:rsid w:val="005F07B0"/>
    <w:rsid w:val="005F425C"/>
    <w:rsid w:val="005F44D1"/>
    <w:rsid w:val="005F4FCE"/>
    <w:rsid w:val="005F58B0"/>
    <w:rsid w:val="006037B4"/>
    <w:rsid w:val="0060454F"/>
    <w:rsid w:val="006048A2"/>
    <w:rsid w:val="006061AD"/>
    <w:rsid w:val="00611813"/>
    <w:rsid w:val="00611B90"/>
    <w:rsid w:val="0061200D"/>
    <w:rsid w:val="00612192"/>
    <w:rsid w:val="00615423"/>
    <w:rsid w:val="00616480"/>
    <w:rsid w:val="00617FB8"/>
    <w:rsid w:val="00620399"/>
    <w:rsid w:val="00621129"/>
    <w:rsid w:val="00621CBB"/>
    <w:rsid w:val="00622782"/>
    <w:rsid w:val="0062287D"/>
    <w:rsid w:val="00622D90"/>
    <w:rsid w:val="00624DCE"/>
    <w:rsid w:val="00625917"/>
    <w:rsid w:val="00627017"/>
    <w:rsid w:val="006279A3"/>
    <w:rsid w:val="00632CC0"/>
    <w:rsid w:val="00633916"/>
    <w:rsid w:val="00633F2F"/>
    <w:rsid w:val="0063517E"/>
    <w:rsid w:val="00635A9C"/>
    <w:rsid w:val="00636862"/>
    <w:rsid w:val="00636ACD"/>
    <w:rsid w:val="00640907"/>
    <w:rsid w:val="00640C67"/>
    <w:rsid w:val="00641B40"/>
    <w:rsid w:val="00641D2B"/>
    <w:rsid w:val="006429E3"/>
    <w:rsid w:val="00644327"/>
    <w:rsid w:val="00644CFF"/>
    <w:rsid w:val="006452A6"/>
    <w:rsid w:val="006476C1"/>
    <w:rsid w:val="0064777D"/>
    <w:rsid w:val="0064783E"/>
    <w:rsid w:val="006501E9"/>
    <w:rsid w:val="0065095B"/>
    <w:rsid w:val="00651CBE"/>
    <w:rsid w:val="006523BD"/>
    <w:rsid w:val="00652687"/>
    <w:rsid w:val="006551C7"/>
    <w:rsid w:val="00655282"/>
    <w:rsid w:val="00656379"/>
    <w:rsid w:val="006623A8"/>
    <w:rsid w:val="00662D3E"/>
    <w:rsid w:val="00664E0B"/>
    <w:rsid w:val="00665C7E"/>
    <w:rsid w:val="00665E0F"/>
    <w:rsid w:val="00667E7F"/>
    <w:rsid w:val="0067028D"/>
    <w:rsid w:val="00671451"/>
    <w:rsid w:val="00672DDD"/>
    <w:rsid w:val="006730FD"/>
    <w:rsid w:val="00675D96"/>
    <w:rsid w:val="0067632F"/>
    <w:rsid w:val="00676476"/>
    <w:rsid w:val="00676B12"/>
    <w:rsid w:val="00676C91"/>
    <w:rsid w:val="006804AF"/>
    <w:rsid w:val="006812D7"/>
    <w:rsid w:val="0068141E"/>
    <w:rsid w:val="00681E5F"/>
    <w:rsid w:val="0068304B"/>
    <w:rsid w:val="006835C8"/>
    <w:rsid w:val="0068460C"/>
    <w:rsid w:val="00684DE9"/>
    <w:rsid w:val="0068541F"/>
    <w:rsid w:val="00685A08"/>
    <w:rsid w:val="006875F8"/>
    <w:rsid w:val="00690781"/>
    <w:rsid w:val="00690B77"/>
    <w:rsid w:val="00691B04"/>
    <w:rsid w:val="00695A4A"/>
    <w:rsid w:val="00695CA9"/>
    <w:rsid w:val="00697339"/>
    <w:rsid w:val="006A1619"/>
    <w:rsid w:val="006A44A5"/>
    <w:rsid w:val="006A475E"/>
    <w:rsid w:val="006A4CAD"/>
    <w:rsid w:val="006A6011"/>
    <w:rsid w:val="006A781F"/>
    <w:rsid w:val="006A7BDE"/>
    <w:rsid w:val="006A7BEE"/>
    <w:rsid w:val="006B0AF5"/>
    <w:rsid w:val="006B0C70"/>
    <w:rsid w:val="006B2512"/>
    <w:rsid w:val="006B419F"/>
    <w:rsid w:val="006B4855"/>
    <w:rsid w:val="006B5228"/>
    <w:rsid w:val="006C2BB2"/>
    <w:rsid w:val="006C3CC9"/>
    <w:rsid w:val="006C4000"/>
    <w:rsid w:val="006C46A4"/>
    <w:rsid w:val="006C4DE0"/>
    <w:rsid w:val="006C53C1"/>
    <w:rsid w:val="006C5A24"/>
    <w:rsid w:val="006C621F"/>
    <w:rsid w:val="006D0C60"/>
    <w:rsid w:val="006D115D"/>
    <w:rsid w:val="006D17CA"/>
    <w:rsid w:val="006D31C7"/>
    <w:rsid w:val="006D3C3C"/>
    <w:rsid w:val="006D6198"/>
    <w:rsid w:val="006D7FE1"/>
    <w:rsid w:val="006E1409"/>
    <w:rsid w:val="006E2A08"/>
    <w:rsid w:val="006E2A95"/>
    <w:rsid w:val="006E56E8"/>
    <w:rsid w:val="006E5B01"/>
    <w:rsid w:val="006E5D82"/>
    <w:rsid w:val="006E6F68"/>
    <w:rsid w:val="006E79CC"/>
    <w:rsid w:val="006F1A3F"/>
    <w:rsid w:val="006F1E65"/>
    <w:rsid w:val="006F4B8A"/>
    <w:rsid w:val="006F5AA4"/>
    <w:rsid w:val="007029E6"/>
    <w:rsid w:val="00702EF5"/>
    <w:rsid w:val="007030E9"/>
    <w:rsid w:val="00703A17"/>
    <w:rsid w:val="00706B2B"/>
    <w:rsid w:val="00710AAB"/>
    <w:rsid w:val="00710CCE"/>
    <w:rsid w:val="00710F87"/>
    <w:rsid w:val="00710FD9"/>
    <w:rsid w:val="00711200"/>
    <w:rsid w:val="00711E03"/>
    <w:rsid w:val="00713605"/>
    <w:rsid w:val="00714903"/>
    <w:rsid w:val="00714BC0"/>
    <w:rsid w:val="00716204"/>
    <w:rsid w:val="00716A0A"/>
    <w:rsid w:val="00716A40"/>
    <w:rsid w:val="00717450"/>
    <w:rsid w:val="00722D6F"/>
    <w:rsid w:val="00722DC7"/>
    <w:rsid w:val="0072397F"/>
    <w:rsid w:val="00727250"/>
    <w:rsid w:val="007275DC"/>
    <w:rsid w:val="007279A8"/>
    <w:rsid w:val="00727F15"/>
    <w:rsid w:val="00730149"/>
    <w:rsid w:val="00731922"/>
    <w:rsid w:val="00731ACB"/>
    <w:rsid w:val="0073291F"/>
    <w:rsid w:val="00732C1B"/>
    <w:rsid w:val="00732E4C"/>
    <w:rsid w:val="00733EDD"/>
    <w:rsid w:val="007342ED"/>
    <w:rsid w:val="00734558"/>
    <w:rsid w:val="00734882"/>
    <w:rsid w:val="00734F4C"/>
    <w:rsid w:val="0073508F"/>
    <w:rsid w:val="00735738"/>
    <w:rsid w:val="00735B8D"/>
    <w:rsid w:val="007368AD"/>
    <w:rsid w:val="00736969"/>
    <w:rsid w:val="00736DB0"/>
    <w:rsid w:val="00740E2C"/>
    <w:rsid w:val="0074133D"/>
    <w:rsid w:val="00741663"/>
    <w:rsid w:val="00742A0C"/>
    <w:rsid w:val="00742CA1"/>
    <w:rsid w:val="00744942"/>
    <w:rsid w:val="00745671"/>
    <w:rsid w:val="007462A1"/>
    <w:rsid w:val="00746C9A"/>
    <w:rsid w:val="00747A8A"/>
    <w:rsid w:val="0075196D"/>
    <w:rsid w:val="00752F60"/>
    <w:rsid w:val="0075356F"/>
    <w:rsid w:val="0075558C"/>
    <w:rsid w:val="007571F0"/>
    <w:rsid w:val="00757C58"/>
    <w:rsid w:val="00757CC7"/>
    <w:rsid w:val="007602CE"/>
    <w:rsid w:val="00760611"/>
    <w:rsid w:val="00761EFA"/>
    <w:rsid w:val="007625F8"/>
    <w:rsid w:val="00762A7D"/>
    <w:rsid w:val="00763018"/>
    <w:rsid w:val="0076409C"/>
    <w:rsid w:val="00764873"/>
    <w:rsid w:val="00765E97"/>
    <w:rsid w:val="00767483"/>
    <w:rsid w:val="0076754A"/>
    <w:rsid w:val="00767E2A"/>
    <w:rsid w:val="007706DD"/>
    <w:rsid w:val="007709C9"/>
    <w:rsid w:val="00772436"/>
    <w:rsid w:val="00772721"/>
    <w:rsid w:val="007753EC"/>
    <w:rsid w:val="00777070"/>
    <w:rsid w:val="007778DD"/>
    <w:rsid w:val="0078122E"/>
    <w:rsid w:val="0078178C"/>
    <w:rsid w:val="007818F0"/>
    <w:rsid w:val="007844BC"/>
    <w:rsid w:val="00786AAF"/>
    <w:rsid w:val="00787617"/>
    <w:rsid w:val="00787757"/>
    <w:rsid w:val="007900D8"/>
    <w:rsid w:val="00790143"/>
    <w:rsid w:val="007903B4"/>
    <w:rsid w:val="007911D8"/>
    <w:rsid w:val="00791A2A"/>
    <w:rsid w:val="00792AB0"/>
    <w:rsid w:val="00793332"/>
    <w:rsid w:val="00794007"/>
    <w:rsid w:val="00794A9D"/>
    <w:rsid w:val="00795A43"/>
    <w:rsid w:val="00796693"/>
    <w:rsid w:val="007A0A42"/>
    <w:rsid w:val="007A0D24"/>
    <w:rsid w:val="007A28A1"/>
    <w:rsid w:val="007A2AE8"/>
    <w:rsid w:val="007A2E76"/>
    <w:rsid w:val="007A4138"/>
    <w:rsid w:val="007A51D9"/>
    <w:rsid w:val="007A5ED2"/>
    <w:rsid w:val="007A643C"/>
    <w:rsid w:val="007A66F2"/>
    <w:rsid w:val="007B0A42"/>
    <w:rsid w:val="007B0AFD"/>
    <w:rsid w:val="007B23EF"/>
    <w:rsid w:val="007B2FEB"/>
    <w:rsid w:val="007B30F7"/>
    <w:rsid w:val="007B33F6"/>
    <w:rsid w:val="007B5744"/>
    <w:rsid w:val="007B64B6"/>
    <w:rsid w:val="007B6C1D"/>
    <w:rsid w:val="007C0F3C"/>
    <w:rsid w:val="007C2281"/>
    <w:rsid w:val="007C2894"/>
    <w:rsid w:val="007C33F4"/>
    <w:rsid w:val="007C3BC9"/>
    <w:rsid w:val="007C3FFA"/>
    <w:rsid w:val="007C4DC0"/>
    <w:rsid w:val="007C6BF6"/>
    <w:rsid w:val="007C70D4"/>
    <w:rsid w:val="007C7591"/>
    <w:rsid w:val="007C7AA0"/>
    <w:rsid w:val="007D1C7E"/>
    <w:rsid w:val="007D23E7"/>
    <w:rsid w:val="007D2B6C"/>
    <w:rsid w:val="007D2E32"/>
    <w:rsid w:val="007D41A2"/>
    <w:rsid w:val="007D44F5"/>
    <w:rsid w:val="007D5932"/>
    <w:rsid w:val="007D5CD5"/>
    <w:rsid w:val="007D6291"/>
    <w:rsid w:val="007D6897"/>
    <w:rsid w:val="007D7767"/>
    <w:rsid w:val="007D7D47"/>
    <w:rsid w:val="007E3FB3"/>
    <w:rsid w:val="007E425A"/>
    <w:rsid w:val="007E5205"/>
    <w:rsid w:val="007E711F"/>
    <w:rsid w:val="007E7693"/>
    <w:rsid w:val="007F0498"/>
    <w:rsid w:val="007F22C6"/>
    <w:rsid w:val="007F33FA"/>
    <w:rsid w:val="007F4731"/>
    <w:rsid w:val="007F55B9"/>
    <w:rsid w:val="007F5660"/>
    <w:rsid w:val="007F59C2"/>
    <w:rsid w:val="007F59FD"/>
    <w:rsid w:val="007F6AE9"/>
    <w:rsid w:val="007F6C77"/>
    <w:rsid w:val="007F77CB"/>
    <w:rsid w:val="0080000F"/>
    <w:rsid w:val="008000F6"/>
    <w:rsid w:val="00800108"/>
    <w:rsid w:val="00800CF7"/>
    <w:rsid w:val="00803FBE"/>
    <w:rsid w:val="00804783"/>
    <w:rsid w:val="008057AC"/>
    <w:rsid w:val="008143EC"/>
    <w:rsid w:val="008178F3"/>
    <w:rsid w:val="00817DE0"/>
    <w:rsid w:val="008204D3"/>
    <w:rsid w:val="00821618"/>
    <w:rsid w:val="00823A58"/>
    <w:rsid w:val="00823BC2"/>
    <w:rsid w:val="00825933"/>
    <w:rsid w:val="00826D54"/>
    <w:rsid w:val="00830E7E"/>
    <w:rsid w:val="0083347D"/>
    <w:rsid w:val="00834CBF"/>
    <w:rsid w:val="008355FA"/>
    <w:rsid w:val="00836F89"/>
    <w:rsid w:val="00840198"/>
    <w:rsid w:val="008403DF"/>
    <w:rsid w:val="008409A8"/>
    <w:rsid w:val="00840CAC"/>
    <w:rsid w:val="00840DB5"/>
    <w:rsid w:val="00842376"/>
    <w:rsid w:val="00845C3F"/>
    <w:rsid w:val="00845FEF"/>
    <w:rsid w:val="00846459"/>
    <w:rsid w:val="008466D3"/>
    <w:rsid w:val="0085012D"/>
    <w:rsid w:val="0085060E"/>
    <w:rsid w:val="00850616"/>
    <w:rsid w:val="00851B77"/>
    <w:rsid w:val="00851DB8"/>
    <w:rsid w:val="0085328A"/>
    <w:rsid w:val="008537F1"/>
    <w:rsid w:val="00853FD1"/>
    <w:rsid w:val="00855DF7"/>
    <w:rsid w:val="00856898"/>
    <w:rsid w:val="00857418"/>
    <w:rsid w:val="0085757D"/>
    <w:rsid w:val="0086070E"/>
    <w:rsid w:val="00860C26"/>
    <w:rsid w:val="00862D43"/>
    <w:rsid w:val="00862D67"/>
    <w:rsid w:val="00863435"/>
    <w:rsid w:val="00863D06"/>
    <w:rsid w:val="008643C0"/>
    <w:rsid w:val="008651A0"/>
    <w:rsid w:val="00865B2B"/>
    <w:rsid w:val="00865CC8"/>
    <w:rsid w:val="00866AC0"/>
    <w:rsid w:val="00872827"/>
    <w:rsid w:val="00873116"/>
    <w:rsid w:val="0087349A"/>
    <w:rsid w:val="00874216"/>
    <w:rsid w:val="00874694"/>
    <w:rsid w:val="0087532D"/>
    <w:rsid w:val="008760C7"/>
    <w:rsid w:val="00876179"/>
    <w:rsid w:val="008770B0"/>
    <w:rsid w:val="00877644"/>
    <w:rsid w:val="0088354D"/>
    <w:rsid w:val="0088576A"/>
    <w:rsid w:val="008865B6"/>
    <w:rsid w:val="008868AB"/>
    <w:rsid w:val="00890039"/>
    <w:rsid w:val="00890975"/>
    <w:rsid w:val="00891EDE"/>
    <w:rsid w:val="00893F14"/>
    <w:rsid w:val="008956E1"/>
    <w:rsid w:val="00895DF4"/>
    <w:rsid w:val="008963F2"/>
    <w:rsid w:val="008A05E7"/>
    <w:rsid w:val="008A0EBE"/>
    <w:rsid w:val="008A4B27"/>
    <w:rsid w:val="008A52F5"/>
    <w:rsid w:val="008A7532"/>
    <w:rsid w:val="008A7971"/>
    <w:rsid w:val="008B0A19"/>
    <w:rsid w:val="008B0EEA"/>
    <w:rsid w:val="008B1A4D"/>
    <w:rsid w:val="008B4C78"/>
    <w:rsid w:val="008B74F1"/>
    <w:rsid w:val="008B75AE"/>
    <w:rsid w:val="008C0061"/>
    <w:rsid w:val="008C3C26"/>
    <w:rsid w:val="008C5A88"/>
    <w:rsid w:val="008C6792"/>
    <w:rsid w:val="008C75CF"/>
    <w:rsid w:val="008C79F0"/>
    <w:rsid w:val="008C7AAF"/>
    <w:rsid w:val="008C7E1B"/>
    <w:rsid w:val="008D0218"/>
    <w:rsid w:val="008D370F"/>
    <w:rsid w:val="008D4B3E"/>
    <w:rsid w:val="008D589C"/>
    <w:rsid w:val="008D7392"/>
    <w:rsid w:val="008E29D7"/>
    <w:rsid w:val="008E3A89"/>
    <w:rsid w:val="008E439C"/>
    <w:rsid w:val="008E47BD"/>
    <w:rsid w:val="008E47F6"/>
    <w:rsid w:val="008E49F9"/>
    <w:rsid w:val="008E611D"/>
    <w:rsid w:val="008E6896"/>
    <w:rsid w:val="008E6DF9"/>
    <w:rsid w:val="008E6FCB"/>
    <w:rsid w:val="008E7085"/>
    <w:rsid w:val="008E7212"/>
    <w:rsid w:val="008E7AF8"/>
    <w:rsid w:val="008E7B66"/>
    <w:rsid w:val="008E7FF9"/>
    <w:rsid w:val="008F140B"/>
    <w:rsid w:val="008F2DFB"/>
    <w:rsid w:val="008F5528"/>
    <w:rsid w:val="008F60C3"/>
    <w:rsid w:val="008F6AAF"/>
    <w:rsid w:val="00900AB9"/>
    <w:rsid w:val="00901A11"/>
    <w:rsid w:val="0090287C"/>
    <w:rsid w:val="00904969"/>
    <w:rsid w:val="00904AD3"/>
    <w:rsid w:val="00907FC3"/>
    <w:rsid w:val="00910C0A"/>
    <w:rsid w:val="00911238"/>
    <w:rsid w:val="009122E7"/>
    <w:rsid w:val="00913498"/>
    <w:rsid w:val="009163DA"/>
    <w:rsid w:val="00917366"/>
    <w:rsid w:val="009176C2"/>
    <w:rsid w:val="00917949"/>
    <w:rsid w:val="0092071F"/>
    <w:rsid w:val="00921E8E"/>
    <w:rsid w:val="00922865"/>
    <w:rsid w:val="00924C41"/>
    <w:rsid w:val="00925401"/>
    <w:rsid w:val="009254D6"/>
    <w:rsid w:val="00926440"/>
    <w:rsid w:val="0092669B"/>
    <w:rsid w:val="0092693B"/>
    <w:rsid w:val="009271A9"/>
    <w:rsid w:val="00927570"/>
    <w:rsid w:val="00927663"/>
    <w:rsid w:val="009309D0"/>
    <w:rsid w:val="0093163E"/>
    <w:rsid w:val="00931FAD"/>
    <w:rsid w:val="009322E8"/>
    <w:rsid w:val="00933C37"/>
    <w:rsid w:val="009341CC"/>
    <w:rsid w:val="009343B6"/>
    <w:rsid w:val="00934922"/>
    <w:rsid w:val="0093629F"/>
    <w:rsid w:val="00936436"/>
    <w:rsid w:val="00941B51"/>
    <w:rsid w:val="009420D9"/>
    <w:rsid w:val="0094341D"/>
    <w:rsid w:val="00943AF3"/>
    <w:rsid w:val="009459A7"/>
    <w:rsid w:val="00945C83"/>
    <w:rsid w:val="00946011"/>
    <w:rsid w:val="00946594"/>
    <w:rsid w:val="00950D83"/>
    <w:rsid w:val="009523F7"/>
    <w:rsid w:val="0095330E"/>
    <w:rsid w:val="00953E2D"/>
    <w:rsid w:val="00954313"/>
    <w:rsid w:val="00955263"/>
    <w:rsid w:val="00956A20"/>
    <w:rsid w:val="00956A90"/>
    <w:rsid w:val="00956E55"/>
    <w:rsid w:val="00960070"/>
    <w:rsid w:val="009610C8"/>
    <w:rsid w:val="00962491"/>
    <w:rsid w:val="00962FE2"/>
    <w:rsid w:val="00963AE7"/>
    <w:rsid w:val="00965138"/>
    <w:rsid w:val="00966BAC"/>
    <w:rsid w:val="00970588"/>
    <w:rsid w:val="00970C63"/>
    <w:rsid w:val="00971531"/>
    <w:rsid w:val="00971701"/>
    <w:rsid w:val="009734A5"/>
    <w:rsid w:val="00973594"/>
    <w:rsid w:val="00974512"/>
    <w:rsid w:val="00974889"/>
    <w:rsid w:val="00975704"/>
    <w:rsid w:val="00975E37"/>
    <w:rsid w:val="00981EEA"/>
    <w:rsid w:val="0098325D"/>
    <w:rsid w:val="00984425"/>
    <w:rsid w:val="009866C1"/>
    <w:rsid w:val="00987099"/>
    <w:rsid w:val="0098713F"/>
    <w:rsid w:val="0099113D"/>
    <w:rsid w:val="009914C3"/>
    <w:rsid w:val="00997FD1"/>
    <w:rsid w:val="009A07EB"/>
    <w:rsid w:val="009A1DD2"/>
    <w:rsid w:val="009A25B3"/>
    <w:rsid w:val="009A2ABE"/>
    <w:rsid w:val="009A4B28"/>
    <w:rsid w:val="009A4C1E"/>
    <w:rsid w:val="009A604E"/>
    <w:rsid w:val="009A605A"/>
    <w:rsid w:val="009A62A3"/>
    <w:rsid w:val="009A6A2F"/>
    <w:rsid w:val="009A6EDA"/>
    <w:rsid w:val="009B0276"/>
    <w:rsid w:val="009B172A"/>
    <w:rsid w:val="009B5CDB"/>
    <w:rsid w:val="009B6D79"/>
    <w:rsid w:val="009B7264"/>
    <w:rsid w:val="009B7372"/>
    <w:rsid w:val="009B73B8"/>
    <w:rsid w:val="009B7A40"/>
    <w:rsid w:val="009C026F"/>
    <w:rsid w:val="009C0962"/>
    <w:rsid w:val="009C0DBB"/>
    <w:rsid w:val="009C353B"/>
    <w:rsid w:val="009C3DA6"/>
    <w:rsid w:val="009C42EA"/>
    <w:rsid w:val="009C513D"/>
    <w:rsid w:val="009C52B9"/>
    <w:rsid w:val="009C553C"/>
    <w:rsid w:val="009C755C"/>
    <w:rsid w:val="009C7799"/>
    <w:rsid w:val="009C780F"/>
    <w:rsid w:val="009D0011"/>
    <w:rsid w:val="009D1728"/>
    <w:rsid w:val="009D1AC1"/>
    <w:rsid w:val="009D3819"/>
    <w:rsid w:val="009D406F"/>
    <w:rsid w:val="009D436A"/>
    <w:rsid w:val="009D570D"/>
    <w:rsid w:val="009D638D"/>
    <w:rsid w:val="009D7104"/>
    <w:rsid w:val="009D72A1"/>
    <w:rsid w:val="009D77A5"/>
    <w:rsid w:val="009D794C"/>
    <w:rsid w:val="009D79D9"/>
    <w:rsid w:val="009E0F28"/>
    <w:rsid w:val="009E5060"/>
    <w:rsid w:val="009E542E"/>
    <w:rsid w:val="009E56B4"/>
    <w:rsid w:val="009F00CC"/>
    <w:rsid w:val="009F0CFE"/>
    <w:rsid w:val="009F2039"/>
    <w:rsid w:val="009F337C"/>
    <w:rsid w:val="009F3581"/>
    <w:rsid w:val="009F43B4"/>
    <w:rsid w:val="009F462E"/>
    <w:rsid w:val="009F4879"/>
    <w:rsid w:val="009F4F42"/>
    <w:rsid w:val="009F57C5"/>
    <w:rsid w:val="009F5812"/>
    <w:rsid w:val="009F5AE3"/>
    <w:rsid w:val="00A02C17"/>
    <w:rsid w:val="00A0501B"/>
    <w:rsid w:val="00A05345"/>
    <w:rsid w:val="00A05353"/>
    <w:rsid w:val="00A05A1D"/>
    <w:rsid w:val="00A05A82"/>
    <w:rsid w:val="00A061D7"/>
    <w:rsid w:val="00A105D8"/>
    <w:rsid w:val="00A10C81"/>
    <w:rsid w:val="00A11F56"/>
    <w:rsid w:val="00A12074"/>
    <w:rsid w:val="00A129DA"/>
    <w:rsid w:val="00A1362C"/>
    <w:rsid w:val="00A143E7"/>
    <w:rsid w:val="00A148CD"/>
    <w:rsid w:val="00A200B5"/>
    <w:rsid w:val="00A20A8E"/>
    <w:rsid w:val="00A20E9C"/>
    <w:rsid w:val="00A21ADD"/>
    <w:rsid w:val="00A21D77"/>
    <w:rsid w:val="00A22E9F"/>
    <w:rsid w:val="00A2310C"/>
    <w:rsid w:val="00A23591"/>
    <w:rsid w:val="00A23850"/>
    <w:rsid w:val="00A23DA4"/>
    <w:rsid w:val="00A23F8B"/>
    <w:rsid w:val="00A247DF"/>
    <w:rsid w:val="00A25353"/>
    <w:rsid w:val="00A25709"/>
    <w:rsid w:val="00A25B0E"/>
    <w:rsid w:val="00A2660C"/>
    <w:rsid w:val="00A2666C"/>
    <w:rsid w:val="00A31E3F"/>
    <w:rsid w:val="00A33229"/>
    <w:rsid w:val="00A34049"/>
    <w:rsid w:val="00A3419C"/>
    <w:rsid w:val="00A3463E"/>
    <w:rsid w:val="00A34F5F"/>
    <w:rsid w:val="00A372E6"/>
    <w:rsid w:val="00A402C9"/>
    <w:rsid w:val="00A41769"/>
    <w:rsid w:val="00A42381"/>
    <w:rsid w:val="00A42F3C"/>
    <w:rsid w:val="00A4336B"/>
    <w:rsid w:val="00A43491"/>
    <w:rsid w:val="00A434A5"/>
    <w:rsid w:val="00A435D3"/>
    <w:rsid w:val="00A44496"/>
    <w:rsid w:val="00A4558B"/>
    <w:rsid w:val="00A46A68"/>
    <w:rsid w:val="00A46B9B"/>
    <w:rsid w:val="00A4761F"/>
    <w:rsid w:val="00A50EE9"/>
    <w:rsid w:val="00A512F5"/>
    <w:rsid w:val="00A517B5"/>
    <w:rsid w:val="00A5434E"/>
    <w:rsid w:val="00A5451E"/>
    <w:rsid w:val="00A54EA1"/>
    <w:rsid w:val="00A55341"/>
    <w:rsid w:val="00A56B37"/>
    <w:rsid w:val="00A5705B"/>
    <w:rsid w:val="00A57A19"/>
    <w:rsid w:val="00A60A69"/>
    <w:rsid w:val="00A60C91"/>
    <w:rsid w:val="00A60EEB"/>
    <w:rsid w:val="00A62028"/>
    <w:rsid w:val="00A637E8"/>
    <w:rsid w:val="00A64285"/>
    <w:rsid w:val="00A65C28"/>
    <w:rsid w:val="00A65E45"/>
    <w:rsid w:val="00A660E7"/>
    <w:rsid w:val="00A662DF"/>
    <w:rsid w:val="00A70D47"/>
    <w:rsid w:val="00A7249E"/>
    <w:rsid w:val="00A7293F"/>
    <w:rsid w:val="00A72F42"/>
    <w:rsid w:val="00A76678"/>
    <w:rsid w:val="00A77326"/>
    <w:rsid w:val="00A7782D"/>
    <w:rsid w:val="00A80523"/>
    <w:rsid w:val="00A8277D"/>
    <w:rsid w:val="00A82F4C"/>
    <w:rsid w:val="00A834A7"/>
    <w:rsid w:val="00A847CB"/>
    <w:rsid w:val="00A847FD"/>
    <w:rsid w:val="00A85689"/>
    <w:rsid w:val="00A857CC"/>
    <w:rsid w:val="00A85CCA"/>
    <w:rsid w:val="00A86536"/>
    <w:rsid w:val="00A86F48"/>
    <w:rsid w:val="00A87BA3"/>
    <w:rsid w:val="00A90244"/>
    <w:rsid w:val="00A94AB8"/>
    <w:rsid w:val="00A9607A"/>
    <w:rsid w:val="00AA0AAD"/>
    <w:rsid w:val="00AA1303"/>
    <w:rsid w:val="00AA30A9"/>
    <w:rsid w:val="00AA3E0C"/>
    <w:rsid w:val="00AA42C8"/>
    <w:rsid w:val="00AA4645"/>
    <w:rsid w:val="00AA7A1D"/>
    <w:rsid w:val="00AB0283"/>
    <w:rsid w:val="00AB202C"/>
    <w:rsid w:val="00AB2451"/>
    <w:rsid w:val="00AB27F2"/>
    <w:rsid w:val="00AB5BB6"/>
    <w:rsid w:val="00AB6AB9"/>
    <w:rsid w:val="00AB75F9"/>
    <w:rsid w:val="00AC1E61"/>
    <w:rsid w:val="00AC2D54"/>
    <w:rsid w:val="00AC2D89"/>
    <w:rsid w:val="00AC383A"/>
    <w:rsid w:val="00AC5F80"/>
    <w:rsid w:val="00AC7A9C"/>
    <w:rsid w:val="00AD0A33"/>
    <w:rsid w:val="00AD20B9"/>
    <w:rsid w:val="00AD2956"/>
    <w:rsid w:val="00AD335D"/>
    <w:rsid w:val="00AD4058"/>
    <w:rsid w:val="00AD4A82"/>
    <w:rsid w:val="00AD535E"/>
    <w:rsid w:val="00AD6A84"/>
    <w:rsid w:val="00AD6D14"/>
    <w:rsid w:val="00AD6DFC"/>
    <w:rsid w:val="00AD6F8B"/>
    <w:rsid w:val="00AD7002"/>
    <w:rsid w:val="00AE0982"/>
    <w:rsid w:val="00AE0BEE"/>
    <w:rsid w:val="00AE16F3"/>
    <w:rsid w:val="00AE22CF"/>
    <w:rsid w:val="00AE2520"/>
    <w:rsid w:val="00AE328A"/>
    <w:rsid w:val="00AE3A39"/>
    <w:rsid w:val="00AE437E"/>
    <w:rsid w:val="00AE68F9"/>
    <w:rsid w:val="00AF0931"/>
    <w:rsid w:val="00AF1447"/>
    <w:rsid w:val="00AF14B8"/>
    <w:rsid w:val="00AF310C"/>
    <w:rsid w:val="00AF54F5"/>
    <w:rsid w:val="00AF5522"/>
    <w:rsid w:val="00AF60E4"/>
    <w:rsid w:val="00AF6778"/>
    <w:rsid w:val="00AF6E5A"/>
    <w:rsid w:val="00B0320F"/>
    <w:rsid w:val="00B0449B"/>
    <w:rsid w:val="00B04BC1"/>
    <w:rsid w:val="00B04DD0"/>
    <w:rsid w:val="00B07524"/>
    <w:rsid w:val="00B10CFC"/>
    <w:rsid w:val="00B113E7"/>
    <w:rsid w:val="00B128F0"/>
    <w:rsid w:val="00B12FF6"/>
    <w:rsid w:val="00B13142"/>
    <w:rsid w:val="00B1465F"/>
    <w:rsid w:val="00B146C7"/>
    <w:rsid w:val="00B15A98"/>
    <w:rsid w:val="00B15C64"/>
    <w:rsid w:val="00B15D5F"/>
    <w:rsid w:val="00B16298"/>
    <w:rsid w:val="00B23967"/>
    <w:rsid w:val="00B24ADF"/>
    <w:rsid w:val="00B26914"/>
    <w:rsid w:val="00B26915"/>
    <w:rsid w:val="00B26938"/>
    <w:rsid w:val="00B26F65"/>
    <w:rsid w:val="00B27C1E"/>
    <w:rsid w:val="00B27F90"/>
    <w:rsid w:val="00B303A6"/>
    <w:rsid w:val="00B30646"/>
    <w:rsid w:val="00B31A2D"/>
    <w:rsid w:val="00B336EE"/>
    <w:rsid w:val="00B339B3"/>
    <w:rsid w:val="00B33FE8"/>
    <w:rsid w:val="00B34740"/>
    <w:rsid w:val="00B34C88"/>
    <w:rsid w:val="00B35180"/>
    <w:rsid w:val="00B35B7C"/>
    <w:rsid w:val="00B3716D"/>
    <w:rsid w:val="00B375D2"/>
    <w:rsid w:val="00B37D6B"/>
    <w:rsid w:val="00B37F75"/>
    <w:rsid w:val="00B4029B"/>
    <w:rsid w:val="00B4036E"/>
    <w:rsid w:val="00B40A85"/>
    <w:rsid w:val="00B41633"/>
    <w:rsid w:val="00B43989"/>
    <w:rsid w:val="00B508DC"/>
    <w:rsid w:val="00B50A83"/>
    <w:rsid w:val="00B511E5"/>
    <w:rsid w:val="00B53BEE"/>
    <w:rsid w:val="00B53C15"/>
    <w:rsid w:val="00B54799"/>
    <w:rsid w:val="00B5523D"/>
    <w:rsid w:val="00B55F98"/>
    <w:rsid w:val="00B57382"/>
    <w:rsid w:val="00B57646"/>
    <w:rsid w:val="00B57B30"/>
    <w:rsid w:val="00B604A5"/>
    <w:rsid w:val="00B61560"/>
    <w:rsid w:val="00B61BF1"/>
    <w:rsid w:val="00B6305E"/>
    <w:rsid w:val="00B64E03"/>
    <w:rsid w:val="00B64E96"/>
    <w:rsid w:val="00B66199"/>
    <w:rsid w:val="00B70B56"/>
    <w:rsid w:val="00B70BA8"/>
    <w:rsid w:val="00B73AF9"/>
    <w:rsid w:val="00B75559"/>
    <w:rsid w:val="00B75659"/>
    <w:rsid w:val="00B75EBE"/>
    <w:rsid w:val="00B7746D"/>
    <w:rsid w:val="00B775F2"/>
    <w:rsid w:val="00B778F5"/>
    <w:rsid w:val="00B77AF8"/>
    <w:rsid w:val="00B80EE3"/>
    <w:rsid w:val="00B815A0"/>
    <w:rsid w:val="00B83AC9"/>
    <w:rsid w:val="00B83D35"/>
    <w:rsid w:val="00B84879"/>
    <w:rsid w:val="00B84CFE"/>
    <w:rsid w:val="00B85CE0"/>
    <w:rsid w:val="00B871D4"/>
    <w:rsid w:val="00B90095"/>
    <w:rsid w:val="00B913A8"/>
    <w:rsid w:val="00B926F5"/>
    <w:rsid w:val="00B92D52"/>
    <w:rsid w:val="00B93020"/>
    <w:rsid w:val="00B939DC"/>
    <w:rsid w:val="00B93E29"/>
    <w:rsid w:val="00B949F7"/>
    <w:rsid w:val="00B94FC2"/>
    <w:rsid w:val="00B96DA8"/>
    <w:rsid w:val="00B97E0A"/>
    <w:rsid w:val="00BA084C"/>
    <w:rsid w:val="00BA0975"/>
    <w:rsid w:val="00BA35E2"/>
    <w:rsid w:val="00BA467F"/>
    <w:rsid w:val="00BA6378"/>
    <w:rsid w:val="00BA6579"/>
    <w:rsid w:val="00BA7A50"/>
    <w:rsid w:val="00BB01D7"/>
    <w:rsid w:val="00BB17A9"/>
    <w:rsid w:val="00BB2145"/>
    <w:rsid w:val="00BB2B38"/>
    <w:rsid w:val="00BB2D01"/>
    <w:rsid w:val="00BB5B69"/>
    <w:rsid w:val="00BC02B4"/>
    <w:rsid w:val="00BC0475"/>
    <w:rsid w:val="00BC0A08"/>
    <w:rsid w:val="00BC1EAF"/>
    <w:rsid w:val="00BC3F01"/>
    <w:rsid w:val="00BC4EB0"/>
    <w:rsid w:val="00BC5145"/>
    <w:rsid w:val="00BC6272"/>
    <w:rsid w:val="00BD03BD"/>
    <w:rsid w:val="00BD157C"/>
    <w:rsid w:val="00BD1DA9"/>
    <w:rsid w:val="00BD1E64"/>
    <w:rsid w:val="00BD2D15"/>
    <w:rsid w:val="00BD2F0E"/>
    <w:rsid w:val="00BD3522"/>
    <w:rsid w:val="00BD43E6"/>
    <w:rsid w:val="00BD51C5"/>
    <w:rsid w:val="00BD57CC"/>
    <w:rsid w:val="00BD7139"/>
    <w:rsid w:val="00BD723F"/>
    <w:rsid w:val="00BE1BEE"/>
    <w:rsid w:val="00BE1D75"/>
    <w:rsid w:val="00BE2291"/>
    <w:rsid w:val="00BE2EB6"/>
    <w:rsid w:val="00BE349E"/>
    <w:rsid w:val="00BE34E5"/>
    <w:rsid w:val="00BE5A80"/>
    <w:rsid w:val="00BE7116"/>
    <w:rsid w:val="00BF0EF2"/>
    <w:rsid w:val="00BF1004"/>
    <w:rsid w:val="00BF10B0"/>
    <w:rsid w:val="00BF1F61"/>
    <w:rsid w:val="00BF3BE3"/>
    <w:rsid w:val="00BF40E9"/>
    <w:rsid w:val="00BF5A16"/>
    <w:rsid w:val="00C00758"/>
    <w:rsid w:val="00C03132"/>
    <w:rsid w:val="00C03A66"/>
    <w:rsid w:val="00C059FE"/>
    <w:rsid w:val="00C05EAE"/>
    <w:rsid w:val="00C0615A"/>
    <w:rsid w:val="00C0799A"/>
    <w:rsid w:val="00C1166D"/>
    <w:rsid w:val="00C11D0D"/>
    <w:rsid w:val="00C123DB"/>
    <w:rsid w:val="00C13AA4"/>
    <w:rsid w:val="00C13C7E"/>
    <w:rsid w:val="00C14C95"/>
    <w:rsid w:val="00C17A17"/>
    <w:rsid w:val="00C20212"/>
    <w:rsid w:val="00C20C9C"/>
    <w:rsid w:val="00C22098"/>
    <w:rsid w:val="00C222A1"/>
    <w:rsid w:val="00C2261C"/>
    <w:rsid w:val="00C22E4C"/>
    <w:rsid w:val="00C2499C"/>
    <w:rsid w:val="00C24A9B"/>
    <w:rsid w:val="00C25711"/>
    <w:rsid w:val="00C26229"/>
    <w:rsid w:val="00C266E8"/>
    <w:rsid w:val="00C269F6"/>
    <w:rsid w:val="00C27B0D"/>
    <w:rsid w:val="00C3303D"/>
    <w:rsid w:val="00C367CF"/>
    <w:rsid w:val="00C36F03"/>
    <w:rsid w:val="00C37573"/>
    <w:rsid w:val="00C37D1E"/>
    <w:rsid w:val="00C401E3"/>
    <w:rsid w:val="00C406C7"/>
    <w:rsid w:val="00C40A84"/>
    <w:rsid w:val="00C418E3"/>
    <w:rsid w:val="00C4290D"/>
    <w:rsid w:val="00C430C6"/>
    <w:rsid w:val="00C4532F"/>
    <w:rsid w:val="00C457D3"/>
    <w:rsid w:val="00C45CA9"/>
    <w:rsid w:val="00C45E44"/>
    <w:rsid w:val="00C467C4"/>
    <w:rsid w:val="00C4734A"/>
    <w:rsid w:val="00C509C3"/>
    <w:rsid w:val="00C50A17"/>
    <w:rsid w:val="00C53110"/>
    <w:rsid w:val="00C53EB4"/>
    <w:rsid w:val="00C54DBD"/>
    <w:rsid w:val="00C551CA"/>
    <w:rsid w:val="00C55791"/>
    <w:rsid w:val="00C560DE"/>
    <w:rsid w:val="00C5746E"/>
    <w:rsid w:val="00C607DA"/>
    <w:rsid w:val="00C62000"/>
    <w:rsid w:val="00C63248"/>
    <w:rsid w:val="00C65267"/>
    <w:rsid w:val="00C65E92"/>
    <w:rsid w:val="00C665DD"/>
    <w:rsid w:val="00C676ED"/>
    <w:rsid w:val="00C67B80"/>
    <w:rsid w:val="00C70EAE"/>
    <w:rsid w:val="00C71E14"/>
    <w:rsid w:val="00C73EC1"/>
    <w:rsid w:val="00C741CE"/>
    <w:rsid w:val="00C74D44"/>
    <w:rsid w:val="00C7582B"/>
    <w:rsid w:val="00C75E3A"/>
    <w:rsid w:val="00C811DA"/>
    <w:rsid w:val="00C816A1"/>
    <w:rsid w:val="00C81F5C"/>
    <w:rsid w:val="00C8364F"/>
    <w:rsid w:val="00C83B65"/>
    <w:rsid w:val="00C83F32"/>
    <w:rsid w:val="00C85139"/>
    <w:rsid w:val="00C85AC5"/>
    <w:rsid w:val="00C91454"/>
    <w:rsid w:val="00C918B0"/>
    <w:rsid w:val="00C91CCD"/>
    <w:rsid w:val="00C92648"/>
    <w:rsid w:val="00C93152"/>
    <w:rsid w:val="00C940EE"/>
    <w:rsid w:val="00C94622"/>
    <w:rsid w:val="00C9471B"/>
    <w:rsid w:val="00C95F92"/>
    <w:rsid w:val="00CA06B0"/>
    <w:rsid w:val="00CA1300"/>
    <w:rsid w:val="00CA1D62"/>
    <w:rsid w:val="00CA2F99"/>
    <w:rsid w:val="00CA3387"/>
    <w:rsid w:val="00CA4AE4"/>
    <w:rsid w:val="00CA7492"/>
    <w:rsid w:val="00CA778B"/>
    <w:rsid w:val="00CB27B2"/>
    <w:rsid w:val="00CB2D37"/>
    <w:rsid w:val="00CB3C25"/>
    <w:rsid w:val="00CB4EF5"/>
    <w:rsid w:val="00CB5491"/>
    <w:rsid w:val="00CB69BD"/>
    <w:rsid w:val="00CB7DCB"/>
    <w:rsid w:val="00CC106C"/>
    <w:rsid w:val="00CC21E8"/>
    <w:rsid w:val="00CC241A"/>
    <w:rsid w:val="00CC3A51"/>
    <w:rsid w:val="00CC3D15"/>
    <w:rsid w:val="00CC7369"/>
    <w:rsid w:val="00CD0120"/>
    <w:rsid w:val="00CD25B6"/>
    <w:rsid w:val="00CD2FF0"/>
    <w:rsid w:val="00CD33CD"/>
    <w:rsid w:val="00CD3662"/>
    <w:rsid w:val="00CD50B5"/>
    <w:rsid w:val="00CD5C03"/>
    <w:rsid w:val="00CD6B30"/>
    <w:rsid w:val="00CD6D97"/>
    <w:rsid w:val="00CD73A9"/>
    <w:rsid w:val="00CD7D57"/>
    <w:rsid w:val="00CE159A"/>
    <w:rsid w:val="00CE2A84"/>
    <w:rsid w:val="00CE38C8"/>
    <w:rsid w:val="00CE3A3E"/>
    <w:rsid w:val="00CE4D4B"/>
    <w:rsid w:val="00CE4E27"/>
    <w:rsid w:val="00CE5AC6"/>
    <w:rsid w:val="00CE60EF"/>
    <w:rsid w:val="00CE6C4E"/>
    <w:rsid w:val="00CF156B"/>
    <w:rsid w:val="00CF16F9"/>
    <w:rsid w:val="00CF378C"/>
    <w:rsid w:val="00CF4568"/>
    <w:rsid w:val="00CF58FF"/>
    <w:rsid w:val="00CF5A20"/>
    <w:rsid w:val="00CF771C"/>
    <w:rsid w:val="00CF7C97"/>
    <w:rsid w:val="00D0029F"/>
    <w:rsid w:val="00D013B8"/>
    <w:rsid w:val="00D024D5"/>
    <w:rsid w:val="00D044D0"/>
    <w:rsid w:val="00D053F9"/>
    <w:rsid w:val="00D060CC"/>
    <w:rsid w:val="00D063BC"/>
    <w:rsid w:val="00D06F12"/>
    <w:rsid w:val="00D06FCC"/>
    <w:rsid w:val="00D10BC0"/>
    <w:rsid w:val="00D10EEA"/>
    <w:rsid w:val="00D117B4"/>
    <w:rsid w:val="00D1196A"/>
    <w:rsid w:val="00D11E07"/>
    <w:rsid w:val="00D14602"/>
    <w:rsid w:val="00D14D5A"/>
    <w:rsid w:val="00D16640"/>
    <w:rsid w:val="00D20095"/>
    <w:rsid w:val="00D2070B"/>
    <w:rsid w:val="00D21158"/>
    <w:rsid w:val="00D21EF3"/>
    <w:rsid w:val="00D2213B"/>
    <w:rsid w:val="00D223B5"/>
    <w:rsid w:val="00D226EC"/>
    <w:rsid w:val="00D22EBF"/>
    <w:rsid w:val="00D236F7"/>
    <w:rsid w:val="00D2510B"/>
    <w:rsid w:val="00D27A7E"/>
    <w:rsid w:val="00D32CC8"/>
    <w:rsid w:val="00D343EA"/>
    <w:rsid w:val="00D35342"/>
    <w:rsid w:val="00D35797"/>
    <w:rsid w:val="00D360D0"/>
    <w:rsid w:val="00D36B10"/>
    <w:rsid w:val="00D37486"/>
    <w:rsid w:val="00D4036B"/>
    <w:rsid w:val="00D41205"/>
    <w:rsid w:val="00D4186C"/>
    <w:rsid w:val="00D42963"/>
    <w:rsid w:val="00D431C1"/>
    <w:rsid w:val="00D438CF"/>
    <w:rsid w:val="00D45672"/>
    <w:rsid w:val="00D46790"/>
    <w:rsid w:val="00D46E50"/>
    <w:rsid w:val="00D47769"/>
    <w:rsid w:val="00D504B4"/>
    <w:rsid w:val="00D50579"/>
    <w:rsid w:val="00D5057D"/>
    <w:rsid w:val="00D50F40"/>
    <w:rsid w:val="00D55A41"/>
    <w:rsid w:val="00D5615A"/>
    <w:rsid w:val="00D56261"/>
    <w:rsid w:val="00D5633E"/>
    <w:rsid w:val="00D6056C"/>
    <w:rsid w:val="00D62925"/>
    <w:rsid w:val="00D632A6"/>
    <w:rsid w:val="00D6504C"/>
    <w:rsid w:val="00D6526C"/>
    <w:rsid w:val="00D667E2"/>
    <w:rsid w:val="00D66849"/>
    <w:rsid w:val="00D67C8D"/>
    <w:rsid w:val="00D67ECB"/>
    <w:rsid w:val="00D700A4"/>
    <w:rsid w:val="00D70E9E"/>
    <w:rsid w:val="00D710CB"/>
    <w:rsid w:val="00D726E6"/>
    <w:rsid w:val="00D72BA0"/>
    <w:rsid w:val="00D7390F"/>
    <w:rsid w:val="00D73F4D"/>
    <w:rsid w:val="00D75D34"/>
    <w:rsid w:val="00D76BD4"/>
    <w:rsid w:val="00D76FA0"/>
    <w:rsid w:val="00D77E58"/>
    <w:rsid w:val="00D77F3C"/>
    <w:rsid w:val="00D806DE"/>
    <w:rsid w:val="00D8114C"/>
    <w:rsid w:val="00D82E57"/>
    <w:rsid w:val="00D843EF"/>
    <w:rsid w:val="00D8733D"/>
    <w:rsid w:val="00D90AF4"/>
    <w:rsid w:val="00D91A4C"/>
    <w:rsid w:val="00D91C27"/>
    <w:rsid w:val="00D92B0E"/>
    <w:rsid w:val="00D9305C"/>
    <w:rsid w:val="00D9326F"/>
    <w:rsid w:val="00D943CE"/>
    <w:rsid w:val="00D952AE"/>
    <w:rsid w:val="00D95365"/>
    <w:rsid w:val="00D96BF9"/>
    <w:rsid w:val="00D97798"/>
    <w:rsid w:val="00DA0D5E"/>
    <w:rsid w:val="00DA12B7"/>
    <w:rsid w:val="00DA3033"/>
    <w:rsid w:val="00DA54CC"/>
    <w:rsid w:val="00DA628F"/>
    <w:rsid w:val="00DA74F9"/>
    <w:rsid w:val="00DA7F9D"/>
    <w:rsid w:val="00DB329F"/>
    <w:rsid w:val="00DB5362"/>
    <w:rsid w:val="00DB73EC"/>
    <w:rsid w:val="00DC0FF8"/>
    <w:rsid w:val="00DC10D4"/>
    <w:rsid w:val="00DC34BE"/>
    <w:rsid w:val="00DC353E"/>
    <w:rsid w:val="00DC47A6"/>
    <w:rsid w:val="00DC50EC"/>
    <w:rsid w:val="00DC5925"/>
    <w:rsid w:val="00DC5B88"/>
    <w:rsid w:val="00DC60FA"/>
    <w:rsid w:val="00DC7C0D"/>
    <w:rsid w:val="00DD00DE"/>
    <w:rsid w:val="00DD110C"/>
    <w:rsid w:val="00DD2D4B"/>
    <w:rsid w:val="00DD3D34"/>
    <w:rsid w:val="00DD4EFA"/>
    <w:rsid w:val="00DD5288"/>
    <w:rsid w:val="00DD5927"/>
    <w:rsid w:val="00DD59B9"/>
    <w:rsid w:val="00DD5C1C"/>
    <w:rsid w:val="00DD624E"/>
    <w:rsid w:val="00DE044B"/>
    <w:rsid w:val="00DE23AF"/>
    <w:rsid w:val="00DE322F"/>
    <w:rsid w:val="00DE5561"/>
    <w:rsid w:val="00DE5BE2"/>
    <w:rsid w:val="00DE688D"/>
    <w:rsid w:val="00DE6D10"/>
    <w:rsid w:val="00DF2684"/>
    <w:rsid w:val="00DF2AFE"/>
    <w:rsid w:val="00DF2EAF"/>
    <w:rsid w:val="00DF3B9A"/>
    <w:rsid w:val="00DF4B91"/>
    <w:rsid w:val="00DF4BC9"/>
    <w:rsid w:val="00DF4F3F"/>
    <w:rsid w:val="00DF57FF"/>
    <w:rsid w:val="00DF6406"/>
    <w:rsid w:val="00DF65B5"/>
    <w:rsid w:val="00DF789F"/>
    <w:rsid w:val="00DF7DA1"/>
    <w:rsid w:val="00E00B5F"/>
    <w:rsid w:val="00E02010"/>
    <w:rsid w:val="00E02460"/>
    <w:rsid w:val="00E03B8B"/>
    <w:rsid w:val="00E074DC"/>
    <w:rsid w:val="00E13121"/>
    <w:rsid w:val="00E13848"/>
    <w:rsid w:val="00E158FF"/>
    <w:rsid w:val="00E1642D"/>
    <w:rsid w:val="00E17598"/>
    <w:rsid w:val="00E17B56"/>
    <w:rsid w:val="00E21B88"/>
    <w:rsid w:val="00E233C8"/>
    <w:rsid w:val="00E23FA4"/>
    <w:rsid w:val="00E2746C"/>
    <w:rsid w:val="00E27EA6"/>
    <w:rsid w:val="00E30699"/>
    <w:rsid w:val="00E30FF0"/>
    <w:rsid w:val="00E313A8"/>
    <w:rsid w:val="00E31AB6"/>
    <w:rsid w:val="00E32202"/>
    <w:rsid w:val="00E324DD"/>
    <w:rsid w:val="00E34850"/>
    <w:rsid w:val="00E36D67"/>
    <w:rsid w:val="00E4093F"/>
    <w:rsid w:val="00E409C0"/>
    <w:rsid w:val="00E459DC"/>
    <w:rsid w:val="00E45E8B"/>
    <w:rsid w:val="00E4760C"/>
    <w:rsid w:val="00E477DA"/>
    <w:rsid w:val="00E502B3"/>
    <w:rsid w:val="00E50527"/>
    <w:rsid w:val="00E51812"/>
    <w:rsid w:val="00E54238"/>
    <w:rsid w:val="00E54C51"/>
    <w:rsid w:val="00E56B9A"/>
    <w:rsid w:val="00E573F7"/>
    <w:rsid w:val="00E579B9"/>
    <w:rsid w:val="00E60C16"/>
    <w:rsid w:val="00E60D1C"/>
    <w:rsid w:val="00E60E9C"/>
    <w:rsid w:val="00E62D68"/>
    <w:rsid w:val="00E64B22"/>
    <w:rsid w:val="00E66BB2"/>
    <w:rsid w:val="00E71108"/>
    <w:rsid w:val="00E77BF9"/>
    <w:rsid w:val="00E80EC2"/>
    <w:rsid w:val="00E8121C"/>
    <w:rsid w:val="00E825D1"/>
    <w:rsid w:val="00E8698C"/>
    <w:rsid w:val="00E91600"/>
    <w:rsid w:val="00E91E26"/>
    <w:rsid w:val="00E92532"/>
    <w:rsid w:val="00E935AB"/>
    <w:rsid w:val="00E938BC"/>
    <w:rsid w:val="00E945BF"/>
    <w:rsid w:val="00E954A1"/>
    <w:rsid w:val="00E95739"/>
    <w:rsid w:val="00E95CDA"/>
    <w:rsid w:val="00E95D11"/>
    <w:rsid w:val="00EA0474"/>
    <w:rsid w:val="00EA0696"/>
    <w:rsid w:val="00EA27CC"/>
    <w:rsid w:val="00EA464C"/>
    <w:rsid w:val="00EA4961"/>
    <w:rsid w:val="00EA4A37"/>
    <w:rsid w:val="00EA5199"/>
    <w:rsid w:val="00EA5EB8"/>
    <w:rsid w:val="00EA6B00"/>
    <w:rsid w:val="00EA6D8B"/>
    <w:rsid w:val="00EA7410"/>
    <w:rsid w:val="00EB1E80"/>
    <w:rsid w:val="00EB3528"/>
    <w:rsid w:val="00EB3ADB"/>
    <w:rsid w:val="00EB6312"/>
    <w:rsid w:val="00EB6A6E"/>
    <w:rsid w:val="00EB7B67"/>
    <w:rsid w:val="00EC1D34"/>
    <w:rsid w:val="00EC2699"/>
    <w:rsid w:val="00EC394F"/>
    <w:rsid w:val="00EC4A04"/>
    <w:rsid w:val="00EC524A"/>
    <w:rsid w:val="00EC60F5"/>
    <w:rsid w:val="00ED005E"/>
    <w:rsid w:val="00ED0372"/>
    <w:rsid w:val="00ED05CB"/>
    <w:rsid w:val="00ED257E"/>
    <w:rsid w:val="00ED2932"/>
    <w:rsid w:val="00ED3F5B"/>
    <w:rsid w:val="00ED4D79"/>
    <w:rsid w:val="00ED5C18"/>
    <w:rsid w:val="00ED644B"/>
    <w:rsid w:val="00ED7A05"/>
    <w:rsid w:val="00EE0DC7"/>
    <w:rsid w:val="00EE104F"/>
    <w:rsid w:val="00EE2300"/>
    <w:rsid w:val="00EE2887"/>
    <w:rsid w:val="00EE2905"/>
    <w:rsid w:val="00EE334C"/>
    <w:rsid w:val="00EE3384"/>
    <w:rsid w:val="00EE3662"/>
    <w:rsid w:val="00EE3F68"/>
    <w:rsid w:val="00EE6B94"/>
    <w:rsid w:val="00EF102A"/>
    <w:rsid w:val="00EF106C"/>
    <w:rsid w:val="00EF12C3"/>
    <w:rsid w:val="00EF1430"/>
    <w:rsid w:val="00EF1EC0"/>
    <w:rsid w:val="00F00639"/>
    <w:rsid w:val="00F01949"/>
    <w:rsid w:val="00F02153"/>
    <w:rsid w:val="00F021C7"/>
    <w:rsid w:val="00F026F5"/>
    <w:rsid w:val="00F02921"/>
    <w:rsid w:val="00F02B57"/>
    <w:rsid w:val="00F04593"/>
    <w:rsid w:val="00F058DF"/>
    <w:rsid w:val="00F05B83"/>
    <w:rsid w:val="00F063AE"/>
    <w:rsid w:val="00F1119C"/>
    <w:rsid w:val="00F11FC0"/>
    <w:rsid w:val="00F12428"/>
    <w:rsid w:val="00F125C0"/>
    <w:rsid w:val="00F1279E"/>
    <w:rsid w:val="00F14698"/>
    <w:rsid w:val="00F15675"/>
    <w:rsid w:val="00F1586D"/>
    <w:rsid w:val="00F15885"/>
    <w:rsid w:val="00F160ED"/>
    <w:rsid w:val="00F17DF9"/>
    <w:rsid w:val="00F21250"/>
    <w:rsid w:val="00F214CD"/>
    <w:rsid w:val="00F22136"/>
    <w:rsid w:val="00F226F5"/>
    <w:rsid w:val="00F2398D"/>
    <w:rsid w:val="00F23C53"/>
    <w:rsid w:val="00F2417C"/>
    <w:rsid w:val="00F24665"/>
    <w:rsid w:val="00F24BC1"/>
    <w:rsid w:val="00F24EE3"/>
    <w:rsid w:val="00F3035E"/>
    <w:rsid w:val="00F30FBC"/>
    <w:rsid w:val="00F324D8"/>
    <w:rsid w:val="00F33A4C"/>
    <w:rsid w:val="00F34C11"/>
    <w:rsid w:val="00F35445"/>
    <w:rsid w:val="00F35870"/>
    <w:rsid w:val="00F406E1"/>
    <w:rsid w:val="00F40A7C"/>
    <w:rsid w:val="00F42A96"/>
    <w:rsid w:val="00F4353F"/>
    <w:rsid w:val="00F4443D"/>
    <w:rsid w:val="00F462A3"/>
    <w:rsid w:val="00F469D4"/>
    <w:rsid w:val="00F46D2B"/>
    <w:rsid w:val="00F47082"/>
    <w:rsid w:val="00F50336"/>
    <w:rsid w:val="00F50345"/>
    <w:rsid w:val="00F503E4"/>
    <w:rsid w:val="00F51234"/>
    <w:rsid w:val="00F516A3"/>
    <w:rsid w:val="00F519FF"/>
    <w:rsid w:val="00F523A9"/>
    <w:rsid w:val="00F52D2F"/>
    <w:rsid w:val="00F5335A"/>
    <w:rsid w:val="00F5510D"/>
    <w:rsid w:val="00F55A52"/>
    <w:rsid w:val="00F55FEE"/>
    <w:rsid w:val="00F6062B"/>
    <w:rsid w:val="00F60D6C"/>
    <w:rsid w:val="00F60EF1"/>
    <w:rsid w:val="00F61ABE"/>
    <w:rsid w:val="00F6219B"/>
    <w:rsid w:val="00F634A3"/>
    <w:rsid w:val="00F63A32"/>
    <w:rsid w:val="00F66424"/>
    <w:rsid w:val="00F67146"/>
    <w:rsid w:val="00F70716"/>
    <w:rsid w:val="00F710F9"/>
    <w:rsid w:val="00F7145C"/>
    <w:rsid w:val="00F7277F"/>
    <w:rsid w:val="00F731F6"/>
    <w:rsid w:val="00F740FA"/>
    <w:rsid w:val="00F7620F"/>
    <w:rsid w:val="00F76740"/>
    <w:rsid w:val="00F77DBA"/>
    <w:rsid w:val="00F82EFC"/>
    <w:rsid w:val="00F83C86"/>
    <w:rsid w:val="00F8543C"/>
    <w:rsid w:val="00F85C06"/>
    <w:rsid w:val="00F868DA"/>
    <w:rsid w:val="00F87F40"/>
    <w:rsid w:val="00F91B01"/>
    <w:rsid w:val="00F92278"/>
    <w:rsid w:val="00F92A37"/>
    <w:rsid w:val="00F95482"/>
    <w:rsid w:val="00F956B1"/>
    <w:rsid w:val="00F95ABA"/>
    <w:rsid w:val="00F96019"/>
    <w:rsid w:val="00F96D37"/>
    <w:rsid w:val="00FA0788"/>
    <w:rsid w:val="00FA0AE4"/>
    <w:rsid w:val="00FA1A0F"/>
    <w:rsid w:val="00FA2568"/>
    <w:rsid w:val="00FA2902"/>
    <w:rsid w:val="00FA2F92"/>
    <w:rsid w:val="00FA39B2"/>
    <w:rsid w:val="00FA39C2"/>
    <w:rsid w:val="00FA3FBD"/>
    <w:rsid w:val="00FA75A5"/>
    <w:rsid w:val="00FA7D09"/>
    <w:rsid w:val="00FB065C"/>
    <w:rsid w:val="00FB0C5D"/>
    <w:rsid w:val="00FB10C5"/>
    <w:rsid w:val="00FB1E14"/>
    <w:rsid w:val="00FB2677"/>
    <w:rsid w:val="00FB269B"/>
    <w:rsid w:val="00FB2ADB"/>
    <w:rsid w:val="00FB429F"/>
    <w:rsid w:val="00FB4DBA"/>
    <w:rsid w:val="00FB6007"/>
    <w:rsid w:val="00FB667E"/>
    <w:rsid w:val="00FB6685"/>
    <w:rsid w:val="00FB7072"/>
    <w:rsid w:val="00FC1FD0"/>
    <w:rsid w:val="00FC311C"/>
    <w:rsid w:val="00FC5A1B"/>
    <w:rsid w:val="00FC634D"/>
    <w:rsid w:val="00FD0189"/>
    <w:rsid w:val="00FD0C1C"/>
    <w:rsid w:val="00FD1253"/>
    <w:rsid w:val="00FD13CD"/>
    <w:rsid w:val="00FD1711"/>
    <w:rsid w:val="00FD344D"/>
    <w:rsid w:val="00FD4D88"/>
    <w:rsid w:val="00FD4EDC"/>
    <w:rsid w:val="00FD5855"/>
    <w:rsid w:val="00FD6026"/>
    <w:rsid w:val="00FD6176"/>
    <w:rsid w:val="00FD636F"/>
    <w:rsid w:val="00FD7864"/>
    <w:rsid w:val="00FE0886"/>
    <w:rsid w:val="00FE0B7C"/>
    <w:rsid w:val="00FE0B8E"/>
    <w:rsid w:val="00FE1E15"/>
    <w:rsid w:val="00FE2609"/>
    <w:rsid w:val="00FE33B1"/>
    <w:rsid w:val="00FE3B7E"/>
    <w:rsid w:val="00FE451E"/>
    <w:rsid w:val="00FE45DA"/>
    <w:rsid w:val="00FE552D"/>
    <w:rsid w:val="00FE57C1"/>
    <w:rsid w:val="00FE764F"/>
    <w:rsid w:val="00FE7746"/>
    <w:rsid w:val="00FE7A87"/>
    <w:rsid w:val="00FE7CD4"/>
    <w:rsid w:val="00FF00C6"/>
    <w:rsid w:val="00FF00F1"/>
    <w:rsid w:val="00FF1665"/>
    <w:rsid w:val="00FF166F"/>
    <w:rsid w:val="00FF195C"/>
    <w:rsid w:val="00FF1F19"/>
    <w:rsid w:val="00FF2394"/>
    <w:rsid w:val="00FF37F2"/>
    <w:rsid w:val="00FF3AF5"/>
    <w:rsid w:val="00FF3EB6"/>
    <w:rsid w:val="00FF5CBA"/>
    <w:rsid w:val="00FF5FDD"/>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7E3FB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25711"/>
    <w:pPr>
      <w:spacing w:before="200" w:line="276" w:lineRule="auto"/>
      <w:outlineLvl w:val="4"/>
    </w:pPr>
    <w:rPr>
      <w:rFonts w:asciiTheme="majorHAnsi" w:eastAsiaTheme="majorEastAsia" w:hAnsiTheme="majorHAnsi" w:cstheme="majorBidi"/>
      <w:b/>
      <w:bCs/>
      <w:color w:val="7F7F7F" w:themeColor="text1" w:themeTint="80"/>
      <w:szCs w:val="22"/>
    </w:rPr>
  </w:style>
  <w:style w:type="paragraph" w:styleId="Heading6">
    <w:name w:val="heading 6"/>
    <w:basedOn w:val="Normal"/>
    <w:next w:val="Normal"/>
    <w:link w:val="Heading6Char"/>
    <w:uiPriority w:val="9"/>
    <w:semiHidden/>
    <w:unhideWhenUsed/>
    <w:qFormat/>
    <w:rsid w:val="00941B51"/>
    <w:pPr>
      <w:spacing w:line="271" w:lineRule="auto"/>
      <w:outlineLvl w:val="5"/>
    </w:pPr>
    <w:rPr>
      <w:rFonts w:asciiTheme="majorHAnsi" w:eastAsiaTheme="majorEastAsia" w:hAnsiTheme="majorHAnsi" w:cstheme="majorBidi"/>
      <w:b/>
      <w:bCs/>
      <w:i/>
      <w:iCs/>
      <w:color w:val="7F7F7F" w:themeColor="text1" w:themeTint="80"/>
      <w:sz w:val="22"/>
      <w:szCs w:val="22"/>
    </w:rPr>
  </w:style>
  <w:style w:type="paragraph" w:styleId="Heading7">
    <w:name w:val="heading 7"/>
    <w:basedOn w:val="Normal"/>
    <w:next w:val="Normal"/>
    <w:link w:val="Heading7Char"/>
    <w:uiPriority w:val="9"/>
    <w:semiHidden/>
    <w:unhideWhenUsed/>
    <w:qFormat/>
    <w:rsid w:val="00941B51"/>
    <w:pPr>
      <w:spacing w:line="276" w:lineRule="auto"/>
      <w:outlineLvl w:val="6"/>
    </w:pPr>
    <w:rPr>
      <w:rFonts w:asciiTheme="majorHAnsi" w:eastAsiaTheme="majorEastAsia" w:hAnsiTheme="majorHAnsi" w:cstheme="majorBidi"/>
      <w:i/>
      <w:iCs/>
      <w:sz w:val="22"/>
      <w:szCs w:val="22"/>
    </w:rPr>
  </w:style>
  <w:style w:type="paragraph" w:styleId="Heading8">
    <w:name w:val="heading 8"/>
    <w:basedOn w:val="Normal"/>
    <w:next w:val="Normal"/>
    <w:link w:val="Heading8Char"/>
    <w:uiPriority w:val="9"/>
    <w:semiHidden/>
    <w:unhideWhenUsed/>
    <w:qFormat/>
    <w:rsid w:val="00941B51"/>
    <w:pPr>
      <w:spacing w:line="276" w:lineRule="auto"/>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41B51"/>
    <w:pPr>
      <w:spacing w:line="276" w:lineRule="auto"/>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uiPriority w:val="5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rsid w:val="00CE4E27"/>
    <w:rPr>
      <w:sz w:val="16"/>
      <w:szCs w:val="16"/>
    </w:rPr>
  </w:style>
  <w:style w:type="paragraph" w:styleId="CommentText">
    <w:name w:val="annotation text"/>
    <w:basedOn w:val="Normal"/>
    <w:link w:val="CommentTextChar"/>
    <w:uiPriority w:val="99"/>
    <w:rsid w:val="00CE4E27"/>
    <w:rPr>
      <w:sz w:val="20"/>
      <w:szCs w:val="20"/>
    </w:rPr>
  </w:style>
  <w:style w:type="character" w:customStyle="1" w:styleId="CommentTextChar">
    <w:name w:val="Comment Text Char"/>
    <w:basedOn w:val="DefaultParagraphFont"/>
    <w:link w:val="CommentText"/>
    <w:uiPriority w:val="99"/>
    <w:rsid w:val="00CE4E27"/>
    <w:rPr>
      <w:rFonts w:ascii="Arial" w:hAnsi="Arial" w:cs="Arial"/>
    </w:rPr>
  </w:style>
  <w:style w:type="paragraph" w:styleId="CommentSubject">
    <w:name w:val="annotation subject"/>
    <w:basedOn w:val="CommentText"/>
    <w:next w:val="CommentText"/>
    <w:link w:val="CommentSubjectChar"/>
    <w:uiPriority w:val="99"/>
    <w:rsid w:val="00CE4E27"/>
    <w:rPr>
      <w:b/>
      <w:bCs/>
    </w:rPr>
  </w:style>
  <w:style w:type="character" w:customStyle="1" w:styleId="CommentSubjectChar">
    <w:name w:val="Comment Subject Char"/>
    <w:basedOn w:val="CommentTextChar"/>
    <w:link w:val="CommentSubject"/>
    <w:uiPriority w:val="99"/>
    <w:rsid w:val="00CE4E27"/>
    <w:rPr>
      <w:rFonts w:ascii="Arial" w:hAnsi="Arial" w:cs="Arial"/>
      <w:b/>
      <w:bCs/>
    </w:rPr>
  </w:style>
  <w:style w:type="paragraph" w:styleId="BalloonText">
    <w:name w:val="Balloon Text"/>
    <w:basedOn w:val="Normal"/>
    <w:link w:val="BalloonTextChar"/>
    <w:uiPriority w:val="99"/>
    <w:rsid w:val="00CE4E27"/>
    <w:rPr>
      <w:rFonts w:ascii="Tahoma" w:hAnsi="Tahoma" w:cs="Tahoma"/>
      <w:sz w:val="16"/>
      <w:szCs w:val="16"/>
    </w:rPr>
  </w:style>
  <w:style w:type="character" w:customStyle="1" w:styleId="BalloonTextChar">
    <w:name w:val="Balloon Text Char"/>
    <w:basedOn w:val="DefaultParagraphFont"/>
    <w:link w:val="BalloonText"/>
    <w:uiPriority w:val="99"/>
    <w:rsid w:val="00CE4E27"/>
    <w:rPr>
      <w:rFonts w:ascii="Tahoma" w:hAnsi="Tahoma" w:cs="Tahoma"/>
      <w:sz w:val="16"/>
      <w:szCs w:val="16"/>
    </w:rPr>
  </w:style>
  <w:style w:type="paragraph" w:styleId="Bibliography">
    <w:name w:val="Bibliography"/>
    <w:basedOn w:val="Normal"/>
    <w:next w:val="Normal"/>
    <w:uiPriority w:val="37"/>
    <w:unhideWhenUsed/>
    <w:rsid w:val="006C53C1"/>
    <w:pPr>
      <w:spacing w:after="240"/>
    </w:pPr>
  </w:style>
  <w:style w:type="character" w:customStyle="1" w:styleId="HeaderChar">
    <w:name w:val="Header Char"/>
    <w:basedOn w:val="DefaultParagraphFont"/>
    <w:link w:val="Header"/>
    <w:uiPriority w:val="99"/>
    <w:rsid w:val="006C53C1"/>
    <w:rPr>
      <w:rFonts w:ascii="Arial" w:hAnsi="Arial" w:cs="Arial"/>
      <w:sz w:val="24"/>
      <w:szCs w:val="24"/>
    </w:rPr>
  </w:style>
  <w:style w:type="paragraph" w:styleId="ListParagraph">
    <w:name w:val="List Paragraph"/>
    <w:basedOn w:val="Normal"/>
    <w:uiPriority w:val="34"/>
    <w:qFormat/>
    <w:rsid w:val="006C53C1"/>
    <w:pPr>
      <w:spacing w:after="200" w:line="276" w:lineRule="auto"/>
      <w:ind w:left="720"/>
      <w:contextualSpacing/>
    </w:pPr>
    <w:rPr>
      <w:rFonts w:ascii="Times New Roman" w:eastAsiaTheme="minorHAnsi" w:hAnsi="Times New Roman" w:cstheme="minorBidi"/>
      <w:szCs w:val="22"/>
    </w:rPr>
  </w:style>
  <w:style w:type="character" w:customStyle="1" w:styleId="Heading2Char">
    <w:name w:val="Heading 2 Char"/>
    <w:basedOn w:val="DefaultParagraphFont"/>
    <w:link w:val="Heading2"/>
    <w:uiPriority w:val="9"/>
    <w:rsid w:val="006C53C1"/>
    <w:rPr>
      <w:rFonts w:ascii="Arial" w:hAnsi="Arial" w:cs="Arial"/>
      <w:b/>
      <w:bCs/>
      <w:iCs/>
      <w:sz w:val="28"/>
      <w:szCs w:val="28"/>
    </w:rPr>
  </w:style>
  <w:style w:type="character" w:styleId="FollowedHyperlink">
    <w:name w:val="FollowedHyperlink"/>
    <w:basedOn w:val="DefaultParagraphFont"/>
    <w:uiPriority w:val="99"/>
    <w:unhideWhenUsed/>
    <w:rsid w:val="003F620C"/>
    <w:rPr>
      <w:color w:val="800080"/>
      <w:u w:val="single"/>
    </w:rPr>
  </w:style>
  <w:style w:type="paragraph" w:customStyle="1" w:styleId="xl65">
    <w:name w:val="xl65"/>
    <w:basedOn w:val="Normal"/>
    <w:rsid w:val="003F620C"/>
    <w:pPr>
      <w:pBdr>
        <w:bottom w:val="single" w:sz="4" w:space="0" w:color="auto"/>
      </w:pBdr>
      <w:spacing w:before="100" w:beforeAutospacing="1" w:after="100" w:afterAutospacing="1"/>
      <w:jc w:val="center"/>
    </w:pPr>
    <w:rPr>
      <w:rFonts w:ascii="Times New Roman" w:hAnsi="Times New Roman" w:cs="Times New Roman"/>
    </w:rPr>
  </w:style>
  <w:style w:type="paragraph" w:customStyle="1" w:styleId="xl66">
    <w:name w:val="xl66"/>
    <w:basedOn w:val="Normal"/>
    <w:rsid w:val="003F620C"/>
    <w:pPr>
      <w:pBdr>
        <w:bottom w:val="single" w:sz="8" w:space="0" w:color="auto"/>
      </w:pBdr>
      <w:spacing w:before="100" w:beforeAutospacing="1" w:after="100" w:afterAutospacing="1"/>
      <w:jc w:val="center"/>
    </w:pPr>
    <w:rPr>
      <w:rFonts w:ascii="Times New Roman" w:hAnsi="Times New Roman" w:cs="Times New Roman"/>
    </w:rPr>
  </w:style>
  <w:style w:type="paragraph" w:customStyle="1" w:styleId="xl67">
    <w:name w:val="xl67"/>
    <w:basedOn w:val="Normal"/>
    <w:rsid w:val="003F620C"/>
    <w:pPr>
      <w:pBdr>
        <w:bottom w:val="double" w:sz="6" w:space="0" w:color="auto"/>
      </w:pBdr>
      <w:spacing w:before="100" w:beforeAutospacing="1" w:after="100" w:afterAutospacing="1"/>
      <w:jc w:val="center"/>
    </w:pPr>
    <w:rPr>
      <w:rFonts w:ascii="Times New Roman" w:hAnsi="Times New Roman" w:cs="Times New Roman"/>
    </w:rPr>
  </w:style>
  <w:style w:type="paragraph" w:customStyle="1" w:styleId="xl68">
    <w:name w:val="xl68"/>
    <w:basedOn w:val="Normal"/>
    <w:rsid w:val="003F620C"/>
    <w:pPr>
      <w:pBdr>
        <w:bottom w:val="single" w:sz="4" w:space="0" w:color="auto"/>
      </w:pBdr>
      <w:spacing w:before="100" w:beforeAutospacing="1" w:after="100" w:afterAutospacing="1"/>
    </w:pPr>
    <w:rPr>
      <w:rFonts w:ascii="Times New Roman" w:hAnsi="Times New Roman" w:cs="Times New Roman"/>
    </w:rPr>
  </w:style>
  <w:style w:type="paragraph" w:customStyle="1" w:styleId="xl69">
    <w:name w:val="xl69"/>
    <w:basedOn w:val="Normal"/>
    <w:rsid w:val="003F620C"/>
    <w:pPr>
      <w:spacing w:before="100" w:beforeAutospacing="1" w:after="100" w:afterAutospacing="1"/>
      <w:jc w:val="center"/>
    </w:pPr>
    <w:rPr>
      <w:rFonts w:ascii="Times New Roman" w:hAnsi="Times New Roman" w:cs="Times New Roman"/>
    </w:rPr>
  </w:style>
  <w:style w:type="paragraph" w:customStyle="1" w:styleId="xl70">
    <w:name w:val="xl70"/>
    <w:basedOn w:val="Normal"/>
    <w:rsid w:val="003F620C"/>
    <w:pPr>
      <w:pBdr>
        <w:top w:val="single" w:sz="4" w:space="0" w:color="auto"/>
      </w:pBdr>
      <w:spacing w:before="100" w:beforeAutospacing="1" w:after="100" w:afterAutospacing="1"/>
      <w:jc w:val="center"/>
    </w:pPr>
    <w:rPr>
      <w:rFonts w:ascii="Times New Roman" w:hAnsi="Times New Roman" w:cs="Times New Roman"/>
    </w:rPr>
  </w:style>
  <w:style w:type="paragraph" w:customStyle="1" w:styleId="xl71">
    <w:name w:val="xl71"/>
    <w:basedOn w:val="Normal"/>
    <w:rsid w:val="003F620C"/>
    <w:pPr>
      <w:pBdr>
        <w:bottom w:val="single" w:sz="8" w:space="0" w:color="auto"/>
      </w:pBdr>
      <w:spacing w:before="100" w:beforeAutospacing="1" w:after="100" w:afterAutospacing="1"/>
    </w:pPr>
    <w:rPr>
      <w:rFonts w:ascii="Times New Roman" w:hAnsi="Times New Roman" w:cs="Times New Roman"/>
    </w:rPr>
  </w:style>
  <w:style w:type="paragraph" w:customStyle="1" w:styleId="xl72">
    <w:name w:val="xl72"/>
    <w:basedOn w:val="Normal"/>
    <w:rsid w:val="003F620C"/>
    <w:pPr>
      <w:pBdr>
        <w:bottom w:val="double" w:sz="6" w:space="0" w:color="auto"/>
      </w:pBdr>
      <w:spacing w:before="100" w:beforeAutospacing="1" w:after="100" w:afterAutospacing="1"/>
    </w:pPr>
    <w:rPr>
      <w:rFonts w:ascii="Times New Roman" w:hAnsi="Times New Roman" w:cs="Times New Roman"/>
    </w:rPr>
  </w:style>
  <w:style w:type="paragraph" w:customStyle="1" w:styleId="xl73">
    <w:name w:val="xl73"/>
    <w:basedOn w:val="Normal"/>
    <w:rsid w:val="003F620C"/>
    <w:pPr>
      <w:pBdr>
        <w:bottom w:val="single" w:sz="8" w:space="0" w:color="auto"/>
      </w:pBdr>
      <w:spacing w:before="100" w:beforeAutospacing="1" w:after="100" w:afterAutospacing="1"/>
      <w:jc w:val="center"/>
    </w:pPr>
    <w:rPr>
      <w:rFonts w:ascii="Times New Roman" w:hAnsi="Times New Roman" w:cs="Times New Roman"/>
    </w:rPr>
  </w:style>
  <w:style w:type="paragraph" w:customStyle="1" w:styleId="xl74">
    <w:name w:val="xl74"/>
    <w:basedOn w:val="Normal"/>
    <w:rsid w:val="003F620C"/>
    <w:pPr>
      <w:shd w:val="clear" w:color="000000" w:fill="FFFF00"/>
      <w:spacing w:before="100" w:beforeAutospacing="1" w:after="100" w:afterAutospacing="1"/>
      <w:jc w:val="center"/>
    </w:pPr>
    <w:rPr>
      <w:rFonts w:ascii="Times New Roman" w:hAnsi="Times New Roman" w:cs="Times New Roman"/>
    </w:rPr>
  </w:style>
  <w:style w:type="paragraph" w:customStyle="1" w:styleId="xl75">
    <w:name w:val="xl75"/>
    <w:basedOn w:val="Normal"/>
    <w:rsid w:val="003F620C"/>
    <w:pPr>
      <w:shd w:val="clear" w:color="000000" w:fill="FFFF00"/>
      <w:spacing w:before="100" w:beforeAutospacing="1" w:after="100" w:afterAutospacing="1"/>
    </w:pPr>
    <w:rPr>
      <w:rFonts w:ascii="Times New Roman" w:hAnsi="Times New Roman" w:cs="Times New Roman"/>
    </w:rPr>
  </w:style>
  <w:style w:type="paragraph" w:customStyle="1" w:styleId="xl76">
    <w:name w:val="xl76"/>
    <w:basedOn w:val="Normal"/>
    <w:rsid w:val="003F620C"/>
    <w:pPr>
      <w:pBdr>
        <w:bottom w:val="single" w:sz="4" w:space="0" w:color="auto"/>
      </w:pBdr>
      <w:shd w:val="clear" w:color="000000" w:fill="FFFF00"/>
      <w:spacing w:before="100" w:beforeAutospacing="1" w:after="100" w:afterAutospacing="1"/>
      <w:jc w:val="center"/>
    </w:pPr>
    <w:rPr>
      <w:rFonts w:ascii="Times New Roman" w:hAnsi="Times New Roman" w:cs="Times New Roman"/>
    </w:rPr>
  </w:style>
  <w:style w:type="paragraph" w:customStyle="1" w:styleId="xl77">
    <w:name w:val="xl77"/>
    <w:basedOn w:val="Normal"/>
    <w:rsid w:val="003F620C"/>
    <w:pPr>
      <w:pBdr>
        <w:bottom w:val="single" w:sz="4" w:space="0" w:color="auto"/>
      </w:pBdr>
      <w:shd w:val="clear" w:color="000000" w:fill="FFFF00"/>
      <w:spacing w:before="100" w:beforeAutospacing="1" w:after="100" w:afterAutospacing="1"/>
    </w:pPr>
    <w:rPr>
      <w:rFonts w:ascii="Times New Roman" w:hAnsi="Times New Roman" w:cs="Times New Roman"/>
    </w:rPr>
  </w:style>
  <w:style w:type="paragraph" w:customStyle="1" w:styleId="xl78">
    <w:name w:val="xl78"/>
    <w:basedOn w:val="Normal"/>
    <w:rsid w:val="003F620C"/>
    <w:pPr>
      <w:pBdr>
        <w:top w:val="single" w:sz="4" w:space="0" w:color="auto"/>
      </w:pBdr>
      <w:shd w:val="clear" w:color="000000" w:fill="FFFF00"/>
      <w:spacing w:before="100" w:beforeAutospacing="1" w:after="100" w:afterAutospacing="1"/>
      <w:jc w:val="center"/>
    </w:pPr>
    <w:rPr>
      <w:rFonts w:ascii="Times New Roman" w:hAnsi="Times New Roman" w:cs="Times New Roman"/>
    </w:rPr>
  </w:style>
  <w:style w:type="paragraph" w:customStyle="1" w:styleId="xl79">
    <w:name w:val="xl79"/>
    <w:basedOn w:val="Normal"/>
    <w:rsid w:val="003F620C"/>
    <w:pPr>
      <w:pBdr>
        <w:top w:val="single" w:sz="8" w:space="0" w:color="auto"/>
        <w:left w:val="single" w:sz="4" w:space="0" w:color="auto"/>
        <w:bottom w:val="single" w:sz="8" w:space="0" w:color="auto"/>
      </w:pBdr>
      <w:spacing w:before="100" w:beforeAutospacing="1" w:after="100" w:afterAutospacing="1"/>
      <w:jc w:val="center"/>
    </w:pPr>
    <w:rPr>
      <w:rFonts w:ascii="Times New Roman" w:hAnsi="Times New Roman" w:cs="Times New Roman"/>
      <w:b/>
      <w:bCs/>
    </w:rPr>
  </w:style>
  <w:style w:type="paragraph" w:customStyle="1" w:styleId="xl80">
    <w:name w:val="xl80"/>
    <w:basedOn w:val="Normal"/>
    <w:rsid w:val="003F620C"/>
    <w:pPr>
      <w:pBdr>
        <w:top w:val="single" w:sz="8" w:space="0" w:color="auto"/>
        <w:bottom w:val="single" w:sz="8" w:space="0" w:color="auto"/>
      </w:pBdr>
      <w:spacing w:before="100" w:beforeAutospacing="1" w:after="100" w:afterAutospacing="1"/>
      <w:jc w:val="center"/>
    </w:pPr>
    <w:rPr>
      <w:rFonts w:ascii="Times New Roman" w:hAnsi="Times New Roman" w:cs="Times New Roman"/>
      <w:b/>
      <w:bCs/>
    </w:rPr>
  </w:style>
  <w:style w:type="paragraph" w:customStyle="1" w:styleId="xl81">
    <w:name w:val="xl81"/>
    <w:basedOn w:val="Normal"/>
    <w:rsid w:val="003F620C"/>
    <w:pPr>
      <w:pBdr>
        <w:lef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82">
    <w:name w:val="xl82"/>
    <w:basedOn w:val="Normal"/>
    <w:rsid w:val="003F620C"/>
    <w:pPr>
      <w:spacing w:before="100" w:beforeAutospacing="1" w:after="100" w:afterAutospacing="1"/>
      <w:jc w:val="center"/>
      <w:textAlignment w:val="center"/>
    </w:pPr>
    <w:rPr>
      <w:rFonts w:ascii="Times New Roman" w:hAnsi="Times New Roman" w:cs="Times New Roman"/>
    </w:rPr>
  </w:style>
  <w:style w:type="paragraph" w:customStyle="1" w:styleId="xl83">
    <w:name w:val="xl83"/>
    <w:basedOn w:val="Normal"/>
    <w:rsid w:val="003F620C"/>
    <w:pPr>
      <w:pBdr>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84">
    <w:name w:val="xl84"/>
    <w:basedOn w:val="Normal"/>
    <w:rsid w:val="003F620C"/>
    <w:pPr>
      <w:pBdr>
        <w:bottom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85">
    <w:name w:val="xl85"/>
    <w:basedOn w:val="Normal"/>
    <w:rsid w:val="003F620C"/>
    <w:pPr>
      <w:pBdr>
        <w:left w:val="single" w:sz="4" w:space="0" w:color="auto"/>
        <w:bottom w:val="single" w:sz="8" w:space="0" w:color="auto"/>
      </w:pBdr>
      <w:spacing w:before="100" w:beforeAutospacing="1" w:after="100" w:afterAutospacing="1"/>
      <w:jc w:val="center"/>
      <w:textAlignment w:val="center"/>
    </w:pPr>
    <w:rPr>
      <w:rFonts w:ascii="Times New Roman" w:hAnsi="Times New Roman" w:cs="Times New Roman"/>
    </w:rPr>
  </w:style>
  <w:style w:type="paragraph" w:customStyle="1" w:styleId="xl86">
    <w:name w:val="xl86"/>
    <w:basedOn w:val="Normal"/>
    <w:rsid w:val="003F620C"/>
    <w:pPr>
      <w:pBdr>
        <w:bottom w:val="single" w:sz="8" w:space="0" w:color="auto"/>
      </w:pBdr>
      <w:spacing w:before="100" w:beforeAutospacing="1" w:after="100" w:afterAutospacing="1"/>
      <w:jc w:val="center"/>
      <w:textAlignment w:val="center"/>
    </w:pPr>
    <w:rPr>
      <w:rFonts w:ascii="Times New Roman" w:hAnsi="Times New Roman" w:cs="Times New Roman"/>
    </w:rPr>
  </w:style>
  <w:style w:type="paragraph" w:customStyle="1" w:styleId="xl87">
    <w:name w:val="xl87"/>
    <w:basedOn w:val="Normal"/>
    <w:rsid w:val="003F620C"/>
    <w:pPr>
      <w:pBdr>
        <w:right w:val="single" w:sz="4" w:space="0" w:color="auto"/>
      </w:pBdr>
      <w:spacing w:before="100" w:beforeAutospacing="1" w:after="100" w:afterAutospacing="1"/>
      <w:jc w:val="center"/>
    </w:pPr>
    <w:rPr>
      <w:rFonts w:ascii="Times New Roman" w:hAnsi="Times New Roman" w:cs="Times New Roman"/>
    </w:rPr>
  </w:style>
  <w:style w:type="paragraph" w:customStyle="1" w:styleId="xl88">
    <w:name w:val="xl88"/>
    <w:basedOn w:val="Normal"/>
    <w:rsid w:val="003F620C"/>
    <w:pPr>
      <w:pBdr>
        <w:left w:val="single" w:sz="4" w:space="0" w:color="auto"/>
      </w:pBdr>
      <w:spacing w:before="100" w:beforeAutospacing="1" w:after="100" w:afterAutospacing="1"/>
      <w:jc w:val="center"/>
      <w:textAlignment w:val="center"/>
    </w:pPr>
    <w:rPr>
      <w:rFonts w:ascii="Times New Roman" w:hAnsi="Times New Roman" w:cs="Times New Roman"/>
      <w:color w:val="FF0000"/>
    </w:rPr>
  </w:style>
  <w:style w:type="paragraph" w:customStyle="1" w:styleId="xl89">
    <w:name w:val="xl89"/>
    <w:basedOn w:val="Normal"/>
    <w:rsid w:val="003F620C"/>
    <w:pPr>
      <w:spacing w:before="100" w:beforeAutospacing="1" w:after="100" w:afterAutospacing="1"/>
      <w:jc w:val="center"/>
      <w:textAlignment w:val="center"/>
    </w:pPr>
    <w:rPr>
      <w:rFonts w:ascii="Times New Roman" w:hAnsi="Times New Roman" w:cs="Times New Roman"/>
      <w:color w:val="FF0000"/>
    </w:rPr>
  </w:style>
  <w:style w:type="paragraph" w:customStyle="1" w:styleId="xl90">
    <w:name w:val="xl90"/>
    <w:basedOn w:val="Normal"/>
    <w:rsid w:val="003F620C"/>
    <w:pPr>
      <w:pBdr>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color w:val="FF0000"/>
    </w:rPr>
  </w:style>
  <w:style w:type="paragraph" w:customStyle="1" w:styleId="xl91">
    <w:name w:val="xl91"/>
    <w:basedOn w:val="Normal"/>
    <w:rsid w:val="003F620C"/>
    <w:pPr>
      <w:pBdr>
        <w:bottom w:val="single" w:sz="4" w:space="0" w:color="auto"/>
      </w:pBdr>
      <w:spacing w:before="100" w:beforeAutospacing="1" w:after="100" w:afterAutospacing="1"/>
      <w:jc w:val="center"/>
      <w:textAlignment w:val="center"/>
    </w:pPr>
    <w:rPr>
      <w:rFonts w:ascii="Times New Roman" w:hAnsi="Times New Roman" w:cs="Times New Roman"/>
      <w:color w:val="FF0000"/>
    </w:rPr>
  </w:style>
  <w:style w:type="paragraph" w:customStyle="1" w:styleId="xl92">
    <w:name w:val="xl92"/>
    <w:basedOn w:val="Normal"/>
    <w:rsid w:val="003F620C"/>
    <w:pPr>
      <w:pBdr>
        <w:left w:val="single" w:sz="4" w:space="0" w:color="auto"/>
        <w:bottom w:val="double" w:sz="6" w:space="0" w:color="auto"/>
      </w:pBdr>
      <w:spacing w:before="100" w:beforeAutospacing="1" w:after="100" w:afterAutospacing="1"/>
      <w:jc w:val="center"/>
      <w:textAlignment w:val="center"/>
    </w:pPr>
    <w:rPr>
      <w:rFonts w:ascii="Times New Roman" w:hAnsi="Times New Roman" w:cs="Times New Roman"/>
    </w:rPr>
  </w:style>
  <w:style w:type="paragraph" w:customStyle="1" w:styleId="xl93">
    <w:name w:val="xl93"/>
    <w:basedOn w:val="Normal"/>
    <w:rsid w:val="003F620C"/>
    <w:pPr>
      <w:pBdr>
        <w:bottom w:val="double" w:sz="6" w:space="0" w:color="auto"/>
      </w:pBdr>
      <w:spacing w:before="100" w:beforeAutospacing="1" w:after="100" w:afterAutospacing="1"/>
      <w:jc w:val="center"/>
      <w:textAlignment w:val="center"/>
    </w:pPr>
    <w:rPr>
      <w:rFonts w:ascii="Times New Roman" w:hAnsi="Times New Roman" w:cs="Times New Roman"/>
    </w:rPr>
  </w:style>
  <w:style w:type="paragraph" w:customStyle="1" w:styleId="xl94">
    <w:name w:val="xl94"/>
    <w:basedOn w:val="Normal"/>
    <w:rsid w:val="003F620C"/>
    <w:pPr>
      <w:pBdr>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95">
    <w:name w:val="xl95"/>
    <w:basedOn w:val="Normal"/>
    <w:rsid w:val="003F620C"/>
    <w:pPr>
      <w:pBdr>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96">
    <w:name w:val="xl96"/>
    <w:basedOn w:val="Normal"/>
    <w:rsid w:val="003F620C"/>
    <w:pPr>
      <w:pBdr>
        <w:bottom w:val="double" w:sz="6"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97">
    <w:name w:val="xl97"/>
    <w:basedOn w:val="Normal"/>
    <w:rsid w:val="003F620C"/>
    <w:pPr>
      <w:pBdr>
        <w:top w:val="single" w:sz="4" w:space="0" w:color="auto"/>
        <w:lef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98">
    <w:name w:val="xl98"/>
    <w:basedOn w:val="Normal"/>
    <w:rsid w:val="003F620C"/>
    <w:pPr>
      <w:pBdr>
        <w:top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99">
    <w:name w:val="xl99"/>
    <w:basedOn w:val="Normal"/>
    <w:rsid w:val="003F620C"/>
    <w:pPr>
      <w:pBdr>
        <w:left w:val="single" w:sz="4" w:space="0" w:color="auto"/>
      </w:pBd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xl100">
    <w:name w:val="xl100"/>
    <w:basedOn w:val="Normal"/>
    <w:rsid w:val="003F620C"/>
    <w:pP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xl101">
    <w:name w:val="xl101"/>
    <w:basedOn w:val="Normal"/>
    <w:rsid w:val="003F620C"/>
    <w:pPr>
      <w:pBdr>
        <w:left w:val="single" w:sz="4" w:space="0" w:color="auto"/>
        <w:bottom w:val="single" w:sz="4" w:space="0" w:color="auto"/>
      </w:pBd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xl102">
    <w:name w:val="xl102"/>
    <w:basedOn w:val="Normal"/>
    <w:rsid w:val="003F620C"/>
    <w:pPr>
      <w:pBdr>
        <w:bottom w:val="single" w:sz="4" w:space="0" w:color="auto"/>
      </w:pBd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xl103">
    <w:name w:val="xl103"/>
    <w:basedOn w:val="Normal"/>
    <w:rsid w:val="003F620C"/>
    <w:pPr>
      <w:pBdr>
        <w:left w:val="single" w:sz="4" w:space="0" w:color="auto"/>
      </w:pBdr>
      <w:shd w:val="clear" w:color="000000" w:fill="FFFF00"/>
      <w:spacing w:before="100" w:beforeAutospacing="1" w:after="100" w:afterAutospacing="1"/>
      <w:jc w:val="center"/>
      <w:textAlignment w:val="center"/>
    </w:pPr>
    <w:rPr>
      <w:rFonts w:ascii="Times New Roman" w:hAnsi="Times New Roman" w:cs="Times New Roman"/>
      <w:color w:val="FF0000"/>
    </w:rPr>
  </w:style>
  <w:style w:type="paragraph" w:customStyle="1" w:styleId="xl104">
    <w:name w:val="xl104"/>
    <w:basedOn w:val="Normal"/>
    <w:rsid w:val="003F620C"/>
    <w:pPr>
      <w:shd w:val="clear" w:color="000000" w:fill="FFFF00"/>
      <w:spacing w:before="100" w:beforeAutospacing="1" w:after="100" w:afterAutospacing="1"/>
      <w:jc w:val="center"/>
      <w:textAlignment w:val="center"/>
    </w:pPr>
    <w:rPr>
      <w:rFonts w:ascii="Times New Roman" w:hAnsi="Times New Roman" w:cs="Times New Roman"/>
      <w:color w:val="FF0000"/>
    </w:rPr>
  </w:style>
  <w:style w:type="paragraph" w:customStyle="1" w:styleId="xl105">
    <w:name w:val="xl105"/>
    <w:basedOn w:val="Normal"/>
    <w:rsid w:val="003F620C"/>
    <w:pPr>
      <w:pBdr>
        <w:right w:val="single" w:sz="4" w:space="0" w:color="auto"/>
      </w:pBdr>
      <w:shd w:val="clear" w:color="000000" w:fill="FFFF00"/>
      <w:spacing w:before="100" w:beforeAutospacing="1" w:after="100" w:afterAutospacing="1"/>
      <w:jc w:val="center"/>
    </w:pPr>
    <w:rPr>
      <w:rFonts w:ascii="Times New Roman" w:hAnsi="Times New Roman" w:cs="Times New Roman"/>
    </w:rPr>
  </w:style>
  <w:style w:type="paragraph" w:customStyle="1" w:styleId="xl106">
    <w:name w:val="xl106"/>
    <w:basedOn w:val="Normal"/>
    <w:rsid w:val="003F620C"/>
    <w:pPr>
      <w:shd w:val="clear" w:color="000000" w:fill="FFFF00"/>
      <w:spacing w:before="100" w:beforeAutospacing="1" w:after="100" w:afterAutospacing="1"/>
    </w:pPr>
    <w:rPr>
      <w:rFonts w:ascii="Times New Roman" w:hAnsi="Times New Roman" w:cs="Times New Roman"/>
      <w:color w:val="FF0000"/>
    </w:rPr>
  </w:style>
  <w:style w:type="paragraph" w:customStyle="1" w:styleId="xl107">
    <w:name w:val="xl107"/>
    <w:basedOn w:val="Normal"/>
    <w:rsid w:val="003F620C"/>
    <w:pPr>
      <w:pBdr>
        <w:left w:val="single" w:sz="4" w:space="0" w:color="auto"/>
        <w:bottom w:val="single" w:sz="4" w:space="0" w:color="auto"/>
      </w:pBdr>
      <w:shd w:val="clear" w:color="000000" w:fill="FFFF00"/>
      <w:spacing w:before="100" w:beforeAutospacing="1" w:after="100" w:afterAutospacing="1"/>
      <w:jc w:val="center"/>
      <w:textAlignment w:val="center"/>
    </w:pPr>
    <w:rPr>
      <w:rFonts w:ascii="Times New Roman" w:hAnsi="Times New Roman" w:cs="Times New Roman"/>
      <w:color w:val="FF0000"/>
    </w:rPr>
  </w:style>
  <w:style w:type="paragraph" w:customStyle="1" w:styleId="xl108">
    <w:name w:val="xl108"/>
    <w:basedOn w:val="Normal"/>
    <w:rsid w:val="003F620C"/>
    <w:pPr>
      <w:pBdr>
        <w:bottom w:val="single" w:sz="4" w:space="0" w:color="auto"/>
      </w:pBdr>
      <w:shd w:val="clear" w:color="000000" w:fill="FFFF00"/>
      <w:spacing w:before="100" w:beforeAutospacing="1" w:after="100" w:afterAutospacing="1"/>
      <w:jc w:val="center"/>
      <w:textAlignment w:val="center"/>
    </w:pPr>
    <w:rPr>
      <w:rFonts w:ascii="Times New Roman" w:hAnsi="Times New Roman" w:cs="Times New Roman"/>
      <w:color w:val="FF0000"/>
    </w:rPr>
  </w:style>
  <w:style w:type="paragraph" w:customStyle="1" w:styleId="xl63">
    <w:name w:val="xl63"/>
    <w:basedOn w:val="Normal"/>
    <w:rsid w:val="00A435D3"/>
    <w:pPr>
      <w:pBdr>
        <w:bottom w:val="single" w:sz="4" w:space="0" w:color="auto"/>
      </w:pBdr>
      <w:spacing w:before="100" w:beforeAutospacing="1" w:after="100" w:afterAutospacing="1"/>
    </w:pPr>
    <w:rPr>
      <w:rFonts w:ascii="Times New Roman" w:hAnsi="Times New Roman" w:cs="Times New Roman"/>
    </w:rPr>
  </w:style>
  <w:style w:type="paragraph" w:customStyle="1" w:styleId="xl64">
    <w:name w:val="xl64"/>
    <w:basedOn w:val="Normal"/>
    <w:rsid w:val="00A435D3"/>
    <w:pPr>
      <w:pBdr>
        <w:bottom w:val="single" w:sz="8" w:space="0" w:color="auto"/>
      </w:pBdr>
      <w:spacing w:before="100" w:beforeAutospacing="1" w:after="100" w:afterAutospacing="1"/>
    </w:pPr>
    <w:rPr>
      <w:rFonts w:ascii="Times New Roman" w:hAnsi="Times New Roman" w:cs="Times New Roman"/>
    </w:rPr>
  </w:style>
  <w:style w:type="character" w:customStyle="1" w:styleId="Heading4Char">
    <w:name w:val="Heading 4 Char"/>
    <w:basedOn w:val="DefaultParagraphFont"/>
    <w:link w:val="Heading4"/>
    <w:uiPriority w:val="9"/>
    <w:rsid w:val="007E3FB3"/>
    <w:rPr>
      <w:rFonts w:asciiTheme="majorHAnsi" w:eastAsiaTheme="majorEastAsia" w:hAnsiTheme="majorHAnsi" w:cstheme="majorBidi"/>
      <w:b/>
      <w:bCs/>
      <w:i/>
      <w:iCs/>
      <w:color w:val="4F81BD" w:themeColor="accent1"/>
      <w:sz w:val="24"/>
      <w:szCs w:val="24"/>
    </w:rPr>
  </w:style>
  <w:style w:type="character" w:styleId="PlaceholderText">
    <w:name w:val="Placeholder Text"/>
    <w:basedOn w:val="DefaultParagraphFont"/>
    <w:uiPriority w:val="99"/>
    <w:semiHidden/>
    <w:rsid w:val="00AE68F9"/>
    <w:rPr>
      <w:color w:val="808080"/>
    </w:rPr>
  </w:style>
  <w:style w:type="character" w:customStyle="1" w:styleId="Heading5Char">
    <w:name w:val="Heading 5 Char"/>
    <w:basedOn w:val="DefaultParagraphFont"/>
    <w:link w:val="Heading5"/>
    <w:uiPriority w:val="9"/>
    <w:rsid w:val="00C25711"/>
    <w:rPr>
      <w:rFonts w:asciiTheme="majorHAnsi" w:eastAsiaTheme="majorEastAsia" w:hAnsiTheme="majorHAnsi" w:cstheme="majorBidi"/>
      <w:b/>
      <w:bCs/>
      <w:color w:val="7F7F7F" w:themeColor="text1" w:themeTint="80"/>
      <w:sz w:val="24"/>
      <w:szCs w:val="22"/>
    </w:rPr>
  </w:style>
  <w:style w:type="character" w:customStyle="1" w:styleId="Heading6Char">
    <w:name w:val="Heading 6 Char"/>
    <w:basedOn w:val="DefaultParagraphFont"/>
    <w:link w:val="Heading6"/>
    <w:uiPriority w:val="9"/>
    <w:semiHidden/>
    <w:rsid w:val="00941B51"/>
    <w:rPr>
      <w:rFonts w:asciiTheme="majorHAnsi" w:eastAsiaTheme="majorEastAsia" w:hAnsiTheme="majorHAnsi" w:cstheme="majorBidi"/>
      <w:b/>
      <w:bCs/>
      <w:i/>
      <w:iCs/>
      <w:color w:val="7F7F7F" w:themeColor="text1" w:themeTint="80"/>
      <w:sz w:val="22"/>
      <w:szCs w:val="22"/>
    </w:rPr>
  </w:style>
  <w:style w:type="character" w:customStyle="1" w:styleId="Heading7Char">
    <w:name w:val="Heading 7 Char"/>
    <w:basedOn w:val="DefaultParagraphFont"/>
    <w:link w:val="Heading7"/>
    <w:uiPriority w:val="9"/>
    <w:semiHidden/>
    <w:rsid w:val="00941B51"/>
    <w:rPr>
      <w:rFonts w:asciiTheme="majorHAnsi" w:eastAsiaTheme="majorEastAsia" w:hAnsiTheme="majorHAnsi" w:cstheme="majorBidi"/>
      <w:i/>
      <w:iCs/>
      <w:sz w:val="22"/>
      <w:szCs w:val="22"/>
    </w:rPr>
  </w:style>
  <w:style w:type="character" w:customStyle="1" w:styleId="Heading8Char">
    <w:name w:val="Heading 8 Char"/>
    <w:basedOn w:val="DefaultParagraphFont"/>
    <w:link w:val="Heading8"/>
    <w:uiPriority w:val="9"/>
    <w:semiHidden/>
    <w:rsid w:val="00941B51"/>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941B51"/>
    <w:rPr>
      <w:rFonts w:asciiTheme="majorHAnsi" w:eastAsiaTheme="majorEastAsia" w:hAnsiTheme="majorHAnsi" w:cstheme="majorBidi"/>
      <w:i/>
      <w:iCs/>
      <w:spacing w:val="5"/>
    </w:rPr>
  </w:style>
  <w:style w:type="paragraph" w:styleId="Subtitle">
    <w:name w:val="Subtitle"/>
    <w:basedOn w:val="Normal"/>
    <w:next w:val="Normal"/>
    <w:link w:val="SubtitleChar"/>
    <w:uiPriority w:val="11"/>
    <w:qFormat/>
    <w:rsid w:val="00941B51"/>
    <w:pPr>
      <w:spacing w:after="600" w:line="276" w:lineRule="auto"/>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941B51"/>
    <w:rPr>
      <w:rFonts w:asciiTheme="majorHAnsi" w:eastAsiaTheme="majorEastAsia" w:hAnsiTheme="majorHAnsi" w:cstheme="majorBidi"/>
      <w:i/>
      <w:iCs/>
      <w:spacing w:val="13"/>
      <w:sz w:val="24"/>
      <w:szCs w:val="24"/>
    </w:rPr>
  </w:style>
  <w:style w:type="character" w:styleId="Strong">
    <w:name w:val="Strong"/>
    <w:uiPriority w:val="22"/>
    <w:qFormat/>
    <w:rsid w:val="00941B51"/>
    <w:rPr>
      <w:b/>
      <w:bCs/>
    </w:rPr>
  </w:style>
  <w:style w:type="character" w:styleId="Emphasis">
    <w:name w:val="Emphasis"/>
    <w:uiPriority w:val="20"/>
    <w:qFormat/>
    <w:rsid w:val="00941B51"/>
    <w:rPr>
      <w:b/>
      <w:bCs/>
      <w:i/>
      <w:iCs/>
      <w:spacing w:val="10"/>
      <w:bdr w:val="none" w:sz="0" w:space="0" w:color="auto"/>
      <w:shd w:val="clear" w:color="auto" w:fill="auto"/>
    </w:rPr>
  </w:style>
  <w:style w:type="paragraph" w:styleId="NoSpacing">
    <w:name w:val="No Spacing"/>
    <w:basedOn w:val="Normal"/>
    <w:uiPriority w:val="1"/>
    <w:qFormat/>
    <w:rsid w:val="00941B51"/>
    <w:rPr>
      <w:rFonts w:asciiTheme="minorHAnsi" w:eastAsiaTheme="minorEastAsia" w:hAnsiTheme="minorHAnsi" w:cstheme="minorBidi"/>
      <w:sz w:val="22"/>
      <w:szCs w:val="22"/>
    </w:rPr>
  </w:style>
  <w:style w:type="paragraph" w:styleId="Quote">
    <w:name w:val="Quote"/>
    <w:basedOn w:val="Normal"/>
    <w:next w:val="Normal"/>
    <w:link w:val="QuoteChar"/>
    <w:uiPriority w:val="29"/>
    <w:qFormat/>
    <w:rsid w:val="00941B51"/>
    <w:pPr>
      <w:spacing w:before="200" w:line="276" w:lineRule="auto"/>
      <w:ind w:left="360" w:right="360"/>
    </w:pPr>
    <w:rPr>
      <w:rFonts w:asciiTheme="minorHAnsi" w:eastAsiaTheme="minorEastAsia" w:hAnsiTheme="minorHAnsi" w:cstheme="minorBidi"/>
      <w:i/>
      <w:iCs/>
      <w:sz w:val="22"/>
      <w:szCs w:val="22"/>
    </w:rPr>
  </w:style>
  <w:style w:type="character" w:customStyle="1" w:styleId="QuoteChar">
    <w:name w:val="Quote Char"/>
    <w:basedOn w:val="DefaultParagraphFont"/>
    <w:link w:val="Quote"/>
    <w:uiPriority w:val="29"/>
    <w:rsid w:val="00941B51"/>
    <w:rPr>
      <w:rFonts w:asciiTheme="minorHAnsi" w:eastAsiaTheme="minorEastAsia" w:hAnsiTheme="minorHAnsi" w:cstheme="minorBidi"/>
      <w:i/>
      <w:iCs/>
      <w:sz w:val="22"/>
      <w:szCs w:val="22"/>
    </w:rPr>
  </w:style>
  <w:style w:type="paragraph" w:styleId="IntenseQuote">
    <w:name w:val="Intense Quote"/>
    <w:basedOn w:val="Normal"/>
    <w:next w:val="Normal"/>
    <w:link w:val="IntenseQuoteChar"/>
    <w:uiPriority w:val="30"/>
    <w:qFormat/>
    <w:rsid w:val="00941B51"/>
    <w:pPr>
      <w:pBdr>
        <w:bottom w:val="single" w:sz="4" w:space="1" w:color="auto"/>
      </w:pBdr>
      <w:spacing w:before="200" w:after="280" w:line="276" w:lineRule="auto"/>
      <w:ind w:left="1008" w:right="1152"/>
      <w:jc w:val="both"/>
    </w:pPr>
    <w:rPr>
      <w:rFonts w:asciiTheme="minorHAnsi" w:eastAsiaTheme="minorEastAsia" w:hAnsiTheme="minorHAnsi" w:cstheme="minorBidi"/>
      <w:b/>
      <w:bCs/>
      <w:i/>
      <w:iCs/>
      <w:sz w:val="22"/>
      <w:szCs w:val="22"/>
    </w:rPr>
  </w:style>
  <w:style w:type="character" w:customStyle="1" w:styleId="IntenseQuoteChar">
    <w:name w:val="Intense Quote Char"/>
    <w:basedOn w:val="DefaultParagraphFont"/>
    <w:link w:val="IntenseQuote"/>
    <w:uiPriority w:val="30"/>
    <w:rsid w:val="00941B51"/>
    <w:rPr>
      <w:rFonts w:asciiTheme="minorHAnsi" w:eastAsiaTheme="minorEastAsia" w:hAnsiTheme="minorHAnsi" w:cstheme="minorBidi"/>
      <w:b/>
      <w:bCs/>
      <w:i/>
      <w:iCs/>
      <w:sz w:val="22"/>
      <w:szCs w:val="22"/>
    </w:rPr>
  </w:style>
  <w:style w:type="character" w:styleId="SubtleEmphasis">
    <w:name w:val="Subtle Emphasis"/>
    <w:uiPriority w:val="19"/>
    <w:qFormat/>
    <w:rsid w:val="00941B51"/>
    <w:rPr>
      <w:i/>
      <w:iCs/>
    </w:rPr>
  </w:style>
  <w:style w:type="character" w:styleId="IntenseEmphasis">
    <w:name w:val="Intense Emphasis"/>
    <w:uiPriority w:val="21"/>
    <w:qFormat/>
    <w:rsid w:val="00941B51"/>
    <w:rPr>
      <w:b/>
      <w:bCs/>
    </w:rPr>
  </w:style>
  <w:style w:type="character" w:styleId="SubtleReference">
    <w:name w:val="Subtle Reference"/>
    <w:uiPriority w:val="31"/>
    <w:qFormat/>
    <w:rsid w:val="00941B51"/>
    <w:rPr>
      <w:smallCaps/>
    </w:rPr>
  </w:style>
  <w:style w:type="character" w:styleId="IntenseReference">
    <w:name w:val="Intense Reference"/>
    <w:uiPriority w:val="32"/>
    <w:qFormat/>
    <w:rsid w:val="00941B51"/>
    <w:rPr>
      <w:smallCaps/>
      <w:spacing w:val="5"/>
      <w:u w:val="single"/>
    </w:rPr>
  </w:style>
  <w:style w:type="character" w:styleId="BookTitle">
    <w:name w:val="Book Title"/>
    <w:uiPriority w:val="33"/>
    <w:qFormat/>
    <w:rsid w:val="00941B51"/>
    <w:rPr>
      <w:i/>
      <w:iCs/>
      <w:smallCaps/>
      <w:spacing w:val="5"/>
    </w:rPr>
  </w:style>
  <w:style w:type="table" w:styleId="Table3Deffects1">
    <w:name w:val="Table 3D effects 1"/>
    <w:basedOn w:val="TableNormal"/>
    <w:rsid w:val="00BD51C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1">
    <w:name w:val="Table Classic 1"/>
    <w:basedOn w:val="TableNormal"/>
    <w:rsid w:val="00BD51C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F160E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b">
    <w:name w:val="b"/>
    <w:basedOn w:val="DefaultParagraphFont"/>
    <w:rsid w:val="000851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7E3FB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25711"/>
    <w:pPr>
      <w:spacing w:before="200" w:line="276" w:lineRule="auto"/>
      <w:outlineLvl w:val="4"/>
    </w:pPr>
    <w:rPr>
      <w:rFonts w:asciiTheme="majorHAnsi" w:eastAsiaTheme="majorEastAsia" w:hAnsiTheme="majorHAnsi" w:cstheme="majorBidi"/>
      <w:b/>
      <w:bCs/>
      <w:color w:val="7F7F7F" w:themeColor="text1" w:themeTint="80"/>
      <w:szCs w:val="22"/>
    </w:rPr>
  </w:style>
  <w:style w:type="paragraph" w:styleId="Heading6">
    <w:name w:val="heading 6"/>
    <w:basedOn w:val="Normal"/>
    <w:next w:val="Normal"/>
    <w:link w:val="Heading6Char"/>
    <w:uiPriority w:val="9"/>
    <w:semiHidden/>
    <w:unhideWhenUsed/>
    <w:qFormat/>
    <w:rsid w:val="00941B51"/>
    <w:pPr>
      <w:spacing w:line="271" w:lineRule="auto"/>
      <w:outlineLvl w:val="5"/>
    </w:pPr>
    <w:rPr>
      <w:rFonts w:asciiTheme="majorHAnsi" w:eastAsiaTheme="majorEastAsia" w:hAnsiTheme="majorHAnsi" w:cstheme="majorBidi"/>
      <w:b/>
      <w:bCs/>
      <w:i/>
      <w:iCs/>
      <w:color w:val="7F7F7F" w:themeColor="text1" w:themeTint="80"/>
      <w:sz w:val="22"/>
      <w:szCs w:val="22"/>
    </w:rPr>
  </w:style>
  <w:style w:type="paragraph" w:styleId="Heading7">
    <w:name w:val="heading 7"/>
    <w:basedOn w:val="Normal"/>
    <w:next w:val="Normal"/>
    <w:link w:val="Heading7Char"/>
    <w:uiPriority w:val="9"/>
    <w:semiHidden/>
    <w:unhideWhenUsed/>
    <w:qFormat/>
    <w:rsid w:val="00941B51"/>
    <w:pPr>
      <w:spacing w:line="276" w:lineRule="auto"/>
      <w:outlineLvl w:val="6"/>
    </w:pPr>
    <w:rPr>
      <w:rFonts w:asciiTheme="majorHAnsi" w:eastAsiaTheme="majorEastAsia" w:hAnsiTheme="majorHAnsi" w:cstheme="majorBidi"/>
      <w:i/>
      <w:iCs/>
      <w:sz w:val="22"/>
      <w:szCs w:val="22"/>
    </w:rPr>
  </w:style>
  <w:style w:type="paragraph" w:styleId="Heading8">
    <w:name w:val="heading 8"/>
    <w:basedOn w:val="Normal"/>
    <w:next w:val="Normal"/>
    <w:link w:val="Heading8Char"/>
    <w:uiPriority w:val="9"/>
    <w:semiHidden/>
    <w:unhideWhenUsed/>
    <w:qFormat/>
    <w:rsid w:val="00941B51"/>
    <w:pPr>
      <w:spacing w:line="276" w:lineRule="auto"/>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41B51"/>
    <w:pPr>
      <w:spacing w:line="276" w:lineRule="auto"/>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uiPriority w:val="5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rsid w:val="00CE4E27"/>
    <w:rPr>
      <w:sz w:val="16"/>
      <w:szCs w:val="16"/>
    </w:rPr>
  </w:style>
  <w:style w:type="paragraph" w:styleId="CommentText">
    <w:name w:val="annotation text"/>
    <w:basedOn w:val="Normal"/>
    <w:link w:val="CommentTextChar"/>
    <w:uiPriority w:val="99"/>
    <w:rsid w:val="00CE4E27"/>
    <w:rPr>
      <w:sz w:val="20"/>
      <w:szCs w:val="20"/>
    </w:rPr>
  </w:style>
  <w:style w:type="character" w:customStyle="1" w:styleId="CommentTextChar">
    <w:name w:val="Comment Text Char"/>
    <w:basedOn w:val="DefaultParagraphFont"/>
    <w:link w:val="CommentText"/>
    <w:uiPriority w:val="99"/>
    <w:rsid w:val="00CE4E27"/>
    <w:rPr>
      <w:rFonts w:ascii="Arial" w:hAnsi="Arial" w:cs="Arial"/>
    </w:rPr>
  </w:style>
  <w:style w:type="paragraph" w:styleId="CommentSubject">
    <w:name w:val="annotation subject"/>
    <w:basedOn w:val="CommentText"/>
    <w:next w:val="CommentText"/>
    <w:link w:val="CommentSubjectChar"/>
    <w:uiPriority w:val="99"/>
    <w:rsid w:val="00CE4E27"/>
    <w:rPr>
      <w:b/>
      <w:bCs/>
    </w:rPr>
  </w:style>
  <w:style w:type="character" w:customStyle="1" w:styleId="CommentSubjectChar">
    <w:name w:val="Comment Subject Char"/>
    <w:basedOn w:val="CommentTextChar"/>
    <w:link w:val="CommentSubject"/>
    <w:uiPriority w:val="99"/>
    <w:rsid w:val="00CE4E27"/>
    <w:rPr>
      <w:rFonts w:ascii="Arial" w:hAnsi="Arial" w:cs="Arial"/>
      <w:b/>
      <w:bCs/>
    </w:rPr>
  </w:style>
  <w:style w:type="paragraph" w:styleId="BalloonText">
    <w:name w:val="Balloon Text"/>
    <w:basedOn w:val="Normal"/>
    <w:link w:val="BalloonTextChar"/>
    <w:uiPriority w:val="99"/>
    <w:rsid w:val="00CE4E27"/>
    <w:rPr>
      <w:rFonts w:ascii="Tahoma" w:hAnsi="Tahoma" w:cs="Tahoma"/>
      <w:sz w:val="16"/>
      <w:szCs w:val="16"/>
    </w:rPr>
  </w:style>
  <w:style w:type="character" w:customStyle="1" w:styleId="BalloonTextChar">
    <w:name w:val="Balloon Text Char"/>
    <w:basedOn w:val="DefaultParagraphFont"/>
    <w:link w:val="BalloonText"/>
    <w:uiPriority w:val="99"/>
    <w:rsid w:val="00CE4E27"/>
    <w:rPr>
      <w:rFonts w:ascii="Tahoma" w:hAnsi="Tahoma" w:cs="Tahoma"/>
      <w:sz w:val="16"/>
      <w:szCs w:val="16"/>
    </w:rPr>
  </w:style>
  <w:style w:type="paragraph" w:styleId="Bibliography">
    <w:name w:val="Bibliography"/>
    <w:basedOn w:val="Normal"/>
    <w:next w:val="Normal"/>
    <w:uiPriority w:val="37"/>
    <w:unhideWhenUsed/>
    <w:rsid w:val="006C53C1"/>
    <w:pPr>
      <w:spacing w:after="240"/>
    </w:pPr>
  </w:style>
  <w:style w:type="character" w:customStyle="1" w:styleId="HeaderChar">
    <w:name w:val="Header Char"/>
    <w:basedOn w:val="DefaultParagraphFont"/>
    <w:link w:val="Header"/>
    <w:uiPriority w:val="99"/>
    <w:rsid w:val="006C53C1"/>
    <w:rPr>
      <w:rFonts w:ascii="Arial" w:hAnsi="Arial" w:cs="Arial"/>
      <w:sz w:val="24"/>
      <w:szCs w:val="24"/>
    </w:rPr>
  </w:style>
  <w:style w:type="paragraph" w:styleId="ListParagraph">
    <w:name w:val="List Paragraph"/>
    <w:basedOn w:val="Normal"/>
    <w:uiPriority w:val="34"/>
    <w:qFormat/>
    <w:rsid w:val="006C53C1"/>
    <w:pPr>
      <w:spacing w:after="200" w:line="276" w:lineRule="auto"/>
      <w:ind w:left="720"/>
      <w:contextualSpacing/>
    </w:pPr>
    <w:rPr>
      <w:rFonts w:ascii="Times New Roman" w:eastAsiaTheme="minorHAnsi" w:hAnsi="Times New Roman" w:cstheme="minorBidi"/>
      <w:szCs w:val="22"/>
    </w:rPr>
  </w:style>
  <w:style w:type="character" w:customStyle="1" w:styleId="Heading2Char">
    <w:name w:val="Heading 2 Char"/>
    <w:basedOn w:val="DefaultParagraphFont"/>
    <w:link w:val="Heading2"/>
    <w:uiPriority w:val="9"/>
    <w:rsid w:val="006C53C1"/>
    <w:rPr>
      <w:rFonts w:ascii="Arial" w:hAnsi="Arial" w:cs="Arial"/>
      <w:b/>
      <w:bCs/>
      <w:iCs/>
      <w:sz w:val="28"/>
      <w:szCs w:val="28"/>
    </w:rPr>
  </w:style>
  <w:style w:type="character" w:styleId="FollowedHyperlink">
    <w:name w:val="FollowedHyperlink"/>
    <w:basedOn w:val="DefaultParagraphFont"/>
    <w:uiPriority w:val="99"/>
    <w:unhideWhenUsed/>
    <w:rsid w:val="003F620C"/>
    <w:rPr>
      <w:color w:val="800080"/>
      <w:u w:val="single"/>
    </w:rPr>
  </w:style>
  <w:style w:type="paragraph" w:customStyle="1" w:styleId="xl65">
    <w:name w:val="xl65"/>
    <w:basedOn w:val="Normal"/>
    <w:rsid w:val="003F620C"/>
    <w:pPr>
      <w:pBdr>
        <w:bottom w:val="single" w:sz="4" w:space="0" w:color="auto"/>
      </w:pBdr>
      <w:spacing w:before="100" w:beforeAutospacing="1" w:after="100" w:afterAutospacing="1"/>
      <w:jc w:val="center"/>
    </w:pPr>
    <w:rPr>
      <w:rFonts w:ascii="Times New Roman" w:hAnsi="Times New Roman" w:cs="Times New Roman"/>
    </w:rPr>
  </w:style>
  <w:style w:type="paragraph" w:customStyle="1" w:styleId="xl66">
    <w:name w:val="xl66"/>
    <w:basedOn w:val="Normal"/>
    <w:rsid w:val="003F620C"/>
    <w:pPr>
      <w:pBdr>
        <w:bottom w:val="single" w:sz="8" w:space="0" w:color="auto"/>
      </w:pBdr>
      <w:spacing w:before="100" w:beforeAutospacing="1" w:after="100" w:afterAutospacing="1"/>
      <w:jc w:val="center"/>
    </w:pPr>
    <w:rPr>
      <w:rFonts w:ascii="Times New Roman" w:hAnsi="Times New Roman" w:cs="Times New Roman"/>
    </w:rPr>
  </w:style>
  <w:style w:type="paragraph" w:customStyle="1" w:styleId="xl67">
    <w:name w:val="xl67"/>
    <w:basedOn w:val="Normal"/>
    <w:rsid w:val="003F620C"/>
    <w:pPr>
      <w:pBdr>
        <w:bottom w:val="double" w:sz="6" w:space="0" w:color="auto"/>
      </w:pBdr>
      <w:spacing w:before="100" w:beforeAutospacing="1" w:after="100" w:afterAutospacing="1"/>
      <w:jc w:val="center"/>
    </w:pPr>
    <w:rPr>
      <w:rFonts w:ascii="Times New Roman" w:hAnsi="Times New Roman" w:cs="Times New Roman"/>
    </w:rPr>
  </w:style>
  <w:style w:type="paragraph" w:customStyle="1" w:styleId="xl68">
    <w:name w:val="xl68"/>
    <w:basedOn w:val="Normal"/>
    <w:rsid w:val="003F620C"/>
    <w:pPr>
      <w:pBdr>
        <w:bottom w:val="single" w:sz="4" w:space="0" w:color="auto"/>
      </w:pBdr>
      <w:spacing w:before="100" w:beforeAutospacing="1" w:after="100" w:afterAutospacing="1"/>
    </w:pPr>
    <w:rPr>
      <w:rFonts w:ascii="Times New Roman" w:hAnsi="Times New Roman" w:cs="Times New Roman"/>
    </w:rPr>
  </w:style>
  <w:style w:type="paragraph" w:customStyle="1" w:styleId="xl69">
    <w:name w:val="xl69"/>
    <w:basedOn w:val="Normal"/>
    <w:rsid w:val="003F620C"/>
    <w:pPr>
      <w:spacing w:before="100" w:beforeAutospacing="1" w:after="100" w:afterAutospacing="1"/>
      <w:jc w:val="center"/>
    </w:pPr>
    <w:rPr>
      <w:rFonts w:ascii="Times New Roman" w:hAnsi="Times New Roman" w:cs="Times New Roman"/>
    </w:rPr>
  </w:style>
  <w:style w:type="paragraph" w:customStyle="1" w:styleId="xl70">
    <w:name w:val="xl70"/>
    <w:basedOn w:val="Normal"/>
    <w:rsid w:val="003F620C"/>
    <w:pPr>
      <w:pBdr>
        <w:top w:val="single" w:sz="4" w:space="0" w:color="auto"/>
      </w:pBdr>
      <w:spacing w:before="100" w:beforeAutospacing="1" w:after="100" w:afterAutospacing="1"/>
      <w:jc w:val="center"/>
    </w:pPr>
    <w:rPr>
      <w:rFonts w:ascii="Times New Roman" w:hAnsi="Times New Roman" w:cs="Times New Roman"/>
    </w:rPr>
  </w:style>
  <w:style w:type="paragraph" w:customStyle="1" w:styleId="xl71">
    <w:name w:val="xl71"/>
    <w:basedOn w:val="Normal"/>
    <w:rsid w:val="003F620C"/>
    <w:pPr>
      <w:pBdr>
        <w:bottom w:val="single" w:sz="8" w:space="0" w:color="auto"/>
      </w:pBdr>
      <w:spacing w:before="100" w:beforeAutospacing="1" w:after="100" w:afterAutospacing="1"/>
    </w:pPr>
    <w:rPr>
      <w:rFonts w:ascii="Times New Roman" w:hAnsi="Times New Roman" w:cs="Times New Roman"/>
    </w:rPr>
  </w:style>
  <w:style w:type="paragraph" w:customStyle="1" w:styleId="xl72">
    <w:name w:val="xl72"/>
    <w:basedOn w:val="Normal"/>
    <w:rsid w:val="003F620C"/>
    <w:pPr>
      <w:pBdr>
        <w:bottom w:val="double" w:sz="6" w:space="0" w:color="auto"/>
      </w:pBdr>
      <w:spacing w:before="100" w:beforeAutospacing="1" w:after="100" w:afterAutospacing="1"/>
    </w:pPr>
    <w:rPr>
      <w:rFonts w:ascii="Times New Roman" w:hAnsi="Times New Roman" w:cs="Times New Roman"/>
    </w:rPr>
  </w:style>
  <w:style w:type="paragraph" w:customStyle="1" w:styleId="xl73">
    <w:name w:val="xl73"/>
    <w:basedOn w:val="Normal"/>
    <w:rsid w:val="003F620C"/>
    <w:pPr>
      <w:pBdr>
        <w:bottom w:val="single" w:sz="8" w:space="0" w:color="auto"/>
      </w:pBdr>
      <w:spacing w:before="100" w:beforeAutospacing="1" w:after="100" w:afterAutospacing="1"/>
      <w:jc w:val="center"/>
    </w:pPr>
    <w:rPr>
      <w:rFonts w:ascii="Times New Roman" w:hAnsi="Times New Roman" w:cs="Times New Roman"/>
    </w:rPr>
  </w:style>
  <w:style w:type="paragraph" w:customStyle="1" w:styleId="xl74">
    <w:name w:val="xl74"/>
    <w:basedOn w:val="Normal"/>
    <w:rsid w:val="003F620C"/>
    <w:pPr>
      <w:shd w:val="clear" w:color="000000" w:fill="FFFF00"/>
      <w:spacing w:before="100" w:beforeAutospacing="1" w:after="100" w:afterAutospacing="1"/>
      <w:jc w:val="center"/>
    </w:pPr>
    <w:rPr>
      <w:rFonts w:ascii="Times New Roman" w:hAnsi="Times New Roman" w:cs="Times New Roman"/>
    </w:rPr>
  </w:style>
  <w:style w:type="paragraph" w:customStyle="1" w:styleId="xl75">
    <w:name w:val="xl75"/>
    <w:basedOn w:val="Normal"/>
    <w:rsid w:val="003F620C"/>
    <w:pPr>
      <w:shd w:val="clear" w:color="000000" w:fill="FFFF00"/>
      <w:spacing w:before="100" w:beforeAutospacing="1" w:after="100" w:afterAutospacing="1"/>
    </w:pPr>
    <w:rPr>
      <w:rFonts w:ascii="Times New Roman" w:hAnsi="Times New Roman" w:cs="Times New Roman"/>
    </w:rPr>
  </w:style>
  <w:style w:type="paragraph" w:customStyle="1" w:styleId="xl76">
    <w:name w:val="xl76"/>
    <w:basedOn w:val="Normal"/>
    <w:rsid w:val="003F620C"/>
    <w:pPr>
      <w:pBdr>
        <w:bottom w:val="single" w:sz="4" w:space="0" w:color="auto"/>
      </w:pBdr>
      <w:shd w:val="clear" w:color="000000" w:fill="FFFF00"/>
      <w:spacing w:before="100" w:beforeAutospacing="1" w:after="100" w:afterAutospacing="1"/>
      <w:jc w:val="center"/>
    </w:pPr>
    <w:rPr>
      <w:rFonts w:ascii="Times New Roman" w:hAnsi="Times New Roman" w:cs="Times New Roman"/>
    </w:rPr>
  </w:style>
  <w:style w:type="paragraph" w:customStyle="1" w:styleId="xl77">
    <w:name w:val="xl77"/>
    <w:basedOn w:val="Normal"/>
    <w:rsid w:val="003F620C"/>
    <w:pPr>
      <w:pBdr>
        <w:bottom w:val="single" w:sz="4" w:space="0" w:color="auto"/>
      </w:pBdr>
      <w:shd w:val="clear" w:color="000000" w:fill="FFFF00"/>
      <w:spacing w:before="100" w:beforeAutospacing="1" w:after="100" w:afterAutospacing="1"/>
    </w:pPr>
    <w:rPr>
      <w:rFonts w:ascii="Times New Roman" w:hAnsi="Times New Roman" w:cs="Times New Roman"/>
    </w:rPr>
  </w:style>
  <w:style w:type="paragraph" w:customStyle="1" w:styleId="xl78">
    <w:name w:val="xl78"/>
    <w:basedOn w:val="Normal"/>
    <w:rsid w:val="003F620C"/>
    <w:pPr>
      <w:pBdr>
        <w:top w:val="single" w:sz="4" w:space="0" w:color="auto"/>
      </w:pBdr>
      <w:shd w:val="clear" w:color="000000" w:fill="FFFF00"/>
      <w:spacing w:before="100" w:beforeAutospacing="1" w:after="100" w:afterAutospacing="1"/>
      <w:jc w:val="center"/>
    </w:pPr>
    <w:rPr>
      <w:rFonts w:ascii="Times New Roman" w:hAnsi="Times New Roman" w:cs="Times New Roman"/>
    </w:rPr>
  </w:style>
  <w:style w:type="paragraph" w:customStyle="1" w:styleId="xl79">
    <w:name w:val="xl79"/>
    <w:basedOn w:val="Normal"/>
    <w:rsid w:val="003F620C"/>
    <w:pPr>
      <w:pBdr>
        <w:top w:val="single" w:sz="8" w:space="0" w:color="auto"/>
        <w:left w:val="single" w:sz="4" w:space="0" w:color="auto"/>
        <w:bottom w:val="single" w:sz="8" w:space="0" w:color="auto"/>
      </w:pBdr>
      <w:spacing w:before="100" w:beforeAutospacing="1" w:after="100" w:afterAutospacing="1"/>
      <w:jc w:val="center"/>
    </w:pPr>
    <w:rPr>
      <w:rFonts w:ascii="Times New Roman" w:hAnsi="Times New Roman" w:cs="Times New Roman"/>
      <w:b/>
      <w:bCs/>
    </w:rPr>
  </w:style>
  <w:style w:type="paragraph" w:customStyle="1" w:styleId="xl80">
    <w:name w:val="xl80"/>
    <w:basedOn w:val="Normal"/>
    <w:rsid w:val="003F620C"/>
    <w:pPr>
      <w:pBdr>
        <w:top w:val="single" w:sz="8" w:space="0" w:color="auto"/>
        <w:bottom w:val="single" w:sz="8" w:space="0" w:color="auto"/>
      </w:pBdr>
      <w:spacing w:before="100" w:beforeAutospacing="1" w:after="100" w:afterAutospacing="1"/>
      <w:jc w:val="center"/>
    </w:pPr>
    <w:rPr>
      <w:rFonts w:ascii="Times New Roman" w:hAnsi="Times New Roman" w:cs="Times New Roman"/>
      <w:b/>
      <w:bCs/>
    </w:rPr>
  </w:style>
  <w:style w:type="paragraph" w:customStyle="1" w:styleId="xl81">
    <w:name w:val="xl81"/>
    <w:basedOn w:val="Normal"/>
    <w:rsid w:val="003F620C"/>
    <w:pPr>
      <w:pBdr>
        <w:lef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82">
    <w:name w:val="xl82"/>
    <w:basedOn w:val="Normal"/>
    <w:rsid w:val="003F620C"/>
    <w:pPr>
      <w:spacing w:before="100" w:beforeAutospacing="1" w:after="100" w:afterAutospacing="1"/>
      <w:jc w:val="center"/>
      <w:textAlignment w:val="center"/>
    </w:pPr>
    <w:rPr>
      <w:rFonts w:ascii="Times New Roman" w:hAnsi="Times New Roman" w:cs="Times New Roman"/>
    </w:rPr>
  </w:style>
  <w:style w:type="paragraph" w:customStyle="1" w:styleId="xl83">
    <w:name w:val="xl83"/>
    <w:basedOn w:val="Normal"/>
    <w:rsid w:val="003F620C"/>
    <w:pPr>
      <w:pBdr>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84">
    <w:name w:val="xl84"/>
    <w:basedOn w:val="Normal"/>
    <w:rsid w:val="003F620C"/>
    <w:pPr>
      <w:pBdr>
        <w:bottom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85">
    <w:name w:val="xl85"/>
    <w:basedOn w:val="Normal"/>
    <w:rsid w:val="003F620C"/>
    <w:pPr>
      <w:pBdr>
        <w:left w:val="single" w:sz="4" w:space="0" w:color="auto"/>
        <w:bottom w:val="single" w:sz="8" w:space="0" w:color="auto"/>
      </w:pBdr>
      <w:spacing w:before="100" w:beforeAutospacing="1" w:after="100" w:afterAutospacing="1"/>
      <w:jc w:val="center"/>
      <w:textAlignment w:val="center"/>
    </w:pPr>
    <w:rPr>
      <w:rFonts w:ascii="Times New Roman" w:hAnsi="Times New Roman" w:cs="Times New Roman"/>
    </w:rPr>
  </w:style>
  <w:style w:type="paragraph" w:customStyle="1" w:styleId="xl86">
    <w:name w:val="xl86"/>
    <w:basedOn w:val="Normal"/>
    <w:rsid w:val="003F620C"/>
    <w:pPr>
      <w:pBdr>
        <w:bottom w:val="single" w:sz="8" w:space="0" w:color="auto"/>
      </w:pBdr>
      <w:spacing w:before="100" w:beforeAutospacing="1" w:after="100" w:afterAutospacing="1"/>
      <w:jc w:val="center"/>
      <w:textAlignment w:val="center"/>
    </w:pPr>
    <w:rPr>
      <w:rFonts w:ascii="Times New Roman" w:hAnsi="Times New Roman" w:cs="Times New Roman"/>
    </w:rPr>
  </w:style>
  <w:style w:type="paragraph" w:customStyle="1" w:styleId="xl87">
    <w:name w:val="xl87"/>
    <w:basedOn w:val="Normal"/>
    <w:rsid w:val="003F620C"/>
    <w:pPr>
      <w:pBdr>
        <w:right w:val="single" w:sz="4" w:space="0" w:color="auto"/>
      </w:pBdr>
      <w:spacing w:before="100" w:beforeAutospacing="1" w:after="100" w:afterAutospacing="1"/>
      <w:jc w:val="center"/>
    </w:pPr>
    <w:rPr>
      <w:rFonts w:ascii="Times New Roman" w:hAnsi="Times New Roman" w:cs="Times New Roman"/>
    </w:rPr>
  </w:style>
  <w:style w:type="paragraph" w:customStyle="1" w:styleId="xl88">
    <w:name w:val="xl88"/>
    <w:basedOn w:val="Normal"/>
    <w:rsid w:val="003F620C"/>
    <w:pPr>
      <w:pBdr>
        <w:left w:val="single" w:sz="4" w:space="0" w:color="auto"/>
      </w:pBdr>
      <w:spacing w:before="100" w:beforeAutospacing="1" w:after="100" w:afterAutospacing="1"/>
      <w:jc w:val="center"/>
      <w:textAlignment w:val="center"/>
    </w:pPr>
    <w:rPr>
      <w:rFonts w:ascii="Times New Roman" w:hAnsi="Times New Roman" w:cs="Times New Roman"/>
      <w:color w:val="FF0000"/>
    </w:rPr>
  </w:style>
  <w:style w:type="paragraph" w:customStyle="1" w:styleId="xl89">
    <w:name w:val="xl89"/>
    <w:basedOn w:val="Normal"/>
    <w:rsid w:val="003F620C"/>
    <w:pPr>
      <w:spacing w:before="100" w:beforeAutospacing="1" w:after="100" w:afterAutospacing="1"/>
      <w:jc w:val="center"/>
      <w:textAlignment w:val="center"/>
    </w:pPr>
    <w:rPr>
      <w:rFonts w:ascii="Times New Roman" w:hAnsi="Times New Roman" w:cs="Times New Roman"/>
      <w:color w:val="FF0000"/>
    </w:rPr>
  </w:style>
  <w:style w:type="paragraph" w:customStyle="1" w:styleId="xl90">
    <w:name w:val="xl90"/>
    <w:basedOn w:val="Normal"/>
    <w:rsid w:val="003F620C"/>
    <w:pPr>
      <w:pBdr>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color w:val="FF0000"/>
    </w:rPr>
  </w:style>
  <w:style w:type="paragraph" w:customStyle="1" w:styleId="xl91">
    <w:name w:val="xl91"/>
    <w:basedOn w:val="Normal"/>
    <w:rsid w:val="003F620C"/>
    <w:pPr>
      <w:pBdr>
        <w:bottom w:val="single" w:sz="4" w:space="0" w:color="auto"/>
      </w:pBdr>
      <w:spacing w:before="100" w:beforeAutospacing="1" w:after="100" w:afterAutospacing="1"/>
      <w:jc w:val="center"/>
      <w:textAlignment w:val="center"/>
    </w:pPr>
    <w:rPr>
      <w:rFonts w:ascii="Times New Roman" w:hAnsi="Times New Roman" w:cs="Times New Roman"/>
      <w:color w:val="FF0000"/>
    </w:rPr>
  </w:style>
  <w:style w:type="paragraph" w:customStyle="1" w:styleId="xl92">
    <w:name w:val="xl92"/>
    <w:basedOn w:val="Normal"/>
    <w:rsid w:val="003F620C"/>
    <w:pPr>
      <w:pBdr>
        <w:left w:val="single" w:sz="4" w:space="0" w:color="auto"/>
        <w:bottom w:val="double" w:sz="6" w:space="0" w:color="auto"/>
      </w:pBdr>
      <w:spacing w:before="100" w:beforeAutospacing="1" w:after="100" w:afterAutospacing="1"/>
      <w:jc w:val="center"/>
      <w:textAlignment w:val="center"/>
    </w:pPr>
    <w:rPr>
      <w:rFonts w:ascii="Times New Roman" w:hAnsi="Times New Roman" w:cs="Times New Roman"/>
    </w:rPr>
  </w:style>
  <w:style w:type="paragraph" w:customStyle="1" w:styleId="xl93">
    <w:name w:val="xl93"/>
    <w:basedOn w:val="Normal"/>
    <w:rsid w:val="003F620C"/>
    <w:pPr>
      <w:pBdr>
        <w:bottom w:val="double" w:sz="6" w:space="0" w:color="auto"/>
      </w:pBdr>
      <w:spacing w:before="100" w:beforeAutospacing="1" w:after="100" w:afterAutospacing="1"/>
      <w:jc w:val="center"/>
      <w:textAlignment w:val="center"/>
    </w:pPr>
    <w:rPr>
      <w:rFonts w:ascii="Times New Roman" w:hAnsi="Times New Roman" w:cs="Times New Roman"/>
    </w:rPr>
  </w:style>
  <w:style w:type="paragraph" w:customStyle="1" w:styleId="xl94">
    <w:name w:val="xl94"/>
    <w:basedOn w:val="Normal"/>
    <w:rsid w:val="003F620C"/>
    <w:pPr>
      <w:pBdr>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95">
    <w:name w:val="xl95"/>
    <w:basedOn w:val="Normal"/>
    <w:rsid w:val="003F620C"/>
    <w:pPr>
      <w:pBdr>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96">
    <w:name w:val="xl96"/>
    <w:basedOn w:val="Normal"/>
    <w:rsid w:val="003F620C"/>
    <w:pPr>
      <w:pBdr>
        <w:bottom w:val="double" w:sz="6"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97">
    <w:name w:val="xl97"/>
    <w:basedOn w:val="Normal"/>
    <w:rsid w:val="003F620C"/>
    <w:pPr>
      <w:pBdr>
        <w:top w:val="single" w:sz="4" w:space="0" w:color="auto"/>
        <w:lef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98">
    <w:name w:val="xl98"/>
    <w:basedOn w:val="Normal"/>
    <w:rsid w:val="003F620C"/>
    <w:pPr>
      <w:pBdr>
        <w:top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99">
    <w:name w:val="xl99"/>
    <w:basedOn w:val="Normal"/>
    <w:rsid w:val="003F620C"/>
    <w:pPr>
      <w:pBdr>
        <w:left w:val="single" w:sz="4" w:space="0" w:color="auto"/>
      </w:pBd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xl100">
    <w:name w:val="xl100"/>
    <w:basedOn w:val="Normal"/>
    <w:rsid w:val="003F620C"/>
    <w:pP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xl101">
    <w:name w:val="xl101"/>
    <w:basedOn w:val="Normal"/>
    <w:rsid w:val="003F620C"/>
    <w:pPr>
      <w:pBdr>
        <w:left w:val="single" w:sz="4" w:space="0" w:color="auto"/>
        <w:bottom w:val="single" w:sz="4" w:space="0" w:color="auto"/>
      </w:pBd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xl102">
    <w:name w:val="xl102"/>
    <w:basedOn w:val="Normal"/>
    <w:rsid w:val="003F620C"/>
    <w:pPr>
      <w:pBdr>
        <w:bottom w:val="single" w:sz="4" w:space="0" w:color="auto"/>
      </w:pBd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xl103">
    <w:name w:val="xl103"/>
    <w:basedOn w:val="Normal"/>
    <w:rsid w:val="003F620C"/>
    <w:pPr>
      <w:pBdr>
        <w:left w:val="single" w:sz="4" w:space="0" w:color="auto"/>
      </w:pBdr>
      <w:shd w:val="clear" w:color="000000" w:fill="FFFF00"/>
      <w:spacing w:before="100" w:beforeAutospacing="1" w:after="100" w:afterAutospacing="1"/>
      <w:jc w:val="center"/>
      <w:textAlignment w:val="center"/>
    </w:pPr>
    <w:rPr>
      <w:rFonts w:ascii="Times New Roman" w:hAnsi="Times New Roman" w:cs="Times New Roman"/>
      <w:color w:val="FF0000"/>
    </w:rPr>
  </w:style>
  <w:style w:type="paragraph" w:customStyle="1" w:styleId="xl104">
    <w:name w:val="xl104"/>
    <w:basedOn w:val="Normal"/>
    <w:rsid w:val="003F620C"/>
    <w:pPr>
      <w:shd w:val="clear" w:color="000000" w:fill="FFFF00"/>
      <w:spacing w:before="100" w:beforeAutospacing="1" w:after="100" w:afterAutospacing="1"/>
      <w:jc w:val="center"/>
      <w:textAlignment w:val="center"/>
    </w:pPr>
    <w:rPr>
      <w:rFonts w:ascii="Times New Roman" w:hAnsi="Times New Roman" w:cs="Times New Roman"/>
      <w:color w:val="FF0000"/>
    </w:rPr>
  </w:style>
  <w:style w:type="paragraph" w:customStyle="1" w:styleId="xl105">
    <w:name w:val="xl105"/>
    <w:basedOn w:val="Normal"/>
    <w:rsid w:val="003F620C"/>
    <w:pPr>
      <w:pBdr>
        <w:right w:val="single" w:sz="4" w:space="0" w:color="auto"/>
      </w:pBdr>
      <w:shd w:val="clear" w:color="000000" w:fill="FFFF00"/>
      <w:spacing w:before="100" w:beforeAutospacing="1" w:after="100" w:afterAutospacing="1"/>
      <w:jc w:val="center"/>
    </w:pPr>
    <w:rPr>
      <w:rFonts w:ascii="Times New Roman" w:hAnsi="Times New Roman" w:cs="Times New Roman"/>
    </w:rPr>
  </w:style>
  <w:style w:type="paragraph" w:customStyle="1" w:styleId="xl106">
    <w:name w:val="xl106"/>
    <w:basedOn w:val="Normal"/>
    <w:rsid w:val="003F620C"/>
    <w:pPr>
      <w:shd w:val="clear" w:color="000000" w:fill="FFFF00"/>
      <w:spacing w:before="100" w:beforeAutospacing="1" w:after="100" w:afterAutospacing="1"/>
    </w:pPr>
    <w:rPr>
      <w:rFonts w:ascii="Times New Roman" w:hAnsi="Times New Roman" w:cs="Times New Roman"/>
      <w:color w:val="FF0000"/>
    </w:rPr>
  </w:style>
  <w:style w:type="paragraph" w:customStyle="1" w:styleId="xl107">
    <w:name w:val="xl107"/>
    <w:basedOn w:val="Normal"/>
    <w:rsid w:val="003F620C"/>
    <w:pPr>
      <w:pBdr>
        <w:left w:val="single" w:sz="4" w:space="0" w:color="auto"/>
        <w:bottom w:val="single" w:sz="4" w:space="0" w:color="auto"/>
      </w:pBdr>
      <w:shd w:val="clear" w:color="000000" w:fill="FFFF00"/>
      <w:spacing w:before="100" w:beforeAutospacing="1" w:after="100" w:afterAutospacing="1"/>
      <w:jc w:val="center"/>
      <w:textAlignment w:val="center"/>
    </w:pPr>
    <w:rPr>
      <w:rFonts w:ascii="Times New Roman" w:hAnsi="Times New Roman" w:cs="Times New Roman"/>
      <w:color w:val="FF0000"/>
    </w:rPr>
  </w:style>
  <w:style w:type="paragraph" w:customStyle="1" w:styleId="xl108">
    <w:name w:val="xl108"/>
    <w:basedOn w:val="Normal"/>
    <w:rsid w:val="003F620C"/>
    <w:pPr>
      <w:pBdr>
        <w:bottom w:val="single" w:sz="4" w:space="0" w:color="auto"/>
      </w:pBdr>
      <w:shd w:val="clear" w:color="000000" w:fill="FFFF00"/>
      <w:spacing w:before="100" w:beforeAutospacing="1" w:after="100" w:afterAutospacing="1"/>
      <w:jc w:val="center"/>
      <w:textAlignment w:val="center"/>
    </w:pPr>
    <w:rPr>
      <w:rFonts w:ascii="Times New Roman" w:hAnsi="Times New Roman" w:cs="Times New Roman"/>
      <w:color w:val="FF0000"/>
    </w:rPr>
  </w:style>
  <w:style w:type="paragraph" w:customStyle="1" w:styleId="xl63">
    <w:name w:val="xl63"/>
    <w:basedOn w:val="Normal"/>
    <w:rsid w:val="00A435D3"/>
    <w:pPr>
      <w:pBdr>
        <w:bottom w:val="single" w:sz="4" w:space="0" w:color="auto"/>
      </w:pBdr>
      <w:spacing w:before="100" w:beforeAutospacing="1" w:after="100" w:afterAutospacing="1"/>
    </w:pPr>
    <w:rPr>
      <w:rFonts w:ascii="Times New Roman" w:hAnsi="Times New Roman" w:cs="Times New Roman"/>
    </w:rPr>
  </w:style>
  <w:style w:type="paragraph" w:customStyle="1" w:styleId="xl64">
    <w:name w:val="xl64"/>
    <w:basedOn w:val="Normal"/>
    <w:rsid w:val="00A435D3"/>
    <w:pPr>
      <w:pBdr>
        <w:bottom w:val="single" w:sz="8" w:space="0" w:color="auto"/>
      </w:pBdr>
      <w:spacing w:before="100" w:beforeAutospacing="1" w:after="100" w:afterAutospacing="1"/>
    </w:pPr>
    <w:rPr>
      <w:rFonts w:ascii="Times New Roman" w:hAnsi="Times New Roman" w:cs="Times New Roman"/>
    </w:rPr>
  </w:style>
  <w:style w:type="character" w:customStyle="1" w:styleId="Heading4Char">
    <w:name w:val="Heading 4 Char"/>
    <w:basedOn w:val="DefaultParagraphFont"/>
    <w:link w:val="Heading4"/>
    <w:uiPriority w:val="9"/>
    <w:rsid w:val="007E3FB3"/>
    <w:rPr>
      <w:rFonts w:asciiTheme="majorHAnsi" w:eastAsiaTheme="majorEastAsia" w:hAnsiTheme="majorHAnsi" w:cstheme="majorBidi"/>
      <w:b/>
      <w:bCs/>
      <w:i/>
      <w:iCs/>
      <w:color w:val="4F81BD" w:themeColor="accent1"/>
      <w:sz w:val="24"/>
      <w:szCs w:val="24"/>
    </w:rPr>
  </w:style>
  <w:style w:type="character" w:styleId="PlaceholderText">
    <w:name w:val="Placeholder Text"/>
    <w:basedOn w:val="DefaultParagraphFont"/>
    <w:uiPriority w:val="99"/>
    <w:semiHidden/>
    <w:rsid w:val="00AE68F9"/>
    <w:rPr>
      <w:color w:val="808080"/>
    </w:rPr>
  </w:style>
  <w:style w:type="character" w:customStyle="1" w:styleId="Heading5Char">
    <w:name w:val="Heading 5 Char"/>
    <w:basedOn w:val="DefaultParagraphFont"/>
    <w:link w:val="Heading5"/>
    <w:uiPriority w:val="9"/>
    <w:rsid w:val="00C25711"/>
    <w:rPr>
      <w:rFonts w:asciiTheme="majorHAnsi" w:eastAsiaTheme="majorEastAsia" w:hAnsiTheme="majorHAnsi" w:cstheme="majorBidi"/>
      <w:b/>
      <w:bCs/>
      <w:color w:val="7F7F7F" w:themeColor="text1" w:themeTint="80"/>
      <w:sz w:val="24"/>
      <w:szCs w:val="22"/>
    </w:rPr>
  </w:style>
  <w:style w:type="character" w:customStyle="1" w:styleId="Heading6Char">
    <w:name w:val="Heading 6 Char"/>
    <w:basedOn w:val="DefaultParagraphFont"/>
    <w:link w:val="Heading6"/>
    <w:uiPriority w:val="9"/>
    <w:semiHidden/>
    <w:rsid w:val="00941B51"/>
    <w:rPr>
      <w:rFonts w:asciiTheme="majorHAnsi" w:eastAsiaTheme="majorEastAsia" w:hAnsiTheme="majorHAnsi" w:cstheme="majorBidi"/>
      <w:b/>
      <w:bCs/>
      <w:i/>
      <w:iCs/>
      <w:color w:val="7F7F7F" w:themeColor="text1" w:themeTint="80"/>
      <w:sz w:val="22"/>
      <w:szCs w:val="22"/>
    </w:rPr>
  </w:style>
  <w:style w:type="character" w:customStyle="1" w:styleId="Heading7Char">
    <w:name w:val="Heading 7 Char"/>
    <w:basedOn w:val="DefaultParagraphFont"/>
    <w:link w:val="Heading7"/>
    <w:uiPriority w:val="9"/>
    <w:semiHidden/>
    <w:rsid w:val="00941B51"/>
    <w:rPr>
      <w:rFonts w:asciiTheme="majorHAnsi" w:eastAsiaTheme="majorEastAsia" w:hAnsiTheme="majorHAnsi" w:cstheme="majorBidi"/>
      <w:i/>
      <w:iCs/>
      <w:sz w:val="22"/>
      <w:szCs w:val="22"/>
    </w:rPr>
  </w:style>
  <w:style w:type="character" w:customStyle="1" w:styleId="Heading8Char">
    <w:name w:val="Heading 8 Char"/>
    <w:basedOn w:val="DefaultParagraphFont"/>
    <w:link w:val="Heading8"/>
    <w:uiPriority w:val="9"/>
    <w:semiHidden/>
    <w:rsid w:val="00941B51"/>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941B51"/>
    <w:rPr>
      <w:rFonts w:asciiTheme="majorHAnsi" w:eastAsiaTheme="majorEastAsia" w:hAnsiTheme="majorHAnsi" w:cstheme="majorBidi"/>
      <w:i/>
      <w:iCs/>
      <w:spacing w:val="5"/>
    </w:rPr>
  </w:style>
  <w:style w:type="paragraph" w:styleId="Subtitle">
    <w:name w:val="Subtitle"/>
    <w:basedOn w:val="Normal"/>
    <w:next w:val="Normal"/>
    <w:link w:val="SubtitleChar"/>
    <w:uiPriority w:val="11"/>
    <w:qFormat/>
    <w:rsid w:val="00941B51"/>
    <w:pPr>
      <w:spacing w:after="600" w:line="276" w:lineRule="auto"/>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941B51"/>
    <w:rPr>
      <w:rFonts w:asciiTheme="majorHAnsi" w:eastAsiaTheme="majorEastAsia" w:hAnsiTheme="majorHAnsi" w:cstheme="majorBidi"/>
      <w:i/>
      <w:iCs/>
      <w:spacing w:val="13"/>
      <w:sz w:val="24"/>
      <w:szCs w:val="24"/>
    </w:rPr>
  </w:style>
  <w:style w:type="character" w:styleId="Strong">
    <w:name w:val="Strong"/>
    <w:uiPriority w:val="22"/>
    <w:qFormat/>
    <w:rsid w:val="00941B51"/>
    <w:rPr>
      <w:b/>
      <w:bCs/>
    </w:rPr>
  </w:style>
  <w:style w:type="character" w:styleId="Emphasis">
    <w:name w:val="Emphasis"/>
    <w:uiPriority w:val="20"/>
    <w:qFormat/>
    <w:rsid w:val="00941B51"/>
    <w:rPr>
      <w:b/>
      <w:bCs/>
      <w:i/>
      <w:iCs/>
      <w:spacing w:val="10"/>
      <w:bdr w:val="none" w:sz="0" w:space="0" w:color="auto"/>
      <w:shd w:val="clear" w:color="auto" w:fill="auto"/>
    </w:rPr>
  </w:style>
  <w:style w:type="paragraph" w:styleId="NoSpacing">
    <w:name w:val="No Spacing"/>
    <w:basedOn w:val="Normal"/>
    <w:uiPriority w:val="1"/>
    <w:qFormat/>
    <w:rsid w:val="00941B51"/>
    <w:rPr>
      <w:rFonts w:asciiTheme="minorHAnsi" w:eastAsiaTheme="minorEastAsia" w:hAnsiTheme="minorHAnsi" w:cstheme="minorBidi"/>
      <w:sz w:val="22"/>
      <w:szCs w:val="22"/>
    </w:rPr>
  </w:style>
  <w:style w:type="paragraph" w:styleId="Quote">
    <w:name w:val="Quote"/>
    <w:basedOn w:val="Normal"/>
    <w:next w:val="Normal"/>
    <w:link w:val="QuoteChar"/>
    <w:uiPriority w:val="29"/>
    <w:qFormat/>
    <w:rsid w:val="00941B51"/>
    <w:pPr>
      <w:spacing w:before="200" w:line="276" w:lineRule="auto"/>
      <w:ind w:left="360" w:right="360"/>
    </w:pPr>
    <w:rPr>
      <w:rFonts w:asciiTheme="minorHAnsi" w:eastAsiaTheme="minorEastAsia" w:hAnsiTheme="minorHAnsi" w:cstheme="minorBidi"/>
      <w:i/>
      <w:iCs/>
      <w:sz w:val="22"/>
      <w:szCs w:val="22"/>
    </w:rPr>
  </w:style>
  <w:style w:type="character" w:customStyle="1" w:styleId="QuoteChar">
    <w:name w:val="Quote Char"/>
    <w:basedOn w:val="DefaultParagraphFont"/>
    <w:link w:val="Quote"/>
    <w:uiPriority w:val="29"/>
    <w:rsid w:val="00941B51"/>
    <w:rPr>
      <w:rFonts w:asciiTheme="minorHAnsi" w:eastAsiaTheme="minorEastAsia" w:hAnsiTheme="minorHAnsi" w:cstheme="minorBidi"/>
      <w:i/>
      <w:iCs/>
      <w:sz w:val="22"/>
      <w:szCs w:val="22"/>
    </w:rPr>
  </w:style>
  <w:style w:type="paragraph" w:styleId="IntenseQuote">
    <w:name w:val="Intense Quote"/>
    <w:basedOn w:val="Normal"/>
    <w:next w:val="Normal"/>
    <w:link w:val="IntenseQuoteChar"/>
    <w:uiPriority w:val="30"/>
    <w:qFormat/>
    <w:rsid w:val="00941B51"/>
    <w:pPr>
      <w:pBdr>
        <w:bottom w:val="single" w:sz="4" w:space="1" w:color="auto"/>
      </w:pBdr>
      <w:spacing w:before="200" w:after="280" w:line="276" w:lineRule="auto"/>
      <w:ind w:left="1008" w:right="1152"/>
      <w:jc w:val="both"/>
    </w:pPr>
    <w:rPr>
      <w:rFonts w:asciiTheme="minorHAnsi" w:eastAsiaTheme="minorEastAsia" w:hAnsiTheme="minorHAnsi" w:cstheme="minorBidi"/>
      <w:b/>
      <w:bCs/>
      <w:i/>
      <w:iCs/>
      <w:sz w:val="22"/>
      <w:szCs w:val="22"/>
    </w:rPr>
  </w:style>
  <w:style w:type="character" w:customStyle="1" w:styleId="IntenseQuoteChar">
    <w:name w:val="Intense Quote Char"/>
    <w:basedOn w:val="DefaultParagraphFont"/>
    <w:link w:val="IntenseQuote"/>
    <w:uiPriority w:val="30"/>
    <w:rsid w:val="00941B51"/>
    <w:rPr>
      <w:rFonts w:asciiTheme="minorHAnsi" w:eastAsiaTheme="minorEastAsia" w:hAnsiTheme="minorHAnsi" w:cstheme="minorBidi"/>
      <w:b/>
      <w:bCs/>
      <w:i/>
      <w:iCs/>
      <w:sz w:val="22"/>
      <w:szCs w:val="22"/>
    </w:rPr>
  </w:style>
  <w:style w:type="character" w:styleId="SubtleEmphasis">
    <w:name w:val="Subtle Emphasis"/>
    <w:uiPriority w:val="19"/>
    <w:qFormat/>
    <w:rsid w:val="00941B51"/>
    <w:rPr>
      <w:i/>
      <w:iCs/>
    </w:rPr>
  </w:style>
  <w:style w:type="character" w:styleId="IntenseEmphasis">
    <w:name w:val="Intense Emphasis"/>
    <w:uiPriority w:val="21"/>
    <w:qFormat/>
    <w:rsid w:val="00941B51"/>
    <w:rPr>
      <w:b/>
      <w:bCs/>
    </w:rPr>
  </w:style>
  <w:style w:type="character" w:styleId="SubtleReference">
    <w:name w:val="Subtle Reference"/>
    <w:uiPriority w:val="31"/>
    <w:qFormat/>
    <w:rsid w:val="00941B51"/>
    <w:rPr>
      <w:smallCaps/>
    </w:rPr>
  </w:style>
  <w:style w:type="character" w:styleId="IntenseReference">
    <w:name w:val="Intense Reference"/>
    <w:uiPriority w:val="32"/>
    <w:qFormat/>
    <w:rsid w:val="00941B51"/>
    <w:rPr>
      <w:smallCaps/>
      <w:spacing w:val="5"/>
      <w:u w:val="single"/>
    </w:rPr>
  </w:style>
  <w:style w:type="character" w:styleId="BookTitle">
    <w:name w:val="Book Title"/>
    <w:uiPriority w:val="33"/>
    <w:qFormat/>
    <w:rsid w:val="00941B51"/>
    <w:rPr>
      <w:i/>
      <w:iCs/>
      <w:smallCaps/>
      <w:spacing w:val="5"/>
    </w:rPr>
  </w:style>
  <w:style w:type="table" w:styleId="Table3Deffects1">
    <w:name w:val="Table 3D effects 1"/>
    <w:basedOn w:val="TableNormal"/>
    <w:rsid w:val="00BD51C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1">
    <w:name w:val="Table Classic 1"/>
    <w:basedOn w:val="TableNormal"/>
    <w:rsid w:val="00BD51C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F160E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b">
    <w:name w:val="b"/>
    <w:basedOn w:val="DefaultParagraphFont"/>
    <w:rsid w:val="00085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76846">
      <w:bodyDiv w:val="1"/>
      <w:marLeft w:val="0"/>
      <w:marRight w:val="0"/>
      <w:marTop w:val="0"/>
      <w:marBottom w:val="0"/>
      <w:divBdr>
        <w:top w:val="none" w:sz="0" w:space="0" w:color="auto"/>
        <w:left w:val="none" w:sz="0" w:space="0" w:color="auto"/>
        <w:bottom w:val="none" w:sz="0" w:space="0" w:color="auto"/>
        <w:right w:val="none" w:sz="0" w:space="0" w:color="auto"/>
      </w:divBdr>
    </w:div>
    <w:div w:id="280570313">
      <w:bodyDiv w:val="1"/>
      <w:marLeft w:val="0"/>
      <w:marRight w:val="0"/>
      <w:marTop w:val="0"/>
      <w:marBottom w:val="0"/>
      <w:divBdr>
        <w:top w:val="none" w:sz="0" w:space="0" w:color="auto"/>
        <w:left w:val="none" w:sz="0" w:space="0" w:color="auto"/>
        <w:bottom w:val="none" w:sz="0" w:space="0" w:color="auto"/>
        <w:right w:val="none" w:sz="0" w:space="0" w:color="auto"/>
      </w:divBdr>
    </w:div>
    <w:div w:id="298657605">
      <w:bodyDiv w:val="1"/>
      <w:marLeft w:val="0"/>
      <w:marRight w:val="0"/>
      <w:marTop w:val="0"/>
      <w:marBottom w:val="0"/>
      <w:divBdr>
        <w:top w:val="none" w:sz="0" w:space="0" w:color="auto"/>
        <w:left w:val="none" w:sz="0" w:space="0" w:color="auto"/>
        <w:bottom w:val="none" w:sz="0" w:space="0" w:color="auto"/>
        <w:right w:val="none" w:sz="0" w:space="0" w:color="auto"/>
      </w:divBdr>
    </w:div>
    <w:div w:id="445930744">
      <w:bodyDiv w:val="1"/>
      <w:marLeft w:val="0"/>
      <w:marRight w:val="0"/>
      <w:marTop w:val="0"/>
      <w:marBottom w:val="0"/>
      <w:divBdr>
        <w:top w:val="none" w:sz="0" w:space="0" w:color="auto"/>
        <w:left w:val="none" w:sz="0" w:space="0" w:color="auto"/>
        <w:bottom w:val="none" w:sz="0" w:space="0" w:color="auto"/>
        <w:right w:val="none" w:sz="0" w:space="0" w:color="auto"/>
      </w:divBdr>
    </w:div>
    <w:div w:id="504326272">
      <w:bodyDiv w:val="1"/>
      <w:marLeft w:val="0"/>
      <w:marRight w:val="0"/>
      <w:marTop w:val="0"/>
      <w:marBottom w:val="0"/>
      <w:divBdr>
        <w:top w:val="none" w:sz="0" w:space="0" w:color="auto"/>
        <w:left w:val="none" w:sz="0" w:space="0" w:color="auto"/>
        <w:bottom w:val="none" w:sz="0" w:space="0" w:color="auto"/>
        <w:right w:val="none" w:sz="0" w:space="0" w:color="auto"/>
      </w:divBdr>
    </w:div>
    <w:div w:id="547882004">
      <w:bodyDiv w:val="1"/>
      <w:marLeft w:val="0"/>
      <w:marRight w:val="0"/>
      <w:marTop w:val="0"/>
      <w:marBottom w:val="0"/>
      <w:divBdr>
        <w:top w:val="none" w:sz="0" w:space="0" w:color="auto"/>
        <w:left w:val="none" w:sz="0" w:space="0" w:color="auto"/>
        <w:bottom w:val="none" w:sz="0" w:space="0" w:color="auto"/>
        <w:right w:val="none" w:sz="0" w:space="0" w:color="auto"/>
      </w:divBdr>
    </w:div>
    <w:div w:id="62207993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01243952">
      <w:bodyDiv w:val="1"/>
      <w:marLeft w:val="0"/>
      <w:marRight w:val="0"/>
      <w:marTop w:val="0"/>
      <w:marBottom w:val="0"/>
      <w:divBdr>
        <w:top w:val="none" w:sz="0" w:space="0" w:color="auto"/>
        <w:left w:val="none" w:sz="0" w:space="0" w:color="auto"/>
        <w:bottom w:val="none" w:sz="0" w:space="0" w:color="auto"/>
        <w:right w:val="none" w:sz="0" w:space="0" w:color="auto"/>
      </w:divBdr>
    </w:div>
    <w:div w:id="748885894">
      <w:bodyDiv w:val="1"/>
      <w:marLeft w:val="0"/>
      <w:marRight w:val="0"/>
      <w:marTop w:val="0"/>
      <w:marBottom w:val="0"/>
      <w:divBdr>
        <w:top w:val="none" w:sz="0" w:space="0" w:color="auto"/>
        <w:left w:val="none" w:sz="0" w:space="0" w:color="auto"/>
        <w:bottom w:val="none" w:sz="0" w:space="0" w:color="auto"/>
        <w:right w:val="none" w:sz="0" w:space="0" w:color="auto"/>
      </w:divBdr>
    </w:div>
    <w:div w:id="754478485">
      <w:bodyDiv w:val="1"/>
      <w:marLeft w:val="0"/>
      <w:marRight w:val="0"/>
      <w:marTop w:val="0"/>
      <w:marBottom w:val="0"/>
      <w:divBdr>
        <w:top w:val="none" w:sz="0" w:space="0" w:color="auto"/>
        <w:left w:val="none" w:sz="0" w:space="0" w:color="auto"/>
        <w:bottom w:val="none" w:sz="0" w:space="0" w:color="auto"/>
        <w:right w:val="none" w:sz="0" w:space="0" w:color="auto"/>
      </w:divBdr>
    </w:div>
    <w:div w:id="807207190">
      <w:bodyDiv w:val="1"/>
      <w:marLeft w:val="0"/>
      <w:marRight w:val="0"/>
      <w:marTop w:val="0"/>
      <w:marBottom w:val="0"/>
      <w:divBdr>
        <w:top w:val="none" w:sz="0" w:space="0" w:color="auto"/>
        <w:left w:val="none" w:sz="0" w:space="0" w:color="auto"/>
        <w:bottom w:val="none" w:sz="0" w:space="0" w:color="auto"/>
        <w:right w:val="none" w:sz="0" w:space="0" w:color="auto"/>
      </w:divBdr>
    </w:div>
    <w:div w:id="824055554">
      <w:bodyDiv w:val="1"/>
      <w:marLeft w:val="0"/>
      <w:marRight w:val="0"/>
      <w:marTop w:val="0"/>
      <w:marBottom w:val="0"/>
      <w:divBdr>
        <w:top w:val="none" w:sz="0" w:space="0" w:color="auto"/>
        <w:left w:val="none" w:sz="0" w:space="0" w:color="auto"/>
        <w:bottom w:val="none" w:sz="0" w:space="0" w:color="auto"/>
        <w:right w:val="none" w:sz="0" w:space="0" w:color="auto"/>
      </w:divBdr>
    </w:div>
    <w:div w:id="925069302">
      <w:bodyDiv w:val="1"/>
      <w:marLeft w:val="0"/>
      <w:marRight w:val="0"/>
      <w:marTop w:val="0"/>
      <w:marBottom w:val="0"/>
      <w:divBdr>
        <w:top w:val="none" w:sz="0" w:space="0" w:color="auto"/>
        <w:left w:val="none" w:sz="0" w:space="0" w:color="auto"/>
        <w:bottom w:val="none" w:sz="0" w:space="0" w:color="auto"/>
        <w:right w:val="none" w:sz="0" w:space="0" w:color="auto"/>
      </w:divBdr>
    </w:div>
    <w:div w:id="947585721">
      <w:bodyDiv w:val="1"/>
      <w:marLeft w:val="0"/>
      <w:marRight w:val="0"/>
      <w:marTop w:val="0"/>
      <w:marBottom w:val="0"/>
      <w:divBdr>
        <w:top w:val="none" w:sz="0" w:space="0" w:color="auto"/>
        <w:left w:val="none" w:sz="0" w:space="0" w:color="auto"/>
        <w:bottom w:val="none" w:sz="0" w:space="0" w:color="auto"/>
        <w:right w:val="none" w:sz="0" w:space="0" w:color="auto"/>
      </w:divBdr>
    </w:div>
    <w:div w:id="1277055281">
      <w:bodyDiv w:val="1"/>
      <w:marLeft w:val="0"/>
      <w:marRight w:val="0"/>
      <w:marTop w:val="0"/>
      <w:marBottom w:val="0"/>
      <w:divBdr>
        <w:top w:val="none" w:sz="0" w:space="0" w:color="auto"/>
        <w:left w:val="none" w:sz="0" w:space="0" w:color="auto"/>
        <w:bottom w:val="none" w:sz="0" w:space="0" w:color="auto"/>
        <w:right w:val="none" w:sz="0" w:space="0" w:color="auto"/>
      </w:divBdr>
    </w:div>
    <w:div w:id="1371803617">
      <w:bodyDiv w:val="1"/>
      <w:marLeft w:val="0"/>
      <w:marRight w:val="0"/>
      <w:marTop w:val="0"/>
      <w:marBottom w:val="0"/>
      <w:divBdr>
        <w:top w:val="none" w:sz="0" w:space="0" w:color="auto"/>
        <w:left w:val="none" w:sz="0" w:space="0" w:color="auto"/>
        <w:bottom w:val="none" w:sz="0" w:space="0" w:color="auto"/>
        <w:right w:val="none" w:sz="0" w:space="0" w:color="auto"/>
      </w:divBdr>
    </w:div>
    <w:div w:id="1390032906">
      <w:bodyDiv w:val="1"/>
      <w:marLeft w:val="0"/>
      <w:marRight w:val="0"/>
      <w:marTop w:val="0"/>
      <w:marBottom w:val="0"/>
      <w:divBdr>
        <w:top w:val="none" w:sz="0" w:space="0" w:color="auto"/>
        <w:left w:val="none" w:sz="0" w:space="0" w:color="auto"/>
        <w:bottom w:val="none" w:sz="0" w:space="0" w:color="auto"/>
        <w:right w:val="none" w:sz="0" w:space="0" w:color="auto"/>
      </w:divBdr>
    </w:div>
    <w:div w:id="1393458501">
      <w:bodyDiv w:val="1"/>
      <w:marLeft w:val="0"/>
      <w:marRight w:val="0"/>
      <w:marTop w:val="0"/>
      <w:marBottom w:val="0"/>
      <w:divBdr>
        <w:top w:val="none" w:sz="0" w:space="0" w:color="auto"/>
        <w:left w:val="none" w:sz="0" w:space="0" w:color="auto"/>
        <w:bottom w:val="none" w:sz="0" w:space="0" w:color="auto"/>
        <w:right w:val="none" w:sz="0" w:space="0" w:color="auto"/>
      </w:divBdr>
    </w:div>
    <w:div w:id="1432433852">
      <w:bodyDiv w:val="1"/>
      <w:marLeft w:val="0"/>
      <w:marRight w:val="0"/>
      <w:marTop w:val="0"/>
      <w:marBottom w:val="0"/>
      <w:divBdr>
        <w:top w:val="none" w:sz="0" w:space="0" w:color="auto"/>
        <w:left w:val="none" w:sz="0" w:space="0" w:color="auto"/>
        <w:bottom w:val="none" w:sz="0" w:space="0" w:color="auto"/>
        <w:right w:val="none" w:sz="0" w:space="0" w:color="auto"/>
      </w:divBdr>
    </w:div>
    <w:div w:id="1432815902">
      <w:bodyDiv w:val="1"/>
      <w:marLeft w:val="0"/>
      <w:marRight w:val="0"/>
      <w:marTop w:val="0"/>
      <w:marBottom w:val="0"/>
      <w:divBdr>
        <w:top w:val="none" w:sz="0" w:space="0" w:color="auto"/>
        <w:left w:val="none" w:sz="0" w:space="0" w:color="auto"/>
        <w:bottom w:val="none" w:sz="0" w:space="0" w:color="auto"/>
        <w:right w:val="none" w:sz="0" w:space="0" w:color="auto"/>
      </w:divBdr>
    </w:div>
    <w:div w:id="1466044026">
      <w:bodyDiv w:val="1"/>
      <w:marLeft w:val="0"/>
      <w:marRight w:val="0"/>
      <w:marTop w:val="0"/>
      <w:marBottom w:val="0"/>
      <w:divBdr>
        <w:top w:val="none" w:sz="0" w:space="0" w:color="auto"/>
        <w:left w:val="none" w:sz="0" w:space="0" w:color="auto"/>
        <w:bottom w:val="none" w:sz="0" w:space="0" w:color="auto"/>
        <w:right w:val="none" w:sz="0" w:space="0" w:color="auto"/>
      </w:divBdr>
    </w:div>
    <w:div w:id="1490441954">
      <w:bodyDiv w:val="1"/>
      <w:marLeft w:val="0"/>
      <w:marRight w:val="0"/>
      <w:marTop w:val="0"/>
      <w:marBottom w:val="0"/>
      <w:divBdr>
        <w:top w:val="none" w:sz="0" w:space="0" w:color="auto"/>
        <w:left w:val="none" w:sz="0" w:space="0" w:color="auto"/>
        <w:bottom w:val="none" w:sz="0" w:space="0" w:color="auto"/>
        <w:right w:val="none" w:sz="0" w:space="0" w:color="auto"/>
      </w:divBdr>
    </w:div>
    <w:div w:id="1740324516">
      <w:bodyDiv w:val="1"/>
      <w:marLeft w:val="0"/>
      <w:marRight w:val="0"/>
      <w:marTop w:val="0"/>
      <w:marBottom w:val="0"/>
      <w:divBdr>
        <w:top w:val="none" w:sz="0" w:space="0" w:color="auto"/>
        <w:left w:val="none" w:sz="0" w:space="0" w:color="auto"/>
        <w:bottom w:val="none" w:sz="0" w:space="0" w:color="auto"/>
        <w:right w:val="none" w:sz="0" w:space="0" w:color="auto"/>
      </w:divBdr>
    </w:div>
    <w:div w:id="1850025692">
      <w:bodyDiv w:val="1"/>
      <w:marLeft w:val="0"/>
      <w:marRight w:val="0"/>
      <w:marTop w:val="0"/>
      <w:marBottom w:val="0"/>
      <w:divBdr>
        <w:top w:val="none" w:sz="0" w:space="0" w:color="auto"/>
        <w:left w:val="none" w:sz="0" w:space="0" w:color="auto"/>
        <w:bottom w:val="none" w:sz="0" w:space="0" w:color="auto"/>
        <w:right w:val="none" w:sz="0" w:space="0" w:color="auto"/>
      </w:divBdr>
    </w:div>
    <w:div w:id="1932853409">
      <w:bodyDiv w:val="1"/>
      <w:marLeft w:val="0"/>
      <w:marRight w:val="0"/>
      <w:marTop w:val="0"/>
      <w:marBottom w:val="0"/>
      <w:divBdr>
        <w:top w:val="none" w:sz="0" w:space="0" w:color="auto"/>
        <w:left w:val="none" w:sz="0" w:space="0" w:color="auto"/>
        <w:bottom w:val="none" w:sz="0" w:space="0" w:color="auto"/>
        <w:right w:val="none" w:sz="0" w:space="0" w:color="auto"/>
      </w:divBdr>
    </w:div>
    <w:div w:id="1985236269">
      <w:bodyDiv w:val="1"/>
      <w:marLeft w:val="0"/>
      <w:marRight w:val="0"/>
      <w:marTop w:val="0"/>
      <w:marBottom w:val="0"/>
      <w:divBdr>
        <w:top w:val="none" w:sz="0" w:space="0" w:color="auto"/>
        <w:left w:val="none" w:sz="0" w:space="0" w:color="auto"/>
        <w:bottom w:val="none" w:sz="0" w:space="0" w:color="auto"/>
        <w:right w:val="none" w:sz="0" w:space="0" w:color="auto"/>
      </w:divBdr>
    </w:div>
    <w:div w:id="2050259878">
      <w:bodyDiv w:val="1"/>
      <w:marLeft w:val="0"/>
      <w:marRight w:val="0"/>
      <w:marTop w:val="0"/>
      <w:marBottom w:val="0"/>
      <w:divBdr>
        <w:top w:val="none" w:sz="0" w:space="0" w:color="auto"/>
        <w:left w:val="none" w:sz="0" w:space="0" w:color="auto"/>
        <w:bottom w:val="none" w:sz="0" w:space="0" w:color="auto"/>
        <w:right w:val="none" w:sz="0" w:space="0" w:color="auto"/>
      </w:divBdr>
    </w:div>
    <w:div w:id="207292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diagramColors" Target="diagrams/colors1.xml"/><Relationship Id="rId39" Type="http://schemas.openxmlformats.org/officeDocument/2006/relationships/chart" Target="charts/chart5.xml"/><Relationship Id="rId21" Type="http://schemas.openxmlformats.org/officeDocument/2006/relationships/image" Target="media/image11.jpeg"/><Relationship Id="rId34" Type="http://schemas.openxmlformats.org/officeDocument/2006/relationships/image" Target="media/image17.png"/><Relationship Id="rId42" Type="http://schemas.openxmlformats.org/officeDocument/2006/relationships/chart" Target="charts/chart8.xml"/><Relationship Id="rId47" Type="http://schemas.openxmlformats.org/officeDocument/2006/relationships/chart" Target="charts/chart13.xml"/><Relationship Id="rId50" Type="http://schemas.openxmlformats.org/officeDocument/2006/relationships/chart" Target="charts/chart16.xml"/><Relationship Id="rId55" Type="http://schemas.openxmlformats.org/officeDocument/2006/relationships/chart" Target="charts/chart21.xml"/><Relationship Id="rId63" Type="http://schemas.openxmlformats.org/officeDocument/2006/relationships/control" Target="activeX/activeX3.xml"/><Relationship Id="rId68" Type="http://schemas.openxmlformats.org/officeDocument/2006/relationships/chart" Target="charts/chart25.xml"/><Relationship Id="rId76" Type="http://schemas.openxmlformats.org/officeDocument/2006/relationships/chart" Target="charts/chart33.xml"/><Relationship Id="rId84" Type="http://schemas.openxmlformats.org/officeDocument/2006/relationships/chart" Target="charts/chart41.xml"/><Relationship Id="rId89"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chart" Target="charts/chart28.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control" Target="activeX/activeX1.xml"/><Relationship Id="rId11" Type="http://schemas.openxmlformats.org/officeDocument/2006/relationships/image" Target="media/image1.png"/><Relationship Id="rId24" Type="http://schemas.openxmlformats.org/officeDocument/2006/relationships/diagramLayout" Target="diagrams/layout1.xml"/><Relationship Id="rId32" Type="http://schemas.openxmlformats.org/officeDocument/2006/relationships/image" Target="media/image15.png"/><Relationship Id="rId37" Type="http://schemas.openxmlformats.org/officeDocument/2006/relationships/chart" Target="charts/chart3.xml"/><Relationship Id="rId40" Type="http://schemas.openxmlformats.org/officeDocument/2006/relationships/chart" Target="charts/chart6.xml"/><Relationship Id="rId45" Type="http://schemas.openxmlformats.org/officeDocument/2006/relationships/chart" Target="charts/chart11.xml"/><Relationship Id="rId53" Type="http://schemas.openxmlformats.org/officeDocument/2006/relationships/chart" Target="charts/chart19.xml"/><Relationship Id="rId58" Type="http://schemas.openxmlformats.org/officeDocument/2006/relationships/diagramLayout" Target="diagrams/layout2.xml"/><Relationship Id="rId66" Type="http://schemas.openxmlformats.org/officeDocument/2006/relationships/chart" Target="charts/chart23.xml"/><Relationship Id="rId74" Type="http://schemas.openxmlformats.org/officeDocument/2006/relationships/chart" Target="charts/chart31.xml"/><Relationship Id="rId79" Type="http://schemas.openxmlformats.org/officeDocument/2006/relationships/chart" Target="charts/chart36.xml"/><Relationship Id="rId87" Type="http://schemas.openxmlformats.org/officeDocument/2006/relationships/chart" Target="charts/chart44.xml"/><Relationship Id="rId5" Type="http://schemas.openxmlformats.org/officeDocument/2006/relationships/settings" Target="settings.xml"/><Relationship Id="rId61" Type="http://schemas.microsoft.com/office/2007/relationships/diagramDrawing" Target="diagrams/drawing2.xml"/><Relationship Id="rId82" Type="http://schemas.openxmlformats.org/officeDocument/2006/relationships/chart" Target="charts/chart39.xm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image" Target="media/image4.png"/><Relationship Id="rId22" Type="http://schemas.openxmlformats.org/officeDocument/2006/relationships/image" Target="media/image12.png"/><Relationship Id="rId27" Type="http://schemas.microsoft.com/office/2007/relationships/diagramDrawing" Target="diagrams/drawing1.xml"/><Relationship Id="rId30" Type="http://schemas.openxmlformats.org/officeDocument/2006/relationships/image" Target="media/image14.wmf"/><Relationship Id="rId35" Type="http://schemas.openxmlformats.org/officeDocument/2006/relationships/chart" Target="charts/chart1.xml"/><Relationship Id="rId43" Type="http://schemas.openxmlformats.org/officeDocument/2006/relationships/chart" Target="charts/chart9.xml"/><Relationship Id="rId48" Type="http://schemas.openxmlformats.org/officeDocument/2006/relationships/chart" Target="charts/chart14.xml"/><Relationship Id="rId56" Type="http://schemas.openxmlformats.org/officeDocument/2006/relationships/chart" Target="charts/chart22.xml"/><Relationship Id="rId64" Type="http://schemas.openxmlformats.org/officeDocument/2006/relationships/image" Target="media/image19.wmf"/><Relationship Id="rId69" Type="http://schemas.openxmlformats.org/officeDocument/2006/relationships/chart" Target="charts/chart26.xml"/><Relationship Id="rId77" Type="http://schemas.openxmlformats.org/officeDocument/2006/relationships/chart" Target="charts/chart34.xml"/><Relationship Id="rId8" Type="http://schemas.openxmlformats.org/officeDocument/2006/relationships/endnotes" Target="endnotes.xml"/><Relationship Id="rId51" Type="http://schemas.openxmlformats.org/officeDocument/2006/relationships/chart" Target="charts/chart17.xml"/><Relationship Id="rId72" Type="http://schemas.openxmlformats.org/officeDocument/2006/relationships/chart" Target="charts/chart29.xml"/><Relationship Id="rId80" Type="http://schemas.openxmlformats.org/officeDocument/2006/relationships/chart" Target="charts/chart37.xml"/><Relationship Id="rId85" Type="http://schemas.openxmlformats.org/officeDocument/2006/relationships/chart" Target="charts/chart42.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diagramQuickStyle" Target="diagrams/quickStyle1.xml"/><Relationship Id="rId33" Type="http://schemas.openxmlformats.org/officeDocument/2006/relationships/image" Target="media/image16.png"/><Relationship Id="rId38" Type="http://schemas.openxmlformats.org/officeDocument/2006/relationships/chart" Target="charts/chart4.xml"/><Relationship Id="rId46" Type="http://schemas.openxmlformats.org/officeDocument/2006/relationships/chart" Target="charts/chart12.xml"/><Relationship Id="rId59" Type="http://schemas.openxmlformats.org/officeDocument/2006/relationships/diagramQuickStyle" Target="diagrams/quickStyle2.xml"/><Relationship Id="rId67" Type="http://schemas.openxmlformats.org/officeDocument/2006/relationships/chart" Target="charts/chart24.xml"/><Relationship Id="rId20" Type="http://schemas.openxmlformats.org/officeDocument/2006/relationships/image" Target="media/image10.png"/><Relationship Id="rId41" Type="http://schemas.openxmlformats.org/officeDocument/2006/relationships/chart" Target="charts/chart7.xml"/><Relationship Id="rId54" Type="http://schemas.openxmlformats.org/officeDocument/2006/relationships/chart" Target="charts/chart20.xml"/><Relationship Id="rId62" Type="http://schemas.openxmlformats.org/officeDocument/2006/relationships/image" Target="media/image18.wmf"/><Relationship Id="rId70" Type="http://schemas.openxmlformats.org/officeDocument/2006/relationships/chart" Target="charts/chart27.xml"/><Relationship Id="rId75" Type="http://schemas.openxmlformats.org/officeDocument/2006/relationships/chart" Target="charts/chart32.xml"/><Relationship Id="rId83" Type="http://schemas.openxmlformats.org/officeDocument/2006/relationships/chart" Target="charts/chart40.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diagramData" Target="diagrams/data1.xml"/><Relationship Id="rId28" Type="http://schemas.openxmlformats.org/officeDocument/2006/relationships/image" Target="media/image13.wmf"/><Relationship Id="rId36" Type="http://schemas.openxmlformats.org/officeDocument/2006/relationships/chart" Target="charts/chart2.xml"/><Relationship Id="rId49" Type="http://schemas.openxmlformats.org/officeDocument/2006/relationships/chart" Target="charts/chart15.xml"/><Relationship Id="rId57" Type="http://schemas.openxmlformats.org/officeDocument/2006/relationships/diagramData" Target="diagrams/data2.xml"/><Relationship Id="rId10" Type="http://schemas.openxmlformats.org/officeDocument/2006/relationships/footer" Target="footer1.xml"/><Relationship Id="rId31" Type="http://schemas.openxmlformats.org/officeDocument/2006/relationships/control" Target="activeX/activeX2.xml"/><Relationship Id="rId44" Type="http://schemas.openxmlformats.org/officeDocument/2006/relationships/chart" Target="charts/chart10.xml"/><Relationship Id="rId52" Type="http://schemas.openxmlformats.org/officeDocument/2006/relationships/chart" Target="charts/chart18.xml"/><Relationship Id="rId60" Type="http://schemas.openxmlformats.org/officeDocument/2006/relationships/diagramColors" Target="diagrams/colors2.xml"/><Relationship Id="rId65" Type="http://schemas.openxmlformats.org/officeDocument/2006/relationships/control" Target="activeX/activeX4.xml"/><Relationship Id="rId73" Type="http://schemas.openxmlformats.org/officeDocument/2006/relationships/chart" Target="charts/chart30.xml"/><Relationship Id="rId78" Type="http://schemas.openxmlformats.org/officeDocument/2006/relationships/chart" Target="charts/chart35.xml"/><Relationship Id="rId81" Type="http://schemas.openxmlformats.org/officeDocument/2006/relationships/chart" Target="charts/chart38.xml"/><Relationship Id="rId86" Type="http://schemas.openxmlformats.org/officeDocument/2006/relationships/chart" Target="charts/chart4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mmurph30\LOCALS~1\Temp\UTK%20GS%20Multipart%20ETD%20Template.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charts/_rels/chart1.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30-13.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mmurph30\Documents\AA%20PhD%20Documents\Food%20Data%20-%20New%20Calculations%2011-12-13\RESULTS%20-%20MASTER%20SHEET%20-%201-2-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Time'!$C$1</c:f>
              <c:strCache>
                <c:ptCount val="1"/>
                <c:pt idx="0">
                  <c:v>Avg Ghrelin by group and point</c:v>
                </c:pt>
              </c:strCache>
            </c:strRef>
          </c:tx>
          <c:invertIfNegative val="0"/>
          <c:dPt>
            <c:idx val="0"/>
            <c:invertIfNegative val="0"/>
            <c:bubble3D val="0"/>
            <c:spPr>
              <a:solidFill>
                <a:schemeClr val="accent1"/>
              </a:solidFill>
            </c:spPr>
          </c:dPt>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Time'!$A$2:$B$13</c:f>
              <c:multiLvlStrCache>
                <c:ptCount val="12"/>
                <c:lvl>
                  <c:pt idx="0">
                    <c:v>B</c:v>
                  </c:pt>
                  <c:pt idx="1">
                    <c:v>O</c:v>
                  </c:pt>
                  <c:pt idx="2">
                    <c:v>E</c:v>
                  </c:pt>
                  <c:pt idx="3">
                    <c:v>B</c:v>
                  </c:pt>
                  <c:pt idx="4">
                    <c:v>O</c:v>
                  </c:pt>
                  <c:pt idx="5">
                    <c:v>E</c:v>
                  </c:pt>
                  <c:pt idx="6">
                    <c:v>B</c:v>
                  </c:pt>
                  <c:pt idx="7">
                    <c:v>O</c:v>
                  </c:pt>
                  <c:pt idx="8">
                    <c:v>E</c:v>
                  </c:pt>
                  <c:pt idx="9">
                    <c:v>B</c:v>
                  </c:pt>
                  <c:pt idx="10">
                    <c:v>O</c:v>
                  </c:pt>
                  <c:pt idx="11">
                    <c:v>E</c:v>
                  </c:pt>
                </c:lvl>
                <c:lvl>
                  <c:pt idx="0">
                    <c:v>ObN</c:v>
                  </c:pt>
                  <c:pt idx="3">
                    <c:v>ObP</c:v>
                  </c:pt>
                  <c:pt idx="6">
                    <c:v>WLD</c:v>
                  </c:pt>
                  <c:pt idx="9">
                    <c:v>IBW</c:v>
                  </c:pt>
                </c:lvl>
              </c:multiLvlStrCache>
            </c:multiLvlStrRef>
          </c:cat>
          <c:val>
            <c:numRef>
              <c:f>'[RESULTS - MASTER SHEET - 1-2-14.xlsx]Groups 1,2,3,6 By Point, Time'!$C$2:$C$13</c:f>
              <c:numCache>
                <c:formatCode>General</c:formatCode>
                <c:ptCount val="12"/>
                <c:pt idx="0">
                  <c:v>112.1830599914753</c:v>
                </c:pt>
                <c:pt idx="1">
                  <c:v>58.276485935907921</c:v>
                </c:pt>
                <c:pt idx="2">
                  <c:v>23.221324620952771</c:v>
                </c:pt>
                <c:pt idx="3">
                  <c:v>99.310991263356541</c:v>
                </c:pt>
                <c:pt idx="4">
                  <c:v>37.635559260415882</c:v>
                </c:pt>
                <c:pt idx="5">
                  <c:v>27.121035812385507</c:v>
                </c:pt>
                <c:pt idx="6">
                  <c:v>103.11678412172023</c:v>
                </c:pt>
                <c:pt idx="7">
                  <c:v>69.134140179267234</c:v>
                </c:pt>
                <c:pt idx="8">
                  <c:v>67.22118166762256</c:v>
                </c:pt>
                <c:pt idx="9">
                  <c:v>68.377264647529728</c:v>
                </c:pt>
                <c:pt idx="10">
                  <c:v>46.939778295526089</c:v>
                </c:pt>
                <c:pt idx="11">
                  <c:v>62.415941006228195</c:v>
                </c:pt>
              </c:numCache>
            </c:numRef>
          </c:val>
        </c:ser>
        <c:dLbls>
          <c:showLegendKey val="0"/>
          <c:showVal val="0"/>
          <c:showCatName val="0"/>
          <c:showSerName val="0"/>
          <c:showPercent val="0"/>
          <c:showBubbleSize val="0"/>
        </c:dLbls>
        <c:gapWidth val="50"/>
        <c:axId val="364681088"/>
        <c:axId val="366784512"/>
      </c:barChart>
      <c:catAx>
        <c:axId val="364681088"/>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366784512"/>
        <c:crosses val="autoZero"/>
        <c:auto val="1"/>
        <c:lblAlgn val="ctr"/>
        <c:lblOffset val="100"/>
        <c:noMultiLvlLbl val="0"/>
      </c:catAx>
      <c:valAx>
        <c:axId val="366784512"/>
        <c:scaling>
          <c:orientation val="minMax"/>
        </c:scaling>
        <c:delete val="0"/>
        <c:axPos val="l"/>
        <c:majorGridlines/>
        <c:minorGridlines/>
        <c:title>
          <c:tx>
            <c:rich>
              <a:bodyPr/>
              <a:lstStyle/>
              <a:p>
                <a:pPr>
                  <a:defRPr/>
                </a:pPr>
                <a:r>
                  <a:rPr lang="en-US"/>
                  <a:t>Mean ghrelin (pg/mL)</a:t>
                </a:r>
              </a:p>
            </c:rich>
          </c:tx>
          <c:layout/>
          <c:overlay val="0"/>
        </c:title>
        <c:numFmt formatCode="General" sourceLinked="1"/>
        <c:majorTickMark val="out"/>
        <c:minorTickMark val="none"/>
        <c:tickLblPos val="nextTo"/>
        <c:crossAx val="36468108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Time'!$C$76</c:f>
              <c:strCache>
                <c:ptCount val="1"/>
                <c:pt idx="0">
                  <c:v>Avg Ghrelin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Time'!$A$77:$B$88</c:f>
              <c:multiLvlStrCache>
                <c:ptCount val="12"/>
                <c:lvl>
                  <c:pt idx="0">
                    <c:v>0 min</c:v>
                  </c:pt>
                  <c:pt idx="1">
                    <c:v>120 min</c:v>
                  </c:pt>
                  <c:pt idx="2">
                    <c:v>420 min</c:v>
                  </c:pt>
                  <c:pt idx="3">
                    <c:v>0 min</c:v>
                  </c:pt>
                  <c:pt idx="4">
                    <c:v>120 min</c:v>
                  </c:pt>
                  <c:pt idx="5">
                    <c:v>420 min</c:v>
                  </c:pt>
                  <c:pt idx="6">
                    <c:v>0 min</c:v>
                  </c:pt>
                  <c:pt idx="7">
                    <c:v>120 min</c:v>
                  </c:pt>
                  <c:pt idx="8">
                    <c:v>420 min</c:v>
                  </c:pt>
                  <c:pt idx="9">
                    <c:v>0 min</c:v>
                  </c:pt>
                  <c:pt idx="10">
                    <c:v>120 min</c:v>
                  </c:pt>
                  <c:pt idx="11">
                    <c:v>420 min</c:v>
                  </c:pt>
                </c:lvl>
                <c:lvl>
                  <c:pt idx="0">
                    <c:v>ObN</c:v>
                  </c:pt>
                  <c:pt idx="3">
                    <c:v>ObP</c:v>
                  </c:pt>
                  <c:pt idx="6">
                    <c:v>WLD</c:v>
                  </c:pt>
                  <c:pt idx="9">
                    <c:v>IBW</c:v>
                  </c:pt>
                </c:lvl>
              </c:multiLvlStrCache>
            </c:multiLvlStrRef>
          </c:cat>
          <c:val>
            <c:numRef>
              <c:f>'[RESULTS - MASTER SHEET - 1-2-14.xlsx]Groups 1,2,3,6 By Point, Time'!$C$77:$C$88</c:f>
              <c:numCache>
                <c:formatCode>General</c:formatCode>
                <c:ptCount val="12"/>
                <c:pt idx="0">
                  <c:v>71.980365760240304</c:v>
                </c:pt>
                <c:pt idx="1">
                  <c:v>65.336963565537602</c:v>
                </c:pt>
                <c:pt idx="2">
                  <c:v>56.363541222558091</c:v>
                </c:pt>
                <c:pt idx="3">
                  <c:v>59.802046239456807</c:v>
                </c:pt>
                <c:pt idx="4">
                  <c:v>55.167547966759614</c:v>
                </c:pt>
                <c:pt idx="5">
                  <c:v>49.097992129941517</c:v>
                </c:pt>
                <c:pt idx="6">
                  <c:v>64.085075623120744</c:v>
                </c:pt>
                <c:pt idx="7">
                  <c:v>90.172345432178545</c:v>
                </c:pt>
                <c:pt idx="8">
                  <c:v>85.214684913310734</c:v>
                </c:pt>
                <c:pt idx="9">
                  <c:v>65.771689557662128</c:v>
                </c:pt>
                <c:pt idx="10">
                  <c:v>46.781092078278895</c:v>
                </c:pt>
                <c:pt idx="11">
                  <c:v>72.249575610504962</c:v>
                </c:pt>
              </c:numCache>
            </c:numRef>
          </c:val>
        </c:ser>
        <c:dLbls>
          <c:showLegendKey val="0"/>
          <c:showVal val="0"/>
          <c:showCatName val="0"/>
          <c:showSerName val="0"/>
          <c:showPercent val="0"/>
          <c:showBubbleSize val="0"/>
        </c:dLbls>
        <c:gapWidth val="50"/>
        <c:axId val="464194944"/>
        <c:axId val="464213504"/>
      </c:barChart>
      <c:catAx>
        <c:axId val="464194944"/>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464213504"/>
        <c:crosses val="autoZero"/>
        <c:auto val="1"/>
        <c:lblAlgn val="ctr"/>
        <c:lblOffset val="100"/>
        <c:noMultiLvlLbl val="0"/>
      </c:catAx>
      <c:valAx>
        <c:axId val="464213504"/>
        <c:scaling>
          <c:orientation val="minMax"/>
        </c:scaling>
        <c:delete val="0"/>
        <c:axPos val="l"/>
        <c:majorGridlines/>
        <c:minorGridlines/>
        <c:title>
          <c:tx>
            <c:rich>
              <a:bodyPr/>
              <a:lstStyle/>
              <a:p>
                <a:pPr>
                  <a:defRPr/>
                </a:pPr>
                <a:r>
                  <a:rPr lang="en-US"/>
                  <a:t>Mean ghrelin (pg/mL)</a:t>
                </a:r>
              </a:p>
            </c:rich>
          </c:tx>
          <c:layout/>
          <c:overlay val="0"/>
        </c:title>
        <c:numFmt formatCode="General" sourceLinked="1"/>
        <c:majorTickMark val="out"/>
        <c:minorTickMark val="none"/>
        <c:tickLblPos val="nextTo"/>
        <c:crossAx val="46419494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1,2,3,6 By Point, Time'!$C$142</c:f>
              <c:strCache>
                <c:ptCount val="1"/>
                <c:pt idx="0">
                  <c:v>Avg Ghrelin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1,2,3,6 By Point, Time'!$A$143:$B$150</c:f>
              <c:multiLvlStrCache>
                <c:ptCount val="8"/>
                <c:lvl>
                  <c:pt idx="0">
                    <c:v>B</c:v>
                  </c:pt>
                  <c:pt idx="1">
                    <c:v>E</c:v>
                  </c:pt>
                  <c:pt idx="2">
                    <c:v>B</c:v>
                  </c:pt>
                  <c:pt idx="3">
                    <c:v>E</c:v>
                  </c:pt>
                  <c:pt idx="4">
                    <c:v>B</c:v>
                  </c:pt>
                  <c:pt idx="5">
                    <c:v>E</c:v>
                  </c:pt>
                  <c:pt idx="6">
                    <c:v>B</c:v>
                  </c:pt>
                  <c:pt idx="7">
                    <c:v>E</c:v>
                  </c:pt>
                </c:lvl>
                <c:lvl>
                  <c:pt idx="0">
                    <c:v>ObN</c:v>
                  </c:pt>
                  <c:pt idx="2">
                    <c:v>ObP</c:v>
                  </c:pt>
                  <c:pt idx="4">
                    <c:v>WLD</c:v>
                  </c:pt>
                  <c:pt idx="6">
                    <c:v>IBW</c:v>
                  </c:pt>
                </c:lvl>
              </c:multiLvlStrCache>
            </c:multiLvlStrRef>
          </c:cat>
          <c:val>
            <c:numRef>
              <c:f>'Groups 1,2,3,6 By Point, Time'!$C$143:$C$150</c:f>
              <c:numCache>
                <c:formatCode>General</c:formatCode>
                <c:ptCount val="8"/>
                <c:pt idx="0">
                  <c:v>122.17453636908927</c:v>
                </c:pt>
                <c:pt idx="1">
                  <c:v>16.924124755943946</c:v>
                </c:pt>
                <c:pt idx="2">
                  <c:v>103.91052857167753</c:v>
                </c:pt>
                <c:pt idx="3">
                  <c:v>27.362023148908598</c:v>
                </c:pt>
                <c:pt idx="4">
                  <c:v>114.55687260376234</c:v>
                </c:pt>
                <c:pt idx="5">
                  <c:v>35.161445891056992</c:v>
                </c:pt>
                <c:pt idx="6">
                  <c:v>87.385062775471098</c:v>
                </c:pt>
                <c:pt idx="7">
                  <c:v>61.934772178982961</c:v>
                </c:pt>
              </c:numCache>
            </c:numRef>
          </c:val>
        </c:ser>
        <c:dLbls>
          <c:showLegendKey val="0"/>
          <c:showVal val="0"/>
          <c:showCatName val="0"/>
          <c:showSerName val="0"/>
          <c:showPercent val="0"/>
          <c:showBubbleSize val="0"/>
        </c:dLbls>
        <c:gapWidth val="50"/>
        <c:axId val="447093376"/>
        <c:axId val="160154368"/>
      </c:barChart>
      <c:catAx>
        <c:axId val="447093376"/>
        <c:scaling>
          <c:orientation val="minMax"/>
        </c:scaling>
        <c:delete val="0"/>
        <c:axPos val="b"/>
        <c:title>
          <c:tx>
            <c:rich>
              <a:bodyPr/>
              <a:lstStyle/>
              <a:p>
                <a:pPr>
                  <a:defRPr/>
                </a:pPr>
                <a:r>
                  <a:rPr lang="en-US"/>
                  <a:t>Isolated</a:t>
                </a:r>
                <a:r>
                  <a:rPr lang="en-US" baseline="0"/>
                  <a:t> for 420 min</a:t>
                </a:r>
                <a:endParaRPr lang="en-US"/>
              </a:p>
            </c:rich>
          </c:tx>
          <c:layout/>
          <c:overlay val="0"/>
        </c:title>
        <c:majorTickMark val="none"/>
        <c:minorTickMark val="none"/>
        <c:tickLblPos val="nextTo"/>
        <c:crossAx val="160154368"/>
        <c:crosses val="autoZero"/>
        <c:auto val="1"/>
        <c:lblAlgn val="ctr"/>
        <c:lblOffset val="100"/>
        <c:noMultiLvlLbl val="0"/>
      </c:catAx>
      <c:valAx>
        <c:axId val="160154368"/>
        <c:scaling>
          <c:orientation val="minMax"/>
        </c:scaling>
        <c:delete val="0"/>
        <c:axPos val="l"/>
        <c:majorGridlines/>
        <c:minorGridlines/>
        <c:title>
          <c:tx>
            <c:rich>
              <a:bodyPr/>
              <a:lstStyle/>
              <a:p>
                <a:pPr>
                  <a:defRPr/>
                </a:pPr>
                <a:r>
                  <a:rPr lang="en-US"/>
                  <a:t>Mean ghrelin (pg/mL)</a:t>
                </a:r>
              </a:p>
            </c:rich>
          </c:tx>
          <c:layout/>
          <c:overlay val="0"/>
        </c:title>
        <c:numFmt formatCode="General" sourceLinked="1"/>
        <c:majorTickMark val="out"/>
        <c:minorTickMark val="none"/>
        <c:tickLblPos val="nextTo"/>
        <c:crossAx val="44709337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Time'!$H$1</c:f>
              <c:strCache>
                <c:ptCount val="1"/>
                <c:pt idx="0">
                  <c:v>Avg PYY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Time'!$A$2:$B$13</c:f>
              <c:multiLvlStrCache>
                <c:ptCount val="12"/>
                <c:lvl>
                  <c:pt idx="0">
                    <c:v>B</c:v>
                  </c:pt>
                  <c:pt idx="1">
                    <c:v>O</c:v>
                  </c:pt>
                  <c:pt idx="2">
                    <c:v>E</c:v>
                  </c:pt>
                  <c:pt idx="3">
                    <c:v>B</c:v>
                  </c:pt>
                  <c:pt idx="4">
                    <c:v>O</c:v>
                  </c:pt>
                  <c:pt idx="5">
                    <c:v>E</c:v>
                  </c:pt>
                  <c:pt idx="6">
                    <c:v>B</c:v>
                  </c:pt>
                  <c:pt idx="7">
                    <c:v>O</c:v>
                  </c:pt>
                  <c:pt idx="8">
                    <c:v>E</c:v>
                  </c:pt>
                  <c:pt idx="9">
                    <c:v>B</c:v>
                  </c:pt>
                  <c:pt idx="10">
                    <c:v>O</c:v>
                  </c:pt>
                  <c:pt idx="11">
                    <c:v>E</c:v>
                  </c:pt>
                </c:lvl>
                <c:lvl>
                  <c:pt idx="0">
                    <c:v>ObN</c:v>
                  </c:pt>
                  <c:pt idx="3">
                    <c:v>ObP</c:v>
                  </c:pt>
                  <c:pt idx="6">
                    <c:v>WLD</c:v>
                  </c:pt>
                  <c:pt idx="9">
                    <c:v>IBW</c:v>
                  </c:pt>
                </c:lvl>
              </c:multiLvlStrCache>
            </c:multiLvlStrRef>
          </c:cat>
          <c:val>
            <c:numRef>
              <c:f>'[RESULTS - MASTER SHEET - 1-2-14.xlsx]Groups 1,2,3,6 By Point, Time'!$H$2:$H$13</c:f>
              <c:numCache>
                <c:formatCode>General</c:formatCode>
                <c:ptCount val="12"/>
                <c:pt idx="0">
                  <c:v>232.16645306294754</c:v>
                </c:pt>
                <c:pt idx="1">
                  <c:v>278.96052432361802</c:v>
                </c:pt>
                <c:pt idx="2">
                  <c:v>326.0090995499985</c:v>
                </c:pt>
                <c:pt idx="3">
                  <c:v>156.78957009704479</c:v>
                </c:pt>
                <c:pt idx="4">
                  <c:v>227.00997796801352</c:v>
                </c:pt>
                <c:pt idx="5">
                  <c:v>317.81737810265895</c:v>
                </c:pt>
                <c:pt idx="6">
                  <c:v>218.52794980741299</c:v>
                </c:pt>
                <c:pt idx="7">
                  <c:v>273.51832383320891</c:v>
                </c:pt>
                <c:pt idx="8">
                  <c:v>335.38070249908372</c:v>
                </c:pt>
                <c:pt idx="9">
                  <c:v>296.01856612966645</c:v>
                </c:pt>
                <c:pt idx="10">
                  <c:v>285.92436678618293</c:v>
                </c:pt>
                <c:pt idx="11">
                  <c:v>321.77504802194261</c:v>
                </c:pt>
              </c:numCache>
            </c:numRef>
          </c:val>
        </c:ser>
        <c:dLbls>
          <c:showLegendKey val="0"/>
          <c:showVal val="0"/>
          <c:showCatName val="0"/>
          <c:showSerName val="0"/>
          <c:showPercent val="0"/>
          <c:showBubbleSize val="0"/>
        </c:dLbls>
        <c:gapWidth val="50"/>
        <c:axId val="456384512"/>
        <c:axId val="456386432"/>
      </c:barChart>
      <c:catAx>
        <c:axId val="456384512"/>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456386432"/>
        <c:crosses val="autoZero"/>
        <c:auto val="1"/>
        <c:lblAlgn val="ctr"/>
        <c:lblOffset val="100"/>
        <c:noMultiLvlLbl val="0"/>
      </c:catAx>
      <c:valAx>
        <c:axId val="456386432"/>
        <c:scaling>
          <c:orientation val="minMax"/>
        </c:scaling>
        <c:delete val="0"/>
        <c:axPos val="l"/>
        <c:majorGridlines/>
        <c:minorGridlines/>
        <c:title>
          <c:tx>
            <c:rich>
              <a:bodyPr/>
              <a:lstStyle/>
              <a:p>
                <a:pPr>
                  <a:defRPr/>
                </a:pPr>
                <a:r>
                  <a:rPr lang="en-US"/>
                  <a:t>Mean PYY (pg/mL)</a:t>
                </a:r>
              </a:p>
            </c:rich>
          </c:tx>
          <c:layout/>
          <c:overlay val="0"/>
        </c:title>
        <c:numFmt formatCode="General" sourceLinked="1"/>
        <c:majorTickMark val="out"/>
        <c:minorTickMark val="none"/>
        <c:tickLblPos val="nextTo"/>
        <c:crossAx val="45638451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Time'!$H$76</c:f>
              <c:strCache>
                <c:ptCount val="1"/>
                <c:pt idx="0">
                  <c:v>Avg PYY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Time'!$A$77:$B$88</c:f>
              <c:multiLvlStrCache>
                <c:ptCount val="12"/>
                <c:lvl>
                  <c:pt idx="0">
                    <c:v>0 min</c:v>
                  </c:pt>
                  <c:pt idx="1">
                    <c:v>120 min</c:v>
                  </c:pt>
                  <c:pt idx="2">
                    <c:v>420 min</c:v>
                  </c:pt>
                  <c:pt idx="3">
                    <c:v>0 min</c:v>
                  </c:pt>
                  <c:pt idx="4">
                    <c:v>120 min</c:v>
                  </c:pt>
                  <c:pt idx="5">
                    <c:v>420 min</c:v>
                  </c:pt>
                  <c:pt idx="6">
                    <c:v>0 min</c:v>
                  </c:pt>
                  <c:pt idx="7">
                    <c:v>120 min</c:v>
                  </c:pt>
                  <c:pt idx="8">
                    <c:v>420 min</c:v>
                  </c:pt>
                  <c:pt idx="9">
                    <c:v>0 min</c:v>
                  </c:pt>
                  <c:pt idx="10">
                    <c:v>120 min</c:v>
                  </c:pt>
                  <c:pt idx="11">
                    <c:v>420 min</c:v>
                  </c:pt>
                </c:lvl>
                <c:lvl>
                  <c:pt idx="0">
                    <c:v>ObN</c:v>
                  </c:pt>
                  <c:pt idx="3">
                    <c:v>ObP</c:v>
                  </c:pt>
                  <c:pt idx="6">
                    <c:v>WLD</c:v>
                  </c:pt>
                  <c:pt idx="9">
                    <c:v>IBW</c:v>
                  </c:pt>
                </c:lvl>
              </c:multiLvlStrCache>
            </c:multiLvlStrRef>
          </c:cat>
          <c:val>
            <c:numRef>
              <c:f>'[RESULTS - MASTER SHEET - 1-2-14.xlsx]Groups 1,2,3,6 By Point, Time'!$H$77:$H$88</c:f>
              <c:numCache>
                <c:formatCode>General</c:formatCode>
                <c:ptCount val="12"/>
                <c:pt idx="0">
                  <c:v>204.24790623462414</c:v>
                </c:pt>
                <c:pt idx="1">
                  <c:v>348.72383200377254</c:v>
                </c:pt>
                <c:pt idx="2">
                  <c:v>284.1643386981674</c:v>
                </c:pt>
                <c:pt idx="3">
                  <c:v>193.68726778093594</c:v>
                </c:pt>
                <c:pt idx="4">
                  <c:v>282.78944764141812</c:v>
                </c:pt>
                <c:pt idx="5">
                  <c:v>225.14021074536313</c:v>
                </c:pt>
                <c:pt idx="6">
                  <c:v>249.99661161296996</c:v>
                </c:pt>
                <c:pt idx="7">
                  <c:v>334.54867324492147</c:v>
                </c:pt>
                <c:pt idx="8">
                  <c:v>242.88169128181426</c:v>
                </c:pt>
                <c:pt idx="9">
                  <c:v>219.11838352127106</c:v>
                </c:pt>
                <c:pt idx="10">
                  <c:v>338.58391166674346</c:v>
                </c:pt>
                <c:pt idx="11">
                  <c:v>331.12254570920766</c:v>
                </c:pt>
              </c:numCache>
            </c:numRef>
          </c:val>
        </c:ser>
        <c:dLbls>
          <c:showLegendKey val="0"/>
          <c:showVal val="0"/>
          <c:showCatName val="0"/>
          <c:showSerName val="0"/>
          <c:showPercent val="0"/>
          <c:showBubbleSize val="0"/>
        </c:dLbls>
        <c:gapWidth val="50"/>
        <c:axId val="462115584"/>
        <c:axId val="462117504"/>
      </c:barChart>
      <c:catAx>
        <c:axId val="462115584"/>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462117504"/>
        <c:crosses val="autoZero"/>
        <c:auto val="1"/>
        <c:lblAlgn val="ctr"/>
        <c:lblOffset val="100"/>
        <c:noMultiLvlLbl val="0"/>
      </c:catAx>
      <c:valAx>
        <c:axId val="462117504"/>
        <c:scaling>
          <c:orientation val="minMax"/>
        </c:scaling>
        <c:delete val="0"/>
        <c:axPos val="l"/>
        <c:majorGridlines/>
        <c:minorGridlines/>
        <c:title>
          <c:tx>
            <c:rich>
              <a:bodyPr/>
              <a:lstStyle/>
              <a:p>
                <a:pPr>
                  <a:defRPr/>
                </a:pPr>
                <a:r>
                  <a:rPr lang="en-US"/>
                  <a:t>Mean PYY (pg/mL)</a:t>
                </a:r>
              </a:p>
            </c:rich>
          </c:tx>
          <c:layout/>
          <c:overlay val="0"/>
        </c:title>
        <c:numFmt formatCode="General" sourceLinked="1"/>
        <c:majorTickMark val="out"/>
        <c:minorTickMark val="none"/>
        <c:tickLblPos val="nextTo"/>
        <c:crossAx val="462115584"/>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1,2,3,6 By Point, Time'!$H$142</c:f>
              <c:strCache>
                <c:ptCount val="1"/>
                <c:pt idx="0">
                  <c:v>Avg PYY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1,2,3,6 By Point, Time'!$A$143:$B$150</c:f>
              <c:multiLvlStrCache>
                <c:ptCount val="8"/>
                <c:lvl>
                  <c:pt idx="0">
                    <c:v>B</c:v>
                  </c:pt>
                  <c:pt idx="1">
                    <c:v>E</c:v>
                  </c:pt>
                  <c:pt idx="2">
                    <c:v>B</c:v>
                  </c:pt>
                  <c:pt idx="3">
                    <c:v>E</c:v>
                  </c:pt>
                  <c:pt idx="4">
                    <c:v>B</c:v>
                  </c:pt>
                  <c:pt idx="5">
                    <c:v>E</c:v>
                  </c:pt>
                  <c:pt idx="6">
                    <c:v>B</c:v>
                  </c:pt>
                  <c:pt idx="7">
                    <c:v>E</c:v>
                  </c:pt>
                </c:lvl>
                <c:lvl>
                  <c:pt idx="0">
                    <c:v>ObN</c:v>
                  </c:pt>
                  <c:pt idx="2">
                    <c:v>ObP</c:v>
                  </c:pt>
                  <c:pt idx="4">
                    <c:v>WLD</c:v>
                  </c:pt>
                  <c:pt idx="6">
                    <c:v>IBW</c:v>
                  </c:pt>
                </c:lvl>
              </c:multiLvlStrCache>
            </c:multiLvlStrRef>
          </c:cat>
          <c:val>
            <c:numRef>
              <c:f>'Groups 1,2,3,6 By Point, Time'!$H$143:$H$150</c:f>
              <c:numCache>
                <c:formatCode>General</c:formatCode>
                <c:ptCount val="8"/>
                <c:pt idx="0">
                  <c:v>239.48856299362632</c:v>
                </c:pt>
                <c:pt idx="1">
                  <c:v>360.31004993070803</c:v>
                </c:pt>
                <c:pt idx="2">
                  <c:v>150.16886440169935</c:v>
                </c:pt>
                <c:pt idx="3">
                  <c:v>314.08168962718219</c:v>
                </c:pt>
                <c:pt idx="4">
                  <c:v>186.1334953565717</c:v>
                </c:pt>
                <c:pt idx="5">
                  <c:v>323.14777295699707</c:v>
                </c:pt>
                <c:pt idx="6">
                  <c:v>327.69948164296324</c:v>
                </c:pt>
                <c:pt idx="7">
                  <c:v>358.00847858966551</c:v>
                </c:pt>
              </c:numCache>
            </c:numRef>
          </c:val>
        </c:ser>
        <c:dLbls>
          <c:showLegendKey val="0"/>
          <c:showVal val="0"/>
          <c:showCatName val="0"/>
          <c:showSerName val="0"/>
          <c:showPercent val="0"/>
          <c:showBubbleSize val="0"/>
        </c:dLbls>
        <c:gapWidth val="50"/>
        <c:axId val="463886208"/>
        <c:axId val="464003072"/>
      </c:barChart>
      <c:catAx>
        <c:axId val="463886208"/>
        <c:scaling>
          <c:orientation val="minMax"/>
        </c:scaling>
        <c:delete val="0"/>
        <c:axPos val="b"/>
        <c:title>
          <c:tx>
            <c:rich>
              <a:bodyPr/>
              <a:lstStyle/>
              <a:p>
                <a:pPr>
                  <a:defRPr/>
                </a:pPr>
                <a:r>
                  <a:rPr lang="en-US"/>
                  <a:t>Isolated</a:t>
                </a:r>
                <a:r>
                  <a:rPr lang="en-US" baseline="0"/>
                  <a:t> for 420 min</a:t>
                </a:r>
                <a:endParaRPr lang="en-US"/>
              </a:p>
            </c:rich>
          </c:tx>
          <c:layout/>
          <c:overlay val="0"/>
        </c:title>
        <c:numFmt formatCode="General" sourceLinked="1"/>
        <c:majorTickMark val="none"/>
        <c:minorTickMark val="none"/>
        <c:tickLblPos val="nextTo"/>
        <c:crossAx val="464003072"/>
        <c:crosses val="autoZero"/>
        <c:auto val="1"/>
        <c:lblAlgn val="ctr"/>
        <c:lblOffset val="100"/>
        <c:noMultiLvlLbl val="0"/>
      </c:catAx>
      <c:valAx>
        <c:axId val="464003072"/>
        <c:scaling>
          <c:orientation val="minMax"/>
        </c:scaling>
        <c:delete val="0"/>
        <c:axPos val="l"/>
        <c:majorGridlines/>
        <c:minorGridlines/>
        <c:title>
          <c:tx>
            <c:rich>
              <a:bodyPr/>
              <a:lstStyle/>
              <a:p>
                <a:pPr>
                  <a:defRPr/>
                </a:pPr>
                <a:r>
                  <a:rPr lang="en-US"/>
                  <a:t>Mean PYY (pg/mL)</a:t>
                </a:r>
              </a:p>
            </c:rich>
          </c:tx>
          <c:layout/>
          <c:overlay val="0"/>
        </c:title>
        <c:numFmt formatCode="General" sourceLinked="1"/>
        <c:majorTickMark val="out"/>
        <c:minorTickMark val="none"/>
        <c:tickLblPos val="nextTo"/>
        <c:crossAx val="463886208"/>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Time'!$D$1</c:f>
              <c:strCache>
                <c:ptCount val="1"/>
                <c:pt idx="0">
                  <c:v>Avg GLP-1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Time'!$A$2:$B$13</c:f>
              <c:multiLvlStrCache>
                <c:ptCount val="12"/>
                <c:lvl>
                  <c:pt idx="0">
                    <c:v>B</c:v>
                  </c:pt>
                  <c:pt idx="1">
                    <c:v>O</c:v>
                  </c:pt>
                  <c:pt idx="2">
                    <c:v>E</c:v>
                  </c:pt>
                  <c:pt idx="3">
                    <c:v>B</c:v>
                  </c:pt>
                  <c:pt idx="4">
                    <c:v>O</c:v>
                  </c:pt>
                  <c:pt idx="5">
                    <c:v>E</c:v>
                  </c:pt>
                  <c:pt idx="6">
                    <c:v>B</c:v>
                  </c:pt>
                  <c:pt idx="7">
                    <c:v>O</c:v>
                  </c:pt>
                  <c:pt idx="8">
                    <c:v>E</c:v>
                  </c:pt>
                  <c:pt idx="9">
                    <c:v>B</c:v>
                  </c:pt>
                  <c:pt idx="10">
                    <c:v>O</c:v>
                  </c:pt>
                  <c:pt idx="11">
                    <c:v>E</c:v>
                  </c:pt>
                </c:lvl>
                <c:lvl>
                  <c:pt idx="0">
                    <c:v>ObN</c:v>
                  </c:pt>
                  <c:pt idx="3">
                    <c:v>ObP</c:v>
                  </c:pt>
                  <c:pt idx="6">
                    <c:v>WLD</c:v>
                  </c:pt>
                  <c:pt idx="9">
                    <c:v>IBW</c:v>
                  </c:pt>
                </c:lvl>
              </c:multiLvlStrCache>
            </c:multiLvlStrRef>
          </c:cat>
          <c:val>
            <c:numRef>
              <c:f>'[RESULTS - MASTER SHEET - 1-2-14.xlsx]Groups 1,2,3,6 By Point, Time'!$D$2:$D$13</c:f>
              <c:numCache>
                <c:formatCode>General</c:formatCode>
                <c:ptCount val="12"/>
                <c:pt idx="0">
                  <c:v>10.864561549825238</c:v>
                </c:pt>
                <c:pt idx="1">
                  <c:v>19.637245989960473</c:v>
                </c:pt>
                <c:pt idx="2">
                  <c:v>18.701396508615687</c:v>
                </c:pt>
                <c:pt idx="3">
                  <c:v>5.4501391013734786</c:v>
                </c:pt>
                <c:pt idx="4">
                  <c:v>10.851145198028803</c:v>
                </c:pt>
                <c:pt idx="5">
                  <c:v>25.400870593267761</c:v>
                </c:pt>
                <c:pt idx="6">
                  <c:v>8.909121236966083</c:v>
                </c:pt>
                <c:pt idx="7">
                  <c:v>17.389396787737262</c:v>
                </c:pt>
                <c:pt idx="8">
                  <c:v>24.322516872386736</c:v>
                </c:pt>
                <c:pt idx="9">
                  <c:v>24.193342439863354</c:v>
                </c:pt>
                <c:pt idx="10">
                  <c:v>28.230081265751569</c:v>
                </c:pt>
                <c:pt idx="11">
                  <c:v>31.879884553597776</c:v>
                </c:pt>
              </c:numCache>
            </c:numRef>
          </c:val>
        </c:ser>
        <c:dLbls>
          <c:showLegendKey val="0"/>
          <c:showVal val="0"/>
          <c:showCatName val="0"/>
          <c:showSerName val="0"/>
          <c:showPercent val="0"/>
          <c:showBubbleSize val="0"/>
        </c:dLbls>
        <c:gapWidth val="50"/>
        <c:axId val="367609344"/>
        <c:axId val="367747072"/>
      </c:barChart>
      <c:catAx>
        <c:axId val="367609344"/>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367747072"/>
        <c:crosses val="autoZero"/>
        <c:auto val="1"/>
        <c:lblAlgn val="ctr"/>
        <c:lblOffset val="100"/>
        <c:noMultiLvlLbl val="0"/>
      </c:catAx>
      <c:valAx>
        <c:axId val="367747072"/>
        <c:scaling>
          <c:orientation val="minMax"/>
        </c:scaling>
        <c:delete val="0"/>
        <c:axPos val="l"/>
        <c:majorGridlines/>
        <c:minorGridlines/>
        <c:title>
          <c:tx>
            <c:rich>
              <a:bodyPr/>
              <a:lstStyle/>
              <a:p>
                <a:pPr>
                  <a:defRPr/>
                </a:pPr>
                <a:r>
                  <a:rPr lang="en-US"/>
                  <a:t>Mean GLP-1 (pg/mL)</a:t>
                </a:r>
              </a:p>
            </c:rich>
          </c:tx>
          <c:layout/>
          <c:overlay val="0"/>
        </c:title>
        <c:numFmt formatCode="General" sourceLinked="1"/>
        <c:majorTickMark val="out"/>
        <c:minorTickMark val="none"/>
        <c:tickLblPos val="nextTo"/>
        <c:crossAx val="367609344"/>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Time'!$D$76</c:f>
              <c:strCache>
                <c:ptCount val="1"/>
                <c:pt idx="0">
                  <c:v>Avg GLP-1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Time'!$A$77:$B$88</c:f>
              <c:multiLvlStrCache>
                <c:ptCount val="12"/>
                <c:lvl>
                  <c:pt idx="0">
                    <c:v>0 min</c:v>
                  </c:pt>
                  <c:pt idx="1">
                    <c:v>120 min</c:v>
                  </c:pt>
                  <c:pt idx="2">
                    <c:v>420 min</c:v>
                  </c:pt>
                  <c:pt idx="3">
                    <c:v>0 min</c:v>
                  </c:pt>
                  <c:pt idx="4">
                    <c:v>120 min</c:v>
                  </c:pt>
                  <c:pt idx="5">
                    <c:v>420 min</c:v>
                  </c:pt>
                  <c:pt idx="6">
                    <c:v>0 min</c:v>
                  </c:pt>
                  <c:pt idx="7">
                    <c:v>120 min</c:v>
                  </c:pt>
                  <c:pt idx="8">
                    <c:v>420 min</c:v>
                  </c:pt>
                  <c:pt idx="9">
                    <c:v>0 min</c:v>
                  </c:pt>
                  <c:pt idx="10">
                    <c:v>120 min</c:v>
                  </c:pt>
                  <c:pt idx="11">
                    <c:v>420 min</c:v>
                  </c:pt>
                </c:lvl>
                <c:lvl>
                  <c:pt idx="0">
                    <c:v>ObN</c:v>
                  </c:pt>
                  <c:pt idx="3">
                    <c:v>ObP</c:v>
                  </c:pt>
                  <c:pt idx="6">
                    <c:v>WLD</c:v>
                  </c:pt>
                  <c:pt idx="9">
                    <c:v>IBW</c:v>
                  </c:pt>
                </c:lvl>
              </c:multiLvlStrCache>
            </c:multiLvlStrRef>
          </c:cat>
          <c:val>
            <c:numRef>
              <c:f>'[RESULTS - MASTER SHEET - 1-2-14.xlsx]Groups 1,2,3,6 By Point, Time'!$D$77:$D$88</c:f>
              <c:numCache>
                <c:formatCode>General</c:formatCode>
                <c:ptCount val="12"/>
                <c:pt idx="0">
                  <c:v>5.2968876162782408</c:v>
                </c:pt>
                <c:pt idx="1">
                  <c:v>30.480842549550481</c:v>
                </c:pt>
                <c:pt idx="2">
                  <c:v>13.425473882572675</c:v>
                </c:pt>
                <c:pt idx="3">
                  <c:v>7.5345768144397223</c:v>
                </c:pt>
                <c:pt idx="4">
                  <c:v>24.133035382699525</c:v>
                </c:pt>
                <c:pt idx="5">
                  <c:v>10.034542695530799</c:v>
                </c:pt>
                <c:pt idx="6">
                  <c:v>8.8639938121694808</c:v>
                </c:pt>
                <c:pt idx="7">
                  <c:v>29.017190745500802</c:v>
                </c:pt>
                <c:pt idx="8">
                  <c:v>12.739850339419799</c:v>
                </c:pt>
                <c:pt idx="9">
                  <c:v>12.506513533676475</c:v>
                </c:pt>
                <c:pt idx="10">
                  <c:v>44.014155251117721</c:v>
                </c:pt>
                <c:pt idx="11">
                  <c:v>25.315203611509055</c:v>
                </c:pt>
              </c:numCache>
            </c:numRef>
          </c:val>
        </c:ser>
        <c:dLbls>
          <c:showLegendKey val="0"/>
          <c:showVal val="0"/>
          <c:showCatName val="0"/>
          <c:showSerName val="0"/>
          <c:showPercent val="0"/>
          <c:showBubbleSize val="0"/>
        </c:dLbls>
        <c:gapWidth val="50"/>
        <c:axId val="443796864"/>
        <c:axId val="443800960"/>
      </c:barChart>
      <c:catAx>
        <c:axId val="443796864"/>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443800960"/>
        <c:crosses val="autoZero"/>
        <c:auto val="1"/>
        <c:lblAlgn val="ctr"/>
        <c:lblOffset val="100"/>
        <c:noMultiLvlLbl val="0"/>
      </c:catAx>
      <c:valAx>
        <c:axId val="443800960"/>
        <c:scaling>
          <c:orientation val="minMax"/>
        </c:scaling>
        <c:delete val="0"/>
        <c:axPos val="l"/>
        <c:majorGridlines/>
        <c:minorGridlines/>
        <c:title>
          <c:tx>
            <c:rich>
              <a:bodyPr/>
              <a:lstStyle/>
              <a:p>
                <a:pPr>
                  <a:defRPr/>
                </a:pPr>
                <a:r>
                  <a:rPr lang="en-US"/>
                  <a:t>Mean GLP-1 (pg/mL)</a:t>
                </a:r>
              </a:p>
            </c:rich>
          </c:tx>
          <c:layout/>
          <c:overlay val="0"/>
        </c:title>
        <c:numFmt formatCode="General" sourceLinked="1"/>
        <c:majorTickMark val="out"/>
        <c:minorTickMark val="none"/>
        <c:tickLblPos val="nextTo"/>
        <c:crossAx val="443796864"/>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1,2,3,6 By Point, Time'!$D$142</c:f>
              <c:strCache>
                <c:ptCount val="1"/>
                <c:pt idx="0">
                  <c:v>Avg GLP-1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1,2,3,6 By Point, Time'!$A$143:$B$150</c:f>
              <c:multiLvlStrCache>
                <c:ptCount val="8"/>
                <c:lvl>
                  <c:pt idx="0">
                    <c:v>B</c:v>
                  </c:pt>
                  <c:pt idx="1">
                    <c:v>E</c:v>
                  </c:pt>
                  <c:pt idx="2">
                    <c:v>B</c:v>
                  </c:pt>
                  <c:pt idx="3">
                    <c:v>E</c:v>
                  </c:pt>
                  <c:pt idx="4">
                    <c:v>B</c:v>
                  </c:pt>
                  <c:pt idx="5">
                    <c:v>E</c:v>
                  </c:pt>
                  <c:pt idx="6">
                    <c:v>B</c:v>
                  </c:pt>
                  <c:pt idx="7">
                    <c:v>E</c:v>
                  </c:pt>
                </c:lvl>
                <c:lvl>
                  <c:pt idx="0">
                    <c:v>ObN</c:v>
                  </c:pt>
                  <c:pt idx="2">
                    <c:v>ObP</c:v>
                  </c:pt>
                  <c:pt idx="4">
                    <c:v>WLD</c:v>
                  </c:pt>
                  <c:pt idx="6">
                    <c:v>IBW</c:v>
                  </c:pt>
                </c:lvl>
              </c:multiLvlStrCache>
            </c:multiLvlStrRef>
          </c:cat>
          <c:val>
            <c:numRef>
              <c:f>'Groups 1,2,3,6 By Point, Time'!$D$143:$D$150</c:f>
              <c:numCache>
                <c:formatCode>General</c:formatCode>
                <c:ptCount val="8"/>
                <c:pt idx="0">
                  <c:v>4.7984482149916907</c:v>
                </c:pt>
                <c:pt idx="1">
                  <c:v>21.93888799538562</c:v>
                </c:pt>
                <c:pt idx="2">
                  <c:v>3.0227260278870212</c:v>
                </c:pt>
                <c:pt idx="3">
                  <c:v>21.492547302312897</c:v>
                </c:pt>
                <c:pt idx="4">
                  <c:v>2.2999999999999998</c:v>
                </c:pt>
                <c:pt idx="5">
                  <c:v>23.111066520453665</c:v>
                </c:pt>
                <c:pt idx="6">
                  <c:v>16.309354763161696</c:v>
                </c:pt>
                <c:pt idx="7">
                  <c:v>31.937597827859737</c:v>
                </c:pt>
              </c:numCache>
            </c:numRef>
          </c:val>
        </c:ser>
        <c:dLbls>
          <c:showLegendKey val="0"/>
          <c:showVal val="0"/>
          <c:showCatName val="0"/>
          <c:showSerName val="0"/>
          <c:showPercent val="0"/>
          <c:showBubbleSize val="0"/>
        </c:dLbls>
        <c:gapWidth val="50"/>
        <c:axId val="424035072"/>
        <c:axId val="424036992"/>
      </c:barChart>
      <c:catAx>
        <c:axId val="424035072"/>
        <c:scaling>
          <c:orientation val="minMax"/>
        </c:scaling>
        <c:delete val="0"/>
        <c:axPos val="b"/>
        <c:title>
          <c:tx>
            <c:rich>
              <a:bodyPr/>
              <a:lstStyle/>
              <a:p>
                <a:pPr>
                  <a:defRPr/>
                </a:pPr>
                <a:r>
                  <a:rPr lang="en-US"/>
                  <a:t>Isolated</a:t>
                </a:r>
                <a:r>
                  <a:rPr lang="en-US" baseline="0"/>
                  <a:t> for 420 min</a:t>
                </a:r>
                <a:endParaRPr lang="en-US"/>
              </a:p>
            </c:rich>
          </c:tx>
          <c:layout/>
          <c:overlay val="0"/>
        </c:title>
        <c:numFmt formatCode="General" sourceLinked="1"/>
        <c:majorTickMark val="none"/>
        <c:minorTickMark val="none"/>
        <c:tickLblPos val="nextTo"/>
        <c:crossAx val="424036992"/>
        <c:crosses val="autoZero"/>
        <c:auto val="1"/>
        <c:lblAlgn val="ctr"/>
        <c:lblOffset val="100"/>
        <c:noMultiLvlLbl val="0"/>
      </c:catAx>
      <c:valAx>
        <c:axId val="424036992"/>
        <c:scaling>
          <c:orientation val="minMax"/>
        </c:scaling>
        <c:delete val="0"/>
        <c:axPos val="l"/>
        <c:majorGridlines/>
        <c:minorGridlines/>
        <c:title>
          <c:tx>
            <c:rich>
              <a:bodyPr/>
              <a:lstStyle/>
              <a:p>
                <a:pPr>
                  <a:defRPr/>
                </a:pPr>
                <a:r>
                  <a:rPr lang="en-US"/>
                  <a:t>Mean GLP-1 (pg/mL)</a:t>
                </a:r>
              </a:p>
            </c:rich>
          </c:tx>
          <c:layout/>
          <c:overlay val="0"/>
        </c:title>
        <c:numFmt formatCode="General" sourceLinked="1"/>
        <c:majorTickMark val="out"/>
        <c:minorTickMark val="none"/>
        <c:tickLblPos val="nextTo"/>
        <c:crossAx val="424035072"/>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Time'!$F$1</c:f>
              <c:strCache>
                <c:ptCount val="1"/>
                <c:pt idx="0">
                  <c:v>Avg glucose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Time'!$A$2:$B$13</c:f>
              <c:multiLvlStrCache>
                <c:ptCount val="12"/>
                <c:lvl>
                  <c:pt idx="0">
                    <c:v>B</c:v>
                  </c:pt>
                  <c:pt idx="1">
                    <c:v>O</c:v>
                  </c:pt>
                  <c:pt idx="2">
                    <c:v>E</c:v>
                  </c:pt>
                  <c:pt idx="3">
                    <c:v>B</c:v>
                  </c:pt>
                  <c:pt idx="4">
                    <c:v>O</c:v>
                  </c:pt>
                  <c:pt idx="5">
                    <c:v>E</c:v>
                  </c:pt>
                  <c:pt idx="6">
                    <c:v>B</c:v>
                  </c:pt>
                  <c:pt idx="7">
                    <c:v>O</c:v>
                  </c:pt>
                  <c:pt idx="8">
                    <c:v>E</c:v>
                  </c:pt>
                  <c:pt idx="9">
                    <c:v>B</c:v>
                  </c:pt>
                  <c:pt idx="10">
                    <c:v>O</c:v>
                  </c:pt>
                  <c:pt idx="11">
                    <c:v>E</c:v>
                  </c:pt>
                </c:lvl>
                <c:lvl>
                  <c:pt idx="0">
                    <c:v>ObN</c:v>
                  </c:pt>
                  <c:pt idx="3">
                    <c:v>ObP</c:v>
                  </c:pt>
                  <c:pt idx="6">
                    <c:v>WLD</c:v>
                  </c:pt>
                  <c:pt idx="9">
                    <c:v>IBW</c:v>
                  </c:pt>
                </c:lvl>
              </c:multiLvlStrCache>
            </c:multiLvlStrRef>
          </c:cat>
          <c:val>
            <c:numRef>
              <c:f>'[RESULTS - MASTER SHEET - 1-2-14.xlsx]Groups 1,2,3,6 By Point, Time'!$F$2:$F$13</c:f>
              <c:numCache>
                <c:formatCode>General</c:formatCode>
                <c:ptCount val="12"/>
                <c:pt idx="0">
                  <c:v>92.733333333333334</c:v>
                </c:pt>
                <c:pt idx="1">
                  <c:v>79.133333333333326</c:v>
                </c:pt>
                <c:pt idx="2">
                  <c:v>82.866666666666674</c:v>
                </c:pt>
                <c:pt idx="3">
                  <c:v>95.13333333333334</c:v>
                </c:pt>
                <c:pt idx="4">
                  <c:v>91.6</c:v>
                </c:pt>
                <c:pt idx="5">
                  <c:v>90.866666666666674</c:v>
                </c:pt>
                <c:pt idx="6">
                  <c:v>107.8</c:v>
                </c:pt>
                <c:pt idx="7">
                  <c:v>93.266666666666666</c:v>
                </c:pt>
                <c:pt idx="8">
                  <c:v>82.866666666666674</c:v>
                </c:pt>
                <c:pt idx="9">
                  <c:v>85.444444444444457</c:v>
                </c:pt>
                <c:pt idx="10">
                  <c:v>94.611111111111128</c:v>
                </c:pt>
                <c:pt idx="11">
                  <c:v>81.266666666666666</c:v>
                </c:pt>
              </c:numCache>
            </c:numRef>
          </c:val>
        </c:ser>
        <c:dLbls>
          <c:showLegendKey val="0"/>
          <c:showVal val="0"/>
          <c:showCatName val="0"/>
          <c:showSerName val="0"/>
          <c:showPercent val="0"/>
          <c:showBubbleSize val="0"/>
        </c:dLbls>
        <c:gapWidth val="50"/>
        <c:axId val="475574272"/>
        <c:axId val="475576192"/>
      </c:barChart>
      <c:catAx>
        <c:axId val="475574272"/>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475576192"/>
        <c:crosses val="autoZero"/>
        <c:auto val="1"/>
        <c:lblAlgn val="ctr"/>
        <c:lblOffset val="100"/>
        <c:noMultiLvlLbl val="0"/>
      </c:catAx>
      <c:valAx>
        <c:axId val="475576192"/>
        <c:scaling>
          <c:orientation val="minMax"/>
        </c:scaling>
        <c:delete val="0"/>
        <c:axPos val="l"/>
        <c:majorGridlines/>
        <c:minorGridlines/>
        <c:title>
          <c:tx>
            <c:rich>
              <a:bodyPr/>
              <a:lstStyle/>
              <a:p>
                <a:pPr>
                  <a:defRPr/>
                </a:pPr>
                <a:r>
                  <a:rPr lang="en-US"/>
                  <a:t>Mean glucose (mg/dL)</a:t>
                </a:r>
              </a:p>
            </c:rich>
          </c:tx>
          <c:layout/>
          <c:overlay val="0"/>
        </c:title>
        <c:numFmt formatCode="General" sourceLinked="1"/>
        <c:majorTickMark val="out"/>
        <c:minorTickMark val="none"/>
        <c:tickLblPos val="nextTo"/>
        <c:crossAx val="475574272"/>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Time'!$F$76</c:f>
              <c:strCache>
                <c:ptCount val="1"/>
                <c:pt idx="0">
                  <c:v>Avg glucose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Time'!$A$77:$B$88</c:f>
              <c:multiLvlStrCache>
                <c:ptCount val="12"/>
                <c:lvl>
                  <c:pt idx="0">
                    <c:v>0 min</c:v>
                  </c:pt>
                  <c:pt idx="1">
                    <c:v>120 min</c:v>
                  </c:pt>
                  <c:pt idx="2">
                    <c:v>420 min</c:v>
                  </c:pt>
                  <c:pt idx="3">
                    <c:v>0 min</c:v>
                  </c:pt>
                  <c:pt idx="4">
                    <c:v>120 min</c:v>
                  </c:pt>
                  <c:pt idx="5">
                    <c:v>420 min</c:v>
                  </c:pt>
                  <c:pt idx="6">
                    <c:v>0 min</c:v>
                  </c:pt>
                  <c:pt idx="7">
                    <c:v>120 min</c:v>
                  </c:pt>
                  <c:pt idx="8">
                    <c:v>420 min</c:v>
                  </c:pt>
                  <c:pt idx="9">
                    <c:v>0 min</c:v>
                  </c:pt>
                  <c:pt idx="10">
                    <c:v>120 min</c:v>
                  </c:pt>
                  <c:pt idx="11">
                    <c:v>420 min</c:v>
                  </c:pt>
                </c:lvl>
                <c:lvl>
                  <c:pt idx="0">
                    <c:v>ObN</c:v>
                  </c:pt>
                  <c:pt idx="3">
                    <c:v>ObP</c:v>
                  </c:pt>
                  <c:pt idx="6">
                    <c:v>WLD</c:v>
                  </c:pt>
                  <c:pt idx="9">
                    <c:v>IBW</c:v>
                  </c:pt>
                </c:lvl>
              </c:multiLvlStrCache>
            </c:multiLvlStrRef>
          </c:cat>
          <c:val>
            <c:numRef>
              <c:f>'[RESULTS - MASTER SHEET - 1-2-14.xlsx]Groups 1,2,3,6 By Point, Time'!$F$77:$F$88</c:f>
              <c:numCache>
                <c:formatCode>General</c:formatCode>
                <c:ptCount val="12"/>
                <c:pt idx="0">
                  <c:v>79.933333333333337</c:v>
                </c:pt>
                <c:pt idx="1">
                  <c:v>89.333333333333343</c:v>
                </c:pt>
                <c:pt idx="2">
                  <c:v>85.466666666666669</c:v>
                </c:pt>
                <c:pt idx="3">
                  <c:v>91.8</c:v>
                </c:pt>
                <c:pt idx="4">
                  <c:v>95.13333333333334</c:v>
                </c:pt>
                <c:pt idx="5">
                  <c:v>90.666666666666657</c:v>
                </c:pt>
                <c:pt idx="6">
                  <c:v>87.066666666666677</c:v>
                </c:pt>
                <c:pt idx="7">
                  <c:v>96.8</c:v>
                </c:pt>
                <c:pt idx="8">
                  <c:v>100.06666666666666</c:v>
                </c:pt>
                <c:pt idx="9">
                  <c:v>82.611111111111114</c:v>
                </c:pt>
                <c:pt idx="10">
                  <c:v>91.194444444444443</c:v>
                </c:pt>
                <c:pt idx="11">
                  <c:v>88.26666666666668</c:v>
                </c:pt>
              </c:numCache>
            </c:numRef>
          </c:val>
        </c:ser>
        <c:dLbls>
          <c:showLegendKey val="0"/>
          <c:showVal val="0"/>
          <c:showCatName val="0"/>
          <c:showSerName val="0"/>
          <c:showPercent val="0"/>
          <c:showBubbleSize val="0"/>
        </c:dLbls>
        <c:gapWidth val="50"/>
        <c:axId val="476834048"/>
        <c:axId val="476838144"/>
      </c:barChart>
      <c:catAx>
        <c:axId val="476834048"/>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476838144"/>
        <c:crosses val="autoZero"/>
        <c:auto val="1"/>
        <c:lblAlgn val="ctr"/>
        <c:lblOffset val="100"/>
        <c:noMultiLvlLbl val="0"/>
      </c:catAx>
      <c:valAx>
        <c:axId val="476838144"/>
        <c:scaling>
          <c:orientation val="minMax"/>
        </c:scaling>
        <c:delete val="0"/>
        <c:axPos val="l"/>
        <c:majorGridlines/>
        <c:minorGridlines/>
        <c:title>
          <c:tx>
            <c:rich>
              <a:bodyPr/>
              <a:lstStyle/>
              <a:p>
                <a:pPr>
                  <a:defRPr/>
                </a:pPr>
                <a:r>
                  <a:rPr lang="en-US"/>
                  <a:t>Mean glucose (mg/dL)</a:t>
                </a:r>
              </a:p>
            </c:rich>
          </c:tx>
          <c:layout/>
          <c:overlay val="0"/>
        </c:title>
        <c:numFmt formatCode="General" sourceLinked="1"/>
        <c:majorTickMark val="out"/>
        <c:minorTickMark val="none"/>
        <c:tickLblPos val="nextTo"/>
        <c:crossAx val="476834048"/>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1,2,3,6 By Point, Time'!$F$142</c:f>
              <c:strCache>
                <c:ptCount val="1"/>
                <c:pt idx="0">
                  <c:v>Avg glucose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1,2,3,6 By Point, Time'!$A$143:$B$150</c:f>
              <c:multiLvlStrCache>
                <c:ptCount val="8"/>
                <c:lvl>
                  <c:pt idx="0">
                    <c:v>B</c:v>
                  </c:pt>
                  <c:pt idx="1">
                    <c:v>E</c:v>
                  </c:pt>
                  <c:pt idx="2">
                    <c:v>B</c:v>
                  </c:pt>
                  <c:pt idx="3">
                    <c:v>E</c:v>
                  </c:pt>
                  <c:pt idx="4">
                    <c:v>B</c:v>
                  </c:pt>
                  <c:pt idx="5">
                    <c:v>E</c:v>
                  </c:pt>
                  <c:pt idx="6">
                    <c:v>B</c:v>
                  </c:pt>
                  <c:pt idx="7">
                    <c:v>E</c:v>
                  </c:pt>
                </c:lvl>
                <c:lvl>
                  <c:pt idx="0">
                    <c:v>ObN</c:v>
                  </c:pt>
                  <c:pt idx="2">
                    <c:v>ObP</c:v>
                  </c:pt>
                  <c:pt idx="4">
                    <c:v>WLD</c:v>
                  </c:pt>
                  <c:pt idx="6">
                    <c:v>IBW</c:v>
                  </c:pt>
                </c:lvl>
              </c:multiLvlStrCache>
            </c:multiLvlStrRef>
          </c:cat>
          <c:val>
            <c:numRef>
              <c:f>'Groups 1,2,3,6 By Point, Time'!$F$143:$F$150</c:f>
              <c:numCache>
                <c:formatCode>General</c:formatCode>
                <c:ptCount val="8"/>
                <c:pt idx="0">
                  <c:v>87</c:v>
                </c:pt>
                <c:pt idx="1">
                  <c:v>84.6</c:v>
                </c:pt>
                <c:pt idx="2">
                  <c:v>94.6</c:v>
                </c:pt>
                <c:pt idx="3">
                  <c:v>82.4</c:v>
                </c:pt>
                <c:pt idx="4">
                  <c:v>110</c:v>
                </c:pt>
                <c:pt idx="5">
                  <c:v>89.8</c:v>
                </c:pt>
                <c:pt idx="6">
                  <c:v>100.83333333333333</c:v>
                </c:pt>
                <c:pt idx="7">
                  <c:v>76.400000000000006</c:v>
                </c:pt>
              </c:numCache>
            </c:numRef>
          </c:val>
        </c:ser>
        <c:dLbls>
          <c:showLegendKey val="0"/>
          <c:showVal val="0"/>
          <c:showCatName val="0"/>
          <c:showSerName val="0"/>
          <c:showPercent val="0"/>
          <c:showBubbleSize val="0"/>
        </c:dLbls>
        <c:gapWidth val="50"/>
        <c:axId val="479385472"/>
        <c:axId val="479542272"/>
      </c:barChart>
      <c:catAx>
        <c:axId val="479385472"/>
        <c:scaling>
          <c:orientation val="minMax"/>
        </c:scaling>
        <c:delete val="0"/>
        <c:axPos val="b"/>
        <c:title>
          <c:tx>
            <c:rich>
              <a:bodyPr/>
              <a:lstStyle/>
              <a:p>
                <a:pPr>
                  <a:defRPr/>
                </a:pPr>
                <a:r>
                  <a:rPr lang="en-US"/>
                  <a:t>Isolated</a:t>
                </a:r>
                <a:r>
                  <a:rPr lang="en-US" baseline="0"/>
                  <a:t> for 420 min</a:t>
                </a:r>
              </a:p>
            </c:rich>
          </c:tx>
          <c:layout/>
          <c:overlay val="0"/>
        </c:title>
        <c:majorTickMark val="none"/>
        <c:minorTickMark val="none"/>
        <c:tickLblPos val="nextTo"/>
        <c:crossAx val="479542272"/>
        <c:crosses val="autoZero"/>
        <c:auto val="1"/>
        <c:lblAlgn val="ctr"/>
        <c:lblOffset val="100"/>
        <c:noMultiLvlLbl val="0"/>
      </c:catAx>
      <c:valAx>
        <c:axId val="479542272"/>
        <c:scaling>
          <c:orientation val="minMax"/>
        </c:scaling>
        <c:delete val="0"/>
        <c:axPos val="l"/>
        <c:majorGridlines/>
        <c:minorGridlines/>
        <c:title>
          <c:tx>
            <c:rich>
              <a:bodyPr/>
              <a:lstStyle/>
              <a:p>
                <a:pPr>
                  <a:defRPr/>
                </a:pPr>
                <a:r>
                  <a:rPr lang="en-US"/>
                  <a:t>Mean glucose (mg/dL)</a:t>
                </a:r>
              </a:p>
            </c:rich>
          </c:tx>
          <c:layout/>
          <c:overlay val="0"/>
        </c:title>
        <c:numFmt formatCode="General" sourceLinked="1"/>
        <c:majorTickMark val="out"/>
        <c:minorTickMark val="none"/>
        <c:tickLblPos val="nextTo"/>
        <c:crossAx val="479385472"/>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Time'!$E$1</c:f>
              <c:strCache>
                <c:ptCount val="1"/>
                <c:pt idx="0">
                  <c:v>Avg insulin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Time'!$A$2:$B$13</c:f>
              <c:multiLvlStrCache>
                <c:ptCount val="12"/>
                <c:lvl>
                  <c:pt idx="0">
                    <c:v>B</c:v>
                  </c:pt>
                  <c:pt idx="1">
                    <c:v>O</c:v>
                  </c:pt>
                  <c:pt idx="2">
                    <c:v>E</c:v>
                  </c:pt>
                  <c:pt idx="3">
                    <c:v>B</c:v>
                  </c:pt>
                  <c:pt idx="4">
                    <c:v>O</c:v>
                  </c:pt>
                  <c:pt idx="5">
                    <c:v>E</c:v>
                  </c:pt>
                  <c:pt idx="6">
                    <c:v>B</c:v>
                  </c:pt>
                  <c:pt idx="7">
                    <c:v>O</c:v>
                  </c:pt>
                  <c:pt idx="8">
                    <c:v>E</c:v>
                  </c:pt>
                  <c:pt idx="9">
                    <c:v>B</c:v>
                  </c:pt>
                  <c:pt idx="10">
                    <c:v>O</c:v>
                  </c:pt>
                  <c:pt idx="11">
                    <c:v>E</c:v>
                  </c:pt>
                </c:lvl>
                <c:lvl>
                  <c:pt idx="0">
                    <c:v>ObN</c:v>
                  </c:pt>
                  <c:pt idx="3">
                    <c:v>ObP</c:v>
                  </c:pt>
                  <c:pt idx="6">
                    <c:v>WLD</c:v>
                  </c:pt>
                  <c:pt idx="9">
                    <c:v>IBW</c:v>
                  </c:pt>
                </c:lvl>
              </c:multiLvlStrCache>
            </c:multiLvlStrRef>
          </c:cat>
          <c:val>
            <c:numRef>
              <c:f>'[RESULTS - MASTER SHEET - 1-2-14.xlsx]Groups 1,2,3,6 By Point, Time'!$E$2:$E$13</c:f>
              <c:numCache>
                <c:formatCode>General</c:formatCode>
                <c:ptCount val="12"/>
                <c:pt idx="0">
                  <c:v>836.85619407941977</c:v>
                </c:pt>
                <c:pt idx="1">
                  <c:v>531.68903809575772</c:v>
                </c:pt>
                <c:pt idx="2">
                  <c:v>588.87691813947401</c:v>
                </c:pt>
                <c:pt idx="3">
                  <c:v>348.81423270937228</c:v>
                </c:pt>
                <c:pt idx="4">
                  <c:v>467.98333016330508</c:v>
                </c:pt>
                <c:pt idx="5">
                  <c:v>1004.1624492501523</c:v>
                </c:pt>
                <c:pt idx="6">
                  <c:v>238.81203037446934</c:v>
                </c:pt>
                <c:pt idx="7">
                  <c:v>301.37804989143501</c:v>
                </c:pt>
                <c:pt idx="8">
                  <c:v>687.60565957435006</c:v>
                </c:pt>
                <c:pt idx="9">
                  <c:v>363.02590028894127</c:v>
                </c:pt>
                <c:pt idx="10">
                  <c:v>609.13073760591033</c:v>
                </c:pt>
                <c:pt idx="11">
                  <c:v>712.8595579460557</c:v>
                </c:pt>
              </c:numCache>
            </c:numRef>
          </c:val>
        </c:ser>
        <c:dLbls>
          <c:showLegendKey val="0"/>
          <c:showVal val="0"/>
          <c:showCatName val="0"/>
          <c:showSerName val="0"/>
          <c:showPercent val="0"/>
          <c:showBubbleSize val="0"/>
        </c:dLbls>
        <c:gapWidth val="50"/>
        <c:axId val="480851840"/>
        <c:axId val="480874496"/>
      </c:barChart>
      <c:catAx>
        <c:axId val="480851840"/>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480874496"/>
        <c:crosses val="autoZero"/>
        <c:auto val="1"/>
        <c:lblAlgn val="ctr"/>
        <c:lblOffset val="100"/>
        <c:noMultiLvlLbl val="0"/>
      </c:catAx>
      <c:valAx>
        <c:axId val="480874496"/>
        <c:scaling>
          <c:orientation val="minMax"/>
        </c:scaling>
        <c:delete val="0"/>
        <c:axPos val="l"/>
        <c:majorGridlines/>
        <c:minorGridlines/>
        <c:title>
          <c:tx>
            <c:rich>
              <a:bodyPr/>
              <a:lstStyle/>
              <a:p>
                <a:pPr>
                  <a:defRPr/>
                </a:pPr>
                <a:r>
                  <a:rPr lang="en-US"/>
                  <a:t>Mean insulin (pg/mL)</a:t>
                </a:r>
              </a:p>
            </c:rich>
          </c:tx>
          <c:layout/>
          <c:overlay val="0"/>
        </c:title>
        <c:numFmt formatCode="General" sourceLinked="1"/>
        <c:majorTickMark val="out"/>
        <c:minorTickMark val="none"/>
        <c:tickLblPos val="nextTo"/>
        <c:crossAx val="480851840"/>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Time'!$E$76</c:f>
              <c:strCache>
                <c:ptCount val="1"/>
                <c:pt idx="0">
                  <c:v>Avg insulin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Time'!$A$77:$B$88</c:f>
              <c:multiLvlStrCache>
                <c:ptCount val="12"/>
                <c:lvl>
                  <c:pt idx="0">
                    <c:v>0 min</c:v>
                  </c:pt>
                  <c:pt idx="1">
                    <c:v>120 min</c:v>
                  </c:pt>
                  <c:pt idx="2">
                    <c:v>420 min</c:v>
                  </c:pt>
                  <c:pt idx="3">
                    <c:v>0 min</c:v>
                  </c:pt>
                  <c:pt idx="4">
                    <c:v>120 min</c:v>
                  </c:pt>
                  <c:pt idx="5">
                    <c:v>420 min</c:v>
                  </c:pt>
                  <c:pt idx="6">
                    <c:v>0 min</c:v>
                  </c:pt>
                  <c:pt idx="7">
                    <c:v>120 min</c:v>
                  </c:pt>
                  <c:pt idx="8">
                    <c:v>420 min</c:v>
                  </c:pt>
                  <c:pt idx="9">
                    <c:v>0 min</c:v>
                  </c:pt>
                  <c:pt idx="10">
                    <c:v>120 min</c:v>
                  </c:pt>
                  <c:pt idx="11">
                    <c:v>420 min</c:v>
                  </c:pt>
                </c:lvl>
                <c:lvl>
                  <c:pt idx="0">
                    <c:v>ObN</c:v>
                  </c:pt>
                  <c:pt idx="3">
                    <c:v>ObP</c:v>
                  </c:pt>
                  <c:pt idx="6">
                    <c:v>WLD</c:v>
                  </c:pt>
                  <c:pt idx="9">
                    <c:v>IBW</c:v>
                  </c:pt>
                </c:lvl>
              </c:multiLvlStrCache>
            </c:multiLvlStrRef>
          </c:cat>
          <c:val>
            <c:numRef>
              <c:f>'[RESULTS - MASTER SHEET - 1-2-14.xlsx]Groups 1,2,3,6 By Point, Time'!$E$77:$E$88</c:f>
              <c:numCache>
                <c:formatCode>General</c:formatCode>
                <c:ptCount val="12"/>
                <c:pt idx="0">
                  <c:v>467.65075061106546</c:v>
                </c:pt>
                <c:pt idx="1">
                  <c:v>1004.2017660478639</c:v>
                </c:pt>
                <c:pt idx="2">
                  <c:v>485.56963365572227</c:v>
                </c:pt>
                <c:pt idx="3">
                  <c:v>457.80113945690857</c:v>
                </c:pt>
                <c:pt idx="4">
                  <c:v>935.37553801715478</c:v>
                </c:pt>
                <c:pt idx="5">
                  <c:v>427.78333464876641</c:v>
                </c:pt>
                <c:pt idx="6">
                  <c:v>255.98000048502391</c:v>
                </c:pt>
                <c:pt idx="7">
                  <c:v>819.4856568784769</c:v>
                </c:pt>
                <c:pt idx="8">
                  <c:v>152.33008247675366</c:v>
                </c:pt>
                <c:pt idx="9">
                  <c:v>453.63927785782016</c:v>
                </c:pt>
                <c:pt idx="10">
                  <c:v>752.06726450108044</c:v>
                </c:pt>
                <c:pt idx="11">
                  <c:v>477.8306960343574</c:v>
                </c:pt>
              </c:numCache>
            </c:numRef>
          </c:val>
        </c:ser>
        <c:dLbls>
          <c:showLegendKey val="0"/>
          <c:showVal val="0"/>
          <c:showCatName val="0"/>
          <c:showSerName val="0"/>
          <c:showPercent val="0"/>
          <c:showBubbleSize val="0"/>
        </c:dLbls>
        <c:gapWidth val="50"/>
        <c:axId val="443819136"/>
        <c:axId val="443821056"/>
      </c:barChart>
      <c:catAx>
        <c:axId val="443819136"/>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443821056"/>
        <c:crosses val="autoZero"/>
        <c:auto val="1"/>
        <c:lblAlgn val="ctr"/>
        <c:lblOffset val="100"/>
        <c:noMultiLvlLbl val="0"/>
      </c:catAx>
      <c:valAx>
        <c:axId val="443821056"/>
        <c:scaling>
          <c:orientation val="minMax"/>
        </c:scaling>
        <c:delete val="0"/>
        <c:axPos val="l"/>
        <c:majorGridlines/>
        <c:minorGridlines/>
        <c:title>
          <c:tx>
            <c:rich>
              <a:bodyPr/>
              <a:lstStyle/>
              <a:p>
                <a:pPr>
                  <a:defRPr/>
                </a:pPr>
                <a:r>
                  <a:rPr lang="en-US"/>
                  <a:t>Mean insulin (pg/mL)</a:t>
                </a:r>
              </a:p>
            </c:rich>
          </c:tx>
          <c:layout/>
          <c:overlay val="0"/>
        </c:title>
        <c:numFmt formatCode="General" sourceLinked="1"/>
        <c:majorTickMark val="out"/>
        <c:minorTickMark val="none"/>
        <c:tickLblPos val="nextTo"/>
        <c:crossAx val="443819136"/>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1,2,3,6 By Point, Time'!$E$142</c:f>
              <c:strCache>
                <c:ptCount val="1"/>
                <c:pt idx="0">
                  <c:v>Avg insulin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1,2,3,6 By Point, Time'!$A$143:$B$150</c:f>
              <c:multiLvlStrCache>
                <c:ptCount val="8"/>
                <c:lvl>
                  <c:pt idx="0">
                    <c:v>B</c:v>
                  </c:pt>
                  <c:pt idx="1">
                    <c:v>E</c:v>
                  </c:pt>
                  <c:pt idx="2">
                    <c:v>B</c:v>
                  </c:pt>
                  <c:pt idx="3">
                    <c:v>E</c:v>
                  </c:pt>
                  <c:pt idx="4">
                    <c:v>B</c:v>
                  </c:pt>
                  <c:pt idx="5">
                    <c:v>E</c:v>
                  </c:pt>
                  <c:pt idx="6">
                    <c:v>B</c:v>
                  </c:pt>
                  <c:pt idx="7">
                    <c:v>E</c:v>
                  </c:pt>
                </c:lvl>
                <c:lvl>
                  <c:pt idx="0">
                    <c:v>ObN</c:v>
                  </c:pt>
                  <c:pt idx="2">
                    <c:v>ObP</c:v>
                  </c:pt>
                  <c:pt idx="4">
                    <c:v>WLD</c:v>
                  </c:pt>
                  <c:pt idx="6">
                    <c:v>IBW</c:v>
                  </c:pt>
                </c:lvl>
              </c:multiLvlStrCache>
            </c:multiLvlStrRef>
          </c:cat>
          <c:val>
            <c:numRef>
              <c:f>'Groups 1,2,3,6 By Point, Time'!$E$143:$E$150</c:f>
              <c:numCache>
                <c:formatCode>General</c:formatCode>
                <c:ptCount val="8"/>
                <c:pt idx="0">
                  <c:v>318.47325937468565</c:v>
                </c:pt>
                <c:pt idx="1">
                  <c:v>631.0239117536637</c:v>
                </c:pt>
                <c:pt idx="2">
                  <c:v>220.95886496829945</c:v>
                </c:pt>
                <c:pt idx="3">
                  <c:v>810.38121310448491</c:v>
                </c:pt>
                <c:pt idx="4">
                  <c:v>116.34644513321157</c:v>
                </c:pt>
                <c:pt idx="5">
                  <c:v>221.7109985408951</c:v>
                </c:pt>
                <c:pt idx="6">
                  <c:v>442.80997581651019</c:v>
                </c:pt>
                <c:pt idx="7">
                  <c:v>410.58458080503385</c:v>
                </c:pt>
              </c:numCache>
            </c:numRef>
          </c:val>
        </c:ser>
        <c:dLbls>
          <c:showLegendKey val="0"/>
          <c:showVal val="0"/>
          <c:showCatName val="0"/>
          <c:showSerName val="0"/>
          <c:showPercent val="0"/>
          <c:showBubbleSize val="0"/>
        </c:dLbls>
        <c:gapWidth val="50"/>
        <c:axId val="459908608"/>
        <c:axId val="459911936"/>
      </c:barChart>
      <c:catAx>
        <c:axId val="459908608"/>
        <c:scaling>
          <c:orientation val="minMax"/>
        </c:scaling>
        <c:delete val="0"/>
        <c:axPos val="b"/>
        <c:title>
          <c:tx>
            <c:rich>
              <a:bodyPr/>
              <a:lstStyle/>
              <a:p>
                <a:pPr>
                  <a:defRPr/>
                </a:pPr>
                <a:r>
                  <a:rPr lang="en-US"/>
                  <a:t>Isolated</a:t>
                </a:r>
                <a:r>
                  <a:rPr lang="en-US" baseline="0"/>
                  <a:t> for 420 min</a:t>
                </a:r>
                <a:endParaRPr lang="en-US"/>
              </a:p>
            </c:rich>
          </c:tx>
          <c:layout/>
          <c:overlay val="0"/>
        </c:title>
        <c:numFmt formatCode="General" sourceLinked="1"/>
        <c:majorTickMark val="none"/>
        <c:minorTickMark val="none"/>
        <c:tickLblPos val="nextTo"/>
        <c:crossAx val="459911936"/>
        <c:crosses val="autoZero"/>
        <c:auto val="1"/>
        <c:lblAlgn val="ctr"/>
        <c:lblOffset val="100"/>
        <c:noMultiLvlLbl val="0"/>
      </c:catAx>
      <c:valAx>
        <c:axId val="459911936"/>
        <c:scaling>
          <c:orientation val="minMax"/>
        </c:scaling>
        <c:delete val="0"/>
        <c:axPos val="l"/>
        <c:majorGridlines/>
        <c:minorGridlines/>
        <c:title>
          <c:tx>
            <c:rich>
              <a:bodyPr/>
              <a:lstStyle/>
              <a:p>
                <a:pPr>
                  <a:defRPr/>
                </a:pPr>
                <a:r>
                  <a:rPr lang="en-US"/>
                  <a:t>Mean insulin (pg/mL)</a:t>
                </a:r>
              </a:p>
            </c:rich>
          </c:tx>
          <c:layout/>
          <c:overlay val="0"/>
        </c:title>
        <c:numFmt formatCode="General" sourceLinked="1"/>
        <c:majorTickMark val="out"/>
        <c:minorTickMark val="none"/>
        <c:tickLblPos val="nextTo"/>
        <c:crossAx val="459908608"/>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1,2,3,6 By Point, Time'!$J$142</c:f>
              <c:strCache>
                <c:ptCount val="1"/>
                <c:pt idx="0">
                  <c:v>I:G ratio by 420 min</c:v>
                </c:pt>
              </c:strCache>
            </c:strRef>
          </c:tx>
          <c:invertIfNegative val="0"/>
          <c:dPt>
            <c:idx val="1"/>
            <c:invertIfNegative val="0"/>
            <c:bubble3D val="0"/>
            <c:spPr>
              <a:solidFill>
                <a:schemeClr val="accent2"/>
              </a:solidFill>
            </c:spPr>
          </c:dPt>
          <c:dPt>
            <c:idx val="3"/>
            <c:invertIfNegative val="0"/>
            <c:bubble3D val="0"/>
            <c:spPr>
              <a:solidFill>
                <a:schemeClr val="accent2"/>
              </a:solidFill>
            </c:spPr>
          </c:dPt>
          <c:dPt>
            <c:idx val="5"/>
            <c:invertIfNegative val="0"/>
            <c:bubble3D val="0"/>
            <c:spPr>
              <a:solidFill>
                <a:schemeClr val="accent2"/>
              </a:solidFill>
            </c:spPr>
          </c:dPt>
          <c:dPt>
            <c:idx val="7"/>
            <c:invertIfNegative val="0"/>
            <c:bubble3D val="0"/>
            <c:spPr>
              <a:solidFill>
                <a:schemeClr val="accent2"/>
              </a:solidFill>
            </c:spPr>
          </c:dPt>
          <c:cat>
            <c:multiLvlStrRef>
              <c:f>'Groups 1,2,3,6 By Point, Time'!$A$143:$B$150</c:f>
              <c:multiLvlStrCache>
                <c:ptCount val="8"/>
                <c:lvl>
                  <c:pt idx="0">
                    <c:v>B</c:v>
                  </c:pt>
                  <c:pt idx="1">
                    <c:v>E</c:v>
                  </c:pt>
                  <c:pt idx="2">
                    <c:v>B</c:v>
                  </c:pt>
                  <c:pt idx="3">
                    <c:v>E</c:v>
                  </c:pt>
                  <c:pt idx="4">
                    <c:v>B</c:v>
                  </c:pt>
                  <c:pt idx="5">
                    <c:v>E</c:v>
                  </c:pt>
                  <c:pt idx="6">
                    <c:v>B</c:v>
                  </c:pt>
                  <c:pt idx="7">
                    <c:v>E</c:v>
                  </c:pt>
                </c:lvl>
                <c:lvl>
                  <c:pt idx="0">
                    <c:v>ObN</c:v>
                  </c:pt>
                  <c:pt idx="2">
                    <c:v>ObP</c:v>
                  </c:pt>
                  <c:pt idx="4">
                    <c:v>WLD</c:v>
                  </c:pt>
                  <c:pt idx="6">
                    <c:v>IBW</c:v>
                  </c:pt>
                </c:lvl>
              </c:multiLvlStrCache>
            </c:multiLvlStrRef>
          </c:cat>
          <c:val>
            <c:numRef>
              <c:f>'Groups 1,2,3,6 By Point, Time'!$J$143:$J$150</c:f>
              <c:numCache>
                <c:formatCode>General</c:formatCode>
                <c:ptCount val="8"/>
                <c:pt idx="0">
                  <c:v>10.577023930082643</c:v>
                </c:pt>
                <c:pt idx="1">
                  <c:v>21.46548080199663</c:v>
                </c:pt>
                <c:pt idx="2">
                  <c:v>6.6364587774692136</c:v>
                </c:pt>
                <c:pt idx="3">
                  <c:v>27.366754477052051</c:v>
                </c:pt>
                <c:pt idx="4">
                  <c:v>2.9027187273589314</c:v>
                </c:pt>
                <c:pt idx="5">
                  <c:v>7.1113192555486808</c:v>
                </c:pt>
                <c:pt idx="6">
                  <c:v>12.577312667119097</c:v>
                </c:pt>
                <c:pt idx="7">
                  <c:v>16.287967909239697</c:v>
                </c:pt>
              </c:numCache>
            </c:numRef>
          </c:val>
        </c:ser>
        <c:dLbls>
          <c:showLegendKey val="0"/>
          <c:showVal val="0"/>
          <c:showCatName val="0"/>
          <c:showSerName val="0"/>
          <c:showPercent val="0"/>
          <c:showBubbleSize val="0"/>
        </c:dLbls>
        <c:gapWidth val="50"/>
        <c:axId val="245475584"/>
        <c:axId val="422290176"/>
      </c:barChart>
      <c:catAx>
        <c:axId val="245475584"/>
        <c:scaling>
          <c:orientation val="minMax"/>
        </c:scaling>
        <c:delete val="0"/>
        <c:axPos val="b"/>
        <c:title>
          <c:tx>
            <c:rich>
              <a:bodyPr/>
              <a:lstStyle/>
              <a:p>
                <a:pPr>
                  <a:defRPr/>
                </a:pPr>
                <a:r>
                  <a:rPr lang="en-US"/>
                  <a:t>Isolated for 420 min</a:t>
                </a:r>
              </a:p>
            </c:rich>
          </c:tx>
          <c:layout/>
          <c:overlay val="0"/>
        </c:title>
        <c:majorTickMark val="none"/>
        <c:minorTickMark val="none"/>
        <c:tickLblPos val="nextTo"/>
        <c:crossAx val="422290176"/>
        <c:crosses val="autoZero"/>
        <c:auto val="1"/>
        <c:lblAlgn val="ctr"/>
        <c:lblOffset val="100"/>
        <c:noMultiLvlLbl val="0"/>
      </c:catAx>
      <c:valAx>
        <c:axId val="422290176"/>
        <c:scaling>
          <c:orientation val="minMax"/>
        </c:scaling>
        <c:delete val="0"/>
        <c:axPos val="l"/>
        <c:majorGridlines/>
        <c:minorGridlines/>
        <c:title>
          <c:tx>
            <c:rich>
              <a:bodyPr/>
              <a:lstStyle/>
              <a:p>
                <a:pPr>
                  <a:defRPr/>
                </a:pPr>
                <a:r>
                  <a:rPr lang="en-US"/>
                  <a:t>Insulin:glucose ratio</a:t>
                </a:r>
              </a:p>
            </c:rich>
          </c:tx>
          <c:layout/>
          <c:overlay val="0"/>
        </c:title>
        <c:numFmt formatCode="General" sourceLinked="1"/>
        <c:majorTickMark val="out"/>
        <c:minorTickMark val="none"/>
        <c:tickLblPos val="nextTo"/>
        <c:crossAx val="245475584"/>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Time'!$G$1</c:f>
              <c:strCache>
                <c:ptCount val="1"/>
                <c:pt idx="0">
                  <c:v>Avg leptin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Time'!$A$2:$B$13</c:f>
              <c:multiLvlStrCache>
                <c:ptCount val="12"/>
                <c:lvl>
                  <c:pt idx="0">
                    <c:v>B</c:v>
                  </c:pt>
                  <c:pt idx="1">
                    <c:v>O</c:v>
                  </c:pt>
                  <c:pt idx="2">
                    <c:v>E</c:v>
                  </c:pt>
                  <c:pt idx="3">
                    <c:v>B</c:v>
                  </c:pt>
                  <c:pt idx="4">
                    <c:v>O</c:v>
                  </c:pt>
                  <c:pt idx="5">
                    <c:v>E</c:v>
                  </c:pt>
                  <c:pt idx="6">
                    <c:v>B</c:v>
                  </c:pt>
                  <c:pt idx="7">
                    <c:v>O</c:v>
                  </c:pt>
                  <c:pt idx="8">
                    <c:v>E</c:v>
                  </c:pt>
                  <c:pt idx="9">
                    <c:v>B</c:v>
                  </c:pt>
                  <c:pt idx="10">
                    <c:v>O</c:v>
                  </c:pt>
                  <c:pt idx="11">
                    <c:v>E</c:v>
                  </c:pt>
                </c:lvl>
                <c:lvl>
                  <c:pt idx="0">
                    <c:v>ObN</c:v>
                  </c:pt>
                  <c:pt idx="3">
                    <c:v>ObP</c:v>
                  </c:pt>
                  <c:pt idx="6">
                    <c:v>WLD</c:v>
                  </c:pt>
                  <c:pt idx="9">
                    <c:v>IBW</c:v>
                  </c:pt>
                </c:lvl>
              </c:multiLvlStrCache>
            </c:multiLvlStrRef>
          </c:cat>
          <c:val>
            <c:numRef>
              <c:f>'[RESULTS - MASTER SHEET - 1-2-14.xlsx]Groups 1,2,3,6 By Point, Time'!$G$2:$G$13</c:f>
              <c:numCache>
                <c:formatCode>General</c:formatCode>
                <c:ptCount val="12"/>
                <c:pt idx="0">
                  <c:v>4164.0282401160648</c:v>
                </c:pt>
                <c:pt idx="1">
                  <c:v>2462.0594186303138</c:v>
                </c:pt>
                <c:pt idx="2">
                  <c:v>910.45376677771878</c:v>
                </c:pt>
                <c:pt idx="3">
                  <c:v>2347.3488225286987</c:v>
                </c:pt>
                <c:pt idx="4">
                  <c:v>2034.0135880221794</c:v>
                </c:pt>
                <c:pt idx="5">
                  <c:v>1721.0423912585152</c:v>
                </c:pt>
                <c:pt idx="6">
                  <c:v>2489.1715965783546</c:v>
                </c:pt>
                <c:pt idx="7">
                  <c:v>1594.2432459944889</c:v>
                </c:pt>
                <c:pt idx="8">
                  <c:v>970.34172222635277</c:v>
                </c:pt>
                <c:pt idx="9">
                  <c:v>445.33547529598127</c:v>
                </c:pt>
                <c:pt idx="10">
                  <c:v>590.46219755537561</c:v>
                </c:pt>
                <c:pt idx="11">
                  <c:v>1149.0397645732776</c:v>
                </c:pt>
              </c:numCache>
            </c:numRef>
          </c:val>
        </c:ser>
        <c:dLbls>
          <c:showLegendKey val="0"/>
          <c:showVal val="0"/>
          <c:showCatName val="0"/>
          <c:showSerName val="0"/>
          <c:showPercent val="0"/>
          <c:showBubbleSize val="0"/>
        </c:dLbls>
        <c:gapWidth val="50"/>
        <c:axId val="482263424"/>
        <c:axId val="482265344"/>
      </c:barChart>
      <c:catAx>
        <c:axId val="482263424"/>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482265344"/>
        <c:crosses val="autoZero"/>
        <c:auto val="1"/>
        <c:lblAlgn val="ctr"/>
        <c:lblOffset val="100"/>
        <c:noMultiLvlLbl val="0"/>
      </c:catAx>
      <c:valAx>
        <c:axId val="482265344"/>
        <c:scaling>
          <c:orientation val="minMax"/>
        </c:scaling>
        <c:delete val="0"/>
        <c:axPos val="l"/>
        <c:majorGridlines/>
        <c:minorGridlines/>
        <c:title>
          <c:tx>
            <c:rich>
              <a:bodyPr/>
              <a:lstStyle/>
              <a:p>
                <a:pPr>
                  <a:defRPr/>
                </a:pPr>
                <a:r>
                  <a:rPr lang="en-US"/>
                  <a:t>Mean leptin (pg/mL)</a:t>
                </a:r>
              </a:p>
            </c:rich>
          </c:tx>
          <c:layout/>
          <c:overlay val="0"/>
        </c:title>
        <c:numFmt formatCode="General" sourceLinked="1"/>
        <c:majorTickMark val="out"/>
        <c:minorTickMark val="none"/>
        <c:tickLblPos val="nextTo"/>
        <c:crossAx val="482263424"/>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Time'!$G$76</c:f>
              <c:strCache>
                <c:ptCount val="1"/>
                <c:pt idx="0">
                  <c:v>Avg leptin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Time'!$A$77:$B$88</c:f>
              <c:multiLvlStrCache>
                <c:ptCount val="12"/>
                <c:lvl>
                  <c:pt idx="0">
                    <c:v>0 min</c:v>
                  </c:pt>
                  <c:pt idx="1">
                    <c:v>120 min</c:v>
                  </c:pt>
                  <c:pt idx="2">
                    <c:v>420 min</c:v>
                  </c:pt>
                  <c:pt idx="3">
                    <c:v>0 min</c:v>
                  </c:pt>
                  <c:pt idx="4">
                    <c:v>120 min</c:v>
                  </c:pt>
                  <c:pt idx="5">
                    <c:v>420 min</c:v>
                  </c:pt>
                  <c:pt idx="6">
                    <c:v>0 min</c:v>
                  </c:pt>
                  <c:pt idx="7">
                    <c:v>120 min</c:v>
                  </c:pt>
                  <c:pt idx="8">
                    <c:v>420 min</c:v>
                  </c:pt>
                  <c:pt idx="9">
                    <c:v>0 min</c:v>
                  </c:pt>
                  <c:pt idx="10">
                    <c:v>120 min</c:v>
                  </c:pt>
                  <c:pt idx="11">
                    <c:v>420 min</c:v>
                  </c:pt>
                </c:lvl>
                <c:lvl>
                  <c:pt idx="0">
                    <c:v>ObN</c:v>
                  </c:pt>
                  <c:pt idx="3">
                    <c:v>ObP</c:v>
                  </c:pt>
                  <c:pt idx="6">
                    <c:v>WLD</c:v>
                  </c:pt>
                  <c:pt idx="9">
                    <c:v>IBW</c:v>
                  </c:pt>
                </c:lvl>
              </c:multiLvlStrCache>
            </c:multiLvlStrRef>
          </c:cat>
          <c:val>
            <c:numRef>
              <c:f>'[RESULTS - MASTER SHEET - 1-2-14.xlsx]Groups 1,2,3,6 By Point, Time'!$G$77:$G$88</c:f>
              <c:numCache>
                <c:formatCode>General</c:formatCode>
                <c:ptCount val="12"/>
                <c:pt idx="0">
                  <c:v>1491.131384293642</c:v>
                </c:pt>
                <c:pt idx="1">
                  <c:v>2289.6482878682436</c:v>
                </c:pt>
                <c:pt idx="2">
                  <c:v>3755.7617533622115</c:v>
                </c:pt>
                <c:pt idx="3">
                  <c:v>1423.4116775275183</c:v>
                </c:pt>
                <c:pt idx="4">
                  <c:v>1957.8463505275297</c:v>
                </c:pt>
                <c:pt idx="5">
                  <c:v>2721.1467737543453</c:v>
                </c:pt>
                <c:pt idx="6">
                  <c:v>1090.2210311396134</c:v>
                </c:pt>
                <c:pt idx="7">
                  <c:v>1708.3270635920071</c:v>
                </c:pt>
                <c:pt idx="8">
                  <c:v>2255.2084700675759</c:v>
                </c:pt>
                <c:pt idx="9">
                  <c:v>338.47761092667196</c:v>
                </c:pt>
                <c:pt idx="10">
                  <c:v>700.77446283103757</c:v>
                </c:pt>
                <c:pt idx="11">
                  <c:v>1037.1431909281671</c:v>
                </c:pt>
              </c:numCache>
            </c:numRef>
          </c:val>
        </c:ser>
        <c:dLbls>
          <c:showLegendKey val="0"/>
          <c:showVal val="0"/>
          <c:showCatName val="0"/>
          <c:showSerName val="0"/>
          <c:showPercent val="0"/>
          <c:showBubbleSize val="0"/>
        </c:dLbls>
        <c:gapWidth val="50"/>
        <c:axId val="460085120"/>
        <c:axId val="383291392"/>
      </c:barChart>
      <c:catAx>
        <c:axId val="460085120"/>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383291392"/>
        <c:crosses val="autoZero"/>
        <c:auto val="1"/>
        <c:lblAlgn val="ctr"/>
        <c:lblOffset val="100"/>
        <c:noMultiLvlLbl val="0"/>
      </c:catAx>
      <c:valAx>
        <c:axId val="383291392"/>
        <c:scaling>
          <c:orientation val="minMax"/>
        </c:scaling>
        <c:delete val="0"/>
        <c:axPos val="l"/>
        <c:majorGridlines/>
        <c:minorGridlines/>
        <c:title>
          <c:tx>
            <c:rich>
              <a:bodyPr/>
              <a:lstStyle/>
              <a:p>
                <a:pPr>
                  <a:defRPr/>
                </a:pPr>
                <a:r>
                  <a:rPr lang="en-US"/>
                  <a:t>Mean leptin (pg/mL)</a:t>
                </a:r>
              </a:p>
            </c:rich>
          </c:tx>
          <c:layout/>
          <c:overlay val="0"/>
        </c:title>
        <c:numFmt formatCode="General" sourceLinked="1"/>
        <c:majorTickMark val="out"/>
        <c:minorTickMark val="none"/>
        <c:tickLblPos val="nextTo"/>
        <c:crossAx val="460085120"/>
        <c:crosses val="autoZero"/>
        <c:crossBetween val="between"/>
      </c:valAx>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1,2,3,6 By Point, Time'!$G$142</c:f>
              <c:strCache>
                <c:ptCount val="1"/>
                <c:pt idx="0">
                  <c:v>Avg leptin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1,2,3,6 By Point, Time'!$A$143:$B$150</c:f>
              <c:multiLvlStrCache>
                <c:ptCount val="8"/>
                <c:lvl>
                  <c:pt idx="0">
                    <c:v>B</c:v>
                  </c:pt>
                  <c:pt idx="1">
                    <c:v>E</c:v>
                  </c:pt>
                  <c:pt idx="2">
                    <c:v>B</c:v>
                  </c:pt>
                  <c:pt idx="3">
                    <c:v>E</c:v>
                  </c:pt>
                  <c:pt idx="4">
                    <c:v>B</c:v>
                  </c:pt>
                  <c:pt idx="5">
                    <c:v>E</c:v>
                  </c:pt>
                  <c:pt idx="6">
                    <c:v>B</c:v>
                  </c:pt>
                  <c:pt idx="7">
                    <c:v>E</c:v>
                  </c:pt>
                </c:lvl>
                <c:lvl>
                  <c:pt idx="0">
                    <c:v>ObN</c:v>
                  </c:pt>
                  <c:pt idx="2">
                    <c:v>ObP</c:v>
                  </c:pt>
                  <c:pt idx="4">
                    <c:v>WLD</c:v>
                  </c:pt>
                  <c:pt idx="6">
                    <c:v>IBW</c:v>
                  </c:pt>
                </c:lvl>
              </c:multiLvlStrCache>
            </c:multiLvlStrRef>
          </c:cat>
          <c:val>
            <c:numRef>
              <c:f>'Groups 1,2,3,6 By Point, Time'!$G$143:$G$150</c:f>
              <c:numCache>
                <c:formatCode>General</c:formatCode>
                <c:ptCount val="8"/>
                <c:pt idx="0">
                  <c:v>5924.6134818363471</c:v>
                </c:pt>
                <c:pt idx="1">
                  <c:v>1488.4991118921425</c:v>
                </c:pt>
                <c:pt idx="2">
                  <c:v>2481.1795807251069</c:v>
                </c:pt>
                <c:pt idx="3">
                  <c:v>3002.3752258124091</c:v>
                </c:pt>
                <c:pt idx="4">
                  <c:v>3075.6710324985115</c:v>
                </c:pt>
                <c:pt idx="5">
                  <c:v>1382.2504637641839</c:v>
                </c:pt>
                <c:pt idx="6">
                  <c:v>611.09098964632801</c:v>
                </c:pt>
                <c:pt idx="7">
                  <c:v>1513.2153454201648</c:v>
                </c:pt>
              </c:numCache>
            </c:numRef>
          </c:val>
        </c:ser>
        <c:dLbls>
          <c:showLegendKey val="0"/>
          <c:showVal val="0"/>
          <c:showCatName val="0"/>
          <c:showSerName val="0"/>
          <c:showPercent val="0"/>
          <c:showBubbleSize val="0"/>
        </c:dLbls>
        <c:gapWidth val="50"/>
        <c:axId val="482243328"/>
        <c:axId val="482245632"/>
      </c:barChart>
      <c:catAx>
        <c:axId val="482243328"/>
        <c:scaling>
          <c:orientation val="minMax"/>
        </c:scaling>
        <c:delete val="0"/>
        <c:axPos val="b"/>
        <c:title>
          <c:tx>
            <c:rich>
              <a:bodyPr/>
              <a:lstStyle/>
              <a:p>
                <a:pPr>
                  <a:defRPr/>
                </a:pPr>
                <a:r>
                  <a:rPr lang="en-US"/>
                  <a:t>Isolated</a:t>
                </a:r>
                <a:r>
                  <a:rPr lang="en-US" baseline="0"/>
                  <a:t> for 420 min</a:t>
                </a:r>
                <a:endParaRPr lang="en-US"/>
              </a:p>
            </c:rich>
          </c:tx>
          <c:layout/>
          <c:overlay val="0"/>
        </c:title>
        <c:numFmt formatCode="General" sourceLinked="1"/>
        <c:majorTickMark val="none"/>
        <c:minorTickMark val="none"/>
        <c:tickLblPos val="nextTo"/>
        <c:crossAx val="482245632"/>
        <c:crosses val="autoZero"/>
        <c:auto val="1"/>
        <c:lblAlgn val="ctr"/>
        <c:lblOffset val="100"/>
        <c:noMultiLvlLbl val="0"/>
      </c:catAx>
      <c:valAx>
        <c:axId val="482245632"/>
        <c:scaling>
          <c:orientation val="minMax"/>
        </c:scaling>
        <c:delete val="0"/>
        <c:axPos val="l"/>
        <c:majorGridlines/>
        <c:minorGridlines/>
        <c:title>
          <c:tx>
            <c:rich>
              <a:bodyPr/>
              <a:lstStyle/>
              <a:p>
                <a:pPr>
                  <a:defRPr/>
                </a:pPr>
                <a:r>
                  <a:rPr lang="en-US"/>
                  <a:t>Mean leptin (pg/mL)</a:t>
                </a:r>
              </a:p>
            </c:rich>
          </c:tx>
          <c:layout/>
          <c:overlay val="0"/>
        </c:title>
        <c:numFmt formatCode="General" sourceLinked="1"/>
        <c:majorTickMark val="out"/>
        <c:minorTickMark val="none"/>
        <c:tickLblPos val="nextTo"/>
        <c:crossAx val="482243328"/>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Time'!$I$1</c:f>
              <c:strCache>
                <c:ptCount val="1"/>
                <c:pt idx="0">
                  <c:v>Avg adiponectin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Time'!$A$2:$B$13</c:f>
              <c:multiLvlStrCache>
                <c:ptCount val="12"/>
                <c:lvl>
                  <c:pt idx="0">
                    <c:v>B</c:v>
                  </c:pt>
                  <c:pt idx="1">
                    <c:v>O</c:v>
                  </c:pt>
                  <c:pt idx="2">
                    <c:v>E</c:v>
                  </c:pt>
                  <c:pt idx="3">
                    <c:v>B</c:v>
                  </c:pt>
                  <c:pt idx="4">
                    <c:v>O</c:v>
                  </c:pt>
                  <c:pt idx="5">
                    <c:v>E</c:v>
                  </c:pt>
                  <c:pt idx="6">
                    <c:v>B</c:v>
                  </c:pt>
                  <c:pt idx="7">
                    <c:v>O</c:v>
                  </c:pt>
                  <c:pt idx="8">
                    <c:v>E</c:v>
                  </c:pt>
                  <c:pt idx="9">
                    <c:v>B</c:v>
                  </c:pt>
                  <c:pt idx="10">
                    <c:v>O</c:v>
                  </c:pt>
                  <c:pt idx="11">
                    <c:v>E</c:v>
                  </c:pt>
                </c:lvl>
                <c:lvl>
                  <c:pt idx="0">
                    <c:v>ObN</c:v>
                  </c:pt>
                  <c:pt idx="3">
                    <c:v>ObP</c:v>
                  </c:pt>
                  <c:pt idx="6">
                    <c:v>WLD</c:v>
                  </c:pt>
                  <c:pt idx="9">
                    <c:v>IBW</c:v>
                  </c:pt>
                </c:lvl>
              </c:multiLvlStrCache>
            </c:multiLvlStrRef>
          </c:cat>
          <c:val>
            <c:numRef>
              <c:f>'[RESULTS - MASTER SHEET - 1-2-14.xlsx]Groups 1,2,3,6 By Point, Time'!$I$2:$I$13</c:f>
              <c:numCache>
                <c:formatCode>General</c:formatCode>
                <c:ptCount val="12"/>
                <c:pt idx="0">
                  <c:v>14.129799999999999</c:v>
                </c:pt>
                <c:pt idx="1">
                  <c:v>13.895333333333332</c:v>
                </c:pt>
                <c:pt idx="2">
                  <c:v>13.773466666666668</c:v>
                </c:pt>
                <c:pt idx="3">
                  <c:v>15.168733333333332</c:v>
                </c:pt>
                <c:pt idx="4">
                  <c:v>13.670066666666665</c:v>
                </c:pt>
                <c:pt idx="5">
                  <c:v>12.245799999999999</c:v>
                </c:pt>
                <c:pt idx="6">
                  <c:v>15.428733333333332</c:v>
                </c:pt>
                <c:pt idx="7">
                  <c:v>11.679733333333335</c:v>
                </c:pt>
                <c:pt idx="8">
                  <c:v>12.974933333333334</c:v>
                </c:pt>
                <c:pt idx="9">
                  <c:v>22.050111111111111</c:v>
                </c:pt>
                <c:pt idx="10">
                  <c:v>22.427777777777777</c:v>
                </c:pt>
                <c:pt idx="11">
                  <c:v>11.273199999999999</c:v>
                </c:pt>
              </c:numCache>
            </c:numRef>
          </c:val>
        </c:ser>
        <c:dLbls>
          <c:showLegendKey val="0"/>
          <c:showVal val="0"/>
          <c:showCatName val="0"/>
          <c:showSerName val="0"/>
          <c:showPercent val="0"/>
          <c:showBubbleSize val="0"/>
        </c:dLbls>
        <c:gapWidth val="50"/>
        <c:axId val="424010112"/>
        <c:axId val="424012032"/>
      </c:barChart>
      <c:catAx>
        <c:axId val="424010112"/>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424012032"/>
        <c:crosses val="autoZero"/>
        <c:auto val="1"/>
        <c:lblAlgn val="ctr"/>
        <c:lblOffset val="100"/>
        <c:noMultiLvlLbl val="0"/>
      </c:catAx>
      <c:valAx>
        <c:axId val="424012032"/>
        <c:scaling>
          <c:orientation val="minMax"/>
        </c:scaling>
        <c:delete val="0"/>
        <c:axPos val="l"/>
        <c:majorGridlines/>
        <c:minorGridlines/>
        <c:title>
          <c:tx>
            <c:rich>
              <a:bodyPr/>
              <a:lstStyle/>
              <a:p>
                <a:pPr>
                  <a:defRPr/>
                </a:pPr>
                <a:r>
                  <a:rPr lang="en-US"/>
                  <a:t>Mean adiponectin (mg/L)</a:t>
                </a:r>
              </a:p>
            </c:rich>
          </c:tx>
          <c:layout/>
          <c:overlay val="0"/>
        </c:title>
        <c:numFmt formatCode="General" sourceLinked="1"/>
        <c:majorTickMark val="out"/>
        <c:minorTickMark val="none"/>
        <c:tickLblPos val="nextTo"/>
        <c:crossAx val="424010112"/>
        <c:crosses val="autoZero"/>
        <c:crossBetween val="between"/>
      </c:valAx>
    </c:plotArea>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 MASTER SHEET - 1-2-14.xlsx]Groups 1,2,3,6 By Point, Time'!$I$76</c:f>
              <c:strCache>
                <c:ptCount val="1"/>
                <c:pt idx="0">
                  <c:v>Avg adiponectin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'[RESULTS - MASTER SHEET - 1-2-14.xlsx]Groups 1,2,3,6 By Point, Time'!$A$77:$B$88</c:f>
              <c:multiLvlStrCache>
                <c:ptCount val="12"/>
                <c:lvl>
                  <c:pt idx="0">
                    <c:v>0 min</c:v>
                  </c:pt>
                  <c:pt idx="1">
                    <c:v>120 min</c:v>
                  </c:pt>
                  <c:pt idx="2">
                    <c:v>420 min</c:v>
                  </c:pt>
                  <c:pt idx="3">
                    <c:v>0 min</c:v>
                  </c:pt>
                  <c:pt idx="4">
                    <c:v>120 min</c:v>
                  </c:pt>
                  <c:pt idx="5">
                    <c:v>420 min</c:v>
                  </c:pt>
                  <c:pt idx="6">
                    <c:v>0 min</c:v>
                  </c:pt>
                  <c:pt idx="7">
                    <c:v>120 min</c:v>
                  </c:pt>
                  <c:pt idx="8">
                    <c:v>420 min</c:v>
                  </c:pt>
                  <c:pt idx="9">
                    <c:v>0 min</c:v>
                  </c:pt>
                  <c:pt idx="10">
                    <c:v>120 min</c:v>
                  </c:pt>
                  <c:pt idx="11">
                    <c:v>420 min</c:v>
                  </c:pt>
                </c:lvl>
                <c:lvl>
                  <c:pt idx="0">
                    <c:v>ObN</c:v>
                  </c:pt>
                  <c:pt idx="3">
                    <c:v>ObP</c:v>
                  </c:pt>
                  <c:pt idx="6">
                    <c:v>WLD</c:v>
                  </c:pt>
                  <c:pt idx="9">
                    <c:v>IBW</c:v>
                  </c:pt>
                </c:lvl>
              </c:multiLvlStrCache>
            </c:multiLvlStrRef>
          </c:cat>
          <c:val>
            <c:numRef>
              <c:f>'[RESULTS - MASTER SHEET - 1-2-14.xlsx]Groups 1,2,3,6 By Point, Time'!$I$77:$I$88</c:f>
              <c:numCache>
                <c:formatCode>General</c:formatCode>
                <c:ptCount val="12"/>
                <c:pt idx="0">
                  <c:v>12.463133333333335</c:v>
                </c:pt>
                <c:pt idx="1">
                  <c:v>16.391533333333332</c:v>
                </c:pt>
                <c:pt idx="2">
                  <c:v>12.94393333333333</c:v>
                </c:pt>
                <c:pt idx="3">
                  <c:v>12.085600000000001</c:v>
                </c:pt>
                <c:pt idx="4">
                  <c:v>16.246466666666667</c:v>
                </c:pt>
                <c:pt idx="5">
                  <c:v>12.752533333333332</c:v>
                </c:pt>
                <c:pt idx="6">
                  <c:v>13.037733333333332</c:v>
                </c:pt>
                <c:pt idx="7">
                  <c:v>15.848466666666663</c:v>
                </c:pt>
                <c:pt idx="8">
                  <c:v>11.1972</c:v>
                </c:pt>
                <c:pt idx="9">
                  <c:v>19.101444444444446</c:v>
                </c:pt>
                <c:pt idx="10">
                  <c:v>23.02772222222222</c:v>
                </c:pt>
                <c:pt idx="11">
                  <c:v>13.605399999999999</c:v>
                </c:pt>
              </c:numCache>
            </c:numRef>
          </c:val>
        </c:ser>
        <c:dLbls>
          <c:showLegendKey val="0"/>
          <c:showVal val="0"/>
          <c:showCatName val="0"/>
          <c:showSerName val="0"/>
          <c:showPercent val="0"/>
          <c:showBubbleSize val="0"/>
        </c:dLbls>
        <c:gapWidth val="50"/>
        <c:axId val="455077888"/>
        <c:axId val="455080960"/>
      </c:barChart>
      <c:catAx>
        <c:axId val="455077888"/>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455080960"/>
        <c:crosses val="autoZero"/>
        <c:auto val="1"/>
        <c:lblAlgn val="ctr"/>
        <c:lblOffset val="100"/>
        <c:noMultiLvlLbl val="0"/>
      </c:catAx>
      <c:valAx>
        <c:axId val="455080960"/>
        <c:scaling>
          <c:orientation val="minMax"/>
        </c:scaling>
        <c:delete val="0"/>
        <c:axPos val="l"/>
        <c:majorGridlines/>
        <c:minorGridlines/>
        <c:title>
          <c:tx>
            <c:rich>
              <a:bodyPr/>
              <a:lstStyle/>
              <a:p>
                <a:pPr>
                  <a:defRPr/>
                </a:pPr>
                <a:r>
                  <a:rPr lang="en-US"/>
                  <a:t>Adiponectin (mg/L)</a:t>
                </a:r>
              </a:p>
            </c:rich>
          </c:tx>
          <c:layout/>
          <c:overlay val="0"/>
        </c:title>
        <c:numFmt formatCode="General" sourceLinked="1"/>
        <c:majorTickMark val="out"/>
        <c:minorTickMark val="none"/>
        <c:tickLblPos val="nextTo"/>
        <c:crossAx val="455077888"/>
        <c:crosses val="autoZero"/>
        <c:crossBetween val="between"/>
      </c:valAx>
    </c:plotArea>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1,2,3,6 By Point, Time'!$I$142</c:f>
              <c:strCache>
                <c:ptCount val="1"/>
                <c:pt idx="0">
                  <c:v>Avg adiponectin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1,2,3,6 By Point, Time'!$A$143:$B$150</c:f>
              <c:multiLvlStrCache>
                <c:ptCount val="8"/>
                <c:lvl>
                  <c:pt idx="0">
                    <c:v>B</c:v>
                  </c:pt>
                  <c:pt idx="1">
                    <c:v>E</c:v>
                  </c:pt>
                  <c:pt idx="2">
                    <c:v>B</c:v>
                  </c:pt>
                  <c:pt idx="3">
                    <c:v>E</c:v>
                  </c:pt>
                  <c:pt idx="4">
                    <c:v>B</c:v>
                  </c:pt>
                  <c:pt idx="5">
                    <c:v>E</c:v>
                  </c:pt>
                  <c:pt idx="6">
                    <c:v>B</c:v>
                  </c:pt>
                  <c:pt idx="7">
                    <c:v>E</c:v>
                  </c:pt>
                </c:lvl>
                <c:lvl>
                  <c:pt idx="0">
                    <c:v>ObN</c:v>
                  </c:pt>
                  <c:pt idx="2">
                    <c:v>ObP</c:v>
                  </c:pt>
                  <c:pt idx="4">
                    <c:v>WLD</c:v>
                  </c:pt>
                  <c:pt idx="6">
                    <c:v>IBW</c:v>
                  </c:pt>
                </c:lvl>
              </c:multiLvlStrCache>
            </c:multiLvlStrRef>
          </c:cat>
          <c:val>
            <c:numRef>
              <c:f>'Groups 1,2,3,6 By Point, Time'!$I$143:$I$150</c:f>
              <c:numCache>
                <c:formatCode>General</c:formatCode>
                <c:ptCount val="8"/>
                <c:pt idx="0">
                  <c:v>12.817600000000002</c:v>
                </c:pt>
                <c:pt idx="1">
                  <c:v>14.0618</c:v>
                </c:pt>
                <c:pt idx="2">
                  <c:v>14.370000000000001</c:v>
                </c:pt>
                <c:pt idx="3">
                  <c:v>11.599600000000001</c:v>
                </c:pt>
                <c:pt idx="4">
                  <c:v>12.849</c:v>
                </c:pt>
                <c:pt idx="5">
                  <c:v>11.1616</c:v>
                </c:pt>
                <c:pt idx="6">
                  <c:v>20.376166666666666</c:v>
                </c:pt>
                <c:pt idx="7">
                  <c:v>9.9011999999999993</c:v>
                </c:pt>
              </c:numCache>
            </c:numRef>
          </c:val>
        </c:ser>
        <c:dLbls>
          <c:showLegendKey val="0"/>
          <c:showVal val="0"/>
          <c:showCatName val="0"/>
          <c:showSerName val="0"/>
          <c:showPercent val="0"/>
          <c:showBubbleSize val="0"/>
        </c:dLbls>
        <c:gapWidth val="50"/>
        <c:axId val="430566016"/>
        <c:axId val="443466112"/>
      </c:barChart>
      <c:catAx>
        <c:axId val="430566016"/>
        <c:scaling>
          <c:orientation val="minMax"/>
        </c:scaling>
        <c:delete val="0"/>
        <c:axPos val="b"/>
        <c:title>
          <c:tx>
            <c:rich>
              <a:bodyPr/>
              <a:lstStyle/>
              <a:p>
                <a:pPr>
                  <a:defRPr/>
                </a:pPr>
                <a:r>
                  <a:rPr lang="en-US"/>
                  <a:t>Isolated</a:t>
                </a:r>
                <a:r>
                  <a:rPr lang="en-US" baseline="0"/>
                  <a:t> for 420 min</a:t>
                </a:r>
                <a:endParaRPr lang="en-US"/>
              </a:p>
            </c:rich>
          </c:tx>
          <c:layout/>
          <c:overlay val="0"/>
        </c:title>
        <c:majorTickMark val="none"/>
        <c:minorTickMark val="none"/>
        <c:tickLblPos val="nextTo"/>
        <c:crossAx val="443466112"/>
        <c:crosses val="autoZero"/>
        <c:auto val="1"/>
        <c:lblAlgn val="ctr"/>
        <c:lblOffset val="100"/>
        <c:noMultiLvlLbl val="0"/>
      </c:catAx>
      <c:valAx>
        <c:axId val="443466112"/>
        <c:scaling>
          <c:orientation val="minMax"/>
        </c:scaling>
        <c:delete val="0"/>
        <c:axPos val="l"/>
        <c:majorGridlines/>
        <c:minorGridlines/>
        <c:title>
          <c:tx>
            <c:rich>
              <a:bodyPr/>
              <a:lstStyle/>
              <a:p>
                <a:pPr>
                  <a:defRPr/>
                </a:pPr>
                <a:r>
                  <a:rPr lang="en-US"/>
                  <a:t>Adiponectin (mg/L)</a:t>
                </a:r>
              </a:p>
            </c:rich>
          </c:tx>
          <c:layout/>
          <c:overlay val="0"/>
        </c:title>
        <c:numFmt formatCode="General" sourceLinked="1"/>
        <c:majorTickMark val="out"/>
        <c:minorTickMark val="none"/>
        <c:tickLblPos val="nextTo"/>
        <c:crossAx val="430566016"/>
        <c:crosses val="autoZero"/>
        <c:crossBetween val="between"/>
      </c:valAx>
    </c:plotArea>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Time'!$C$1</c:f>
              <c:strCache>
                <c:ptCount val="1"/>
                <c:pt idx="0">
                  <c:v>Avg Ghrelin by group and point</c:v>
                </c:pt>
              </c:strCache>
            </c:strRef>
          </c:tx>
          <c:invertIfNegative val="0"/>
          <c:dPt>
            <c:idx val="0"/>
            <c:invertIfNegative val="0"/>
            <c:bubble3D val="0"/>
            <c:spPr>
              <a:solidFill>
                <a:schemeClr val="accent1"/>
              </a:solidFill>
            </c:spPr>
          </c:dPt>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Time'!$A$2:$B$10</c:f>
              <c:multiLvlStrCache>
                <c:ptCount val="9"/>
                <c:lvl>
                  <c:pt idx="0">
                    <c:v>B</c:v>
                  </c:pt>
                  <c:pt idx="1">
                    <c:v>O</c:v>
                  </c:pt>
                  <c:pt idx="2">
                    <c:v>E</c:v>
                  </c:pt>
                  <c:pt idx="3">
                    <c:v>B</c:v>
                  </c:pt>
                  <c:pt idx="4">
                    <c:v>O</c:v>
                  </c:pt>
                  <c:pt idx="5">
                    <c:v>E</c:v>
                  </c:pt>
                  <c:pt idx="6">
                    <c:v>B</c:v>
                  </c:pt>
                  <c:pt idx="7">
                    <c:v>O</c:v>
                  </c:pt>
                  <c:pt idx="8">
                    <c:v>E</c:v>
                  </c:pt>
                </c:lvl>
                <c:lvl>
                  <c:pt idx="0">
                    <c:v>ExN</c:v>
                  </c:pt>
                  <c:pt idx="3">
                    <c:v>ExP</c:v>
                  </c:pt>
                  <c:pt idx="6">
                    <c:v>IBW</c:v>
                  </c:pt>
                </c:lvl>
              </c:multiLvlStrCache>
            </c:multiLvlStrRef>
          </c:cat>
          <c:val>
            <c:numRef>
              <c:f>'Groups 4,5,6 By Point, Time'!$C$2:$C$10</c:f>
              <c:numCache>
                <c:formatCode>General</c:formatCode>
                <c:ptCount val="9"/>
                <c:pt idx="0">
                  <c:v>110.0449967888117</c:v>
                </c:pt>
                <c:pt idx="1">
                  <c:v>105.22362287432138</c:v>
                </c:pt>
                <c:pt idx="2">
                  <c:v>32.387909260074444</c:v>
                </c:pt>
                <c:pt idx="3">
                  <c:v>81.744750898240341</c:v>
                </c:pt>
                <c:pt idx="4">
                  <c:v>87.857059750403025</c:v>
                </c:pt>
                <c:pt idx="5">
                  <c:v>33.352418555770775</c:v>
                </c:pt>
                <c:pt idx="6">
                  <c:v>68.377264647529728</c:v>
                </c:pt>
                <c:pt idx="7">
                  <c:v>46.939778295526089</c:v>
                </c:pt>
                <c:pt idx="8">
                  <c:v>62.415941006228195</c:v>
                </c:pt>
              </c:numCache>
            </c:numRef>
          </c:val>
        </c:ser>
        <c:dLbls>
          <c:showLegendKey val="0"/>
          <c:showVal val="0"/>
          <c:showCatName val="0"/>
          <c:showSerName val="0"/>
          <c:showPercent val="0"/>
          <c:showBubbleSize val="0"/>
        </c:dLbls>
        <c:gapWidth val="50"/>
        <c:axId val="438278784"/>
        <c:axId val="438297344"/>
      </c:barChart>
      <c:catAx>
        <c:axId val="438278784"/>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438297344"/>
        <c:crosses val="autoZero"/>
        <c:auto val="1"/>
        <c:lblAlgn val="ctr"/>
        <c:lblOffset val="100"/>
        <c:noMultiLvlLbl val="0"/>
      </c:catAx>
      <c:valAx>
        <c:axId val="438297344"/>
        <c:scaling>
          <c:orientation val="minMax"/>
        </c:scaling>
        <c:delete val="0"/>
        <c:axPos val="l"/>
        <c:majorGridlines/>
        <c:minorGridlines/>
        <c:title>
          <c:tx>
            <c:rich>
              <a:bodyPr/>
              <a:lstStyle/>
              <a:p>
                <a:pPr>
                  <a:defRPr/>
                </a:pPr>
                <a:r>
                  <a:rPr lang="en-US"/>
                  <a:t>Mean ghrelin (pg/mL)</a:t>
                </a:r>
              </a:p>
            </c:rich>
          </c:tx>
          <c:layout/>
          <c:overlay val="0"/>
        </c:title>
        <c:numFmt formatCode="General" sourceLinked="1"/>
        <c:majorTickMark val="out"/>
        <c:minorTickMark val="none"/>
        <c:tickLblPos val="nextTo"/>
        <c:crossAx val="438278784"/>
        <c:crosses val="autoZero"/>
        <c:crossBetween val="between"/>
      </c:valAx>
    </c:plotArea>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Time'!$C$73</c:f>
              <c:strCache>
                <c:ptCount val="1"/>
                <c:pt idx="0">
                  <c:v>Avg Ghrelin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Time'!$A$74:$B$82</c:f>
              <c:multiLvlStrCache>
                <c:ptCount val="9"/>
                <c:lvl>
                  <c:pt idx="0">
                    <c:v>0 min</c:v>
                  </c:pt>
                  <c:pt idx="1">
                    <c:v>120 min</c:v>
                  </c:pt>
                  <c:pt idx="2">
                    <c:v>420 min</c:v>
                  </c:pt>
                  <c:pt idx="3">
                    <c:v>0 min</c:v>
                  </c:pt>
                  <c:pt idx="4">
                    <c:v>120 min</c:v>
                  </c:pt>
                  <c:pt idx="5">
                    <c:v>420 min</c:v>
                  </c:pt>
                  <c:pt idx="6">
                    <c:v>0 min</c:v>
                  </c:pt>
                  <c:pt idx="7">
                    <c:v>120 min</c:v>
                  </c:pt>
                  <c:pt idx="8">
                    <c:v>420 min</c:v>
                  </c:pt>
                </c:lvl>
                <c:lvl>
                  <c:pt idx="0">
                    <c:v>ExN</c:v>
                  </c:pt>
                  <c:pt idx="3">
                    <c:v>ExP</c:v>
                  </c:pt>
                  <c:pt idx="6">
                    <c:v>IBW</c:v>
                  </c:pt>
                </c:lvl>
              </c:multiLvlStrCache>
            </c:multiLvlStrRef>
          </c:cat>
          <c:val>
            <c:numRef>
              <c:f>'Groups 4,5,6 By Point, Time'!$C$74:$C$82</c:f>
              <c:numCache>
                <c:formatCode>General</c:formatCode>
                <c:ptCount val="9"/>
                <c:pt idx="0">
                  <c:v>58.203403799637819</c:v>
                </c:pt>
                <c:pt idx="1">
                  <c:v>74.330655817182006</c:v>
                </c:pt>
                <c:pt idx="2">
                  <c:v>119.21692304282921</c:v>
                </c:pt>
                <c:pt idx="3">
                  <c:v>65.827784577761363</c:v>
                </c:pt>
                <c:pt idx="4">
                  <c:v>61.115767087961295</c:v>
                </c:pt>
                <c:pt idx="5">
                  <c:v>76.010677538691496</c:v>
                </c:pt>
                <c:pt idx="6">
                  <c:v>65.771689557662128</c:v>
                </c:pt>
                <c:pt idx="7">
                  <c:v>46.781092078278895</c:v>
                </c:pt>
                <c:pt idx="8">
                  <c:v>72.249575610504962</c:v>
                </c:pt>
              </c:numCache>
            </c:numRef>
          </c:val>
        </c:ser>
        <c:dLbls>
          <c:showLegendKey val="0"/>
          <c:showVal val="0"/>
          <c:showCatName val="0"/>
          <c:showSerName val="0"/>
          <c:showPercent val="0"/>
          <c:showBubbleSize val="0"/>
        </c:dLbls>
        <c:gapWidth val="50"/>
        <c:axId val="443793408"/>
        <c:axId val="443797504"/>
      </c:barChart>
      <c:catAx>
        <c:axId val="443793408"/>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443797504"/>
        <c:crosses val="autoZero"/>
        <c:auto val="1"/>
        <c:lblAlgn val="ctr"/>
        <c:lblOffset val="100"/>
        <c:noMultiLvlLbl val="0"/>
      </c:catAx>
      <c:valAx>
        <c:axId val="443797504"/>
        <c:scaling>
          <c:orientation val="minMax"/>
        </c:scaling>
        <c:delete val="0"/>
        <c:axPos val="l"/>
        <c:majorGridlines/>
        <c:minorGridlines/>
        <c:title>
          <c:tx>
            <c:rich>
              <a:bodyPr/>
              <a:lstStyle/>
              <a:p>
                <a:pPr>
                  <a:defRPr/>
                </a:pPr>
                <a:r>
                  <a:rPr lang="en-US"/>
                  <a:t>Mean ghrelin (pg/mL)</a:t>
                </a:r>
              </a:p>
            </c:rich>
          </c:tx>
          <c:layout/>
          <c:overlay val="0"/>
        </c:title>
        <c:numFmt formatCode="General" sourceLinked="1"/>
        <c:majorTickMark val="out"/>
        <c:minorTickMark val="none"/>
        <c:tickLblPos val="nextTo"/>
        <c:crossAx val="443793408"/>
        <c:crosses val="autoZero"/>
        <c:crossBetween val="between"/>
      </c:valAx>
    </c:plotArea>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Time'!$C$134</c:f>
              <c:strCache>
                <c:ptCount val="1"/>
                <c:pt idx="0">
                  <c:v>Avg Ghrelin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Time'!$A$135:$B$140</c:f>
              <c:multiLvlStrCache>
                <c:ptCount val="6"/>
                <c:lvl>
                  <c:pt idx="0">
                    <c:v>B</c:v>
                  </c:pt>
                  <c:pt idx="1">
                    <c:v>E</c:v>
                  </c:pt>
                  <c:pt idx="2">
                    <c:v>B</c:v>
                  </c:pt>
                  <c:pt idx="3">
                    <c:v>E</c:v>
                  </c:pt>
                  <c:pt idx="4">
                    <c:v>B</c:v>
                  </c:pt>
                  <c:pt idx="5">
                    <c:v>E</c:v>
                  </c:pt>
                </c:lvl>
                <c:lvl>
                  <c:pt idx="0">
                    <c:v>ExN</c:v>
                  </c:pt>
                  <c:pt idx="2">
                    <c:v>ExP</c:v>
                  </c:pt>
                  <c:pt idx="4">
                    <c:v>IBW</c:v>
                  </c:pt>
                </c:lvl>
              </c:multiLvlStrCache>
            </c:multiLvlStrRef>
          </c:cat>
          <c:val>
            <c:numRef>
              <c:f>'Groups 4,5,6 By Point, Time'!$C$135:$C$140</c:f>
              <c:numCache>
                <c:formatCode>General</c:formatCode>
                <c:ptCount val="6"/>
                <c:pt idx="0">
                  <c:v>133.14484723778878</c:v>
                </c:pt>
                <c:pt idx="1">
                  <c:v>51.604417716226685</c:v>
                </c:pt>
                <c:pt idx="2">
                  <c:v>64.276460407125555</c:v>
                </c:pt>
                <c:pt idx="3">
                  <c:v>24.584637433792825</c:v>
                </c:pt>
                <c:pt idx="4">
                  <c:v>87.385062775471098</c:v>
                </c:pt>
                <c:pt idx="5">
                  <c:v>61.934772178982961</c:v>
                </c:pt>
              </c:numCache>
            </c:numRef>
          </c:val>
        </c:ser>
        <c:dLbls>
          <c:showLegendKey val="0"/>
          <c:showVal val="0"/>
          <c:showCatName val="0"/>
          <c:showSerName val="0"/>
          <c:showPercent val="0"/>
          <c:showBubbleSize val="0"/>
        </c:dLbls>
        <c:gapWidth val="50"/>
        <c:axId val="368956544"/>
        <c:axId val="210214912"/>
      </c:barChart>
      <c:catAx>
        <c:axId val="368956544"/>
        <c:scaling>
          <c:orientation val="minMax"/>
        </c:scaling>
        <c:delete val="0"/>
        <c:axPos val="b"/>
        <c:title>
          <c:tx>
            <c:rich>
              <a:bodyPr/>
              <a:lstStyle/>
              <a:p>
                <a:pPr>
                  <a:defRPr/>
                </a:pPr>
                <a:r>
                  <a:rPr lang="en-US"/>
                  <a:t>Isolated</a:t>
                </a:r>
                <a:r>
                  <a:rPr lang="en-US" baseline="0"/>
                  <a:t> for 420 min</a:t>
                </a:r>
                <a:endParaRPr lang="en-US"/>
              </a:p>
            </c:rich>
          </c:tx>
          <c:layout/>
          <c:overlay val="0"/>
        </c:title>
        <c:majorTickMark val="none"/>
        <c:minorTickMark val="none"/>
        <c:tickLblPos val="nextTo"/>
        <c:crossAx val="210214912"/>
        <c:crosses val="autoZero"/>
        <c:auto val="1"/>
        <c:lblAlgn val="ctr"/>
        <c:lblOffset val="100"/>
        <c:noMultiLvlLbl val="0"/>
      </c:catAx>
      <c:valAx>
        <c:axId val="210214912"/>
        <c:scaling>
          <c:orientation val="minMax"/>
        </c:scaling>
        <c:delete val="0"/>
        <c:axPos val="l"/>
        <c:majorGridlines/>
        <c:minorGridlines/>
        <c:title>
          <c:tx>
            <c:rich>
              <a:bodyPr/>
              <a:lstStyle/>
              <a:p>
                <a:pPr>
                  <a:defRPr/>
                </a:pPr>
                <a:r>
                  <a:rPr lang="en-US"/>
                  <a:t>Mean ghrelin (pg/mL)</a:t>
                </a:r>
              </a:p>
            </c:rich>
          </c:tx>
          <c:layout/>
          <c:overlay val="0"/>
        </c:title>
        <c:numFmt formatCode="General" sourceLinked="1"/>
        <c:majorTickMark val="out"/>
        <c:minorTickMark val="none"/>
        <c:tickLblPos val="nextTo"/>
        <c:crossAx val="368956544"/>
        <c:crosses val="autoZero"/>
        <c:crossBetween val="between"/>
      </c:valAx>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Time'!$H$1</c:f>
              <c:strCache>
                <c:ptCount val="1"/>
                <c:pt idx="0">
                  <c:v>Avg PYY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Time'!$A$2:$B$10</c:f>
              <c:multiLvlStrCache>
                <c:ptCount val="9"/>
                <c:lvl>
                  <c:pt idx="0">
                    <c:v>B</c:v>
                  </c:pt>
                  <c:pt idx="1">
                    <c:v>O</c:v>
                  </c:pt>
                  <c:pt idx="2">
                    <c:v>E</c:v>
                  </c:pt>
                  <c:pt idx="3">
                    <c:v>B</c:v>
                  </c:pt>
                  <c:pt idx="4">
                    <c:v>O</c:v>
                  </c:pt>
                  <c:pt idx="5">
                    <c:v>E</c:v>
                  </c:pt>
                  <c:pt idx="6">
                    <c:v>B</c:v>
                  </c:pt>
                  <c:pt idx="7">
                    <c:v>O</c:v>
                  </c:pt>
                  <c:pt idx="8">
                    <c:v>E</c:v>
                  </c:pt>
                </c:lvl>
                <c:lvl>
                  <c:pt idx="0">
                    <c:v>ExN</c:v>
                  </c:pt>
                  <c:pt idx="3">
                    <c:v>ExP</c:v>
                  </c:pt>
                  <c:pt idx="6">
                    <c:v>IBW</c:v>
                  </c:pt>
                </c:lvl>
              </c:multiLvlStrCache>
            </c:multiLvlStrRef>
          </c:cat>
          <c:val>
            <c:numRef>
              <c:f>'Groups 4,5,6 By Point, Time'!$H$2:$H$10</c:f>
              <c:numCache>
                <c:formatCode>General</c:formatCode>
                <c:ptCount val="9"/>
                <c:pt idx="0">
                  <c:v>307.91967325830336</c:v>
                </c:pt>
                <c:pt idx="1">
                  <c:v>270.19439401016422</c:v>
                </c:pt>
                <c:pt idx="2">
                  <c:v>266.14007569852873</c:v>
                </c:pt>
                <c:pt idx="3">
                  <c:v>332.29753550081779</c:v>
                </c:pt>
                <c:pt idx="4">
                  <c:v>253.17530014136676</c:v>
                </c:pt>
                <c:pt idx="5">
                  <c:v>253.42369151549852</c:v>
                </c:pt>
                <c:pt idx="6">
                  <c:v>296.01856612966645</c:v>
                </c:pt>
                <c:pt idx="7">
                  <c:v>285.92436678618293</c:v>
                </c:pt>
                <c:pt idx="8">
                  <c:v>321.77504802194261</c:v>
                </c:pt>
              </c:numCache>
            </c:numRef>
          </c:val>
        </c:ser>
        <c:dLbls>
          <c:showLegendKey val="0"/>
          <c:showVal val="0"/>
          <c:showCatName val="0"/>
          <c:showSerName val="0"/>
          <c:showPercent val="0"/>
          <c:showBubbleSize val="0"/>
        </c:dLbls>
        <c:gapWidth val="50"/>
        <c:axId val="514827776"/>
        <c:axId val="514829696"/>
      </c:barChart>
      <c:catAx>
        <c:axId val="514827776"/>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514829696"/>
        <c:crosses val="autoZero"/>
        <c:auto val="1"/>
        <c:lblAlgn val="ctr"/>
        <c:lblOffset val="100"/>
        <c:noMultiLvlLbl val="0"/>
      </c:catAx>
      <c:valAx>
        <c:axId val="514829696"/>
        <c:scaling>
          <c:orientation val="minMax"/>
        </c:scaling>
        <c:delete val="0"/>
        <c:axPos val="l"/>
        <c:majorGridlines/>
        <c:minorGridlines/>
        <c:title>
          <c:tx>
            <c:rich>
              <a:bodyPr/>
              <a:lstStyle/>
              <a:p>
                <a:pPr>
                  <a:defRPr/>
                </a:pPr>
                <a:r>
                  <a:rPr lang="en-US"/>
                  <a:t>Mean PYY (pg/mL)</a:t>
                </a:r>
              </a:p>
            </c:rich>
          </c:tx>
          <c:layout/>
          <c:overlay val="0"/>
        </c:title>
        <c:numFmt formatCode="General" sourceLinked="1"/>
        <c:majorTickMark val="out"/>
        <c:minorTickMark val="none"/>
        <c:tickLblPos val="nextTo"/>
        <c:crossAx val="514827776"/>
        <c:crosses val="autoZero"/>
        <c:crossBetween val="between"/>
      </c:valAx>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Time'!$H$73</c:f>
              <c:strCache>
                <c:ptCount val="1"/>
                <c:pt idx="0">
                  <c:v>Avg PYY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Time'!$A$74:$B$82</c:f>
              <c:multiLvlStrCache>
                <c:ptCount val="9"/>
                <c:lvl>
                  <c:pt idx="0">
                    <c:v>0 min</c:v>
                  </c:pt>
                  <c:pt idx="1">
                    <c:v>120 min</c:v>
                  </c:pt>
                  <c:pt idx="2">
                    <c:v>420 min</c:v>
                  </c:pt>
                  <c:pt idx="3">
                    <c:v>0 min</c:v>
                  </c:pt>
                  <c:pt idx="4">
                    <c:v>120 min</c:v>
                  </c:pt>
                  <c:pt idx="5">
                    <c:v>420 min</c:v>
                  </c:pt>
                  <c:pt idx="6">
                    <c:v>0 min</c:v>
                  </c:pt>
                  <c:pt idx="7">
                    <c:v>120 min</c:v>
                  </c:pt>
                  <c:pt idx="8">
                    <c:v>420 min</c:v>
                  </c:pt>
                </c:lvl>
                <c:lvl>
                  <c:pt idx="0">
                    <c:v>ExN</c:v>
                  </c:pt>
                  <c:pt idx="3">
                    <c:v>ExP</c:v>
                  </c:pt>
                  <c:pt idx="6">
                    <c:v>IBW</c:v>
                  </c:pt>
                </c:lvl>
              </c:multiLvlStrCache>
            </c:multiLvlStrRef>
          </c:cat>
          <c:val>
            <c:numRef>
              <c:f>'Groups 4,5,6 By Point, Time'!$H$74:$H$82</c:f>
              <c:numCache>
                <c:formatCode>General</c:formatCode>
                <c:ptCount val="9"/>
                <c:pt idx="0">
                  <c:v>262.49226396642035</c:v>
                </c:pt>
                <c:pt idx="1">
                  <c:v>310.05017395214793</c:v>
                </c:pt>
                <c:pt idx="2">
                  <c:v>278.78691910872232</c:v>
                </c:pt>
                <c:pt idx="3">
                  <c:v>250.25604157310315</c:v>
                </c:pt>
                <c:pt idx="4">
                  <c:v>312.50564904063037</c:v>
                </c:pt>
                <c:pt idx="5">
                  <c:v>276.13483654394952</c:v>
                </c:pt>
                <c:pt idx="6">
                  <c:v>219.11838352127106</c:v>
                </c:pt>
                <c:pt idx="7">
                  <c:v>338.58391166674346</c:v>
                </c:pt>
                <c:pt idx="8">
                  <c:v>331.12254570920766</c:v>
                </c:pt>
              </c:numCache>
            </c:numRef>
          </c:val>
        </c:ser>
        <c:dLbls>
          <c:showLegendKey val="0"/>
          <c:showVal val="0"/>
          <c:showCatName val="0"/>
          <c:showSerName val="0"/>
          <c:showPercent val="0"/>
          <c:showBubbleSize val="0"/>
        </c:dLbls>
        <c:gapWidth val="50"/>
        <c:axId val="386361600"/>
        <c:axId val="386363776"/>
      </c:barChart>
      <c:catAx>
        <c:axId val="386361600"/>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386363776"/>
        <c:crosses val="autoZero"/>
        <c:auto val="1"/>
        <c:lblAlgn val="ctr"/>
        <c:lblOffset val="100"/>
        <c:noMultiLvlLbl val="0"/>
      </c:catAx>
      <c:valAx>
        <c:axId val="386363776"/>
        <c:scaling>
          <c:orientation val="minMax"/>
        </c:scaling>
        <c:delete val="0"/>
        <c:axPos val="l"/>
        <c:majorGridlines/>
        <c:minorGridlines/>
        <c:title>
          <c:tx>
            <c:rich>
              <a:bodyPr/>
              <a:lstStyle/>
              <a:p>
                <a:pPr>
                  <a:defRPr/>
                </a:pPr>
                <a:r>
                  <a:rPr lang="en-US"/>
                  <a:t>Mean PYY (pg/mL)</a:t>
                </a:r>
              </a:p>
            </c:rich>
          </c:tx>
          <c:layout/>
          <c:overlay val="0"/>
        </c:title>
        <c:numFmt formatCode="General" sourceLinked="1"/>
        <c:majorTickMark val="out"/>
        <c:minorTickMark val="none"/>
        <c:tickLblPos val="nextTo"/>
        <c:crossAx val="386361600"/>
        <c:crosses val="autoZero"/>
        <c:crossBetween val="between"/>
      </c:valAx>
    </c:plotArea>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Time'!$H$134</c:f>
              <c:strCache>
                <c:ptCount val="1"/>
                <c:pt idx="0">
                  <c:v>Avg PYY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Time'!$A$135:$B$140</c:f>
              <c:multiLvlStrCache>
                <c:ptCount val="6"/>
                <c:lvl>
                  <c:pt idx="0">
                    <c:v>B</c:v>
                  </c:pt>
                  <c:pt idx="1">
                    <c:v>E</c:v>
                  </c:pt>
                  <c:pt idx="2">
                    <c:v>B</c:v>
                  </c:pt>
                  <c:pt idx="3">
                    <c:v>E</c:v>
                  </c:pt>
                  <c:pt idx="4">
                    <c:v>B</c:v>
                  </c:pt>
                  <c:pt idx="5">
                    <c:v>E</c:v>
                  </c:pt>
                </c:lvl>
                <c:lvl>
                  <c:pt idx="0">
                    <c:v>ExN</c:v>
                  </c:pt>
                  <c:pt idx="2">
                    <c:v>ExP</c:v>
                  </c:pt>
                  <c:pt idx="4">
                    <c:v>IBW</c:v>
                  </c:pt>
                </c:lvl>
              </c:multiLvlStrCache>
            </c:multiLvlStrRef>
          </c:cat>
          <c:val>
            <c:numRef>
              <c:f>'Groups 4,5,6 By Point, Time'!$H$135:$H$140</c:f>
              <c:numCache>
                <c:formatCode>General</c:formatCode>
                <c:ptCount val="6"/>
                <c:pt idx="0">
                  <c:v>364.2422410571682</c:v>
                </c:pt>
                <c:pt idx="1">
                  <c:v>214.74046276600484</c:v>
                </c:pt>
                <c:pt idx="2">
                  <c:v>372.01715430189847</c:v>
                </c:pt>
                <c:pt idx="3">
                  <c:v>223.48261245964832</c:v>
                </c:pt>
                <c:pt idx="4">
                  <c:v>327.69948164296324</c:v>
                </c:pt>
                <c:pt idx="5">
                  <c:v>358.00847858966551</c:v>
                </c:pt>
              </c:numCache>
            </c:numRef>
          </c:val>
        </c:ser>
        <c:dLbls>
          <c:showLegendKey val="0"/>
          <c:showVal val="0"/>
          <c:showCatName val="0"/>
          <c:showSerName val="0"/>
          <c:showPercent val="0"/>
          <c:showBubbleSize val="0"/>
        </c:dLbls>
        <c:gapWidth val="50"/>
        <c:axId val="386375040"/>
        <c:axId val="386377216"/>
      </c:barChart>
      <c:catAx>
        <c:axId val="386375040"/>
        <c:scaling>
          <c:orientation val="minMax"/>
        </c:scaling>
        <c:delete val="0"/>
        <c:axPos val="b"/>
        <c:title>
          <c:tx>
            <c:rich>
              <a:bodyPr/>
              <a:lstStyle/>
              <a:p>
                <a:pPr>
                  <a:defRPr/>
                </a:pPr>
                <a:r>
                  <a:rPr lang="en-US"/>
                  <a:t>Isolated</a:t>
                </a:r>
                <a:r>
                  <a:rPr lang="en-US" baseline="0"/>
                  <a:t> for 420 min</a:t>
                </a:r>
                <a:endParaRPr lang="en-US"/>
              </a:p>
            </c:rich>
          </c:tx>
          <c:layout/>
          <c:overlay val="0"/>
        </c:title>
        <c:majorTickMark val="none"/>
        <c:minorTickMark val="none"/>
        <c:tickLblPos val="nextTo"/>
        <c:crossAx val="386377216"/>
        <c:crosses val="autoZero"/>
        <c:auto val="1"/>
        <c:lblAlgn val="ctr"/>
        <c:lblOffset val="100"/>
        <c:noMultiLvlLbl val="0"/>
      </c:catAx>
      <c:valAx>
        <c:axId val="386377216"/>
        <c:scaling>
          <c:orientation val="minMax"/>
        </c:scaling>
        <c:delete val="0"/>
        <c:axPos val="l"/>
        <c:majorGridlines/>
        <c:minorGridlines/>
        <c:title>
          <c:tx>
            <c:rich>
              <a:bodyPr/>
              <a:lstStyle/>
              <a:p>
                <a:pPr>
                  <a:defRPr/>
                </a:pPr>
                <a:r>
                  <a:rPr lang="en-US"/>
                  <a:t>Mean PYY (pg/mL)</a:t>
                </a:r>
              </a:p>
            </c:rich>
          </c:tx>
          <c:layout/>
          <c:overlay val="0"/>
        </c:title>
        <c:numFmt formatCode="General" sourceLinked="1"/>
        <c:majorTickMark val="out"/>
        <c:minorTickMark val="none"/>
        <c:tickLblPos val="nextTo"/>
        <c:crossAx val="386375040"/>
        <c:crosses val="autoZero"/>
        <c:crossBetween val="between"/>
      </c:valAx>
    </c:plotArea>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Time'!$D$1</c:f>
              <c:strCache>
                <c:ptCount val="1"/>
                <c:pt idx="0">
                  <c:v>Avg GLP-1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Time'!$A$2:$B$10</c:f>
              <c:multiLvlStrCache>
                <c:ptCount val="9"/>
                <c:lvl>
                  <c:pt idx="0">
                    <c:v>B</c:v>
                  </c:pt>
                  <c:pt idx="1">
                    <c:v>O</c:v>
                  </c:pt>
                  <c:pt idx="2">
                    <c:v>E</c:v>
                  </c:pt>
                  <c:pt idx="3">
                    <c:v>B</c:v>
                  </c:pt>
                  <c:pt idx="4">
                    <c:v>O</c:v>
                  </c:pt>
                  <c:pt idx="5">
                    <c:v>E</c:v>
                  </c:pt>
                  <c:pt idx="6">
                    <c:v>B</c:v>
                  </c:pt>
                  <c:pt idx="7">
                    <c:v>O</c:v>
                  </c:pt>
                  <c:pt idx="8">
                    <c:v>E</c:v>
                  </c:pt>
                </c:lvl>
                <c:lvl>
                  <c:pt idx="0">
                    <c:v>ExN</c:v>
                  </c:pt>
                  <c:pt idx="3">
                    <c:v>ExP</c:v>
                  </c:pt>
                  <c:pt idx="6">
                    <c:v>IBW</c:v>
                  </c:pt>
                </c:lvl>
              </c:multiLvlStrCache>
            </c:multiLvlStrRef>
          </c:cat>
          <c:val>
            <c:numRef>
              <c:f>'Groups 4,5,6 By Point, Time'!$D$2:$D$10</c:f>
              <c:numCache>
                <c:formatCode>General</c:formatCode>
                <c:ptCount val="9"/>
                <c:pt idx="0">
                  <c:v>21.73330987208189</c:v>
                </c:pt>
                <c:pt idx="1">
                  <c:v>11.721938489376813</c:v>
                </c:pt>
                <c:pt idx="2">
                  <c:v>9.5459431109484569</c:v>
                </c:pt>
                <c:pt idx="3">
                  <c:v>22.310959235041491</c:v>
                </c:pt>
                <c:pt idx="4">
                  <c:v>8.1314163429646822</c:v>
                </c:pt>
                <c:pt idx="5">
                  <c:v>8.0682619175361214</c:v>
                </c:pt>
                <c:pt idx="6">
                  <c:v>24.193342439863354</c:v>
                </c:pt>
                <c:pt idx="7">
                  <c:v>28.230081265751569</c:v>
                </c:pt>
                <c:pt idx="8">
                  <c:v>31.879884553597776</c:v>
                </c:pt>
              </c:numCache>
            </c:numRef>
          </c:val>
        </c:ser>
        <c:dLbls>
          <c:showLegendKey val="0"/>
          <c:showVal val="0"/>
          <c:showCatName val="0"/>
          <c:showSerName val="0"/>
          <c:showPercent val="0"/>
          <c:showBubbleSize val="0"/>
        </c:dLbls>
        <c:gapWidth val="50"/>
        <c:axId val="368827776"/>
        <c:axId val="371403392"/>
      </c:barChart>
      <c:catAx>
        <c:axId val="368827776"/>
        <c:scaling>
          <c:orientation val="minMax"/>
        </c:scaling>
        <c:delete val="0"/>
        <c:axPos val="b"/>
        <c:title>
          <c:tx>
            <c:rich>
              <a:bodyPr/>
              <a:lstStyle/>
              <a:p>
                <a:pPr>
                  <a:defRPr/>
                </a:pPr>
                <a:r>
                  <a:rPr lang="en-US"/>
                  <a:t>Group and point</a:t>
                </a:r>
              </a:p>
            </c:rich>
          </c:tx>
          <c:layout/>
          <c:overlay val="0"/>
        </c:title>
        <c:numFmt formatCode="General" sourceLinked="1"/>
        <c:majorTickMark val="none"/>
        <c:minorTickMark val="none"/>
        <c:tickLblPos val="nextTo"/>
        <c:crossAx val="371403392"/>
        <c:crosses val="autoZero"/>
        <c:auto val="1"/>
        <c:lblAlgn val="ctr"/>
        <c:lblOffset val="100"/>
        <c:noMultiLvlLbl val="0"/>
      </c:catAx>
      <c:valAx>
        <c:axId val="371403392"/>
        <c:scaling>
          <c:orientation val="minMax"/>
        </c:scaling>
        <c:delete val="0"/>
        <c:axPos val="l"/>
        <c:majorGridlines/>
        <c:minorGridlines/>
        <c:title>
          <c:tx>
            <c:rich>
              <a:bodyPr/>
              <a:lstStyle/>
              <a:p>
                <a:pPr>
                  <a:defRPr/>
                </a:pPr>
                <a:r>
                  <a:rPr lang="en-US"/>
                  <a:t>Mean GLP-1 (pg/mL)</a:t>
                </a:r>
              </a:p>
            </c:rich>
          </c:tx>
          <c:layout/>
          <c:overlay val="0"/>
        </c:title>
        <c:numFmt formatCode="General" sourceLinked="1"/>
        <c:majorTickMark val="out"/>
        <c:minorTickMark val="none"/>
        <c:tickLblPos val="nextTo"/>
        <c:crossAx val="368827776"/>
        <c:crosses val="autoZero"/>
        <c:crossBetween val="between"/>
      </c:valAx>
    </c:plotArea>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Time'!$D$73</c:f>
              <c:strCache>
                <c:ptCount val="1"/>
                <c:pt idx="0">
                  <c:v>Avg GLP-1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Time'!$A$74:$B$82</c:f>
              <c:multiLvlStrCache>
                <c:ptCount val="9"/>
                <c:lvl>
                  <c:pt idx="0">
                    <c:v>0 min</c:v>
                  </c:pt>
                  <c:pt idx="1">
                    <c:v>120 min</c:v>
                  </c:pt>
                  <c:pt idx="2">
                    <c:v>420 min</c:v>
                  </c:pt>
                  <c:pt idx="3">
                    <c:v>0 min</c:v>
                  </c:pt>
                  <c:pt idx="4">
                    <c:v>120 min</c:v>
                  </c:pt>
                  <c:pt idx="5">
                    <c:v>420 min</c:v>
                  </c:pt>
                  <c:pt idx="6">
                    <c:v>0 min</c:v>
                  </c:pt>
                  <c:pt idx="7">
                    <c:v>120 min</c:v>
                  </c:pt>
                  <c:pt idx="8">
                    <c:v>420 min</c:v>
                  </c:pt>
                </c:lvl>
                <c:lvl>
                  <c:pt idx="0">
                    <c:v>ExN</c:v>
                  </c:pt>
                  <c:pt idx="3">
                    <c:v>ExP</c:v>
                  </c:pt>
                  <c:pt idx="6">
                    <c:v>IBW</c:v>
                  </c:pt>
                </c:lvl>
              </c:multiLvlStrCache>
            </c:multiLvlStrRef>
          </c:cat>
          <c:val>
            <c:numRef>
              <c:f>'Groups 4,5,6 By Point, Time'!$D$74:$D$82</c:f>
              <c:numCache>
                <c:formatCode>General</c:formatCode>
                <c:ptCount val="9"/>
                <c:pt idx="0">
                  <c:v>11.418767111531203</c:v>
                </c:pt>
                <c:pt idx="1">
                  <c:v>24.534274527880456</c:v>
                </c:pt>
                <c:pt idx="2">
                  <c:v>7.0481498329955015</c:v>
                </c:pt>
                <c:pt idx="3">
                  <c:v>5.930295541065874</c:v>
                </c:pt>
                <c:pt idx="4">
                  <c:v>22.496153144443085</c:v>
                </c:pt>
                <c:pt idx="5">
                  <c:v>10.084188810033337</c:v>
                </c:pt>
                <c:pt idx="6">
                  <c:v>12.506513533676475</c:v>
                </c:pt>
                <c:pt idx="7">
                  <c:v>44.014155251117721</c:v>
                </c:pt>
                <c:pt idx="8">
                  <c:v>25.315203611509055</c:v>
                </c:pt>
              </c:numCache>
            </c:numRef>
          </c:val>
        </c:ser>
        <c:dLbls>
          <c:showLegendKey val="0"/>
          <c:showVal val="0"/>
          <c:showCatName val="0"/>
          <c:showSerName val="0"/>
          <c:showPercent val="0"/>
          <c:showBubbleSize val="0"/>
        </c:dLbls>
        <c:gapWidth val="50"/>
        <c:axId val="459695232"/>
        <c:axId val="459697152"/>
      </c:barChart>
      <c:catAx>
        <c:axId val="459695232"/>
        <c:scaling>
          <c:orientation val="minMax"/>
        </c:scaling>
        <c:delete val="0"/>
        <c:axPos val="b"/>
        <c:title>
          <c:tx>
            <c:rich>
              <a:bodyPr/>
              <a:lstStyle/>
              <a:p>
                <a:pPr>
                  <a:defRPr/>
                </a:pPr>
                <a:r>
                  <a:rPr lang="en-US"/>
                  <a:t>Group and time</a:t>
                </a:r>
              </a:p>
            </c:rich>
          </c:tx>
          <c:layout/>
          <c:overlay val="0"/>
        </c:title>
        <c:numFmt formatCode="General" sourceLinked="1"/>
        <c:majorTickMark val="none"/>
        <c:minorTickMark val="none"/>
        <c:tickLblPos val="nextTo"/>
        <c:crossAx val="459697152"/>
        <c:crosses val="autoZero"/>
        <c:auto val="1"/>
        <c:lblAlgn val="ctr"/>
        <c:lblOffset val="100"/>
        <c:noMultiLvlLbl val="0"/>
      </c:catAx>
      <c:valAx>
        <c:axId val="459697152"/>
        <c:scaling>
          <c:orientation val="minMax"/>
        </c:scaling>
        <c:delete val="0"/>
        <c:axPos val="l"/>
        <c:majorGridlines/>
        <c:minorGridlines/>
        <c:title>
          <c:tx>
            <c:rich>
              <a:bodyPr/>
              <a:lstStyle/>
              <a:p>
                <a:pPr>
                  <a:defRPr/>
                </a:pPr>
                <a:r>
                  <a:rPr lang="en-US"/>
                  <a:t>Mean GLP-1 (pg/mL)</a:t>
                </a:r>
              </a:p>
            </c:rich>
          </c:tx>
          <c:layout/>
          <c:overlay val="0"/>
        </c:title>
        <c:numFmt formatCode="General" sourceLinked="1"/>
        <c:majorTickMark val="out"/>
        <c:minorTickMark val="none"/>
        <c:tickLblPos val="nextTo"/>
        <c:crossAx val="459695232"/>
        <c:crosses val="autoZero"/>
        <c:crossBetween val="between"/>
      </c:valAx>
    </c:plotArea>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Time'!$D$134</c:f>
              <c:strCache>
                <c:ptCount val="1"/>
                <c:pt idx="0">
                  <c:v>Avg GLP-1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Time'!$A$135:$B$140</c:f>
              <c:multiLvlStrCache>
                <c:ptCount val="6"/>
                <c:lvl>
                  <c:pt idx="0">
                    <c:v>B</c:v>
                  </c:pt>
                  <c:pt idx="1">
                    <c:v>E</c:v>
                  </c:pt>
                  <c:pt idx="2">
                    <c:v>B</c:v>
                  </c:pt>
                  <c:pt idx="3">
                    <c:v>E</c:v>
                  </c:pt>
                  <c:pt idx="4">
                    <c:v>B</c:v>
                  </c:pt>
                  <c:pt idx="5">
                    <c:v>E</c:v>
                  </c:pt>
                </c:lvl>
                <c:lvl>
                  <c:pt idx="0">
                    <c:v>ExN</c:v>
                  </c:pt>
                  <c:pt idx="2">
                    <c:v>ExP</c:v>
                  </c:pt>
                  <c:pt idx="4">
                    <c:v>IBW</c:v>
                  </c:pt>
                </c:lvl>
              </c:multiLvlStrCache>
            </c:multiLvlStrRef>
          </c:cat>
          <c:val>
            <c:numRef>
              <c:f>'Groups 4,5,6 By Point, Time'!$D$135:$D$140</c:f>
              <c:numCache>
                <c:formatCode>General</c:formatCode>
                <c:ptCount val="6"/>
                <c:pt idx="0">
                  <c:v>14.213736858704467</c:v>
                </c:pt>
                <c:pt idx="1">
                  <c:v>3.4176374335245754</c:v>
                </c:pt>
                <c:pt idx="2">
                  <c:v>19.918435817327982</c:v>
                </c:pt>
                <c:pt idx="3">
                  <c:v>5.6401404633137018</c:v>
                </c:pt>
                <c:pt idx="4">
                  <c:v>16.309354763161696</c:v>
                </c:pt>
                <c:pt idx="5">
                  <c:v>31.937597827859737</c:v>
                </c:pt>
              </c:numCache>
            </c:numRef>
          </c:val>
        </c:ser>
        <c:dLbls>
          <c:showLegendKey val="0"/>
          <c:showVal val="0"/>
          <c:showCatName val="0"/>
          <c:showSerName val="0"/>
          <c:showPercent val="0"/>
          <c:showBubbleSize val="0"/>
        </c:dLbls>
        <c:gapWidth val="50"/>
        <c:axId val="411609728"/>
        <c:axId val="411625344"/>
      </c:barChart>
      <c:catAx>
        <c:axId val="411609728"/>
        <c:scaling>
          <c:orientation val="minMax"/>
        </c:scaling>
        <c:delete val="0"/>
        <c:axPos val="b"/>
        <c:title>
          <c:tx>
            <c:rich>
              <a:bodyPr/>
              <a:lstStyle/>
              <a:p>
                <a:pPr>
                  <a:defRPr/>
                </a:pPr>
                <a:r>
                  <a:rPr lang="en-US"/>
                  <a:t>Isolated</a:t>
                </a:r>
                <a:r>
                  <a:rPr lang="en-US" baseline="0"/>
                  <a:t> for 420 min</a:t>
                </a:r>
                <a:endParaRPr lang="en-US"/>
              </a:p>
            </c:rich>
          </c:tx>
          <c:layout/>
          <c:overlay val="0"/>
        </c:title>
        <c:numFmt formatCode="General" sourceLinked="1"/>
        <c:majorTickMark val="none"/>
        <c:minorTickMark val="none"/>
        <c:tickLblPos val="nextTo"/>
        <c:crossAx val="411625344"/>
        <c:crosses val="autoZero"/>
        <c:auto val="1"/>
        <c:lblAlgn val="ctr"/>
        <c:lblOffset val="100"/>
        <c:noMultiLvlLbl val="0"/>
      </c:catAx>
      <c:valAx>
        <c:axId val="411625344"/>
        <c:scaling>
          <c:orientation val="minMax"/>
        </c:scaling>
        <c:delete val="0"/>
        <c:axPos val="l"/>
        <c:majorGridlines/>
        <c:minorGridlines/>
        <c:title>
          <c:tx>
            <c:rich>
              <a:bodyPr/>
              <a:lstStyle/>
              <a:p>
                <a:pPr>
                  <a:defRPr/>
                </a:pPr>
                <a:r>
                  <a:rPr lang="en-US"/>
                  <a:t>Mean GLP-1 (pg/mL)</a:t>
                </a:r>
              </a:p>
            </c:rich>
          </c:tx>
          <c:layout/>
          <c:overlay val="0"/>
        </c:title>
        <c:numFmt formatCode="General" sourceLinked="1"/>
        <c:majorTickMark val="out"/>
        <c:minorTickMark val="none"/>
        <c:tickLblPos val="nextTo"/>
        <c:crossAx val="411609728"/>
        <c:crosses val="autoZero"/>
        <c:crossBetween val="between"/>
      </c:valAx>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Time'!$F$1</c:f>
              <c:strCache>
                <c:ptCount val="1"/>
                <c:pt idx="0">
                  <c:v>Avg glucose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Time'!$A$2:$B$10</c:f>
              <c:multiLvlStrCache>
                <c:ptCount val="9"/>
                <c:lvl>
                  <c:pt idx="0">
                    <c:v>B</c:v>
                  </c:pt>
                  <c:pt idx="1">
                    <c:v>O</c:v>
                  </c:pt>
                  <c:pt idx="2">
                    <c:v>E</c:v>
                  </c:pt>
                  <c:pt idx="3">
                    <c:v>B</c:v>
                  </c:pt>
                  <c:pt idx="4">
                    <c:v>O</c:v>
                  </c:pt>
                  <c:pt idx="5">
                    <c:v>E</c:v>
                  </c:pt>
                  <c:pt idx="6">
                    <c:v>B</c:v>
                  </c:pt>
                  <c:pt idx="7">
                    <c:v>O</c:v>
                  </c:pt>
                  <c:pt idx="8">
                    <c:v>E</c:v>
                  </c:pt>
                </c:lvl>
                <c:lvl>
                  <c:pt idx="0">
                    <c:v>ExN</c:v>
                  </c:pt>
                  <c:pt idx="3">
                    <c:v>ExP</c:v>
                  </c:pt>
                  <c:pt idx="6">
                    <c:v>IBW</c:v>
                  </c:pt>
                </c:lvl>
              </c:multiLvlStrCache>
            </c:multiLvlStrRef>
          </c:cat>
          <c:val>
            <c:numRef>
              <c:f>'Groups 4,5,6 By Point, Time'!$F$2:$F$10</c:f>
              <c:numCache>
                <c:formatCode>General</c:formatCode>
                <c:ptCount val="9"/>
                <c:pt idx="0">
                  <c:v>91.833333333333329</c:v>
                </c:pt>
                <c:pt idx="1">
                  <c:v>95.277777777777786</c:v>
                </c:pt>
                <c:pt idx="2">
                  <c:v>95.333333333333329</c:v>
                </c:pt>
                <c:pt idx="3">
                  <c:v>92</c:v>
                </c:pt>
                <c:pt idx="4">
                  <c:v>115</c:v>
                </c:pt>
                <c:pt idx="5">
                  <c:v>89.055555555555543</c:v>
                </c:pt>
                <c:pt idx="6">
                  <c:v>85.444444444444457</c:v>
                </c:pt>
                <c:pt idx="7">
                  <c:v>94.611111111111128</c:v>
                </c:pt>
                <c:pt idx="8">
                  <c:v>81.266666666666666</c:v>
                </c:pt>
              </c:numCache>
            </c:numRef>
          </c:val>
        </c:ser>
        <c:dLbls>
          <c:showLegendKey val="0"/>
          <c:showVal val="0"/>
          <c:showCatName val="0"/>
          <c:showSerName val="0"/>
          <c:showPercent val="0"/>
          <c:showBubbleSize val="0"/>
        </c:dLbls>
        <c:gapWidth val="50"/>
        <c:axId val="553853696"/>
        <c:axId val="553855616"/>
      </c:barChart>
      <c:catAx>
        <c:axId val="553853696"/>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553855616"/>
        <c:crosses val="autoZero"/>
        <c:auto val="1"/>
        <c:lblAlgn val="ctr"/>
        <c:lblOffset val="100"/>
        <c:noMultiLvlLbl val="0"/>
      </c:catAx>
      <c:valAx>
        <c:axId val="553855616"/>
        <c:scaling>
          <c:orientation val="minMax"/>
        </c:scaling>
        <c:delete val="0"/>
        <c:axPos val="l"/>
        <c:majorGridlines/>
        <c:minorGridlines/>
        <c:title>
          <c:tx>
            <c:rich>
              <a:bodyPr/>
              <a:lstStyle/>
              <a:p>
                <a:pPr>
                  <a:defRPr/>
                </a:pPr>
                <a:r>
                  <a:rPr lang="en-US"/>
                  <a:t>Mean glucose (mg/dL)</a:t>
                </a:r>
              </a:p>
            </c:rich>
          </c:tx>
          <c:layout/>
          <c:overlay val="0"/>
        </c:title>
        <c:numFmt formatCode="General" sourceLinked="1"/>
        <c:majorTickMark val="out"/>
        <c:minorTickMark val="none"/>
        <c:tickLblPos val="nextTo"/>
        <c:crossAx val="553853696"/>
        <c:crosses val="autoZero"/>
        <c:crossBetween val="between"/>
      </c:valAx>
    </c:plotArea>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Time'!$F$73</c:f>
              <c:strCache>
                <c:ptCount val="1"/>
                <c:pt idx="0">
                  <c:v>Avg glucose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Time'!$A$74:$B$82</c:f>
              <c:multiLvlStrCache>
                <c:ptCount val="9"/>
                <c:lvl>
                  <c:pt idx="0">
                    <c:v>0 min</c:v>
                  </c:pt>
                  <c:pt idx="1">
                    <c:v>120 min</c:v>
                  </c:pt>
                  <c:pt idx="2">
                    <c:v>420 min</c:v>
                  </c:pt>
                  <c:pt idx="3">
                    <c:v>0 min</c:v>
                  </c:pt>
                  <c:pt idx="4">
                    <c:v>120 min</c:v>
                  </c:pt>
                  <c:pt idx="5">
                    <c:v>420 min</c:v>
                  </c:pt>
                  <c:pt idx="6">
                    <c:v>0 min</c:v>
                  </c:pt>
                  <c:pt idx="7">
                    <c:v>120 min</c:v>
                  </c:pt>
                  <c:pt idx="8">
                    <c:v>420 min</c:v>
                  </c:pt>
                </c:lvl>
                <c:lvl>
                  <c:pt idx="0">
                    <c:v>ExN</c:v>
                  </c:pt>
                  <c:pt idx="3">
                    <c:v>ExP</c:v>
                  </c:pt>
                  <c:pt idx="6">
                    <c:v>IBW</c:v>
                  </c:pt>
                </c:lvl>
              </c:multiLvlStrCache>
            </c:multiLvlStrRef>
          </c:cat>
          <c:val>
            <c:numRef>
              <c:f>'Groups 4,5,6 By Point, Time'!$F$74:$F$82</c:f>
              <c:numCache>
                <c:formatCode>General</c:formatCode>
                <c:ptCount val="9"/>
                <c:pt idx="0">
                  <c:v>87.722222222222229</c:v>
                </c:pt>
                <c:pt idx="1">
                  <c:v>98.555555555555557</c:v>
                </c:pt>
                <c:pt idx="2">
                  <c:v>96.3611111111111</c:v>
                </c:pt>
                <c:pt idx="3">
                  <c:v>91.166666666666671</c:v>
                </c:pt>
                <c:pt idx="4">
                  <c:v>99.333333333333329</c:v>
                </c:pt>
                <c:pt idx="5">
                  <c:v>105.55555555555556</c:v>
                </c:pt>
                <c:pt idx="6">
                  <c:v>82.611111111111114</c:v>
                </c:pt>
                <c:pt idx="7">
                  <c:v>91.194444444444443</c:v>
                </c:pt>
                <c:pt idx="8">
                  <c:v>88.26666666666668</c:v>
                </c:pt>
              </c:numCache>
            </c:numRef>
          </c:val>
        </c:ser>
        <c:dLbls>
          <c:showLegendKey val="0"/>
          <c:showVal val="0"/>
          <c:showCatName val="0"/>
          <c:showSerName val="0"/>
          <c:showPercent val="0"/>
          <c:showBubbleSize val="0"/>
        </c:dLbls>
        <c:gapWidth val="50"/>
        <c:axId val="576505344"/>
        <c:axId val="576507264"/>
      </c:barChart>
      <c:catAx>
        <c:axId val="576505344"/>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576507264"/>
        <c:crosses val="autoZero"/>
        <c:auto val="1"/>
        <c:lblAlgn val="ctr"/>
        <c:lblOffset val="100"/>
        <c:noMultiLvlLbl val="0"/>
      </c:catAx>
      <c:valAx>
        <c:axId val="576507264"/>
        <c:scaling>
          <c:orientation val="minMax"/>
        </c:scaling>
        <c:delete val="0"/>
        <c:axPos val="l"/>
        <c:majorGridlines/>
        <c:minorGridlines/>
        <c:title>
          <c:tx>
            <c:rich>
              <a:bodyPr/>
              <a:lstStyle/>
              <a:p>
                <a:pPr>
                  <a:defRPr/>
                </a:pPr>
                <a:r>
                  <a:rPr lang="en-US"/>
                  <a:t>Mean glucose (mg/dL)</a:t>
                </a:r>
              </a:p>
            </c:rich>
          </c:tx>
          <c:layout/>
          <c:overlay val="0"/>
        </c:title>
        <c:numFmt formatCode="General" sourceLinked="1"/>
        <c:majorTickMark val="out"/>
        <c:minorTickMark val="none"/>
        <c:tickLblPos val="nextTo"/>
        <c:crossAx val="576505344"/>
        <c:crosses val="autoZero"/>
        <c:crossBetween val="between"/>
      </c:valAx>
    </c:plotArea>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Time'!$F$134</c:f>
              <c:strCache>
                <c:ptCount val="1"/>
                <c:pt idx="0">
                  <c:v>Avg glucose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Time'!$A$135:$B$140</c:f>
              <c:multiLvlStrCache>
                <c:ptCount val="6"/>
                <c:lvl>
                  <c:pt idx="0">
                    <c:v>B</c:v>
                  </c:pt>
                  <c:pt idx="1">
                    <c:v>E</c:v>
                  </c:pt>
                  <c:pt idx="2">
                    <c:v>B</c:v>
                  </c:pt>
                  <c:pt idx="3">
                    <c:v>E</c:v>
                  </c:pt>
                  <c:pt idx="4">
                    <c:v>B</c:v>
                  </c:pt>
                  <c:pt idx="5">
                    <c:v>E</c:v>
                  </c:pt>
                </c:lvl>
                <c:lvl>
                  <c:pt idx="0">
                    <c:v>ExN</c:v>
                  </c:pt>
                  <c:pt idx="2">
                    <c:v>ExP</c:v>
                  </c:pt>
                  <c:pt idx="4">
                    <c:v>IBW</c:v>
                  </c:pt>
                </c:lvl>
              </c:multiLvlStrCache>
            </c:multiLvlStrRef>
          </c:cat>
          <c:val>
            <c:numRef>
              <c:f>'Groups 4,5,6 By Point, Time'!$F$135:$F$140</c:f>
              <c:numCache>
                <c:formatCode>General</c:formatCode>
                <c:ptCount val="6"/>
                <c:pt idx="0">
                  <c:v>85.5</c:v>
                </c:pt>
                <c:pt idx="1">
                  <c:v>102</c:v>
                </c:pt>
                <c:pt idx="2">
                  <c:v>93.666666666666671</c:v>
                </c:pt>
                <c:pt idx="3">
                  <c:v>90.5</c:v>
                </c:pt>
                <c:pt idx="4">
                  <c:v>100.83333333333333</c:v>
                </c:pt>
                <c:pt idx="5">
                  <c:v>76.400000000000006</c:v>
                </c:pt>
              </c:numCache>
            </c:numRef>
          </c:val>
        </c:ser>
        <c:dLbls>
          <c:showLegendKey val="0"/>
          <c:showVal val="0"/>
          <c:showCatName val="0"/>
          <c:showSerName val="0"/>
          <c:showPercent val="0"/>
          <c:showBubbleSize val="0"/>
        </c:dLbls>
        <c:gapWidth val="50"/>
        <c:axId val="578898560"/>
        <c:axId val="578933504"/>
      </c:barChart>
      <c:catAx>
        <c:axId val="578898560"/>
        <c:scaling>
          <c:orientation val="minMax"/>
        </c:scaling>
        <c:delete val="0"/>
        <c:axPos val="b"/>
        <c:title>
          <c:tx>
            <c:rich>
              <a:bodyPr/>
              <a:lstStyle/>
              <a:p>
                <a:pPr>
                  <a:defRPr/>
                </a:pPr>
                <a:r>
                  <a:rPr lang="en-US"/>
                  <a:t>Isolated</a:t>
                </a:r>
                <a:r>
                  <a:rPr lang="en-US" baseline="0"/>
                  <a:t> for 420 min</a:t>
                </a:r>
              </a:p>
            </c:rich>
          </c:tx>
          <c:layout/>
          <c:overlay val="0"/>
        </c:title>
        <c:majorTickMark val="none"/>
        <c:minorTickMark val="none"/>
        <c:tickLblPos val="nextTo"/>
        <c:crossAx val="578933504"/>
        <c:crosses val="autoZero"/>
        <c:auto val="1"/>
        <c:lblAlgn val="ctr"/>
        <c:lblOffset val="100"/>
        <c:noMultiLvlLbl val="0"/>
      </c:catAx>
      <c:valAx>
        <c:axId val="578933504"/>
        <c:scaling>
          <c:orientation val="minMax"/>
        </c:scaling>
        <c:delete val="0"/>
        <c:axPos val="l"/>
        <c:majorGridlines/>
        <c:minorGridlines/>
        <c:title>
          <c:tx>
            <c:rich>
              <a:bodyPr/>
              <a:lstStyle/>
              <a:p>
                <a:pPr>
                  <a:defRPr/>
                </a:pPr>
                <a:r>
                  <a:rPr lang="en-US"/>
                  <a:t>Mean glucose (mg/dL)</a:t>
                </a:r>
              </a:p>
            </c:rich>
          </c:tx>
          <c:layout/>
          <c:overlay val="0"/>
        </c:title>
        <c:numFmt formatCode="General" sourceLinked="1"/>
        <c:majorTickMark val="out"/>
        <c:minorTickMark val="none"/>
        <c:tickLblPos val="nextTo"/>
        <c:crossAx val="578898560"/>
        <c:crosses val="autoZero"/>
        <c:crossBetween val="between"/>
      </c:valAx>
    </c:plotArea>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Time'!$E$1</c:f>
              <c:strCache>
                <c:ptCount val="1"/>
                <c:pt idx="0">
                  <c:v>Avg insulin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Time'!$A$2:$B$10</c:f>
              <c:multiLvlStrCache>
                <c:ptCount val="9"/>
                <c:lvl>
                  <c:pt idx="0">
                    <c:v>B</c:v>
                  </c:pt>
                  <c:pt idx="1">
                    <c:v>O</c:v>
                  </c:pt>
                  <c:pt idx="2">
                    <c:v>E</c:v>
                  </c:pt>
                  <c:pt idx="3">
                    <c:v>B</c:v>
                  </c:pt>
                  <c:pt idx="4">
                    <c:v>O</c:v>
                  </c:pt>
                  <c:pt idx="5">
                    <c:v>E</c:v>
                  </c:pt>
                  <c:pt idx="6">
                    <c:v>B</c:v>
                  </c:pt>
                  <c:pt idx="7">
                    <c:v>O</c:v>
                  </c:pt>
                  <c:pt idx="8">
                    <c:v>E</c:v>
                  </c:pt>
                </c:lvl>
                <c:lvl>
                  <c:pt idx="0">
                    <c:v>ExN</c:v>
                  </c:pt>
                  <c:pt idx="3">
                    <c:v>ExP</c:v>
                  </c:pt>
                  <c:pt idx="6">
                    <c:v>IBW</c:v>
                  </c:pt>
                </c:lvl>
              </c:multiLvlStrCache>
            </c:multiLvlStrRef>
          </c:cat>
          <c:val>
            <c:numRef>
              <c:f>'Groups 4,5,6 By Point, Time'!$E$2:$E$10</c:f>
              <c:numCache>
                <c:formatCode>General</c:formatCode>
                <c:ptCount val="9"/>
                <c:pt idx="0">
                  <c:v>601.99695561279771</c:v>
                </c:pt>
                <c:pt idx="1">
                  <c:v>353.52535320514488</c:v>
                </c:pt>
                <c:pt idx="2">
                  <c:v>414.61406512877619</c:v>
                </c:pt>
                <c:pt idx="3">
                  <c:v>672.86275784754037</c:v>
                </c:pt>
                <c:pt idx="4">
                  <c:v>380.6418777752794</c:v>
                </c:pt>
                <c:pt idx="5">
                  <c:v>537.60351931310072</c:v>
                </c:pt>
                <c:pt idx="6">
                  <c:v>363.02590028894127</c:v>
                </c:pt>
                <c:pt idx="7">
                  <c:v>609.13073760591033</c:v>
                </c:pt>
                <c:pt idx="8">
                  <c:v>712.8595579460557</c:v>
                </c:pt>
              </c:numCache>
            </c:numRef>
          </c:val>
        </c:ser>
        <c:dLbls>
          <c:showLegendKey val="0"/>
          <c:showVal val="0"/>
          <c:showCatName val="0"/>
          <c:showSerName val="0"/>
          <c:showPercent val="0"/>
          <c:showBubbleSize val="0"/>
        </c:dLbls>
        <c:gapWidth val="50"/>
        <c:axId val="384557440"/>
        <c:axId val="384559744"/>
      </c:barChart>
      <c:catAx>
        <c:axId val="384557440"/>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384559744"/>
        <c:crosses val="autoZero"/>
        <c:auto val="1"/>
        <c:lblAlgn val="ctr"/>
        <c:lblOffset val="100"/>
        <c:noMultiLvlLbl val="0"/>
      </c:catAx>
      <c:valAx>
        <c:axId val="384559744"/>
        <c:scaling>
          <c:orientation val="minMax"/>
        </c:scaling>
        <c:delete val="0"/>
        <c:axPos val="l"/>
        <c:majorGridlines/>
        <c:minorGridlines/>
        <c:title>
          <c:tx>
            <c:rich>
              <a:bodyPr/>
              <a:lstStyle/>
              <a:p>
                <a:pPr>
                  <a:defRPr/>
                </a:pPr>
                <a:r>
                  <a:rPr lang="en-US"/>
                  <a:t>Mean insulin (pg/mL)</a:t>
                </a:r>
              </a:p>
            </c:rich>
          </c:tx>
          <c:layout/>
          <c:overlay val="0"/>
        </c:title>
        <c:numFmt formatCode="General" sourceLinked="1"/>
        <c:majorTickMark val="out"/>
        <c:minorTickMark val="none"/>
        <c:tickLblPos val="nextTo"/>
        <c:crossAx val="384557440"/>
        <c:crosses val="autoZero"/>
        <c:crossBetween val="between"/>
      </c:valAx>
    </c:plotArea>
    <c:plotVisOnly val="1"/>
    <c:dispBlanksAs val="gap"/>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Time'!$E$73</c:f>
              <c:strCache>
                <c:ptCount val="1"/>
                <c:pt idx="0">
                  <c:v>Avg insulin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Time'!$A$74:$B$82</c:f>
              <c:multiLvlStrCache>
                <c:ptCount val="9"/>
                <c:lvl>
                  <c:pt idx="0">
                    <c:v>0 min</c:v>
                  </c:pt>
                  <c:pt idx="1">
                    <c:v>120 min</c:v>
                  </c:pt>
                  <c:pt idx="2">
                    <c:v>420 min</c:v>
                  </c:pt>
                  <c:pt idx="3">
                    <c:v>0 min</c:v>
                  </c:pt>
                  <c:pt idx="4">
                    <c:v>120 min</c:v>
                  </c:pt>
                  <c:pt idx="5">
                    <c:v>420 min</c:v>
                  </c:pt>
                  <c:pt idx="6">
                    <c:v>0 min</c:v>
                  </c:pt>
                  <c:pt idx="7">
                    <c:v>120 min</c:v>
                  </c:pt>
                  <c:pt idx="8">
                    <c:v>420 min</c:v>
                  </c:pt>
                </c:lvl>
                <c:lvl>
                  <c:pt idx="0">
                    <c:v>ExN</c:v>
                  </c:pt>
                  <c:pt idx="3">
                    <c:v>ExP</c:v>
                  </c:pt>
                  <c:pt idx="6">
                    <c:v>IBW</c:v>
                  </c:pt>
                </c:lvl>
              </c:multiLvlStrCache>
            </c:multiLvlStrRef>
          </c:cat>
          <c:val>
            <c:numRef>
              <c:f>'Groups 4,5,6 By Point, Time'!$E$74:$E$82</c:f>
              <c:numCache>
                <c:formatCode>General</c:formatCode>
                <c:ptCount val="9"/>
                <c:pt idx="0">
                  <c:v>391.10928342389388</c:v>
                </c:pt>
                <c:pt idx="1">
                  <c:v>694.33779576694894</c:v>
                </c:pt>
                <c:pt idx="2">
                  <c:v>283.56318770283519</c:v>
                </c:pt>
                <c:pt idx="3">
                  <c:v>406.88186438243434</c:v>
                </c:pt>
                <c:pt idx="4">
                  <c:v>830.75172864345348</c:v>
                </c:pt>
                <c:pt idx="5">
                  <c:v>347.82988610792745</c:v>
                </c:pt>
                <c:pt idx="6">
                  <c:v>453.63927785782016</c:v>
                </c:pt>
                <c:pt idx="7">
                  <c:v>752.06726450108044</c:v>
                </c:pt>
                <c:pt idx="8">
                  <c:v>477.8306960343574</c:v>
                </c:pt>
              </c:numCache>
            </c:numRef>
          </c:val>
        </c:ser>
        <c:dLbls>
          <c:showLegendKey val="0"/>
          <c:showVal val="0"/>
          <c:showCatName val="0"/>
          <c:showSerName val="0"/>
          <c:showPercent val="0"/>
          <c:showBubbleSize val="0"/>
        </c:dLbls>
        <c:gapWidth val="50"/>
        <c:axId val="443816192"/>
        <c:axId val="443849344"/>
      </c:barChart>
      <c:catAx>
        <c:axId val="443816192"/>
        <c:scaling>
          <c:orientation val="minMax"/>
        </c:scaling>
        <c:delete val="0"/>
        <c:axPos val="b"/>
        <c:title>
          <c:tx>
            <c:rich>
              <a:bodyPr/>
              <a:lstStyle/>
              <a:p>
                <a:pPr>
                  <a:defRPr/>
                </a:pPr>
                <a:r>
                  <a:rPr lang="en-US"/>
                  <a:t>Group and time</a:t>
                </a:r>
              </a:p>
            </c:rich>
          </c:tx>
          <c:layout/>
          <c:overlay val="0"/>
        </c:title>
        <c:numFmt formatCode="General" sourceLinked="1"/>
        <c:majorTickMark val="none"/>
        <c:minorTickMark val="none"/>
        <c:tickLblPos val="nextTo"/>
        <c:crossAx val="443849344"/>
        <c:crosses val="autoZero"/>
        <c:auto val="1"/>
        <c:lblAlgn val="ctr"/>
        <c:lblOffset val="100"/>
        <c:noMultiLvlLbl val="0"/>
      </c:catAx>
      <c:valAx>
        <c:axId val="443849344"/>
        <c:scaling>
          <c:orientation val="minMax"/>
        </c:scaling>
        <c:delete val="0"/>
        <c:axPos val="l"/>
        <c:majorGridlines/>
        <c:minorGridlines/>
        <c:title>
          <c:tx>
            <c:rich>
              <a:bodyPr/>
              <a:lstStyle/>
              <a:p>
                <a:pPr>
                  <a:defRPr/>
                </a:pPr>
                <a:r>
                  <a:rPr lang="en-US"/>
                  <a:t>Mean insulin (pg/mL)</a:t>
                </a:r>
              </a:p>
            </c:rich>
          </c:tx>
          <c:layout/>
          <c:overlay val="0"/>
        </c:title>
        <c:numFmt formatCode="General" sourceLinked="1"/>
        <c:majorTickMark val="out"/>
        <c:minorTickMark val="none"/>
        <c:tickLblPos val="nextTo"/>
        <c:crossAx val="443816192"/>
        <c:crosses val="autoZero"/>
        <c:crossBetween val="between"/>
      </c:valAx>
    </c:plotArea>
    <c:plotVisOnly val="1"/>
    <c:dispBlanksAs val="gap"/>
    <c:showDLblsOverMax val="0"/>
  </c:chart>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Time'!$E$134</c:f>
              <c:strCache>
                <c:ptCount val="1"/>
                <c:pt idx="0">
                  <c:v>Avg insulin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Time'!$A$135:$B$140</c:f>
              <c:multiLvlStrCache>
                <c:ptCount val="6"/>
                <c:lvl>
                  <c:pt idx="0">
                    <c:v>B</c:v>
                  </c:pt>
                  <c:pt idx="1">
                    <c:v>E</c:v>
                  </c:pt>
                  <c:pt idx="2">
                    <c:v>B</c:v>
                  </c:pt>
                  <c:pt idx="3">
                    <c:v>E</c:v>
                  </c:pt>
                  <c:pt idx="4">
                    <c:v>B</c:v>
                  </c:pt>
                  <c:pt idx="5">
                    <c:v>E</c:v>
                  </c:pt>
                </c:lvl>
                <c:lvl>
                  <c:pt idx="0">
                    <c:v>ExN</c:v>
                  </c:pt>
                  <c:pt idx="2">
                    <c:v>ExP</c:v>
                  </c:pt>
                  <c:pt idx="4">
                    <c:v>IBW</c:v>
                  </c:pt>
                </c:lvl>
              </c:multiLvlStrCache>
            </c:multiLvlStrRef>
          </c:cat>
          <c:val>
            <c:numRef>
              <c:f>'Groups 4,5,6 By Point, Time'!$E$135:$E$140</c:f>
              <c:numCache>
                <c:formatCode>General</c:formatCode>
                <c:ptCount val="6"/>
                <c:pt idx="0">
                  <c:v>541.96387435458701</c:v>
                </c:pt>
                <c:pt idx="1">
                  <c:v>99.202748659483788</c:v>
                </c:pt>
                <c:pt idx="2">
                  <c:v>420.13469575412319</c:v>
                </c:pt>
                <c:pt idx="3">
                  <c:v>401.39644558677787</c:v>
                </c:pt>
                <c:pt idx="4">
                  <c:v>442.80997581651019</c:v>
                </c:pt>
                <c:pt idx="5">
                  <c:v>410.58458080503385</c:v>
                </c:pt>
              </c:numCache>
            </c:numRef>
          </c:val>
        </c:ser>
        <c:dLbls>
          <c:showLegendKey val="0"/>
          <c:showVal val="0"/>
          <c:showCatName val="0"/>
          <c:showSerName val="0"/>
          <c:showPercent val="0"/>
          <c:showBubbleSize val="0"/>
        </c:dLbls>
        <c:gapWidth val="50"/>
        <c:axId val="449803776"/>
        <c:axId val="460076544"/>
      </c:barChart>
      <c:catAx>
        <c:axId val="449803776"/>
        <c:scaling>
          <c:orientation val="minMax"/>
        </c:scaling>
        <c:delete val="0"/>
        <c:axPos val="b"/>
        <c:title>
          <c:tx>
            <c:rich>
              <a:bodyPr/>
              <a:lstStyle/>
              <a:p>
                <a:pPr>
                  <a:defRPr/>
                </a:pPr>
                <a:r>
                  <a:rPr lang="en-US"/>
                  <a:t>Isolated</a:t>
                </a:r>
                <a:r>
                  <a:rPr lang="en-US" baseline="0"/>
                  <a:t> for 420 min</a:t>
                </a:r>
                <a:endParaRPr lang="en-US"/>
              </a:p>
            </c:rich>
          </c:tx>
          <c:layout/>
          <c:overlay val="0"/>
        </c:title>
        <c:numFmt formatCode="General" sourceLinked="1"/>
        <c:majorTickMark val="none"/>
        <c:minorTickMark val="none"/>
        <c:tickLblPos val="nextTo"/>
        <c:crossAx val="460076544"/>
        <c:crosses val="autoZero"/>
        <c:auto val="1"/>
        <c:lblAlgn val="ctr"/>
        <c:lblOffset val="100"/>
        <c:noMultiLvlLbl val="0"/>
      </c:catAx>
      <c:valAx>
        <c:axId val="460076544"/>
        <c:scaling>
          <c:orientation val="minMax"/>
        </c:scaling>
        <c:delete val="0"/>
        <c:axPos val="l"/>
        <c:majorGridlines/>
        <c:minorGridlines/>
        <c:title>
          <c:tx>
            <c:rich>
              <a:bodyPr/>
              <a:lstStyle/>
              <a:p>
                <a:pPr>
                  <a:defRPr/>
                </a:pPr>
                <a:r>
                  <a:rPr lang="en-US"/>
                  <a:t>Mean insulin (pg/mL)</a:t>
                </a:r>
              </a:p>
            </c:rich>
          </c:tx>
          <c:layout/>
          <c:overlay val="0"/>
        </c:title>
        <c:numFmt formatCode="General" sourceLinked="1"/>
        <c:majorTickMark val="out"/>
        <c:minorTickMark val="none"/>
        <c:tickLblPos val="nextTo"/>
        <c:crossAx val="449803776"/>
        <c:crosses val="autoZero"/>
        <c:crossBetween val="between"/>
      </c:valAx>
    </c:plotArea>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Time'!$J$134</c:f>
              <c:strCache>
                <c:ptCount val="1"/>
                <c:pt idx="0">
                  <c:v>I:G ratio by 420 min</c:v>
                </c:pt>
              </c:strCache>
            </c:strRef>
          </c:tx>
          <c:invertIfNegative val="0"/>
          <c:dPt>
            <c:idx val="1"/>
            <c:invertIfNegative val="0"/>
            <c:bubble3D val="0"/>
            <c:spPr>
              <a:solidFill>
                <a:schemeClr val="accent2"/>
              </a:solidFill>
            </c:spPr>
          </c:dPt>
          <c:dPt>
            <c:idx val="3"/>
            <c:invertIfNegative val="0"/>
            <c:bubble3D val="0"/>
            <c:spPr>
              <a:solidFill>
                <a:schemeClr val="accent2"/>
              </a:solidFill>
            </c:spPr>
          </c:dPt>
          <c:dPt>
            <c:idx val="5"/>
            <c:invertIfNegative val="0"/>
            <c:bubble3D val="0"/>
            <c:spPr>
              <a:solidFill>
                <a:schemeClr val="accent2"/>
              </a:solidFill>
            </c:spPr>
          </c:dPt>
          <c:dPt>
            <c:idx val="7"/>
            <c:invertIfNegative val="0"/>
            <c:bubble3D val="0"/>
            <c:spPr>
              <a:solidFill>
                <a:schemeClr val="accent2"/>
              </a:solidFill>
            </c:spPr>
          </c:dPt>
          <c:cat>
            <c:multiLvlStrRef>
              <c:f>'Groups 4,5,6 By Point, Time'!$A$135:$B$140</c:f>
              <c:multiLvlStrCache>
                <c:ptCount val="6"/>
                <c:lvl>
                  <c:pt idx="0">
                    <c:v>B</c:v>
                  </c:pt>
                  <c:pt idx="1">
                    <c:v>E</c:v>
                  </c:pt>
                  <c:pt idx="2">
                    <c:v>B</c:v>
                  </c:pt>
                  <c:pt idx="3">
                    <c:v>E</c:v>
                  </c:pt>
                  <c:pt idx="4">
                    <c:v>B</c:v>
                  </c:pt>
                  <c:pt idx="5">
                    <c:v>E</c:v>
                  </c:pt>
                </c:lvl>
                <c:lvl>
                  <c:pt idx="0">
                    <c:v>ExN</c:v>
                  </c:pt>
                  <c:pt idx="2">
                    <c:v>ExP</c:v>
                  </c:pt>
                  <c:pt idx="4">
                    <c:v>IBW</c:v>
                  </c:pt>
                </c:lvl>
              </c:multiLvlStrCache>
            </c:multiLvlStrRef>
          </c:cat>
          <c:val>
            <c:numRef>
              <c:f>'Groups 4,5,6 By Point, Time'!$J$135:$J$140</c:f>
              <c:numCache>
                <c:formatCode>General</c:formatCode>
                <c:ptCount val="6"/>
                <c:pt idx="0">
                  <c:v>18.030253722453775</c:v>
                </c:pt>
                <c:pt idx="1">
                  <c:v>2.8258080303209709</c:v>
                </c:pt>
                <c:pt idx="2">
                  <c:v>12.88151126479849</c:v>
                </c:pt>
                <c:pt idx="3">
                  <c:v>13.140063451733395</c:v>
                </c:pt>
                <c:pt idx="4">
                  <c:v>12.577312667119097</c:v>
                </c:pt>
                <c:pt idx="5">
                  <c:v>16.287967909239697</c:v>
                </c:pt>
              </c:numCache>
            </c:numRef>
          </c:val>
        </c:ser>
        <c:dLbls>
          <c:showLegendKey val="0"/>
          <c:showVal val="0"/>
          <c:showCatName val="0"/>
          <c:showSerName val="0"/>
          <c:showPercent val="0"/>
          <c:showBubbleSize val="0"/>
        </c:dLbls>
        <c:gapWidth val="50"/>
        <c:axId val="432543616"/>
        <c:axId val="478199168"/>
      </c:barChart>
      <c:catAx>
        <c:axId val="432543616"/>
        <c:scaling>
          <c:orientation val="minMax"/>
        </c:scaling>
        <c:delete val="0"/>
        <c:axPos val="b"/>
        <c:title>
          <c:tx>
            <c:rich>
              <a:bodyPr/>
              <a:lstStyle/>
              <a:p>
                <a:pPr>
                  <a:defRPr/>
                </a:pPr>
                <a:r>
                  <a:rPr lang="en-US"/>
                  <a:t>Isolated for 420 min</a:t>
                </a:r>
              </a:p>
            </c:rich>
          </c:tx>
          <c:layout/>
          <c:overlay val="0"/>
        </c:title>
        <c:numFmt formatCode="General" sourceLinked="1"/>
        <c:majorTickMark val="none"/>
        <c:minorTickMark val="none"/>
        <c:tickLblPos val="nextTo"/>
        <c:crossAx val="478199168"/>
        <c:crosses val="autoZero"/>
        <c:auto val="1"/>
        <c:lblAlgn val="ctr"/>
        <c:lblOffset val="100"/>
        <c:noMultiLvlLbl val="0"/>
      </c:catAx>
      <c:valAx>
        <c:axId val="478199168"/>
        <c:scaling>
          <c:orientation val="minMax"/>
        </c:scaling>
        <c:delete val="0"/>
        <c:axPos val="l"/>
        <c:majorGridlines/>
        <c:minorGridlines/>
        <c:title>
          <c:tx>
            <c:rich>
              <a:bodyPr/>
              <a:lstStyle/>
              <a:p>
                <a:pPr>
                  <a:defRPr/>
                </a:pPr>
                <a:r>
                  <a:rPr lang="en-US"/>
                  <a:t>Insulin:glucose ratio</a:t>
                </a:r>
              </a:p>
            </c:rich>
          </c:tx>
          <c:layout/>
          <c:overlay val="0"/>
        </c:title>
        <c:numFmt formatCode="General" sourceLinked="1"/>
        <c:majorTickMark val="out"/>
        <c:minorTickMark val="none"/>
        <c:tickLblPos val="nextTo"/>
        <c:crossAx val="432543616"/>
        <c:crosses val="autoZero"/>
        <c:crossBetween val="between"/>
      </c:valAx>
    </c:plotArea>
    <c:plotVisOnly val="1"/>
    <c:dispBlanksAs val="gap"/>
    <c:showDLblsOverMax val="0"/>
  </c:chart>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Time'!$G$1</c:f>
              <c:strCache>
                <c:ptCount val="1"/>
                <c:pt idx="0">
                  <c:v>Avg leptin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Time'!$A$2:$B$10</c:f>
              <c:multiLvlStrCache>
                <c:ptCount val="9"/>
                <c:lvl>
                  <c:pt idx="0">
                    <c:v>B</c:v>
                  </c:pt>
                  <c:pt idx="1">
                    <c:v>O</c:v>
                  </c:pt>
                  <c:pt idx="2">
                    <c:v>E</c:v>
                  </c:pt>
                  <c:pt idx="3">
                    <c:v>B</c:v>
                  </c:pt>
                  <c:pt idx="4">
                    <c:v>O</c:v>
                  </c:pt>
                  <c:pt idx="5">
                    <c:v>E</c:v>
                  </c:pt>
                  <c:pt idx="6">
                    <c:v>B</c:v>
                  </c:pt>
                  <c:pt idx="7">
                    <c:v>O</c:v>
                  </c:pt>
                  <c:pt idx="8">
                    <c:v>E</c:v>
                  </c:pt>
                </c:lvl>
                <c:lvl>
                  <c:pt idx="0">
                    <c:v>ExN</c:v>
                  </c:pt>
                  <c:pt idx="3">
                    <c:v>ExP</c:v>
                  </c:pt>
                  <c:pt idx="6">
                    <c:v>IBW</c:v>
                  </c:pt>
                </c:lvl>
              </c:multiLvlStrCache>
            </c:multiLvlStrRef>
          </c:cat>
          <c:val>
            <c:numRef>
              <c:f>'Groups 4,5,6 By Point, Time'!$G$2:$G$10</c:f>
              <c:numCache>
                <c:formatCode>General</c:formatCode>
                <c:ptCount val="9"/>
                <c:pt idx="0">
                  <c:v>536.58220469073694</c:v>
                </c:pt>
                <c:pt idx="1">
                  <c:v>732.44836055138796</c:v>
                </c:pt>
                <c:pt idx="2">
                  <c:v>1951.837279299765</c:v>
                </c:pt>
                <c:pt idx="3">
                  <c:v>881.19328772468725</c:v>
                </c:pt>
                <c:pt idx="4">
                  <c:v>1047.9457559593336</c:v>
                </c:pt>
                <c:pt idx="5">
                  <c:v>3216.9127264785052</c:v>
                </c:pt>
                <c:pt idx="6">
                  <c:v>445.33547529598127</c:v>
                </c:pt>
                <c:pt idx="7">
                  <c:v>590.46219755537561</c:v>
                </c:pt>
                <c:pt idx="8">
                  <c:v>1149.0397645732776</c:v>
                </c:pt>
              </c:numCache>
            </c:numRef>
          </c:val>
        </c:ser>
        <c:dLbls>
          <c:showLegendKey val="0"/>
          <c:showVal val="0"/>
          <c:showCatName val="0"/>
          <c:showSerName val="0"/>
          <c:showPercent val="0"/>
          <c:showBubbleSize val="0"/>
        </c:dLbls>
        <c:gapWidth val="50"/>
        <c:axId val="449569920"/>
        <c:axId val="449571840"/>
      </c:barChart>
      <c:catAx>
        <c:axId val="449569920"/>
        <c:scaling>
          <c:orientation val="minMax"/>
        </c:scaling>
        <c:delete val="0"/>
        <c:axPos val="b"/>
        <c:title>
          <c:tx>
            <c:rich>
              <a:bodyPr/>
              <a:lstStyle/>
              <a:p>
                <a:pPr>
                  <a:defRPr/>
                </a:pPr>
                <a:r>
                  <a:rPr lang="en-US"/>
                  <a:t>Group and point</a:t>
                </a:r>
              </a:p>
            </c:rich>
          </c:tx>
          <c:layout/>
          <c:overlay val="0"/>
        </c:title>
        <c:majorTickMark val="none"/>
        <c:minorTickMark val="none"/>
        <c:tickLblPos val="nextTo"/>
        <c:crossAx val="449571840"/>
        <c:crosses val="autoZero"/>
        <c:auto val="1"/>
        <c:lblAlgn val="ctr"/>
        <c:lblOffset val="100"/>
        <c:noMultiLvlLbl val="0"/>
      </c:catAx>
      <c:valAx>
        <c:axId val="449571840"/>
        <c:scaling>
          <c:orientation val="minMax"/>
        </c:scaling>
        <c:delete val="0"/>
        <c:axPos val="l"/>
        <c:majorGridlines/>
        <c:minorGridlines/>
        <c:title>
          <c:tx>
            <c:rich>
              <a:bodyPr/>
              <a:lstStyle/>
              <a:p>
                <a:pPr>
                  <a:defRPr/>
                </a:pPr>
                <a:r>
                  <a:rPr lang="en-US"/>
                  <a:t>Mean leptin (pg/mL)</a:t>
                </a:r>
              </a:p>
            </c:rich>
          </c:tx>
          <c:layout/>
          <c:overlay val="0"/>
        </c:title>
        <c:numFmt formatCode="General" sourceLinked="1"/>
        <c:majorTickMark val="out"/>
        <c:minorTickMark val="none"/>
        <c:tickLblPos val="nextTo"/>
        <c:crossAx val="449569920"/>
        <c:crosses val="autoZero"/>
        <c:crossBetween val="between"/>
      </c:valAx>
    </c:plotArea>
    <c:plotVisOnly val="1"/>
    <c:dispBlanksAs val="gap"/>
    <c:showDLblsOverMax val="0"/>
  </c:chart>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Time'!$G$73</c:f>
              <c:strCache>
                <c:ptCount val="1"/>
                <c:pt idx="0">
                  <c:v>Avg leptin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Time'!$A$74:$B$82</c:f>
              <c:multiLvlStrCache>
                <c:ptCount val="9"/>
                <c:lvl>
                  <c:pt idx="0">
                    <c:v>0 min</c:v>
                  </c:pt>
                  <c:pt idx="1">
                    <c:v>120 min</c:v>
                  </c:pt>
                  <c:pt idx="2">
                    <c:v>420 min</c:v>
                  </c:pt>
                  <c:pt idx="3">
                    <c:v>0 min</c:v>
                  </c:pt>
                  <c:pt idx="4">
                    <c:v>120 min</c:v>
                  </c:pt>
                  <c:pt idx="5">
                    <c:v>420 min</c:v>
                  </c:pt>
                  <c:pt idx="6">
                    <c:v>0 min</c:v>
                  </c:pt>
                  <c:pt idx="7">
                    <c:v>120 min</c:v>
                  </c:pt>
                  <c:pt idx="8">
                    <c:v>420 min</c:v>
                  </c:pt>
                </c:lvl>
                <c:lvl>
                  <c:pt idx="0">
                    <c:v>ExN</c:v>
                  </c:pt>
                  <c:pt idx="3">
                    <c:v>ExP</c:v>
                  </c:pt>
                  <c:pt idx="6">
                    <c:v>IBW</c:v>
                  </c:pt>
                </c:lvl>
              </c:multiLvlStrCache>
            </c:multiLvlStrRef>
          </c:cat>
          <c:val>
            <c:numRef>
              <c:f>'Groups 4,5,6 By Point, Time'!$G$74:$G$82</c:f>
              <c:numCache>
                <c:formatCode>General</c:formatCode>
                <c:ptCount val="9"/>
                <c:pt idx="0">
                  <c:v>804.43564596203794</c:v>
                </c:pt>
                <c:pt idx="1">
                  <c:v>1196.4569187003001</c:v>
                </c:pt>
                <c:pt idx="2">
                  <c:v>1240.3650836564082</c:v>
                </c:pt>
                <c:pt idx="3">
                  <c:v>1331.2744993827832</c:v>
                </c:pt>
                <c:pt idx="4">
                  <c:v>1628.2755651073467</c:v>
                </c:pt>
                <c:pt idx="5">
                  <c:v>2202.4226826546201</c:v>
                </c:pt>
                <c:pt idx="6">
                  <c:v>338.47761092667196</c:v>
                </c:pt>
                <c:pt idx="7">
                  <c:v>700.77446283103757</c:v>
                </c:pt>
                <c:pt idx="8">
                  <c:v>1037.1431909281671</c:v>
                </c:pt>
              </c:numCache>
            </c:numRef>
          </c:val>
        </c:ser>
        <c:dLbls>
          <c:showLegendKey val="0"/>
          <c:showVal val="0"/>
          <c:showCatName val="0"/>
          <c:showSerName val="0"/>
          <c:showPercent val="0"/>
          <c:showBubbleSize val="0"/>
        </c:dLbls>
        <c:gapWidth val="50"/>
        <c:axId val="461617024"/>
        <c:axId val="461627392"/>
      </c:barChart>
      <c:catAx>
        <c:axId val="461617024"/>
        <c:scaling>
          <c:orientation val="minMax"/>
        </c:scaling>
        <c:delete val="0"/>
        <c:axPos val="b"/>
        <c:title>
          <c:tx>
            <c:rich>
              <a:bodyPr/>
              <a:lstStyle/>
              <a:p>
                <a:pPr>
                  <a:defRPr/>
                </a:pPr>
                <a:r>
                  <a:rPr lang="en-US"/>
                  <a:t>Group and time</a:t>
                </a:r>
              </a:p>
            </c:rich>
          </c:tx>
          <c:layout/>
          <c:overlay val="0"/>
        </c:title>
        <c:numFmt formatCode="General" sourceLinked="1"/>
        <c:majorTickMark val="none"/>
        <c:minorTickMark val="none"/>
        <c:tickLblPos val="nextTo"/>
        <c:crossAx val="461627392"/>
        <c:crosses val="autoZero"/>
        <c:auto val="1"/>
        <c:lblAlgn val="ctr"/>
        <c:lblOffset val="100"/>
        <c:noMultiLvlLbl val="0"/>
      </c:catAx>
      <c:valAx>
        <c:axId val="461627392"/>
        <c:scaling>
          <c:orientation val="minMax"/>
        </c:scaling>
        <c:delete val="0"/>
        <c:axPos val="l"/>
        <c:majorGridlines/>
        <c:minorGridlines/>
        <c:title>
          <c:tx>
            <c:rich>
              <a:bodyPr/>
              <a:lstStyle/>
              <a:p>
                <a:pPr>
                  <a:defRPr/>
                </a:pPr>
                <a:r>
                  <a:rPr lang="en-US"/>
                  <a:t>Mean leptin (pg/mL)</a:t>
                </a:r>
              </a:p>
            </c:rich>
          </c:tx>
          <c:layout/>
          <c:overlay val="0"/>
        </c:title>
        <c:numFmt formatCode="General" sourceLinked="1"/>
        <c:majorTickMark val="out"/>
        <c:minorTickMark val="none"/>
        <c:tickLblPos val="nextTo"/>
        <c:crossAx val="461617024"/>
        <c:crosses val="autoZero"/>
        <c:crossBetween val="between"/>
      </c:valAx>
    </c:plotArea>
    <c:plotVisOnly val="1"/>
    <c:dispBlanksAs val="gap"/>
    <c:showDLblsOverMax val="0"/>
  </c:chart>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Time'!$G$134</c:f>
              <c:strCache>
                <c:ptCount val="1"/>
                <c:pt idx="0">
                  <c:v>Avg leptin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Time'!$A$135:$B$140</c:f>
              <c:multiLvlStrCache>
                <c:ptCount val="6"/>
                <c:lvl>
                  <c:pt idx="0">
                    <c:v>B</c:v>
                  </c:pt>
                  <c:pt idx="1">
                    <c:v>E</c:v>
                  </c:pt>
                  <c:pt idx="2">
                    <c:v>B</c:v>
                  </c:pt>
                  <c:pt idx="3">
                    <c:v>E</c:v>
                  </c:pt>
                  <c:pt idx="4">
                    <c:v>B</c:v>
                  </c:pt>
                  <c:pt idx="5">
                    <c:v>E</c:v>
                  </c:pt>
                </c:lvl>
                <c:lvl>
                  <c:pt idx="0">
                    <c:v>ExN</c:v>
                  </c:pt>
                  <c:pt idx="2">
                    <c:v>ExP</c:v>
                  </c:pt>
                  <c:pt idx="4">
                    <c:v>IBW</c:v>
                  </c:pt>
                </c:lvl>
              </c:multiLvlStrCache>
            </c:multiLvlStrRef>
          </c:cat>
          <c:val>
            <c:numRef>
              <c:f>'Groups 4,5,6 By Point, Time'!$G$135:$G$140</c:f>
              <c:numCache>
                <c:formatCode>General</c:formatCode>
                <c:ptCount val="6"/>
                <c:pt idx="0">
                  <c:v>976.20172184865316</c:v>
                </c:pt>
                <c:pt idx="1">
                  <c:v>1973.9355689440636</c:v>
                </c:pt>
                <c:pt idx="2">
                  <c:v>1410.8370976506296</c:v>
                </c:pt>
                <c:pt idx="3">
                  <c:v>3966.6448432549241</c:v>
                </c:pt>
                <c:pt idx="4">
                  <c:v>611.09098964632801</c:v>
                </c:pt>
                <c:pt idx="5">
                  <c:v>1513.2153454201648</c:v>
                </c:pt>
              </c:numCache>
            </c:numRef>
          </c:val>
        </c:ser>
        <c:dLbls>
          <c:showLegendKey val="0"/>
          <c:showVal val="0"/>
          <c:showCatName val="0"/>
          <c:showSerName val="0"/>
          <c:showPercent val="0"/>
          <c:showBubbleSize val="0"/>
        </c:dLbls>
        <c:gapWidth val="50"/>
        <c:axId val="446822656"/>
        <c:axId val="446834944"/>
      </c:barChart>
      <c:catAx>
        <c:axId val="446822656"/>
        <c:scaling>
          <c:orientation val="minMax"/>
        </c:scaling>
        <c:delete val="0"/>
        <c:axPos val="b"/>
        <c:title>
          <c:tx>
            <c:rich>
              <a:bodyPr/>
              <a:lstStyle/>
              <a:p>
                <a:pPr>
                  <a:defRPr/>
                </a:pPr>
                <a:r>
                  <a:rPr lang="en-US"/>
                  <a:t>Isolated</a:t>
                </a:r>
                <a:r>
                  <a:rPr lang="en-US" baseline="0"/>
                  <a:t> for 420 min</a:t>
                </a:r>
                <a:endParaRPr lang="en-US"/>
              </a:p>
            </c:rich>
          </c:tx>
          <c:layout/>
          <c:overlay val="0"/>
        </c:title>
        <c:numFmt formatCode="General" sourceLinked="1"/>
        <c:majorTickMark val="none"/>
        <c:minorTickMark val="none"/>
        <c:tickLblPos val="nextTo"/>
        <c:crossAx val="446834944"/>
        <c:crosses val="autoZero"/>
        <c:auto val="1"/>
        <c:lblAlgn val="ctr"/>
        <c:lblOffset val="100"/>
        <c:noMultiLvlLbl val="0"/>
      </c:catAx>
      <c:valAx>
        <c:axId val="446834944"/>
        <c:scaling>
          <c:orientation val="minMax"/>
        </c:scaling>
        <c:delete val="0"/>
        <c:axPos val="l"/>
        <c:majorGridlines/>
        <c:minorGridlines/>
        <c:title>
          <c:tx>
            <c:rich>
              <a:bodyPr/>
              <a:lstStyle/>
              <a:p>
                <a:pPr>
                  <a:defRPr/>
                </a:pPr>
                <a:r>
                  <a:rPr lang="en-US"/>
                  <a:t>Mean leptin (pg/mL)</a:t>
                </a:r>
              </a:p>
            </c:rich>
          </c:tx>
          <c:layout/>
          <c:overlay val="0"/>
        </c:title>
        <c:numFmt formatCode="General" sourceLinked="1"/>
        <c:majorTickMark val="out"/>
        <c:minorTickMark val="none"/>
        <c:tickLblPos val="nextTo"/>
        <c:crossAx val="446822656"/>
        <c:crosses val="autoZero"/>
        <c:crossBetween val="between"/>
      </c:valAx>
    </c:plotArea>
    <c:plotVisOnly val="1"/>
    <c:dispBlanksAs val="gap"/>
    <c:showDLblsOverMax val="0"/>
  </c:chart>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Time'!$I$1</c:f>
              <c:strCache>
                <c:ptCount val="1"/>
                <c:pt idx="0">
                  <c:v>Avg adiponectin by group and point</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Time'!$A$2:$B$10</c:f>
              <c:multiLvlStrCache>
                <c:ptCount val="9"/>
                <c:lvl>
                  <c:pt idx="0">
                    <c:v>B</c:v>
                  </c:pt>
                  <c:pt idx="1">
                    <c:v>O</c:v>
                  </c:pt>
                  <c:pt idx="2">
                    <c:v>E</c:v>
                  </c:pt>
                  <c:pt idx="3">
                    <c:v>B</c:v>
                  </c:pt>
                  <c:pt idx="4">
                    <c:v>O</c:v>
                  </c:pt>
                  <c:pt idx="5">
                    <c:v>E</c:v>
                  </c:pt>
                  <c:pt idx="6">
                    <c:v>B</c:v>
                  </c:pt>
                  <c:pt idx="7">
                    <c:v>O</c:v>
                  </c:pt>
                  <c:pt idx="8">
                    <c:v>E</c:v>
                  </c:pt>
                </c:lvl>
                <c:lvl>
                  <c:pt idx="0">
                    <c:v>ExN</c:v>
                  </c:pt>
                  <c:pt idx="3">
                    <c:v>ExP</c:v>
                  </c:pt>
                  <c:pt idx="6">
                    <c:v>IBW</c:v>
                  </c:pt>
                </c:lvl>
              </c:multiLvlStrCache>
            </c:multiLvlStrRef>
          </c:cat>
          <c:val>
            <c:numRef>
              <c:f>'Groups 4,5,6 By Point, Time'!$I$2:$I$10</c:f>
              <c:numCache>
                <c:formatCode>General</c:formatCode>
                <c:ptCount val="9"/>
                <c:pt idx="0">
                  <c:v>30.996333333333329</c:v>
                </c:pt>
                <c:pt idx="1">
                  <c:v>18.396111111111111</c:v>
                </c:pt>
                <c:pt idx="2">
                  <c:v>17.116166666666668</c:v>
                </c:pt>
                <c:pt idx="3">
                  <c:v>16.444555555555556</c:v>
                </c:pt>
                <c:pt idx="4">
                  <c:v>12.031999999999998</c:v>
                </c:pt>
                <c:pt idx="5">
                  <c:v>11.166555555555556</c:v>
                </c:pt>
                <c:pt idx="6">
                  <c:v>22.050111111111111</c:v>
                </c:pt>
                <c:pt idx="7">
                  <c:v>22.427777777777777</c:v>
                </c:pt>
                <c:pt idx="8">
                  <c:v>11.273199999999999</c:v>
                </c:pt>
              </c:numCache>
            </c:numRef>
          </c:val>
        </c:ser>
        <c:dLbls>
          <c:showLegendKey val="0"/>
          <c:showVal val="0"/>
          <c:showCatName val="0"/>
          <c:showSerName val="0"/>
          <c:showPercent val="0"/>
          <c:showBubbleSize val="0"/>
        </c:dLbls>
        <c:gapWidth val="50"/>
        <c:axId val="459577984"/>
        <c:axId val="460024064"/>
      </c:barChart>
      <c:catAx>
        <c:axId val="459577984"/>
        <c:scaling>
          <c:orientation val="minMax"/>
        </c:scaling>
        <c:delete val="0"/>
        <c:axPos val="b"/>
        <c:title>
          <c:tx>
            <c:rich>
              <a:bodyPr/>
              <a:lstStyle/>
              <a:p>
                <a:pPr>
                  <a:defRPr/>
                </a:pPr>
                <a:r>
                  <a:rPr lang="en-US"/>
                  <a:t>Group and point</a:t>
                </a:r>
              </a:p>
            </c:rich>
          </c:tx>
          <c:layout/>
          <c:overlay val="0"/>
        </c:title>
        <c:numFmt formatCode="General" sourceLinked="1"/>
        <c:majorTickMark val="none"/>
        <c:minorTickMark val="none"/>
        <c:tickLblPos val="nextTo"/>
        <c:crossAx val="460024064"/>
        <c:crosses val="autoZero"/>
        <c:auto val="1"/>
        <c:lblAlgn val="ctr"/>
        <c:lblOffset val="100"/>
        <c:noMultiLvlLbl val="0"/>
      </c:catAx>
      <c:valAx>
        <c:axId val="460024064"/>
        <c:scaling>
          <c:orientation val="minMax"/>
        </c:scaling>
        <c:delete val="0"/>
        <c:axPos val="l"/>
        <c:majorGridlines/>
        <c:minorGridlines/>
        <c:title>
          <c:tx>
            <c:rich>
              <a:bodyPr/>
              <a:lstStyle/>
              <a:p>
                <a:pPr>
                  <a:defRPr/>
                </a:pPr>
                <a:r>
                  <a:rPr lang="en-US"/>
                  <a:t>Mean adiponectin (mg/L)</a:t>
                </a:r>
              </a:p>
            </c:rich>
          </c:tx>
          <c:layout/>
          <c:overlay val="0"/>
        </c:title>
        <c:numFmt formatCode="General" sourceLinked="1"/>
        <c:majorTickMark val="out"/>
        <c:minorTickMark val="none"/>
        <c:tickLblPos val="nextTo"/>
        <c:crossAx val="459577984"/>
        <c:crosses val="autoZero"/>
        <c:crossBetween val="between"/>
      </c:valAx>
    </c:plotArea>
    <c:plotVisOnly val="1"/>
    <c:dispBlanksAs val="gap"/>
    <c:showDLblsOverMax val="0"/>
  </c:chart>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Time'!$I$73</c:f>
              <c:strCache>
                <c:ptCount val="1"/>
                <c:pt idx="0">
                  <c:v>Avg adiponectin by group and time</c:v>
                </c:pt>
              </c:strCache>
            </c:strRef>
          </c:tx>
          <c:invertIfNegative val="0"/>
          <c:dPt>
            <c:idx val="1"/>
            <c:invertIfNegative val="0"/>
            <c:bubble3D val="0"/>
            <c:spPr>
              <a:solidFill>
                <a:schemeClr val="accent2"/>
              </a:solidFill>
            </c:spPr>
          </c:dPt>
          <c:dPt>
            <c:idx val="2"/>
            <c:invertIfNegative val="0"/>
            <c:bubble3D val="0"/>
            <c:spPr>
              <a:solidFill>
                <a:schemeClr val="accent3"/>
              </a:solidFill>
            </c:spPr>
          </c:dPt>
          <c:dPt>
            <c:idx val="4"/>
            <c:invertIfNegative val="0"/>
            <c:bubble3D val="0"/>
            <c:spPr>
              <a:solidFill>
                <a:schemeClr val="accent2"/>
              </a:solidFill>
            </c:spPr>
          </c:dPt>
          <c:dPt>
            <c:idx val="5"/>
            <c:invertIfNegative val="0"/>
            <c:bubble3D val="0"/>
            <c:spPr>
              <a:solidFill>
                <a:schemeClr val="accent3"/>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Time'!$A$74:$B$82</c:f>
              <c:multiLvlStrCache>
                <c:ptCount val="9"/>
                <c:lvl>
                  <c:pt idx="0">
                    <c:v>0 min</c:v>
                  </c:pt>
                  <c:pt idx="1">
                    <c:v>120 min</c:v>
                  </c:pt>
                  <c:pt idx="2">
                    <c:v>420 min</c:v>
                  </c:pt>
                  <c:pt idx="3">
                    <c:v>0 min</c:v>
                  </c:pt>
                  <c:pt idx="4">
                    <c:v>120 min</c:v>
                  </c:pt>
                  <c:pt idx="5">
                    <c:v>420 min</c:v>
                  </c:pt>
                  <c:pt idx="6">
                    <c:v>0 min</c:v>
                  </c:pt>
                  <c:pt idx="7">
                    <c:v>120 min</c:v>
                  </c:pt>
                  <c:pt idx="8">
                    <c:v>420 min</c:v>
                  </c:pt>
                </c:lvl>
                <c:lvl>
                  <c:pt idx="0">
                    <c:v>ExN</c:v>
                  </c:pt>
                  <c:pt idx="3">
                    <c:v>ExP</c:v>
                  </c:pt>
                  <c:pt idx="6">
                    <c:v>IBW</c:v>
                  </c:pt>
                </c:lvl>
              </c:multiLvlStrCache>
            </c:multiLvlStrRef>
          </c:cat>
          <c:val>
            <c:numRef>
              <c:f>'Groups 4,5,6 By Point, Time'!$I$74:$I$82</c:f>
              <c:numCache>
                <c:formatCode>General</c:formatCode>
                <c:ptCount val="9"/>
                <c:pt idx="0">
                  <c:v>19.285999999999998</c:v>
                </c:pt>
                <c:pt idx="1">
                  <c:v>24.28594444444445</c:v>
                </c:pt>
                <c:pt idx="2">
                  <c:v>23.059777777777779</c:v>
                </c:pt>
                <c:pt idx="3">
                  <c:v>11.325222222222223</c:v>
                </c:pt>
                <c:pt idx="4">
                  <c:v>16.278222222222222</c:v>
                </c:pt>
                <c:pt idx="5">
                  <c:v>12.039666666666667</c:v>
                </c:pt>
                <c:pt idx="6">
                  <c:v>19.101444444444446</c:v>
                </c:pt>
                <c:pt idx="7">
                  <c:v>23.02772222222222</c:v>
                </c:pt>
                <c:pt idx="8">
                  <c:v>13.605399999999999</c:v>
                </c:pt>
              </c:numCache>
            </c:numRef>
          </c:val>
        </c:ser>
        <c:dLbls>
          <c:showLegendKey val="0"/>
          <c:showVal val="0"/>
          <c:showCatName val="0"/>
          <c:showSerName val="0"/>
          <c:showPercent val="0"/>
          <c:showBubbleSize val="0"/>
        </c:dLbls>
        <c:gapWidth val="50"/>
        <c:axId val="464325248"/>
        <c:axId val="463856384"/>
      </c:barChart>
      <c:catAx>
        <c:axId val="464325248"/>
        <c:scaling>
          <c:orientation val="minMax"/>
        </c:scaling>
        <c:delete val="0"/>
        <c:axPos val="b"/>
        <c:title>
          <c:tx>
            <c:rich>
              <a:bodyPr/>
              <a:lstStyle/>
              <a:p>
                <a:pPr>
                  <a:defRPr/>
                </a:pPr>
                <a:r>
                  <a:rPr lang="en-US"/>
                  <a:t>Group and time</a:t>
                </a:r>
              </a:p>
            </c:rich>
          </c:tx>
          <c:layout/>
          <c:overlay val="0"/>
        </c:title>
        <c:majorTickMark val="none"/>
        <c:minorTickMark val="none"/>
        <c:tickLblPos val="nextTo"/>
        <c:crossAx val="463856384"/>
        <c:crosses val="autoZero"/>
        <c:auto val="1"/>
        <c:lblAlgn val="ctr"/>
        <c:lblOffset val="100"/>
        <c:noMultiLvlLbl val="0"/>
      </c:catAx>
      <c:valAx>
        <c:axId val="463856384"/>
        <c:scaling>
          <c:orientation val="minMax"/>
        </c:scaling>
        <c:delete val="0"/>
        <c:axPos val="l"/>
        <c:majorGridlines/>
        <c:minorGridlines/>
        <c:title>
          <c:tx>
            <c:rich>
              <a:bodyPr/>
              <a:lstStyle/>
              <a:p>
                <a:pPr>
                  <a:defRPr/>
                </a:pPr>
                <a:r>
                  <a:rPr lang="en-US"/>
                  <a:t>Adiponectin (mg/L)</a:t>
                </a:r>
              </a:p>
            </c:rich>
          </c:tx>
          <c:layout/>
          <c:overlay val="0"/>
        </c:title>
        <c:numFmt formatCode="General" sourceLinked="1"/>
        <c:majorTickMark val="out"/>
        <c:minorTickMark val="none"/>
        <c:tickLblPos val="nextTo"/>
        <c:crossAx val="464325248"/>
        <c:crosses val="autoZero"/>
        <c:crossBetween val="between"/>
      </c:valAx>
    </c:plotArea>
    <c:plotVisOnly val="1"/>
    <c:dispBlanksAs val="gap"/>
    <c:showDLblsOverMax val="0"/>
  </c:chart>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'Groups 4,5,6 By Point, Time'!$I$134</c:f>
              <c:strCache>
                <c:ptCount val="1"/>
                <c:pt idx="0">
                  <c:v>Avg adiponectin by 420 min</c:v>
                </c:pt>
              </c:strCache>
            </c:strRef>
          </c:tx>
          <c:invertIfNegative val="0"/>
          <c:dPt>
            <c:idx val="1"/>
            <c:invertIfNegative val="0"/>
            <c:bubble3D val="0"/>
            <c:spPr>
              <a:solidFill>
                <a:schemeClr val="accent2"/>
              </a:solidFill>
            </c:spPr>
          </c:dPt>
          <c:dPt>
            <c:idx val="2"/>
            <c:invertIfNegative val="0"/>
            <c:bubble3D val="0"/>
            <c:spPr>
              <a:solidFill>
                <a:schemeClr val="accent1"/>
              </a:solidFill>
            </c:spPr>
          </c:dPt>
          <c:dPt>
            <c:idx val="3"/>
            <c:invertIfNegative val="0"/>
            <c:bubble3D val="0"/>
            <c:spPr>
              <a:solidFill>
                <a:schemeClr val="accent2"/>
              </a:solidFill>
            </c:spPr>
          </c:dPt>
          <c:dPt>
            <c:idx val="4"/>
            <c:invertIfNegative val="0"/>
            <c:bubble3D val="0"/>
            <c:spPr>
              <a:solidFill>
                <a:schemeClr val="accent1"/>
              </a:solidFill>
            </c:spPr>
          </c:dPt>
          <c:dPt>
            <c:idx val="5"/>
            <c:invertIfNegative val="0"/>
            <c:bubble3D val="0"/>
            <c:spPr>
              <a:solidFill>
                <a:schemeClr val="accent2"/>
              </a:solidFill>
            </c:spPr>
          </c:dPt>
          <c:dPt>
            <c:idx val="7"/>
            <c:invertIfNegative val="0"/>
            <c:bubble3D val="0"/>
            <c:spPr>
              <a:solidFill>
                <a:schemeClr val="accent2"/>
              </a:solidFill>
            </c:spPr>
          </c:dPt>
          <c:dPt>
            <c:idx val="8"/>
            <c:invertIfNegative val="0"/>
            <c:bubble3D val="0"/>
            <c:spPr>
              <a:solidFill>
                <a:schemeClr val="accent3"/>
              </a:solidFill>
            </c:spPr>
          </c:dPt>
          <c:dPt>
            <c:idx val="10"/>
            <c:invertIfNegative val="0"/>
            <c:bubble3D val="0"/>
            <c:spPr>
              <a:solidFill>
                <a:schemeClr val="accent2"/>
              </a:solidFill>
            </c:spPr>
          </c:dPt>
          <c:dPt>
            <c:idx val="11"/>
            <c:invertIfNegative val="0"/>
            <c:bubble3D val="0"/>
            <c:spPr>
              <a:solidFill>
                <a:schemeClr val="accent3"/>
              </a:solidFill>
            </c:spPr>
          </c:dPt>
          <c:cat>
            <c:multiLvlStrRef>
              <c:f>'Groups 4,5,6 By Point, Time'!$A$135:$B$140</c:f>
              <c:multiLvlStrCache>
                <c:ptCount val="6"/>
                <c:lvl>
                  <c:pt idx="0">
                    <c:v>B</c:v>
                  </c:pt>
                  <c:pt idx="1">
                    <c:v>E</c:v>
                  </c:pt>
                  <c:pt idx="2">
                    <c:v>B</c:v>
                  </c:pt>
                  <c:pt idx="3">
                    <c:v>E</c:v>
                  </c:pt>
                  <c:pt idx="4">
                    <c:v>B</c:v>
                  </c:pt>
                  <c:pt idx="5">
                    <c:v>E</c:v>
                  </c:pt>
                </c:lvl>
                <c:lvl>
                  <c:pt idx="0">
                    <c:v>ExN</c:v>
                  </c:pt>
                  <c:pt idx="2">
                    <c:v>ExP</c:v>
                  </c:pt>
                  <c:pt idx="4">
                    <c:v>IBW</c:v>
                  </c:pt>
                </c:lvl>
              </c:multiLvlStrCache>
            </c:multiLvlStrRef>
          </c:cat>
          <c:val>
            <c:numRef>
              <c:f>'Groups 4,5,6 By Point, Time'!$I$135:$I$140</c:f>
              <c:numCache>
                <c:formatCode>General</c:formatCode>
                <c:ptCount val="6"/>
                <c:pt idx="0">
                  <c:v>35.464666666666666</c:v>
                </c:pt>
                <c:pt idx="1">
                  <c:v>14.353166666666667</c:v>
                </c:pt>
                <c:pt idx="2">
                  <c:v>15.705833333333333</c:v>
                </c:pt>
                <c:pt idx="3">
                  <c:v>9.4535</c:v>
                </c:pt>
                <c:pt idx="4">
                  <c:v>20.376166666666666</c:v>
                </c:pt>
                <c:pt idx="5">
                  <c:v>9.9011999999999993</c:v>
                </c:pt>
              </c:numCache>
            </c:numRef>
          </c:val>
        </c:ser>
        <c:dLbls>
          <c:showLegendKey val="0"/>
          <c:showVal val="0"/>
          <c:showCatName val="0"/>
          <c:showSerName val="0"/>
          <c:showPercent val="0"/>
          <c:showBubbleSize val="0"/>
        </c:dLbls>
        <c:gapWidth val="50"/>
        <c:axId val="449318272"/>
        <c:axId val="502410240"/>
      </c:barChart>
      <c:catAx>
        <c:axId val="449318272"/>
        <c:scaling>
          <c:orientation val="minMax"/>
        </c:scaling>
        <c:delete val="0"/>
        <c:axPos val="b"/>
        <c:title>
          <c:tx>
            <c:rich>
              <a:bodyPr/>
              <a:lstStyle/>
              <a:p>
                <a:pPr>
                  <a:defRPr/>
                </a:pPr>
                <a:r>
                  <a:rPr lang="en-US"/>
                  <a:t>Isolated</a:t>
                </a:r>
                <a:r>
                  <a:rPr lang="en-US" baseline="0"/>
                  <a:t> for 420 min</a:t>
                </a:r>
                <a:endParaRPr lang="en-US"/>
              </a:p>
            </c:rich>
          </c:tx>
          <c:layout/>
          <c:overlay val="0"/>
        </c:title>
        <c:majorTickMark val="none"/>
        <c:minorTickMark val="none"/>
        <c:tickLblPos val="nextTo"/>
        <c:crossAx val="502410240"/>
        <c:crosses val="autoZero"/>
        <c:auto val="1"/>
        <c:lblAlgn val="ctr"/>
        <c:lblOffset val="100"/>
        <c:noMultiLvlLbl val="0"/>
      </c:catAx>
      <c:valAx>
        <c:axId val="502410240"/>
        <c:scaling>
          <c:orientation val="minMax"/>
        </c:scaling>
        <c:delete val="0"/>
        <c:axPos val="l"/>
        <c:majorGridlines/>
        <c:minorGridlines/>
        <c:title>
          <c:tx>
            <c:rich>
              <a:bodyPr/>
              <a:lstStyle/>
              <a:p>
                <a:pPr>
                  <a:defRPr/>
                </a:pPr>
                <a:r>
                  <a:rPr lang="en-US"/>
                  <a:t>Adiponectin (mg/L)</a:t>
                </a:r>
              </a:p>
            </c:rich>
          </c:tx>
          <c:layout/>
          <c:overlay val="0"/>
        </c:title>
        <c:numFmt formatCode="General" sourceLinked="1"/>
        <c:majorTickMark val="out"/>
        <c:minorTickMark val="none"/>
        <c:tickLblPos val="nextTo"/>
        <c:crossAx val="449318272"/>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0A19AB-47F6-4700-A7BD-6DF9F4687F0A}" type="doc">
      <dgm:prSet loTypeId="urn:microsoft.com/office/officeart/2005/8/layout/hierarchy2" loCatId="hierarchy" qsTypeId="urn:microsoft.com/office/officeart/2005/8/quickstyle/simple1" qsCatId="simple" csTypeId="urn:microsoft.com/office/officeart/2005/8/colors/accent1_1" csCatId="accent1" phldr="1"/>
      <dgm:spPr/>
      <dgm:t>
        <a:bodyPr/>
        <a:lstStyle/>
        <a:p>
          <a:endParaRPr lang="en-US"/>
        </a:p>
      </dgm:t>
    </dgm:pt>
    <dgm:pt modelId="{A333F07D-7D42-4605-B164-DB77597E10FA}">
      <dgm:prSet phldrT="[Text]" custT="1"/>
      <dgm:spPr/>
      <dgm:t>
        <a:bodyPr/>
        <a:lstStyle/>
        <a:p>
          <a:r>
            <a:rPr lang="en-US" sz="1000" b="1" u="none">
              <a:latin typeface="Arial" panose="020B0604020202020204" pitchFamily="34" charset="0"/>
              <a:cs typeface="Arial" panose="020B0604020202020204" pitchFamily="34" charset="0"/>
            </a:rPr>
            <a:t>24 Dogs</a:t>
          </a:r>
        </a:p>
      </dgm:t>
    </dgm:pt>
    <dgm:pt modelId="{8F74A5A0-E2CF-4CEA-B248-CC6631FFEEF2}" type="parTrans" cxnId="{20CB0874-9E83-4FE4-94F2-D6A44C993829}">
      <dgm:prSet/>
      <dgm:spPr/>
      <dgm:t>
        <a:bodyPr/>
        <a:lstStyle/>
        <a:p>
          <a:endParaRPr lang="en-US"/>
        </a:p>
      </dgm:t>
    </dgm:pt>
    <dgm:pt modelId="{D5BEE57A-DC0D-4667-9AA8-9D5B14943B6D}" type="sibTrans" cxnId="{20CB0874-9E83-4FE4-94F2-D6A44C993829}">
      <dgm:prSet/>
      <dgm:spPr/>
      <dgm:t>
        <a:bodyPr/>
        <a:lstStyle/>
        <a:p>
          <a:endParaRPr lang="en-US"/>
        </a:p>
      </dgm:t>
    </dgm:pt>
    <dgm:pt modelId="{6DF63384-3CB9-4C23-BF5C-D38B6E2AD789}">
      <dgm:prSet phldrT="[Text]" custT="1"/>
      <dgm:spPr/>
      <dgm:t>
        <a:bodyPr/>
        <a:lstStyle/>
        <a:p>
          <a:r>
            <a:rPr lang="en-US" sz="1000" b="1">
              <a:latin typeface="Arial" panose="020B0604020202020204" pitchFamily="34" charset="0"/>
              <a:cs typeface="Arial" panose="020B0604020202020204" pitchFamily="34" charset="0"/>
            </a:rPr>
            <a:t>ESTABLISH IDEAL BW AND MER</a:t>
          </a:r>
        </a:p>
        <a:p>
          <a:r>
            <a:rPr lang="en-US" sz="1000">
              <a:latin typeface="Arial" panose="020B0604020202020204" pitchFamily="34" charset="0"/>
              <a:cs typeface="Arial" panose="020B0604020202020204" pitchFamily="34" charset="0"/>
            </a:rPr>
            <a:t>DXA 20 % BF + 5/9 BCS</a:t>
          </a:r>
        </a:p>
        <a:p>
          <a:r>
            <a:rPr lang="en-US" sz="1000">
              <a:latin typeface="Arial" panose="020B0604020202020204" pitchFamily="34" charset="0"/>
              <a:cs typeface="Arial" panose="020B0604020202020204" pitchFamily="34" charset="0"/>
            </a:rPr>
            <a:t>3 (ObP, WLD, IBW) or 4 weeks (ObN)</a:t>
          </a:r>
        </a:p>
      </dgm:t>
    </dgm:pt>
    <dgm:pt modelId="{F05F0182-4C65-464B-82FD-01951A44B9A9}" type="parTrans" cxnId="{2E25086A-343E-4B3D-B0E0-6D07C6F3E821}">
      <dgm:prSet/>
      <dgm:spPr/>
      <dgm:t>
        <a:bodyPr/>
        <a:lstStyle/>
        <a:p>
          <a:endParaRPr lang="en-US"/>
        </a:p>
      </dgm:t>
    </dgm:pt>
    <dgm:pt modelId="{4B6AF736-0094-4C3B-B5CD-EC8AFCE27EAF}" type="sibTrans" cxnId="{2E25086A-343E-4B3D-B0E0-6D07C6F3E821}">
      <dgm:prSet/>
      <dgm:spPr/>
      <dgm:t>
        <a:bodyPr/>
        <a:lstStyle/>
        <a:p>
          <a:endParaRPr lang="en-US"/>
        </a:p>
      </dgm:t>
    </dgm:pt>
    <dgm:pt modelId="{30647897-A0AB-4D24-80E2-5C4448E7E01B}">
      <dgm:prSet phldrT="[Text]" custT="1"/>
      <dgm:spPr/>
      <dgm:t>
        <a:bodyPr/>
        <a:lstStyle/>
        <a:p>
          <a:r>
            <a:rPr lang="en-US" sz="1000" b="1">
              <a:latin typeface="Arial" panose="020B0604020202020204" pitchFamily="34" charset="0"/>
              <a:cs typeface="Arial" panose="020B0604020202020204" pitchFamily="34" charset="0"/>
            </a:rPr>
            <a:t>OBESIFICATION</a:t>
          </a:r>
        </a:p>
        <a:p>
          <a:r>
            <a:rPr lang="en-US" sz="1000">
              <a:latin typeface="Arial" panose="020B0604020202020204" pitchFamily="34" charset="0"/>
              <a:cs typeface="Arial" panose="020B0604020202020204" pitchFamily="34" charset="0"/>
            </a:rPr>
            <a:t>MER</a:t>
          </a:r>
          <a:r>
            <a:rPr lang="en-US" sz="1000" baseline="-25000">
              <a:latin typeface="Arial" panose="020B0604020202020204" pitchFamily="34" charset="0"/>
              <a:cs typeface="Arial" panose="020B0604020202020204" pitchFamily="34" charset="0"/>
            </a:rPr>
            <a:t>ideal</a:t>
          </a:r>
          <a:r>
            <a:rPr lang="en-US" sz="1000">
              <a:latin typeface="Arial" panose="020B0604020202020204" pitchFamily="34" charset="0"/>
              <a:cs typeface="Arial" panose="020B0604020202020204" pitchFamily="34" charset="0"/>
            </a:rPr>
            <a:t> + excess calories</a:t>
          </a:r>
        </a:p>
        <a:p>
          <a:r>
            <a:rPr lang="en-US" sz="1000">
              <a:latin typeface="Arial" panose="020B0604020202020204" pitchFamily="34" charset="0"/>
              <a:cs typeface="Arial" panose="020B0604020202020204" pitchFamily="34" charset="0"/>
            </a:rPr>
            <a:t>DXA &gt; 30% BF + 7/9 BCS</a:t>
          </a:r>
        </a:p>
        <a:p>
          <a:r>
            <a:rPr lang="en-US" sz="1000">
              <a:latin typeface="Arial" panose="020B0604020202020204" pitchFamily="34" charset="0"/>
              <a:cs typeface="Arial" panose="020B0604020202020204" pitchFamily="34" charset="0"/>
            </a:rPr>
            <a:t>13 weeks</a:t>
          </a:r>
        </a:p>
      </dgm:t>
    </dgm:pt>
    <dgm:pt modelId="{9DFB8BF5-D6A9-4867-A38C-AAB699B2436B}" type="parTrans" cxnId="{AB27CE96-0887-41BE-8A2A-6BA2820F30FB}">
      <dgm:prSet/>
      <dgm:spPr/>
      <dgm:t>
        <a:bodyPr/>
        <a:lstStyle/>
        <a:p>
          <a:endParaRPr lang="en-US"/>
        </a:p>
      </dgm:t>
    </dgm:pt>
    <dgm:pt modelId="{460C6376-FFFC-4287-A579-3C0FCE10A325}" type="sibTrans" cxnId="{AB27CE96-0887-41BE-8A2A-6BA2820F30FB}">
      <dgm:prSet/>
      <dgm:spPr/>
      <dgm:t>
        <a:bodyPr/>
        <a:lstStyle/>
        <a:p>
          <a:endParaRPr lang="en-US"/>
        </a:p>
      </dgm:t>
    </dgm:pt>
    <dgm:pt modelId="{FA004A86-CD17-4755-822B-D59FF809760C}">
      <dgm:prSet custT="1"/>
      <dgm:spPr/>
      <dgm:t>
        <a:bodyPr/>
        <a:lstStyle/>
        <a:p>
          <a:r>
            <a:rPr lang="en-US" sz="1000" b="1" dirty="0">
              <a:latin typeface="Arial" panose="020B0604020202020204" pitchFamily="34" charset="0"/>
              <a:cs typeface="Arial" panose="020B0604020202020204" pitchFamily="34" charset="0"/>
            </a:rPr>
            <a:t>TREATMENT</a:t>
          </a:r>
        </a:p>
        <a:p>
          <a:r>
            <a:rPr lang="en-US" sz="1000" dirty="0">
              <a:latin typeface="Arial" panose="020B0604020202020204" pitchFamily="34" charset="0"/>
              <a:cs typeface="Arial" panose="020B0604020202020204" pitchFamily="34" charset="0"/>
            </a:rPr>
            <a:t>Group ObN</a:t>
          </a:r>
          <a:r>
            <a:rPr lang="en-US" sz="1000" dirty="0" smtClean="0">
              <a:latin typeface="Arial" panose="020B0604020202020204" pitchFamily="34" charset="0"/>
              <a:cs typeface="Arial" panose="020B0604020202020204" pitchFamily="34" charset="0"/>
            </a:rPr>
            <a:t> (6 dogs)</a:t>
          </a:r>
          <a:endParaRPr lang="en-US" sz="1000" dirty="0">
            <a:latin typeface="Arial" panose="020B0604020202020204" pitchFamily="34" charset="0"/>
            <a:cs typeface="Arial" panose="020B0604020202020204" pitchFamily="34" charset="0"/>
          </a:endParaRPr>
        </a:p>
        <a:p>
          <a:r>
            <a:rPr lang="en-US" sz="1000" dirty="0" smtClean="0">
              <a:latin typeface="Arial" panose="020B0604020202020204" pitchFamily="34" charset="0"/>
              <a:cs typeface="Arial" panose="020B0604020202020204" pitchFamily="34" charset="0"/>
            </a:rPr>
            <a:t>MER</a:t>
          </a:r>
          <a:r>
            <a:rPr lang="en-US" sz="1000" baseline="-25000" dirty="0" smtClean="0">
              <a:latin typeface="Arial" panose="020B0604020202020204" pitchFamily="34" charset="0"/>
              <a:cs typeface="Arial" panose="020B0604020202020204" pitchFamily="34" charset="0"/>
            </a:rPr>
            <a:t>Ideal</a:t>
          </a:r>
        </a:p>
        <a:p>
          <a:r>
            <a:rPr lang="en-US" sz="1000" dirty="0" smtClean="0">
              <a:latin typeface="Arial" panose="020B0604020202020204" pitchFamily="34" charset="0"/>
              <a:cs typeface="Arial" panose="020B0604020202020204" pitchFamily="34" charset="0"/>
            </a:rPr>
            <a:t>CAD + nutraceutical</a:t>
          </a:r>
          <a:endParaRPr lang="en-US" sz="1000" dirty="0">
            <a:latin typeface="Arial" panose="020B0604020202020204" pitchFamily="34" charset="0"/>
            <a:cs typeface="Arial" panose="020B0604020202020204" pitchFamily="34" charset="0"/>
          </a:endParaRPr>
        </a:p>
        <a:p>
          <a:r>
            <a:rPr lang="en-US" sz="1000" dirty="0">
              <a:latin typeface="Arial" panose="020B0604020202020204" pitchFamily="34" charset="0"/>
              <a:cs typeface="Arial" panose="020B0604020202020204" pitchFamily="34" charset="0"/>
            </a:rPr>
            <a:t>12 weeks </a:t>
          </a:r>
          <a:r>
            <a:rPr lang="en-US" sz="1000" dirty="0" smtClean="0">
              <a:latin typeface="Arial" panose="020B0604020202020204" pitchFamily="34" charset="0"/>
              <a:cs typeface="Arial" panose="020B0604020202020204" pitchFamily="34" charset="0"/>
            </a:rPr>
            <a:t>or </a:t>
          </a:r>
          <a:r>
            <a:rPr lang="en-US" sz="1000" dirty="0">
              <a:latin typeface="Arial" panose="020B0604020202020204" pitchFamily="34" charset="0"/>
              <a:cs typeface="Arial" panose="020B0604020202020204" pitchFamily="34" charset="0"/>
            </a:rPr>
            <a:t>to 20% BF</a:t>
          </a:r>
          <a:endParaRPr lang="en-US" sz="1000">
            <a:latin typeface="Arial" panose="020B0604020202020204" pitchFamily="34" charset="0"/>
            <a:cs typeface="Arial" panose="020B0604020202020204" pitchFamily="34" charset="0"/>
          </a:endParaRPr>
        </a:p>
      </dgm:t>
    </dgm:pt>
    <dgm:pt modelId="{C7FD02FE-E839-4A1E-86E1-4018AC518C60}" type="parTrans" cxnId="{DABFF43A-2173-4BF9-81C5-12711A9C06A1}">
      <dgm:prSet/>
      <dgm:spPr/>
      <dgm:t>
        <a:bodyPr/>
        <a:lstStyle/>
        <a:p>
          <a:endParaRPr lang="en-US"/>
        </a:p>
      </dgm:t>
    </dgm:pt>
    <dgm:pt modelId="{89B8348D-CC09-4F9C-A25E-73B1FC3858F3}" type="sibTrans" cxnId="{DABFF43A-2173-4BF9-81C5-12711A9C06A1}">
      <dgm:prSet/>
      <dgm:spPr/>
      <dgm:t>
        <a:bodyPr/>
        <a:lstStyle/>
        <a:p>
          <a:endParaRPr lang="en-US"/>
        </a:p>
      </dgm:t>
    </dgm:pt>
    <dgm:pt modelId="{3D917D49-7294-4C38-BDB7-1FE87C55CFE9}">
      <dgm:prSet custT="1"/>
      <dgm:spPr/>
      <dgm:t>
        <a:bodyPr/>
        <a:lstStyle/>
        <a:p>
          <a:r>
            <a:rPr lang="en-US" sz="1000" b="1" dirty="0">
              <a:latin typeface="Arial" panose="020B0604020202020204" pitchFamily="34" charset="0"/>
              <a:cs typeface="Arial" panose="020B0604020202020204" pitchFamily="34" charset="0"/>
            </a:rPr>
            <a:t>TREATMENT</a:t>
          </a:r>
        </a:p>
        <a:p>
          <a:r>
            <a:rPr lang="en-US" sz="1000" dirty="0">
              <a:latin typeface="Arial" panose="020B0604020202020204" pitchFamily="34" charset="0"/>
              <a:cs typeface="Arial" panose="020B0604020202020204" pitchFamily="34" charset="0"/>
            </a:rPr>
            <a:t>Group ObP</a:t>
          </a:r>
          <a:r>
            <a:rPr lang="en-US" sz="1000" dirty="0" smtClean="0">
              <a:latin typeface="Arial" panose="020B0604020202020204" pitchFamily="34" charset="0"/>
              <a:cs typeface="Arial" panose="020B0604020202020204" pitchFamily="34" charset="0"/>
            </a:rPr>
            <a:t> (6 dogs)</a:t>
          </a:r>
          <a:endParaRPr lang="en-US" sz="1000" dirty="0">
            <a:latin typeface="Arial" panose="020B0604020202020204" pitchFamily="34" charset="0"/>
            <a:cs typeface="Arial" panose="020B0604020202020204" pitchFamily="34" charset="0"/>
          </a:endParaRPr>
        </a:p>
        <a:p>
          <a:r>
            <a:rPr lang="en-US" sz="1000" dirty="0" smtClean="0">
              <a:latin typeface="Arial" panose="020B0604020202020204" pitchFamily="34" charset="0"/>
              <a:cs typeface="Arial" panose="020B0604020202020204" pitchFamily="34" charset="0"/>
            </a:rPr>
            <a:t>MERIdeal</a:t>
          </a:r>
        </a:p>
        <a:p>
          <a:r>
            <a:rPr lang="en-US" sz="1000" dirty="0" smtClean="0">
              <a:latin typeface="Arial" panose="020B0604020202020204" pitchFamily="34" charset="0"/>
              <a:cs typeface="Arial" panose="020B0604020202020204" pitchFamily="34" charset="0"/>
            </a:rPr>
            <a:t>CAD + </a:t>
          </a:r>
          <a:r>
            <a:rPr lang="en-US" sz="1000" dirty="0">
              <a:latin typeface="Arial" panose="020B0604020202020204" pitchFamily="34" charset="0"/>
              <a:cs typeface="Arial" panose="020B0604020202020204" pitchFamily="34" charset="0"/>
            </a:rPr>
            <a:t>placebo</a:t>
          </a:r>
        </a:p>
        <a:p>
          <a:r>
            <a:rPr lang="en-US" sz="1000" dirty="0">
              <a:latin typeface="Arial" panose="020B0604020202020204" pitchFamily="34" charset="0"/>
              <a:cs typeface="Arial" panose="020B0604020202020204" pitchFamily="34" charset="0"/>
            </a:rPr>
            <a:t>12 weeks </a:t>
          </a:r>
          <a:r>
            <a:rPr lang="en-US" sz="1000" dirty="0" smtClean="0">
              <a:latin typeface="Arial" panose="020B0604020202020204" pitchFamily="34" charset="0"/>
              <a:cs typeface="Arial" panose="020B0604020202020204" pitchFamily="34" charset="0"/>
            </a:rPr>
            <a:t>or </a:t>
          </a:r>
          <a:r>
            <a:rPr lang="en-US" sz="1000" dirty="0">
              <a:latin typeface="Arial" panose="020B0604020202020204" pitchFamily="34" charset="0"/>
              <a:cs typeface="Arial" panose="020B0604020202020204" pitchFamily="34" charset="0"/>
            </a:rPr>
            <a:t>to 20% BF</a:t>
          </a:r>
          <a:endParaRPr lang="en-US" sz="1000">
            <a:latin typeface="Arial" panose="020B0604020202020204" pitchFamily="34" charset="0"/>
            <a:cs typeface="Arial" panose="020B0604020202020204" pitchFamily="34" charset="0"/>
          </a:endParaRPr>
        </a:p>
      </dgm:t>
    </dgm:pt>
    <dgm:pt modelId="{E4D25C68-033A-46C7-AC88-161DF2A292E7}" type="parTrans" cxnId="{97EBB652-4C30-4677-A64B-A6C33B480EDE}">
      <dgm:prSet/>
      <dgm:spPr/>
      <dgm:t>
        <a:bodyPr/>
        <a:lstStyle/>
        <a:p>
          <a:endParaRPr lang="en-US"/>
        </a:p>
      </dgm:t>
    </dgm:pt>
    <dgm:pt modelId="{32232FF9-E538-4ACE-ACA3-B2BFDBB9AEE4}" type="sibTrans" cxnId="{97EBB652-4C30-4677-A64B-A6C33B480EDE}">
      <dgm:prSet/>
      <dgm:spPr/>
      <dgm:t>
        <a:bodyPr/>
        <a:lstStyle/>
        <a:p>
          <a:endParaRPr lang="en-US"/>
        </a:p>
      </dgm:t>
    </dgm:pt>
    <dgm:pt modelId="{3F00C894-8000-4AAC-BA3A-2D038833E9D0}">
      <dgm:prSet custT="1"/>
      <dgm:spPr/>
      <dgm:t>
        <a:bodyPr/>
        <a:lstStyle/>
        <a:p>
          <a:r>
            <a:rPr lang="en-US" sz="1000" b="1" dirty="0">
              <a:latin typeface="Arial" panose="020B0604020202020204" pitchFamily="34" charset="0"/>
              <a:cs typeface="Arial" panose="020B0604020202020204" pitchFamily="34" charset="0"/>
            </a:rPr>
            <a:t>TREATMENT</a:t>
          </a:r>
        </a:p>
        <a:p>
          <a:r>
            <a:rPr lang="en-US" sz="1000" dirty="0">
              <a:latin typeface="Arial" panose="020B0604020202020204" pitchFamily="34" charset="0"/>
              <a:cs typeface="Arial" panose="020B0604020202020204" pitchFamily="34" charset="0"/>
            </a:rPr>
            <a:t>Group WLD</a:t>
          </a:r>
          <a:r>
            <a:rPr lang="en-US" sz="1000" dirty="0" smtClean="0">
              <a:latin typeface="Arial" panose="020B0604020202020204" pitchFamily="34" charset="0"/>
              <a:cs typeface="Arial" panose="020B0604020202020204" pitchFamily="34" charset="0"/>
            </a:rPr>
            <a:t> (6 dogs)</a:t>
          </a:r>
        </a:p>
        <a:p>
          <a:r>
            <a:rPr lang="en-US" sz="1000" dirty="0" smtClean="0">
              <a:latin typeface="Arial" panose="020B0604020202020204" pitchFamily="34" charset="0"/>
              <a:cs typeface="Arial" panose="020B0604020202020204" pitchFamily="34" charset="0"/>
            </a:rPr>
            <a:t>POSITIVE CONTROL</a:t>
          </a:r>
          <a:endParaRPr lang="en-US" sz="1000" dirty="0">
            <a:latin typeface="Arial" panose="020B0604020202020204" pitchFamily="34" charset="0"/>
            <a:cs typeface="Arial" panose="020B0604020202020204" pitchFamily="34" charset="0"/>
          </a:endParaRPr>
        </a:p>
        <a:p>
          <a:r>
            <a:rPr lang="en-US" sz="1000" dirty="0" smtClean="0">
              <a:latin typeface="Arial" panose="020B0604020202020204" pitchFamily="34" charset="0"/>
              <a:cs typeface="Arial" panose="020B0604020202020204" pitchFamily="34" charset="0"/>
            </a:rPr>
            <a:t>MERIdeal</a:t>
          </a:r>
        </a:p>
        <a:p>
          <a:r>
            <a:rPr lang="en-US" sz="1000" dirty="0" err="1" smtClean="0">
              <a:latin typeface="Arial" panose="020B0604020202020204" pitchFamily="34" charset="0"/>
              <a:cs typeface="Arial" panose="020B0604020202020204" pitchFamily="34" charset="0"/>
            </a:rPr>
            <a:t>WLD</a:t>
          </a:r>
          <a:endParaRPr lang="en-US" sz="1000" dirty="0">
            <a:latin typeface="Arial" panose="020B0604020202020204" pitchFamily="34" charset="0"/>
            <a:cs typeface="Arial" panose="020B0604020202020204" pitchFamily="34" charset="0"/>
          </a:endParaRPr>
        </a:p>
        <a:p>
          <a:r>
            <a:rPr lang="en-US" sz="1000" dirty="0">
              <a:latin typeface="Arial" panose="020B0604020202020204" pitchFamily="34" charset="0"/>
              <a:cs typeface="Arial" panose="020B0604020202020204" pitchFamily="34" charset="0"/>
            </a:rPr>
            <a:t>12 weeks </a:t>
          </a:r>
          <a:r>
            <a:rPr lang="en-US" sz="1000" dirty="0" smtClean="0">
              <a:latin typeface="Arial" panose="020B0604020202020204" pitchFamily="34" charset="0"/>
              <a:cs typeface="Arial" panose="020B0604020202020204" pitchFamily="34" charset="0"/>
            </a:rPr>
            <a:t>or </a:t>
          </a:r>
          <a:r>
            <a:rPr lang="en-US" sz="1000" dirty="0">
              <a:latin typeface="Arial" panose="020B0604020202020204" pitchFamily="34" charset="0"/>
              <a:cs typeface="Arial" panose="020B0604020202020204" pitchFamily="34" charset="0"/>
            </a:rPr>
            <a:t>to </a:t>
          </a:r>
          <a:r>
            <a:rPr lang="en-US" sz="1000" dirty="0" smtClean="0">
              <a:latin typeface="Arial" panose="020B0604020202020204" pitchFamily="34" charset="0"/>
              <a:cs typeface="Arial" panose="020B0604020202020204" pitchFamily="34" charset="0"/>
            </a:rPr>
            <a:t>20% BF</a:t>
          </a:r>
          <a:endParaRPr lang="en-US" sz="1000">
            <a:latin typeface="Arial" panose="020B0604020202020204" pitchFamily="34" charset="0"/>
            <a:cs typeface="Arial" panose="020B0604020202020204" pitchFamily="34" charset="0"/>
          </a:endParaRPr>
        </a:p>
      </dgm:t>
    </dgm:pt>
    <dgm:pt modelId="{A375F3FF-5A13-46FD-9F4E-7714E5DFBA98}" type="parTrans" cxnId="{8331B9C2-C0A1-4C64-BFD6-368F8B485545}">
      <dgm:prSet/>
      <dgm:spPr/>
      <dgm:t>
        <a:bodyPr/>
        <a:lstStyle/>
        <a:p>
          <a:endParaRPr lang="en-US"/>
        </a:p>
      </dgm:t>
    </dgm:pt>
    <dgm:pt modelId="{C0D63A26-A0B7-49C0-95AF-478B6F2BEBBA}" type="sibTrans" cxnId="{8331B9C2-C0A1-4C64-BFD6-368F8B485545}">
      <dgm:prSet/>
      <dgm:spPr/>
      <dgm:t>
        <a:bodyPr/>
        <a:lstStyle/>
        <a:p>
          <a:endParaRPr lang="en-US"/>
        </a:p>
      </dgm:t>
    </dgm:pt>
    <dgm:pt modelId="{7F3B44AB-0C47-4074-A249-BFE1B1178DEC}">
      <dgm:prSet custT="1"/>
      <dgm:spPr/>
      <dgm:t>
        <a:bodyPr/>
        <a:lstStyle/>
        <a:p>
          <a:r>
            <a:rPr lang="en-US" sz="1000" b="1">
              <a:latin typeface="Arial" panose="020B0604020202020204" pitchFamily="34" charset="0"/>
              <a:cs typeface="Arial" panose="020B0604020202020204" pitchFamily="34" charset="0"/>
            </a:rPr>
            <a:t>MAINTAIN IDEAL</a:t>
          </a:r>
        </a:p>
        <a:p>
          <a:r>
            <a:rPr lang="en-US" sz="1000">
              <a:latin typeface="Arial" panose="020B0604020202020204" pitchFamily="34" charset="0"/>
              <a:cs typeface="Arial" panose="020B0604020202020204" pitchFamily="34" charset="0"/>
            </a:rPr>
            <a:t>Group IBW (6 dogs)</a:t>
          </a:r>
        </a:p>
        <a:p>
          <a:r>
            <a:rPr lang="en-US" sz="1000">
              <a:latin typeface="Arial" panose="020B0604020202020204" pitchFamily="34" charset="0"/>
              <a:cs typeface="Arial" panose="020B0604020202020204" pitchFamily="34" charset="0"/>
            </a:rPr>
            <a:t>NEGATIVE CONTROL</a:t>
          </a:r>
        </a:p>
        <a:p>
          <a:r>
            <a:rPr lang="en-US" sz="1000">
              <a:latin typeface="Arial" panose="020B0604020202020204" pitchFamily="34" charset="0"/>
              <a:cs typeface="Arial" panose="020B0604020202020204" pitchFamily="34" charset="0"/>
            </a:rPr>
            <a:t>MERideal</a:t>
          </a:r>
        </a:p>
        <a:p>
          <a:r>
            <a:rPr lang="en-US" sz="1000">
              <a:latin typeface="Arial" panose="020B0604020202020204" pitchFamily="34" charset="0"/>
              <a:cs typeface="Arial" panose="020B0604020202020204" pitchFamily="34" charset="0"/>
            </a:rPr>
            <a:t>CAD</a:t>
          </a:r>
        </a:p>
        <a:p>
          <a:r>
            <a:rPr lang="en-US" sz="1000">
              <a:latin typeface="Arial" panose="020B0604020202020204" pitchFamily="34" charset="0"/>
              <a:cs typeface="Arial" panose="020B0604020202020204" pitchFamily="34" charset="0"/>
            </a:rPr>
            <a:t>12 weeks</a:t>
          </a:r>
        </a:p>
      </dgm:t>
    </dgm:pt>
    <dgm:pt modelId="{828369F0-74E4-49C4-A0E4-EC007F637E61}" type="parTrans" cxnId="{8202BA3C-55DF-408E-9D74-8F526DE15082}">
      <dgm:prSet/>
      <dgm:spPr/>
      <dgm:t>
        <a:bodyPr/>
        <a:lstStyle/>
        <a:p>
          <a:endParaRPr lang="en-US"/>
        </a:p>
      </dgm:t>
    </dgm:pt>
    <dgm:pt modelId="{4A74FEFC-A7B5-4DC5-B6CA-2239A7592B32}" type="sibTrans" cxnId="{8202BA3C-55DF-408E-9D74-8F526DE15082}">
      <dgm:prSet/>
      <dgm:spPr/>
      <dgm:t>
        <a:bodyPr/>
        <a:lstStyle/>
        <a:p>
          <a:endParaRPr lang="en-US"/>
        </a:p>
      </dgm:t>
    </dgm:pt>
    <dgm:pt modelId="{E533B442-80C9-415F-B445-471A60FA160B}" type="pres">
      <dgm:prSet presAssocID="{760A19AB-47F6-4700-A7BD-6DF9F4687F0A}" presName="diagram" presStyleCnt="0">
        <dgm:presLayoutVars>
          <dgm:chPref val="1"/>
          <dgm:dir/>
          <dgm:animOne val="branch"/>
          <dgm:animLvl val="lvl"/>
          <dgm:resizeHandles val="exact"/>
        </dgm:presLayoutVars>
      </dgm:prSet>
      <dgm:spPr/>
      <dgm:t>
        <a:bodyPr/>
        <a:lstStyle/>
        <a:p>
          <a:endParaRPr lang="en-US"/>
        </a:p>
      </dgm:t>
    </dgm:pt>
    <dgm:pt modelId="{BD0E9777-C6F6-4A63-A96F-4528C234FFBE}" type="pres">
      <dgm:prSet presAssocID="{A333F07D-7D42-4605-B164-DB77597E10FA}" presName="root1" presStyleCnt="0"/>
      <dgm:spPr/>
      <dgm:t>
        <a:bodyPr/>
        <a:lstStyle/>
        <a:p>
          <a:endParaRPr lang="en-US"/>
        </a:p>
      </dgm:t>
    </dgm:pt>
    <dgm:pt modelId="{140D9EBF-DBAF-48E3-A395-29F08566817C}" type="pres">
      <dgm:prSet presAssocID="{A333F07D-7D42-4605-B164-DB77597E10FA}" presName="LevelOneTextNode" presStyleLbl="node0" presStyleIdx="0" presStyleCnt="1" custScaleX="36744" custScaleY="48680">
        <dgm:presLayoutVars>
          <dgm:chPref val="3"/>
        </dgm:presLayoutVars>
      </dgm:prSet>
      <dgm:spPr/>
      <dgm:t>
        <a:bodyPr/>
        <a:lstStyle/>
        <a:p>
          <a:endParaRPr lang="en-US"/>
        </a:p>
      </dgm:t>
    </dgm:pt>
    <dgm:pt modelId="{88168B74-1BBC-4E8F-8251-737CC710E62B}" type="pres">
      <dgm:prSet presAssocID="{A333F07D-7D42-4605-B164-DB77597E10FA}" presName="level2hierChild" presStyleCnt="0"/>
      <dgm:spPr/>
      <dgm:t>
        <a:bodyPr/>
        <a:lstStyle/>
        <a:p>
          <a:endParaRPr lang="en-US"/>
        </a:p>
      </dgm:t>
    </dgm:pt>
    <dgm:pt modelId="{F4ADB0DA-96C7-46F2-BD4B-36320467BE9F}" type="pres">
      <dgm:prSet presAssocID="{F05F0182-4C65-464B-82FD-01951A44B9A9}" presName="conn2-1" presStyleLbl="parChTrans1D2" presStyleIdx="0" presStyleCnt="1"/>
      <dgm:spPr/>
      <dgm:t>
        <a:bodyPr/>
        <a:lstStyle/>
        <a:p>
          <a:endParaRPr lang="en-US"/>
        </a:p>
      </dgm:t>
    </dgm:pt>
    <dgm:pt modelId="{E41249F7-80B2-49AC-85FA-272196991FD8}" type="pres">
      <dgm:prSet presAssocID="{F05F0182-4C65-464B-82FD-01951A44B9A9}" presName="connTx" presStyleLbl="parChTrans1D2" presStyleIdx="0" presStyleCnt="1"/>
      <dgm:spPr/>
      <dgm:t>
        <a:bodyPr/>
        <a:lstStyle/>
        <a:p>
          <a:endParaRPr lang="en-US"/>
        </a:p>
      </dgm:t>
    </dgm:pt>
    <dgm:pt modelId="{16989FD6-8AA6-4E79-A857-C078A5C5327E}" type="pres">
      <dgm:prSet presAssocID="{6DF63384-3CB9-4C23-BF5C-D38B6E2AD789}" presName="root2" presStyleCnt="0"/>
      <dgm:spPr/>
      <dgm:t>
        <a:bodyPr/>
        <a:lstStyle/>
        <a:p>
          <a:endParaRPr lang="en-US"/>
        </a:p>
      </dgm:t>
    </dgm:pt>
    <dgm:pt modelId="{9308171D-9C74-41CC-B30E-9379C190B69E}" type="pres">
      <dgm:prSet presAssocID="{6DF63384-3CB9-4C23-BF5C-D38B6E2AD789}" presName="LevelTwoTextNode" presStyleLbl="node2" presStyleIdx="0" presStyleCnt="1" custScaleX="150459" custScaleY="82460" custLinFactNeighborX="-29596">
        <dgm:presLayoutVars>
          <dgm:chPref val="3"/>
        </dgm:presLayoutVars>
      </dgm:prSet>
      <dgm:spPr/>
      <dgm:t>
        <a:bodyPr/>
        <a:lstStyle/>
        <a:p>
          <a:endParaRPr lang="en-US"/>
        </a:p>
      </dgm:t>
    </dgm:pt>
    <dgm:pt modelId="{85BE90D8-0EA0-4B46-8CBD-360A909BA27B}" type="pres">
      <dgm:prSet presAssocID="{6DF63384-3CB9-4C23-BF5C-D38B6E2AD789}" presName="level3hierChild" presStyleCnt="0"/>
      <dgm:spPr/>
      <dgm:t>
        <a:bodyPr/>
        <a:lstStyle/>
        <a:p>
          <a:endParaRPr lang="en-US"/>
        </a:p>
      </dgm:t>
    </dgm:pt>
    <dgm:pt modelId="{17BF9710-96AC-4947-A4EC-D68DBC392363}" type="pres">
      <dgm:prSet presAssocID="{9DFB8BF5-D6A9-4867-A38C-AAB699B2436B}" presName="conn2-1" presStyleLbl="parChTrans1D3" presStyleIdx="0" presStyleCnt="2"/>
      <dgm:spPr/>
      <dgm:t>
        <a:bodyPr/>
        <a:lstStyle/>
        <a:p>
          <a:endParaRPr lang="en-US"/>
        </a:p>
      </dgm:t>
    </dgm:pt>
    <dgm:pt modelId="{74C8A484-A607-4758-927F-B95FB01EE131}" type="pres">
      <dgm:prSet presAssocID="{9DFB8BF5-D6A9-4867-A38C-AAB699B2436B}" presName="connTx" presStyleLbl="parChTrans1D3" presStyleIdx="0" presStyleCnt="2"/>
      <dgm:spPr/>
      <dgm:t>
        <a:bodyPr/>
        <a:lstStyle/>
        <a:p>
          <a:endParaRPr lang="en-US"/>
        </a:p>
      </dgm:t>
    </dgm:pt>
    <dgm:pt modelId="{5BAD7412-3FC8-4CA2-AEA0-B11E83D5F62F}" type="pres">
      <dgm:prSet presAssocID="{30647897-A0AB-4D24-80E2-5C4448E7E01B}" presName="root2" presStyleCnt="0"/>
      <dgm:spPr/>
      <dgm:t>
        <a:bodyPr/>
        <a:lstStyle/>
        <a:p>
          <a:endParaRPr lang="en-US"/>
        </a:p>
      </dgm:t>
    </dgm:pt>
    <dgm:pt modelId="{698148DF-EC45-4712-B11B-CE704E64ADA8}" type="pres">
      <dgm:prSet presAssocID="{30647897-A0AB-4D24-80E2-5C4448E7E01B}" presName="LevelTwoTextNode" presStyleLbl="node3" presStyleIdx="0" presStyleCnt="2" custScaleX="111318" custScaleY="108849" custLinFactNeighborX="-25347" custLinFactNeighborY="-46926">
        <dgm:presLayoutVars>
          <dgm:chPref val="3"/>
        </dgm:presLayoutVars>
      </dgm:prSet>
      <dgm:spPr/>
      <dgm:t>
        <a:bodyPr/>
        <a:lstStyle/>
        <a:p>
          <a:endParaRPr lang="en-US"/>
        </a:p>
      </dgm:t>
    </dgm:pt>
    <dgm:pt modelId="{1AA96398-1CD1-4FEC-A538-65595C6C3101}" type="pres">
      <dgm:prSet presAssocID="{30647897-A0AB-4D24-80E2-5C4448E7E01B}" presName="level3hierChild" presStyleCnt="0"/>
      <dgm:spPr/>
      <dgm:t>
        <a:bodyPr/>
        <a:lstStyle/>
        <a:p>
          <a:endParaRPr lang="en-US"/>
        </a:p>
      </dgm:t>
    </dgm:pt>
    <dgm:pt modelId="{D30C1C88-2993-4BFD-A657-D5AE315B4383}" type="pres">
      <dgm:prSet presAssocID="{C7FD02FE-E839-4A1E-86E1-4018AC518C60}" presName="conn2-1" presStyleLbl="parChTrans1D4" presStyleIdx="0" presStyleCnt="3"/>
      <dgm:spPr/>
      <dgm:t>
        <a:bodyPr/>
        <a:lstStyle/>
        <a:p>
          <a:endParaRPr lang="en-US"/>
        </a:p>
      </dgm:t>
    </dgm:pt>
    <dgm:pt modelId="{D10FF597-FF73-495C-BCBF-028D78E90520}" type="pres">
      <dgm:prSet presAssocID="{C7FD02FE-E839-4A1E-86E1-4018AC518C60}" presName="connTx" presStyleLbl="parChTrans1D4" presStyleIdx="0" presStyleCnt="3"/>
      <dgm:spPr/>
      <dgm:t>
        <a:bodyPr/>
        <a:lstStyle/>
        <a:p>
          <a:endParaRPr lang="en-US"/>
        </a:p>
      </dgm:t>
    </dgm:pt>
    <dgm:pt modelId="{33F51A0D-7544-4E69-A2C0-F115B4B9D42C}" type="pres">
      <dgm:prSet presAssocID="{FA004A86-CD17-4755-822B-D59FF809760C}" presName="root2" presStyleCnt="0"/>
      <dgm:spPr/>
      <dgm:t>
        <a:bodyPr/>
        <a:lstStyle/>
        <a:p>
          <a:endParaRPr lang="en-US"/>
        </a:p>
      </dgm:t>
    </dgm:pt>
    <dgm:pt modelId="{182236A6-042C-47E9-9258-64CF6BBBAE29}" type="pres">
      <dgm:prSet presAssocID="{FA004A86-CD17-4755-822B-D59FF809760C}" presName="LevelTwoTextNode" presStyleLbl="node4" presStyleIdx="0" presStyleCnt="3" custScaleY="127843" custLinFactNeighborY="-37855">
        <dgm:presLayoutVars>
          <dgm:chPref val="3"/>
        </dgm:presLayoutVars>
      </dgm:prSet>
      <dgm:spPr/>
      <dgm:t>
        <a:bodyPr/>
        <a:lstStyle/>
        <a:p>
          <a:endParaRPr lang="en-US"/>
        </a:p>
      </dgm:t>
    </dgm:pt>
    <dgm:pt modelId="{F0223077-CFEF-4437-9268-0CF65FBDCF3D}" type="pres">
      <dgm:prSet presAssocID="{FA004A86-CD17-4755-822B-D59FF809760C}" presName="level3hierChild" presStyleCnt="0"/>
      <dgm:spPr/>
      <dgm:t>
        <a:bodyPr/>
        <a:lstStyle/>
        <a:p>
          <a:endParaRPr lang="en-US"/>
        </a:p>
      </dgm:t>
    </dgm:pt>
    <dgm:pt modelId="{45DD77DE-B5D0-4825-8B69-3CB47238B00D}" type="pres">
      <dgm:prSet presAssocID="{E4D25C68-033A-46C7-AC88-161DF2A292E7}" presName="conn2-1" presStyleLbl="parChTrans1D4" presStyleIdx="1" presStyleCnt="3"/>
      <dgm:spPr/>
      <dgm:t>
        <a:bodyPr/>
        <a:lstStyle/>
        <a:p>
          <a:endParaRPr lang="en-US"/>
        </a:p>
      </dgm:t>
    </dgm:pt>
    <dgm:pt modelId="{4DDA7228-D8E0-4691-96AC-AEB25DD35CD3}" type="pres">
      <dgm:prSet presAssocID="{E4D25C68-033A-46C7-AC88-161DF2A292E7}" presName="connTx" presStyleLbl="parChTrans1D4" presStyleIdx="1" presStyleCnt="3"/>
      <dgm:spPr/>
      <dgm:t>
        <a:bodyPr/>
        <a:lstStyle/>
        <a:p>
          <a:endParaRPr lang="en-US"/>
        </a:p>
      </dgm:t>
    </dgm:pt>
    <dgm:pt modelId="{94D705AF-C576-48A5-8CC5-C87DDAA966DE}" type="pres">
      <dgm:prSet presAssocID="{3D917D49-7294-4C38-BDB7-1FE87C55CFE9}" presName="root2" presStyleCnt="0"/>
      <dgm:spPr/>
      <dgm:t>
        <a:bodyPr/>
        <a:lstStyle/>
        <a:p>
          <a:endParaRPr lang="en-US"/>
        </a:p>
      </dgm:t>
    </dgm:pt>
    <dgm:pt modelId="{C20074E5-751A-42C4-AE89-6555B27A2141}" type="pres">
      <dgm:prSet presAssocID="{3D917D49-7294-4C38-BDB7-1FE87C55CFE9}" presName="LevelTwoTextNode" presStyleLbl="node4" presStyleIdx="1" presStyleCnt="3" custScaleY="124607" custLinFactNeighborY="-39063">
        <dgm:presLayoutVars>
          <dgm:chPref val="3"/>
        </dgm:presLayoutVars>
      </dgm:prSet>
      <dgm:spPr/>
      <dgm:t>
        <a:bodyPr/>
        <a:lstStyle/>
        <a:p>
          <a:endParaRPr lang="en-US"/>
        </a:p>
      </dgm:t>
    </dgm:pt>
    <dgm:pt modelId="{436FED74-1B3C-4EC5-84CC-4EA5DB884E5F}" type="pres">
      <dgm:prSet presAssocID="{3D917D49-7294-4C38-BDB7-1FE87C55CFE9}" presName="level3hierChild" presStyleCnt="0"/>
      <dgm:spPr/>
      <dgm:t>
        <a:bodyPr/>
        <a:lstStyle/>
        <a:p>
          <a:endParaRPr lang="en-US"/>
        </a:p>
      </dgm:t>
    </dgm:pt>
    <dgm:pt modelId="{B385411B-6C56-4F9B-9BD9-1478F03926AE}" type="pres">
      <dgm:prSet presAssocID="{A375F3FF-5A13-46FD-9F4E-7714E5DFBA98}" presName="conn2-1" presStyleLbl="parChTrans1D4" presStyleIdx="2" presStyleCnt="3"/>
      <dgm:spPr/>
      <dgm:t>
        <a:bodyPr/>
        <a:lstStyle/>
        <a:p>
          <a:endParaRPr lang="en-US"/>
        </a:p>
      </dgm:t>
    </dgm:pt>
    <dgm:pt modelId="{45B5BE13-F4FF-4F08-9307-10B18FDCD0AA}" type="pres">
      <dgm:prSet presAssocID="{A375F3FF-5A13-46FD-9F4E-7714E5DFBA98}" presName="connTx" presStyleLbl="parChTrans1D4" presStyleIdx="2" presStyleCnt="3"/>
      <dgm:spPr/>
      <dgm:t>
        <a:bodyPr/>
        <a:lstStyle/>
        <a:p>
          <a:endParaRPr lang="en-US"/>
        </a:p>
      </dgm:t>
    </dgm:pt>
    <dgm:pt modelId="{2506910B-37CF-4D4F-B4F9-B9C8E9FD9783}" type="pres">
      <dgm:prSet presAssocID="{3F00C894-8000-4AAC-BA3A-2D038833E9D0}" presName="root2" presStyleCnt="0"/>
      <dgm:spPr/>
      <dgm:t>
        <a:bodyPr/>
        <a:lstStyle/>
        <a:p>
          <a:endParaRPr lang="en-US"/>
        </a:p>
      </dgm:t>
    </dgm:pt>
    <dgm:pt modelId="{CBB24794-5D88-4E7B-909E-9A123766B338}" type="pres">
      <dgm:prSet presAssocID="{3F00C894-8000-4AAC-BA3A-2D038833E9D0}" presName="LevelTwoTextNode" presStyleLbl="node4" presStyleIdx="2" presStyleCnt="3" custScaleX="99160" custScaleY="145875" custLinFactNeighborY="-39064">
        <dgm:presLayoutVars>
          <dgm:chPref val="3"/>
        </dgm:presLayoutVars>
      </dgm:prSet>
      <dgm:spPr/>
      <dgm:t>
        <a:bodyPr/>
        <a:lstStyle/>
        <a:p>
          <a:endParaRPr lang="en-US"/>
        </a:p>
      </dgm:t>
    </dgm:pt>
    <dgm:pt modelId="{73F089DA-3C92-48B1-A8CF-E05CE09AB2F3}" type="pres">
      <dgm:prSet presAssocID="{3F00C894-8000-4AAC-BA3A-2D038833E9D0}" presName="level3hierChild" presStyleCnt="0"/>
      <dgm:spPr/>
      <dgm:t>
        <a:bodyPr/>
        <a:lstStyle/>
        <a:p>
          <a:endParaRPr lang="en-US"/>
        </a:p>
      </dgm:t>
    </dgm:pt>
    <dgm:pt modelId="{29913603-C7CC-4887-95A1-694D59EA284F}" type="pres">
      <dgm:prSet presAssocID="{828369F0-74E4-49C4-A0E4-EC007F637E61}" presName="conn2-1" presStyleLbl="parChTrans1D3" presStyleIdx="1" presStyleCnt="2"/>
      <dgm:spPr/>
      <dgm:t>
        <a:bodyPr/>
        <a:lstStyle/>
        <a:p>
          <a:endParaRPr lang="en-US"/>
        </a:p>
      </dgm:t>
    </dgm:pt>
    <dgm:pt modelId="{8F4F0C75-5003-4244-82F5-1B760997168E}" type="pres">
      <dgm:prSet presAssocID="{828369F0-74E4-49C4-A0E4-EC007F637E61}" presName="connTx" presStyleLbl="parChTrans1D3" presStyleIdx="1" presStyleCnt="2"/>
      <dgm:spPr/>
      <dgm:t>
        <a:bodyPr/>
        <a:lstStyle/>
        <a:p>
          <a:endParaRPr lang="en-US"/>
        </a:p>
      </dgm:t>
    </dgm:pt>
    <dgm:pt modelId="{D37A87BE-AE2E-41A7-8213-211BA30670A5}" type="pres">
      <dgm:prSet presAssocID="{7F3B44AB-0C47-4074-A249-BFE1B1178DEC}" presName="root2" presStyleCnt="0"/>
      <dgm:spPr/>
      <dgm:t>
        <a:bodyPr/>
        <a:lstStyle/>
        <a:p>
          <a:endParaRPr lang="en-US"/>
        </a:p>
      </dgm:t>
    </dgm:pt>
    <dgm:pt modelId="{B73077D7-7802-48BC-8B56-F20E0CA29C2E}" type="pres">
      <dgm:prSet presAssocID="{7F3B44AB-0C47-4074-A249-BFE1B1178DEC}" presName="LevelTwoTextNode" presStyleLbl="node3" presStyleIdx="1" presStyleCnt="2" custScaleX="92774" custScaleY="151253" custLinFactNeighborX="-16617" custLinFactNeighborY="1216">
        <dgm:presLayoutVars>
          <dgm:chPref val="3"/>
        </dgm:presLayoutVars>
      </dgm:prSet>
      <dgm:spPr/>
      <dgm:t>
        <a:bodyPr/>
        <a:lstStyle/>
        <a:p>
          <a:endParaRPr lang="en-US"/>
        </a:p>
      </dgm:t>
    </dgm:pt>
    <dgm:pt modelId="{77D2B2F9-F80D-42D3-A1E7-4FB00DDA84EF}" type="pres">
      <dgm:prSet presAssocID="{7F3B44AB-0C47-4074-A249-BFE1B1178DEC}" presName="level3hierChild" presStyleCnt="0"/>
      <dgm:spPr/>
      <dgm:t>
        <a:bodyPr/>
        <a:lstStyle/>
        <a:p>
          <a:endParaRPr lang="en-US"/>
        </a:p>
      </dgm:t>
    </dgm:pt>
  </dgm:ptLst>
  <dgm:cxnLst>
    <dgm:cxn modelId="{503655CF-1AC3-43F3-92A7-63DF69D8845E}" type="presOf" srcId="{E4D25C68-033A-46C7-AC88-161DF2A292E7}" destId="{4DDA7228-D8E0-4691-96AC-AEB25DD35CD3}" srcOrd="1" destOrd="0" presId="urn:microsoft.com/office/officeart/2005/8/layout/hierarchy2"/>
    <dgm:cxn modelId="{30182C56-FEA9-4179-A911-D26A45ABAEB9}" type="presOf" srcId="{A375F3FF-5A13-46FD-9F4E-7714E5DFBA98}" destId="{B385411B-6C56-4F9B-9BD9-1478F03926AE}" srcOrd="0" destOrd="0" presId="urn:microsoft.com/office/officeart/2005/8/layout/hierarchy2"/>
    <dgm:cxn modelId="{DD0DEDF7-3479-48CC-97B7-441967EA7A58}" type="presOf" srcId="{F05F0182-4C65-464B-82FD-01951A44B9A9}" destId="{E41249F7-80B2-49AC-85FA-272196991FD8}" srcOrd="1" destOrd="0" presId="urn:microsoft.com/office/officeart/2005/8/layout/hierarchy2"/>
    <dgm:cxn modelId="{8B0391C0-9D03-48FF-92A0-C96832289E4F}" type="presOf" srcId="{7F3B44AB-0C47-4074-A249-BFE1B1178DEC}" destId="{B73077D7-7802-48BC-8B56-F20E0CA29C2E}" srcOrd="0" destOrd="0" presId="urn:microsoft.com/office/officeart/2005/8/layout/hierarchy2"/>
    <dgm:cxn modelId="{20CB0874-9E83-4FE4-94F2-D6A44C993829}" srcId="{760A19AB-47F6-4700-A7BD-6DF9F4687F0A}" destId="{A333F07D-7D42-4605-B164-DB77597E10FA}" srcOrd="0" destOrd="0" parTransId="{8F74A5A0-E2CF-4CEA-B248-CC6631FFEEF2}" sibTransId="{D5BEE57A-DC0D-4667-9AA8-9D5B14943B6D}"/>
    <dgm:cxn modelId="{AB27CE96-0887-41BE-8A2A-6BA2820F30FB}" srcId="{6DF63384-3CB9-4C23-BF5C-D38B6E2AD789}" destId="{30647897-A0AB-4D24-80E2-5C4448E7E01B}" srcOrd="0" destOrd="0" parTransId="{9DFB8BF5-D6A9-4867-A38C-AAB699B2436B}" sibTransId="{460C6376-FFFC-4287-A579-3C0FCE10A325}"/>
    <dgm:cxn modelId="{CD8CCCAA-BCBF-46A1-95F5-446F6DC4008B}" type="presOf" srcId="{760A19AB-47F6-4700-A7BD-6DF9F4687F0A}" destId="{E533B442-80C9-415F-B445-471A60FA160B}" srcOrd="0" destOrd="0" presId="urn:microsoft.com/office/officeart/2005/8/layout/hierarchy2"/>
    <dgm:cxn modelId="{47B27000-CD73-47AD-B77F-87A912D65754}" type="presOf" srcId="{828369F0-74E4-49C4-A0E4-EC007F637E61}" destId="{8F4F0C75-5003-4244-82F5-1B760997168E}" srcOrd="1" destOrd="0" presId="urn:microsoft.com/office/officeart/2005/8/layout/hierarchy2"/>
    <dgm:cxn modelId="{B5161B13-DC09-485D-AE62-B55634287B25}" type="presOf" srcId="{C7FD02FE-E839-4A1E-86E1-4018AC518C60}" destId="{D10FF597-FF73-495C-BCBF-028D78E90520}" srcOrd="1" destOrd="0" presId="urn:microsoft.com/office/officeart/2005/8/layout/hierarchy2"/>
    <dgm:cxn modelId="{3F7B50EB-4419-41E4-9211-C29BEE4E1C7A}" type="presOf" srcId="{A333F07D-7D42-4605-B164-DB77597E10FA}" destId="{140D9EBF-DBAF-48E3-A395-29F08566817C}" srcOrd="0" destOrd="0" presId="urn:microsoft.com/office/officeart/2005/8/layout/hierarchy2"/>
    <dgm:cxn modelId="{2E25086A-343E-4B3D-B0E0-6D07C6F3E821}" srcId="{A333F07D-7D42-4605-B164-DB77597E10FA}" destId="{6DF63384-3CB9-4C23-BF5C-D38B6E2AD789}" srcOrd="0" destOrd="0" parTransId="{F05F0182-4C65-464B-82FD-01951A44B9A9}" sibTransId="{4B6AF736-0094-4C3B-B5CD-EC8AFCE27EAF}"/>
    <dgm:cxn modelId="{8AF86DE9-EDE6-4EEF-A84F-3806098CFCCE}" type="presOf" srcId="{6DF63384-3CB9-4C23-BF5C-D38B6E2AD789}" destId="{9308171D-9C74-41CC-B30E-9379C190B69E}" srcOrd="0" destOrd="0" presId="urn:microsoft.com/office/officeart/2005/8/layout/hierarchy2"/>
    <dgm:cxn modelId="{64ECD1E9-0793-4BAE-B64D-DCF91F7B9611}" type="presOf" srcId="{E4D25C68-033A-46C7-AC88-161DF2A292E7}" destId="{45DD77DE-B5D0-4825-8B69-3CB47238B00D}" srcOrd="0" destOrd="0" presId="urn:microsoft.com/office/officeart/2005/8/layout/hierarchy2"/>
    <dgm:cxn modelId="{0E9506E3-DC35-4914-9DD1-C4341F405370}" type="presOf" srcId="{828369F0-74E4-49C4-A0E4-EC007F637E61}" destId="{29913603-C7CC-4887-95A1-694D59EA284F}" srcOrd="0" destOrd="0" presId="urn:microsoft.com/office/officeart/2005/8/layout/hierarchy2"/>
    <dgm:cxn modelId="{56951133-AD2D-4FEF-823B-FD8952925313}" type="presOf" srcId="{C7FD02FE-E839-4A1E-86E1-4018AC518C60}" destId="{D30C1C88-2993-4BFD-A657-D5AE315B4383}" srcOrd="0" destOrd="0" presId="urn:microsoft.com/office/officeart/2005/8/layout/hierarchy2"/>
    <dgm:cxn modelId="{97EBB652-4C30-4677-A64B-A6C33B480EDE}" srcId="{30647897-A0AB-4D24-80E2-5C4448E7E01B}" destId="{3D917D49-7294-4C38-BDB7-1FE87C55CFE9}" srcOrd="1" destOrd="0" parTransId="{E4D25C68-033A-46C7-AC88-161DF2A292E7}" sibTransId="{32232FF9-E538-4ACE-ACA3-B2BFDBB9AEE4}"/>
    <dgm:cxn modelId="{79D35B3D-6E87-46C3-ADE8-9F31F8FB1D51}" type="presOf" srcId="{30647897-A0AB-4D24-80E2-5C4448E7E01B}" destId="{698148DF-EC45-4712-B11B-CE704E64ADA8}" srcOrd="0" destOrd="0" presId="urn:microsoft.com/office/officeart/2005/8/layout/hierarchy2"/>
    <dgm:cxn modelId="{DABFF43A-2173-4BF9-81C5-12711A9C06A1}" srcId="{30647897-A0AB-4D24-80E2-5C4448E7E01B}" destId="{FA004A86-CD17-4755-822B-D59FF809760C}" srcOrd="0" destOrd="0" parTransId="{C7FD02FE-E839-4A1E-86E1-4018AC518C60}" sibTransId="{89B8348D-CC09-4F9C-A25E-73B1FC3858F3}"/>
    <dgm:cxn modelId="{6A06DF83-C3A4-4B0C-B5E8-BD9D6C7447C2}" type="presOf" srcId="{F05F0182-4C65-464B-82FD-01951A44B9A9}" destId="{F4ADB0DA-96C7-46F2-BD4B-36320467BE9F}" srcOrd="0" destOrd="0" presId="urn:microsoft.com/office/officeart/2005/8/layout/hierarchy2"/>
    <dgm:cxn modelId="{8202BA3C-55DF-408E-9D74-8F526DE15082}" srcId="{6DF63384-3CB9-4C23-BF5C-D38B6E2AD789}" destId="{7F3B44AB-0C47-4074-A249-BFE1B1178DEC}" srcOrd="1" destOrd="0" parTransId="{828369F0-74E4-49C4-A0E4-EC007F637E61}" sibTransId="{4A74FEFC-A7B5-4DC5-B6CA-2239A7592B32}"/>
    <dgm:cxn modelId="{F015FF65-C511-48F8-9DBC-D8D9D822D55C}" type="presOf" srcId="{9DFB8BF5-D6A9-4867-A38C-AAB699B2436B}" destId="{74C8A484-A607-4758-927F-B95FB01EE131}" srcOrd="1" destOrd="0" presId="urn:microsoft.com/office/officeart/2005/8/layout/hierarchy2"/>
    <dgm:cxn modelId="{1971B58D-4199-477E-97E0-86B93CD012AF}" type="presOf" srcId="{A375F3FF-5A13-46FD-9F4E-7714E5DFBA98}" destId="{45B5BE13-F4FF-4F08-9307-10B18FDCD0AA}" srcOrd="1" destOrd="0" presId="urn:microsoft.com/office/officeart/2005/8/layout/hierarchy2"/>
    <dgm:cxn modelId="{D592021F-0DAB-4EAD-A4FF-9C2C12DD589C}" type="presOf" srcId="{3F00C894-8000-4AAC-BA3A-2D038833E9D0}" destId="{CBB24794-5D88-4E7B-909E-9A123766B338}" srcOrd="0" destOrd="0" presId="urn:microsoft.com/office/officeart/2005/8/layout/hierarchy2"/>
    <dgm:cxn modelId="{8331B9C2-C0A1-4C64-BFD6-368F8B485545}" srcId="{30647897-A0AB-4D24-80E2-5C4448E7E01B}" destId="{3F00C894-8000-4AAC-BA3A-2D038833E9D0}" srcOrd="2" destOrd="0" parTransId="{A375F3FF-5A13-46FD-9F4E-7714E5DFBA98}" sibTransId="{C0D63A26-A0B7-49C0-95AF-478B6F2BEBBA}"/>
    <dgm:cxn modelId="{1634E120-E79D-45B1-8726-238C67F0E0DE}" type="presOf" srcId="{FA004A86-CD17-4755-822B-D59FF809760C}" destId="{182236A6-042C-47E9-9258-64CF6BBBAE29}" srcOrd="0" destOrd="0" presId="urn:microsoft.com/office/officeart/2005/8/layout/hierarchy2"/>
    <dgm:cxn modelId="{A19A8AA3-97A9-4B84-AA05-17B40245B6E5}" type="presOf" srcId="{3D917D49-7294-4C38-BDB7-1FE87C55CFE9}" destId="{C20074E5-751A-42C4-AE89-6555B27A2141}" srcOrd="0" destOrd="0" presId="urn:microsoft.com/office/officeart/2005/8/layout/hierarchy2"/>
    <dgm:cxn modelId="{2517A9F0-A3EA-4F74-8463-8272397D90F9}" type="presOf" srcId="{9DFB8BF5-D6A9-4867-A38C-AAB699B2436B}" destId="{17BF9710-96AC-4947-A4EC-D68DBC392363}" srcOrd="0" destOrd="0" presId="urn:microsoft.com/office/officeart/2005/8/layout/hierarchy2"/>
    <dgm:cxn modelId="{01D08AD1-02FA-4B5D-AC8B-AC9BC2DDFDDC}" type="presParOf" srcId="{E533B442-80C9-415F-B445-471A60FA160B}" destId="{BD0E9777-C6F6-4A63-A96F-4528C234FFBE}" srcOrd="0" destOrd="0" presId="urn:microsoft.com/office/officeart/2005/8/layout/hierarchy2"/>
    <dgm:cxn modelId="{4B5DC02C-EEED-4FBF-AC18-9954EFBA54A9}" type="presParOf" srcId="{BD0E9777-C6F6-4A63-A96F-4528C234FFBE}" destId="{140D9EBF-DBAF-48E3-A395-29F08566817C}" srcOrd="0" destOrd="0" presId="urn:microsoft.com/office/officeart/2005/8/layout/hierarchy2"/>
    <dgm:cxn modelId="{8BE1A510-824B-4991-9462-CEBA3B4D9698}" type="presParOf" srcId="{BD0E9777-C6F6-4A63-A96F-4528C234FFBE}" destId="{88168B74-1BBC-4E8F-8251-737CC710E62B}" srcOrd="1" destOrd="0" presId="urn:microsoft.com/office/officeart/2005/8/layout/hierarchy2"/>
    <dgm:cxn modelId="{B355B40C-7ED4-4756-8A7C-07286B46DF3F}" type="presParOf" srcId="{88168B74-1BBC-4E8F-8251-737CC710E62B}" destId="{F4ADB0DA-96C7-46F2-BD4B-36320467BE9F}" srcOrd="0" destOrd="0" presId="urn:microsoft.com/office/officeart/2005/8/layout/hierarchy2"/>
    <dgm:cxn modelId="{B82C4E48-51EB-4FD6-9823-7F5A2B0BE756}" type="presParOf" srcId="{F4ADB0DA-96C7-46F2-BD4B-36320467BE9F}" destId="{E41249F7-80B2-49AC-85FA-272196991FD8}" srcOrd="0" destOrd="0" presId="urn:microsoft.com/office/officeart/2005/8/layout/hierarchy2"/>
    <dgm:cxn modelId="{EA092A82-FC90-480B-850D-4C74290C6B91}" type="presParOf" srcId="{88168B74-1BBC-4E8F-8251-737CC710E62B}" destId="{16989FD6-8AA6-4E79-A857-C078A5C5327E}" srcOrd="1" destOrd="0" presId="urn:microsoft.com/office/officeart/2005/8/layout/hierarchy2"/>
    <dgm:cxn modelId="{56A09F54-AB66-4A1D-B723-C5532D1A9B8D}" type="presParOf" srcId="{16989FD6-8AA6-4E79-A857-C078A5C5327E}" destId="{9308171D-9C74-41CC-B30E-9379C190B69E}" srcOrd="0" destOrd="0" presId="urn:microsoft.com/office/officeart/2005/8/layout/hierarchy2"/>
    <dgm:cxn modelId="{4541595F-EDEC-47A3-9EC5-7A5650DA45C9}" type="presParOf" srcId="{16989FD6-8AA6-4E79-A857-C078A5C5327E}" destId="{85BE90D8-0EA0-4B46-8CBD-360A909BA27B}" srcOrd="1" destOrd="0" presId="urn:microsoft.com/office/officeart/2005/8/layout/hierarchy2"/>
    <dgm:cxn modelId="{16ECC32E-009D-43CE-88CA-6BE87C2D36CF}" type="presParOf" srcId="{85BE90D8-0EA0-4B46-8CBD-360A909BA27B}" destId="{17BF9710-96AC-4947-A4EC-D68DBC392363}" srcOrd="0" destOrd="0" presId="urn:microsoft.com/office/officeart/2005/8/layout/hierarchy2"/>
    <dgm:cxn modelId="{D3BDA654-5918-4BE5-BD15-03D37BB0D36A}" type="presParOf" srcId="{17BF9710-96AC-4947-A4EC-D68DBC392363}" destId="{74C8A484-A607-4758-927F-B95FB01EE131}" srcOrd="0" destOrd="0" presId="urn:microsoft.com/office/officeart/2005/8/layout/hierarchy2"/>
    <dgm:cxn modelId="{BA13B37F-91FB-4AC9-8941-4078D9D659E6}" type="presParOf" srcId="{85BE90D8-0EA0-4B46-8CBD-360A909BA27B}" destId="{5BAD7412-3FC8-4CA2-AEA0-B11E83D5F62F}" srcOrd="1" destOrd="0" presId="urn:microsoft.com/office/officeart/2005/8/layout/hierarchy2"/>
    <dgm:cxn modelId="{127275FC-4F86-4976-B8B7-DF1D3503A559}" type="presParOf" srcId="{5BAD7412-3FC8-4CA2-AEA0-B11E83D5F62F}" destId="{698148DF-EC45-4712-B11B-CE704E64ADA8}" srcOrd="0" destOrd="0" presId="urn:microsoft.com/office/officeart/2005/8/layout/hierarchy2"/>
    <dgm:cxn modelId="{D4112684-C06D-4939-BA19-AB67C6E72206}" type="presParOf" srcId="{5BAD7412-3FC8-4CA2-AEA0-B11E83D5F62F}" destId="{1AA96398-1CD1-4FEC-A538-65595C6C3101}" srcOrd="1" destOrd="0" presId="urn:microsoft.com/office/officeart/2005/8/layout/hierarchy2"/>
    <dgm:cxn modelId="{91921CB3-1EAE-4802-B12E-15B2C22B74A3}" type="presParOf" srcId="{1AA96398-1CD1-4FEC-A538-65595C6C3101}" destId="{D30C1C88-2993-4BFD-A657-D5AE315B4383}" srcOrd="0" destOrd="0" presId="urn:microsoft.com/office/officeart/2005/8/layout/hierarchy2"/>
    <dgm:cxn modelId="{1E0E99EB-4B54-46D4-9F0F-C1F035EC7233}" type="presParOf" srcId="{D30C1C88-2993-4BFD-A657-D5AE315B4383}" destId="{D10FF597-FF73-495C-BCBF-028D78E90520}" srcOrd="0" destOrd="0" presId="urn:microsoft.com/office/officeart/2005/8/layout/hierarchy2"/>
    <dgm:cxn modelId="{541476B4-2DCE-4018-8E9C-C04761217389}" type="presParOf" srcId="{1AA96398-1CD1-4FEC-A538-65595C6C3101}" destId="{33F51A0D-7544-4E69-A2C0-F115B4B9D42C}" srcOrd="1" destOrd="0" presId="urn:microsoft.com/office/officeart/2005/8/layout/hierarchy2"/>
    <dgm:cxn modelId="{CE033A33-93A4-42BD-AEF7-A5DDEC74DA1F}" type="presParOf" srcId="{33F51A0D-7544-4E69-A2C0-F115B4B9D42C}" destId="{182236A6-042C-47E9-9258-64CF6BBBAE29}" srcOrd="0" destOrd="0" presId="urn:microsoft.com/office/officeart/2005/8/layout/hierarchy2"/>
    <dgm:cxn modelId="{114E0BDE-04FC-42D2-8057-22C56AD59FD5}" type="presParOf" srcId="{33F51A0D-7544-4E69-A2C0-F115B4B9D42C}" destId="{F0223077-CFEF-4437-9268-0CF65FBDCF3D}" srcOrd="1" destOrd="0" presId="urn:microsoft.com/office/officeart/2005/8/layout/hierarchy2"/>
    <dgm:cxn modelId="{7FFBA19A-8811-45E7-8A1B-A89F0646DD8C}" type="presParOf" srcId="{1AA96398-1CD1-4FEC-A538-65595C6C3101}" destId="{45DD77DE-B5D0-4825-8B69-3CB47238B00D}" srcOrd="2" destOrd="0" presId="urn:microsoft.com/office/officeart/2005/8/layout/hierarchy2"/>
    <dgm:cxn modelId="{036C9510-B3CD-4295-9709-A23A87D8FAAE}" type="presParOf" srcId="{45DD77DE-B5D0-4825-8B69-3CB47238B00D}" destId="{4DDA7228-D8E0-4691-96AC-AEB25DD35CD3}" srcOrd="0" destOrd="0" presId="urn:microsoft.com/office/officeart/2005/8/layout/hierarchy2"/>
    <dgm:cxn modelId="{B3DD0707-9D9E-44E4-ACD2-153CC7411D1B}" type="presParOf" srcId="{1AA96398-1CD1-4FEC-A538-65595C6C3101}" destId="{94D705AF-C576-48A5-8CC5-C87DDAA966DE}" srcOrd="3" destOrd="0" presId="urn:microsoft.com/office/officeart/2005/8/layout/hierarchy2"/>
    <dgm:cxn modelId="{B174DFAD-0746-47DE-8BA2-E45D3B1FBCEA}" type="presParOf" srcId="{94D705AF-C576-48A5-8CC5-C87DDAA966DE}" destId="{C20074E5-751A-42C4-AE89-6555B27A2141}" srcOrd="0" destOrd="0" presId="urn:microsoft.com/office/officeart/2005/8/layout/hierarchy2"/>
    <dgm:cxn modelId="{63118203-48CC-4923-A5B7-0E9D6D4A970A}" type="presParOf" srcId="{94D705AF-C576-48A5-8CC5-C87DDAA966DE}" destId="{436FED74-1B3C-4EC5-84CC-4EA5DB884E5F}" srcOrd="1" destOrd="0" presId="urn:microsoft.com/office/officeart/2005/8/layout/hierarchy2"/>
    <dgm:cxn modelId="{F5C17E68-37C0-42B0-8ADA-B6F6218CDA35}" type="presParOf" srcId="{1AA96398-1CD1-4FEC-A538-65595C6C3101}" destId="{B385411B-6C56-4F9B-9BD9-1478F03926AE}" srcOrd="4" destOrd="0" presId="urn:microsoft.com/office/officeart/2005/8/layout/hierarchy2"/>
    <dgm:cxn modelId="{0A8EBE61-A065-44B8-8627-2633BEF71E33}" type="presParOf" srcId="{B385411B-6C56-4F9B-9BD9-1478F03926AE}" destId="{45B5BE13-F4FF-4F08-9307-10B18FDCD0AA}" srcOrd="0" destOrd="0" presId="urn:microsoft.com/office/officeart/2005/8/layout/hierarchy2"/>
    <dgm:cxn modelId="{A116539F-18E2-4299-AC0E-F2E6EB196C59}" type="presParOf" srcId="{1AA96398-1CD1-4FEC-A538-65595C6C3101}" destId="{2506910B-37CF-4D4F-B4F9-B9C8E9FD9783}" srcOrd="5" destOrd="0" presId="urn:microsoft.com/office/officeart/2005/8/layout/hierarchy2"/>
    <dgm:cxn modelId="{D4BE0013-867C-4A42-A68E-5166572A886E}" type="presParOf" srcId="{2506910B-37CF-4D4F-B4F9-B9C8E9FD9783}" destId="{CBB24794-5D88-4E7B-909E-9A123766B338}" srcOrd="0" destOrd="0" presId="urn:microsoft.com/office/officeart/2005/8/layout/hierarchy2"/>
    <dgm:cxn modelId="{3A93A37E-D953-4DFB-88EA-8D50B8FB77D0}" type="presParOf" srcId="{2506910B-37CF-4D4F-B4F9-B9C8E9FD9783}" destId="{73F089DA-3C92-48B1-A8CF-E05CE09AB2F3}" srcOrd="1" destOrd="0" presId="urn:microsoft.com/office/officeart/2005/8/layout/hierarchy2"/>
    <dgm:cxn modelId="{F66ECE43-174B-496C-B51A-95F7945C883A}" type="presParOf" srcId="{85BE90D8-0EA0-4B46-8CBD-360A909BA27B}" destId="{29913603-C7CC-4887-95A1-694D59EA284F}" srcOrd="2" destOrd="0" presId="urn:microsoft.com/office/officeart/2005/8/layout/hierarchy2"/>
    <dgm:cxn modelId="{79E54756-0E66-40C0-824A-23990512EE0C}" type="presParOf" srcId="{29913603-C7CC-4887-95A1-694D59EA284F}" destId="{8F4F0C75-5003-4244-82F5-1B760997168E}" srcOrd="0" destOrd="0" presId="urn:microsoft.com/office/officeart/2005/8/layout/hierarchy2"/>
    <dgm:cxn modelId="{2464F26F-C355-49AD-B3C7-84E61D758C5A}" type="presParOf" srcId="{85BE90D8-0EA0-4B46-8CBD-360A909BA27B}" destId="{D37A87BE-AE2E-41A7-8213-211BA30670A5}" srcOrd="3" destOrd="0" presId="urn:microsoft.com/office/officeart/2005/8/layout/hierarchy2"/>
    <dgm:cxn modelId="{DA95D48A-6F07-4929-91FB-98D5B40ECE4C}" type="presParOf" srcId="{D37A87BE-AE2E-41A7-8213-211BA30670A5}" destId="{B73077D7-7802-48BC-8B56-F20E0CA29C2E}" srcOrd="0" destOrd="0" presId="urn:microsoft.com/office/officeart/2005/8/layout/hierarchy2"/>
    <dgm:cxn modelId="{01BF42CD-79DB-4D04-BAD2-B78E90935FA3}" type="presParOf" srcId="{D37A87BE-AE2E-41A7-8213-211BA30670A5}" destId="{77D2B2F9-F80D-42D3-A1E7-4FB00DDA84EF}" srcOrd="1" destOrd="0" presId="urn:microsoft.com/office/officeart/2005/8/layout/hierarchy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60A19AB-47F6-4700-A7BD-6DF9F4687F0A}" type="doc">
      <dgm:prSet loTypeId="urn:microsoft.com/office/officeart/2005/8/layout/hierarchy2" loCatId="hierarchy" qsTypeId="urn:microsoft.com/office/officeart/2005/8/quickstyle/simple1" qsCatId="simple" csTypeId="urn:microsoft.com/office/officeart/2005/8/colors/accent1_1" csCatId="accent1" phldr="1"/>
      <dgm:spPr/>
      <dgm:t>
        <a:bodyPr/>
        <a:lstStyle/>
        <a:p>
          <a:endParaRPr lang="en-US"/>
        </a:p>
      </dgm:t>
    </dgm:pt>
    <dgm:pt modelId="{A333F07D-7D42-4605-B164-DB77597E10FA}">
      <dgm:prSet phldrT="[Text]" custT="1"/>
      <dgm:spPr/>
      <dgm:t>
        <a:bodyPr/>
        <a:lstStyle/>
        <a:p>
          <a:r>
            <a:rPr lang="en-US" sz="1000" b="1" u="none">
              <a:latin typeface="Arial" panose="020B0604020202020204" pitchFamily="34" charset="0"/>
              <a:cs typeface="Arial" panose="020B0604020202020204" pitchFamily="34" charset="0"/>
            </a:rPr>
            <a:t>18 Dogs</a:t>
          </a:r>
        </a:p>
      </dgm:t>
    </dgm:pt>
    <dgm:pt modelId="{8F74A5A0-E2CF-4CEA-B248-CC6631FFEEF2}" type="parTrans" cxnId="{20CB0874-9E83-4FE4-94F2-D6A44C993829}">
      <dgm:prSet/>
      <dgm:spPr/>
      <dgm:t>
        <a:bodyPr/>
        <a:lstStyle/>
        <a:p>
          <a:endParaRPr lang="en-US"/>
        </a:p>
      </dgm:t>
    </dgm:pt>
    <dgm:pt modelId="{D5BEE57A-DC0D-4667-9AA8-9D5B14943B6D}" type="sibTrans" cxnId="{20CB0874-9E83-4FE4-94F2-D6A44C993829}">
      <dgm:prSet/>
      <dgm:spPr/>
      <dgm:t>
        <a:bodyPr/>
        <a:lstStyle/>
        <a:p>
          <a:endParaRPr lang="en-US"/>
        </a:p>
      </dgm:t>
    </dgm:pt>
    <dgm:pt modelId="{6DF63384-3CB9-4C23-BF5C-D38B6E2AD789}">
      <dgm:prSet phldrT="[Text]" custT="1"/>
      <dgm:spPr/>
      <dgm:t>
        <a:bodyPr/>
        <a:lstStyle/>
        <a:p>
          <a:r>
            <a:rPr lang="en-US" sz="1000" b="1">
              <a:latin typeface="Arial" panose="020B0604020202020204" pitchFamily="34" charset="0"/>
              <a:cs typeface="Arial" panose="020B0604020202020204" pitchFamily="34" charset="0"/>
            </a:rPr>
            <a:t>ESTABLISH IDEAL BW AND MER</a:t>
          </a:r>
        </a:p>
        <a:p>
          <a:r>
            <a:rPr lang="en-US" sz="1000">
              <a:latin typeface="Arial" panose="020B0604020202020204" pitchFamily="34" charset="0"/>
              <a:cs typeface="Arial" panose="020B0604020202020204" pitchFamily="34" charset="0"/>
            </a:rPr>
            <a:t>DXA 20 % BF + 5/9 BCS</a:t>
          </a:r>
        </a:p>
        <a:p>
          <a:r>
            <a:rPr lang="en-US" sz="1000">
              <a:latin typeface="Arial" panose="020B0604020202020204" pitchFamily="34" charset="0"/>
              <a:cs typeface="Arial" panose="020B0604020202020204" pitchFamily="34" charset="0"/>
            </a:rPr>
            <a:t>3 weeks</a:t>
          </a:r>
        </a:p>
      </dgm:t>
    </dgm:pt>
    <dgm:pt modelId="{F05F0182-4C65-464B-82FD-01951A44B9A9}" type="parTrans" cxnId="{2E25086A-343E-4B3D-B0E0-6D07C6F3E821}">
      <dgm:prSet/>
      <dgm:spPr/>
      <dgm:t>
        <a:bodyPr/>
        <a:lstStyle/>
        <a:p>
          <a:endParaRPr lang="en-US"/>
        </a:p>
      </dgm:t>
    </dgm:pt>
    <dgm:pt modelId="{4B6AF736-0094-4C3B-B5CD-EC8AFCE27EAF}" type="sibTrans" cxnId="{2E25086A-343E-4B3D-B0E0-6D07C6F3E821}">
      <dgm:prSet/>
      <dgm:spPr/>
      <dgm:t>
        <a:bodyPr/>
        <a:lstStyle/>
        <a:p>
          <a:endParaRPr lang="en-US"/>
        </a:p>
      </dgm:t>
    </dgm:pt>
    <dgm:pt modelId="{FA004A86-CD17-4755-822B-D59FF809760C}">
      <dgm:prSet custT="1"/>
      <dgm:spPr/>
      <dgm:t>
        <a:bodyPr/>
        <a:lstStyle/>
        <a:p>
          <a:r>
            <a:rPr lang="en-US" sz="1000" b="1" dirty="0">
              <a:latin typeface="Arial" panose="020B0604020202020204" pitchFamily="34" charset="0"/>
              <a:cs typeface="Arial" panose="020B0604020202020204" pitchFamily="34" charset="0"/>
            </a:rPr>
            <a:t>TREATMENT</a:t>
          </a:r>
        </a:p>
        <a:p>
          <a:r>
            <a:rPr lang="en-US" sz="1000" dirty="0">
              <a:latin typeface="Arial" panose="020B0604020202020204" pitchFamily="34" charset="0"/>
              <a:cs typeface="Arial" panose="020B0604020202020204" pitchFamily="34" charset="0"/>
            </a:rPr>
            <a:t>Group ExN</a:t>
          </a:r>
          <a:r>
            <a:rPr lang="en-US" sz="1000" dirty="0" smtClean="0">
              <a:latin typeface="Arial" panose="020B0604020202020204" pitchFamily="34" charset="0"/>
              <a:cs typeface="Arial" panose="020B0604020202020204" pitchFamily="34" charset="0"/>
            </a:rPr>
            <a:t> (6 dogs)</a:t>
          </a:r>
          <a:endParaRPr lang="en-US" sz="1000" dirty="0">
            <a:latin typeface="Arial" panose="020B0604020202020204" pitchFamily="34" charset="0"/>
            <a:cs typeface="Arial" panose="020B0604020202020204" pitchFamily="34" charset="0"/>
          </a:endParaRPr>
        </a:p>
        <a:p>
          <a:r>
            <a:rPr lang="en-US" sz="1000" baseline="0" dirty="0" smtClean="0">
              <a:latin typeface="Arial" panose="020B0604020202020204" pitchFamily="34" charset="0"/>
              <a:cs typeface="Arial" panose="020B0604020202020204" pitchFamily="34" charset="0"/>
            </a:rPr>
            <a:t>Excess kcal</a:t>
          </a:r>
        </a:p>
        <a:p>
          <a:r>
            <a:rPr lang="en-US" sz="1000" dirty="0" smtClean="0">
              <a:latin typeface="Arial" panose="020B0604020202020204" pitchFamily="34" charset="0"/>
              <a:cs typeface="Arial" panose="020B0604020202020204" pitchFamily="34" charset="0"/>
            </a:rPr>
            <a:t>CAD + nutraceutical</a:t>
          </a:r>
          <a:endParaRPr lang="en-US" sz="1000" dirty="0">
            <a:latin typeface="Arial" panose="020B0604020202020204" pitchFamily="34" charset="0"/>
            <a:cs typeface="Arial" panose="020B0604020202020204" pitchFamily="34" charset="0"/>
          </a:endParaRPr>
        </a:p>
        <a:p>
          <a:r>
            <a:rPr lang="en-US" sz="1000" dirty="0">
              <a:latin typeface="Arial" panose="020B0604020202020204" pitchFamily="34" charset="0"/>
              <a:cs typeface="Arial" panose="020B0604020202020204" pitchFamily="34" charset="0"/>
            </a:rPr>
            <a:t>12 weeks </a:t>
          </a:r>
          <a:r>
            <a:rPr lang="en-US" sz="1000" dirty="0" smtClean="0">
              <a:latin typeface="Arial" panose="020B0604020202020204" pitchFamily="34" charset="0"/>
              <a:cs typeface="Arial" panose="020B0604020202020204" pitchFamily="34" charset="0"/>
            </a:rPr>
            <a:t>or </a:t>
          </a:r>
          <a:r>
            <a:rPr lang="en-US" sz="1000" dirty="0">
              <a:latin typeface="Arial" panose="020B0604020202020204" pitchFamily="34" charset="0"/>
              <a:cs typeface="Arial" panose="020B0604020202020204" pitchFamily="34" charset="0"/>
            </a:rPr>
            <a:t>to 45% BF</a:t>
          </a:r>
          <a:endParaRPr lang="en-US" sz="1000">
            <a:latin typeface="Arial" panose="020B0604020202020204" pitchFamily="34" charset="0"/>
            <a:cs typeface="Arial" panose="020B0604020202020204" pitchFamily="34" charset="0"/>
          </a:endParaRPr>
        </a:p>
      </dgm:t>
    </dgm:pt>
    <dgm:pt modelId="{C7FD02FE-E839-4A1E-86E1-4018AC518C60}" type="parTrans" cxnId="{DABFF43A-2173-4BF9-81C5-12711A9C06A1}">
      <dgm:prSet/>
      <dgm:spPr/>
      <dgm:t>
        <a:bodyPr/>
        <a:lstStyle/>
        <a:p>
          <a:endParaRPr lang="en-US"/>
        </a:p>
      </dgm:t>
    </dgm:pt>
    <dgm:pt modelId="{89B8348D-CC09-4F9C-A25E-73B1FC3858F3}" type="sibTrans" cxnId="{DABFF43A-2173-4BF9-81C5-12711A9C06A1}">
      <dgm:prSet/>
      <dgm:spPr/>
      <dgm:t>
        <a:bodyPr/>
        <a:lstStyle/>
        <a:p>
          <a:endParaRPr lang="en-US"/>
        </a:p>
      </dgm:t>
    </dgm:pt>
    <dgm:pt modelId="{7F3B44AB-0C47-4074-A249-BFE1B1178DEC}">
      <dgm:prSet custT="1"/>
      <dgm:spPr/>
      <dgm:t>
        <a:bodyPr/>
        <a:lstStyle/>
        <a:p>
          <a:r>
            <a:rPr lang="en-US" sz="1000" b="1">
              <a:latin typeface="Arial" panose="020B0604020202020204" pitchFamily="34" charset="0"/>
              <a:cs typeface="Arial" panose="020B0604020202020204" pitchFamily="34" charset="0"/>
            </a:rPr>
            <a:t>TREATMENT</a:t>
          </a:r>
        </a:p>
        <a:p>
          <a:r>
            <a:rPr lang="en-US" sz="1000">
              <a:latin typeface="Arial" panose="020B0604020202020204" pitchFamily="34" charset="0"/>
              <a:cs typeface="Arial" panose="020B0604020202020204" pitchFamily="34" charset="0"/>
            </a:rPr>
            <a:t>Group ExP (6 dogs)</a:t>
          </a:r>
        </a:p>
        <a:p>
          <a:r>
            <a:rPr lang="en-US" sz="1000">
              <a:latin typeface="Arial" panose="020B0604020202020204" pitchFamily="34" charset="0"/>
              <a:cs typeface="Arial" panose="020B0604020202020204" pitchFamily="34" charset="0"/>
            </a:rPr>
            <a:t>Excess kcal</a:t>
          </a:r>
        </a:p>
        <a:p>
          <a:r>
            <a:rPr lang="en-US" sz="1000">
              <a:latin typeface="Arial" panose="020B0604020202020204" pitchFamily="34" charset="0"/>
              <a:cs typeface="Arial" panose="020B0604020202020204" pitchFamily="34" charset="0"/>
            </a:rPr>
            <a:t>CAD + placebo</a:t>
          </a:r>
        </a:p>
        <a:p>
          <a:r>
            <a:rPr lang="en-US" sz="1000">
              <a:latin typeface="Arial" panose="020B0604020202020204" pitchFamily="34" charset="0"/>
              <a:cs typeface="Arial" panose="020B0604020202020204" pitchFamily="34" charset="0"/>
            </a:rPr>
            <a:t>12 weeks or to 45% BF</a:t>
          </a:r>
        </a:p>
      </dgm:t>
    </dgm:pt>
    <dgm:pt modelId="{828369F0-74E4-49C4-A0E4-EC007F637E61}" type="parTrans" cxnId="{8202BA3C-55DF-408E-9D74-8F526DE15082}">
      <dgm:prSet/>
      <dgm:spPr/>
      <dgm:t>
        <a:bodyPr/>
        <a:lstStyle/>
        <a:p>
          <a:endParaRPr lang="en-US"/>
        </a:p>
      </dgm:t>
    </dgm:pt>
    <dgm:pt modelId="{4A74FEFC-A7B5-4DC5-B6CA-2239A7592B32}" type="sibTrans" cxnId="{8202BA3C-55DF-408E-9D74-8F526DE15082}">
      <dgm:prSet/>
      <dgm:spPr/>
      <dgm:t>
        <a:bodyPr/>
        <a:lstStyle/>
        <a:p>
          <a:endParaRPr lang="en-US"/>
        </a:p>
      </dgm:t>
    </dgm:pt>
    <dgm:pt modelId="{F542F97D-853D-4361-87E3-B6CE1EA6DCB5}">
      <dgm:prSet custT="1"/>
      <dgm:spPr/>
      <dgm:t>
        <a:bodyPr/>
        <a:lstStyle/>
        <a:p>
          <a:r>
            <a:rPr lang="en-US" sz="1000" b="1">
              <a:latin typeface="Arial" panose="020B0604020202020204" pitchFamily="34" charset="0"/>
              <a:cs typeface="Arial" panose="020B0604020202020204" pitchFamily="34" charset="0"/>
            </a:rPr>
            <a:t>MAINTAIN IDEAL</a:t>
          </a:r>
        </a:p>
        <a:p>
          <a:r>
            <a:rPr lang="en-US" sz="1000" b="0">
              <a:latin typeface="Arial" panose="020B0604020202020204" pitchFamily="34" charset="0"/>
              <a:cs typeface="Arial" panose="020B0604020202020204" pitchFamily="34" charset="0"/>
            </a:rPr>
            <a:t>Group IBW (6 dogs)</a:t>
          </a:r>
        </a:p>
        <a:p>
          <a:r>
            <a:rPr lang="en-US" sz="1000" b="0">
              <a:latin typeface="Arial" panose="020B0604020202020204" pitchFamily="34" charset="0"/>
              <a:cs typeface="Arial" panose="020B0604020202020204" pitchFamily="34" charset="0"/>
            </a:rPr>
            <a:t>NEGATIVE CONTROL</a:t>
          </a:r>
        </a:p>
        <a:p>
          <a:r>
            <a:rPr lang="en-US" sz="1000" b="0">
              <a:latin typeface="Arial" panose="020B0604020202020204" pitchFamily="34" charset="0"/>
              <a:cs typeface="Arial" panose="020B0604020202020204" pitchFamily="34" charset="0"/>
            </a:rPr>
            <a:t>MER</a:t>
          </a:r>
          <a:r>
            <a:rPr lang="en-US" sz="1000" b="0" baseline="-25000">
              <a:latin typeface="Arial" panose="020B0604020202020204" pitchFamily="34" charset="0"/>
              <a:cs typeface="Arial" panose="020B0604020202020204" pitchFamily="34" charset="0"/>
            </a:rPr>
            <a:t>ideal</a:t>
          </a:r>
          <a:endParaRPr lang="en-US" sz="1000" b="0" baseline="30000">
            <a:latin typeface="Arial" panose="020B0604020202020204" pitchFamily="34" charset="0"/>
            <a:cs typeface="Arial" panose="020B0604020202020204" pitchFamily="34" charset="0"/>
          </a:endParaRPr>
        </a:p>
        <a:p>
          <a:r>
            <a:rPr lang="en-US" sz="1000" b="0" baseline="0">
              <a:latin typeface="Arial" panose="020B0604020202020204" pitchFamily="34" charset="0"/>
              <a:cs typeface="Arial" panose="020B0604020202020204" pitchFamily="34" charset="0"/>
            </a:rPr>
            <a:t>CAD</a:t>
          </a:r>
        </a:p>
        <a:p>
          <a:r>
            <a:rPr lang="en-US" sz="1000" b="0" baseline="0">
              <a:latin typeface="Arial" panose="020B0604020202020204" pitchFamily="34" charset="0"/>
              <a:cs typeface="Arial" panose="020B0604020202020204" pitchFamily="34" charset="0"/>
            </a:rPr>
            <a:t>12 weeks</a:t>
          </a:r>
        </a:p>
      </dgm:t>
    </dgm:pt>
    <dgm:pt modelId="{1A41E2ED-93A6-4EC1-B840-25AAC7B4261A}" type="parTrans" cxnId="{8EDB9A7A-FA31-4C59-A006-7AECA475C3D7}">
      <dgm:prSet/>
      <dgm:spPr/>
      <dgm:t>
        <a:bodyPr/>
        <a:lstStyle/>
        <a:p>
          <a:endParaRPr lang="en-US"/>
        </a:p>
      </dgm:t>
    </dgm:pt>
    <dgm:pt modelId="{866D501C-39F8-4AB7-B908-0C7047F45164}" type="sibTrans" cxnId="{8EDB9A7A-FA31-4C59-A006-7AECA475C3D7}">
      <dgm:prSet/>
      <dgm:spPr/>
      <dgm:t>
        <a:bodyPr/>
        <a:lstStyle/>
        <a:p>
          <a:endParaRPr lang="en-US"/>
        </a:p>
      </dgm:t>
    </dgm:pt>
    <dgm:pt modelId="{E533B442-80C9-415F-B445-471A60FA160B}" type="pres">
      <dgm:prSet presAssocID="{760A19AB-47F6-4700-A7BD-6DF9F4687F0A}" presName="diagram" presStyleCnt="0">
        <dgm:presLayoutVars>
          <dgm:chPref val="1"/>
          <dgm:dir/>
          <dgm:animOne val="branch"/>
          <dgm:animLvl val="lvl"/>
          <dgm:resizeHandles val="exact"/>
        </dgm:presLayoutVars>
      </dgm:prSet>
      <dgm:spPr/>
      <dgm:t>
        <a:bodyPr/>
        <a:lstStyle/>
        <a:p>
          <a:endParaRPr lang="en-US"/>
        </a:p>
      </dgm:t>
    </dgm:pt>
    <dgm:pt modelId="{BD0E9777-C6F6-4A63-A96F-4528C234FFBE}" type="pres">
      <dgm:prSet presAssocID="{A333F07D-7D42-4605-B164-DB77597E10FA}" presName="root1" presStyleCnt="0"/>
      <dgm:spPr/>
      <dgm:t>
        <a:bodyPr/>
        <a:lstStyle/>
        <a:p>
          <a:endParaRPr lang="en-US"/>
        </a:p>
      </dgm:t>
    </dgm:pt>
    <dgm:pt modelId="{140D9EBF-DBAF-48E3-A395-29F08566817C}" type="pres">
      <dgm:prSet presAssocID="{A333F07D-7D42-4605-B164-DB77597E10FA}" presName="LevelOneTextNode" presStyleLbl="node0" presStyleIdx="0" presStyleCnt="1" custScaleX="36744" custScaleY="48680">
        <dgm:presLayoutVars>
          <dgm:chPref val="3"/>
        </dgm:presLayoutVars>
      </dgm:prSet>
      <dgm:spPr/>
      <dgm:t>
        <a:bodyPr/>
        <a:lstStyle/>
        <a:p>
          <a:endParaRPr lang="en-US"/>
        </a:p>
      </dgm:t>
    </dgm:pt>
    <dgm:pt modelId="{88168B74-1BBC-4E8F-8251-737CC710E62B}" type="pres">
      <dgm:prSet presAssocID="{A333F07D-7D42-4605-B164-DB77597E10FA}" presName="level2hierChild" presStyleCnt="0"/>
      <dgm:spPr/>
      <dgm:t>
        <a:bodyPr/>
        <a:lstStyle/>
        <a:p>
          <a:endParaRPr lang="en-US"/>
        </a:p>
      </dgm:t>
    </dgm:pt>
    <dgm:pt modelId="{F4ADB0DA-96C7-46F2-BD4B-36320467BE9F}" type="pres">
      <dgm:prSet presAssocID="{F05F0182-4C65-464B-82FD-01951A44B9A9}" presName="conn2-1" presStyleLbl="parChTrans1D2" presStyleIdx="0" presStyleCnt="1"/>
      <dgm:spPr/>
      <dgm:t>
        <a:bodyPr/>
        <a:lstStyle/>
        <a:p>
          <a:endParaRPr lang="en-US"/>
        </a:p>
      </dgm:t>
    </dgm:pt>
    <dgm:pt modelId="{E41249F7-80B2-49AC-85FA-272196991FD8}" type="pres">
      <dgm:prSet presAssocID="{F05F0182-4C65-464B-82FD-01951A44B9A9}" presName="connTx" presStyleLbl="parChTrans1D2" presStyleIdx="0" presStyleCnt="1"/>
      <dgm:spPr/>
      <dgm:t>
        <a:bodyPr/>
        <a:lstStyle/>
        <a:p>
          <a:endParaRPr lang="en-US"/>
        </a:p>
      </dgm:t>
    </dgm:pt>
    <dgm:pt modelId="{16989FD6-8AA6-4E79-A857-C078A5C5327E}" type="pres">
      <dgm:prSet presAssocID="{6DF63384-3CB9-4C23-BF5C-D38B6E2AD789}" presName="root2" presStyleCnt="0"/>
      <dgm:spPr/>
      <dgm:t>
        <a:bodyPr/>
        <a:lstStyle/>
        <a:p>
          <a:endParaRPr lang="en-US"/>
        </a:p>
      </dgm:t>
    </dgm:pt>
    <dgm:pt modelId="{9308171D-9C74-41CC-B30E-9379C190B69E}" type="pres">
      <dgm:prSet presAssocID="{6DF63384-3CB9-4C23-BF5C-D38B6E2AD789}" presName="LevelTwoTextNode" presStyleLbl="node2" presStyleIdx="0" presStyleCnt="1" custScaleX="104257" custScaleY="62202" custLinFactNeighborX="-29596">
        <dgm:presLayoutVars>
          <dgm:chPref val="3"/>
        </dgm:presLayoutVars>
      </dgm:prSet>
      <dgm:spPr/>
      <dgm:t>
        <a:bodyPr/>
        <a:lstStyle/>
        <a:p>
          <a:endParaRPr lang="en-US"/>
        </a:p>
      </dgm:t>
    </dgm:pt>
    <dgm:pt modelId="{85BE90D8-0EA0-4B46-8CBD-360A909BA27B}" type="pres">
      <dgm:prSet presAssocID="{6DF63384-3CB9-4C23-BF5C-D38B6E2AD789}" presName="level3hierChild" presStyleCnt="0"/>
      <dgm:spPr/>
      <dgm:t>
        <a:bodyPr/>
        <a:lstStyle/>
        <a:p>
          <a:endParaRPr lang="en-US"/>
        </a:p>
      </dgm:t>
    </dgm:pt>
    <dgm:pt modelId="{D30C1C88-2993-4BFD-A657-D5AE315B4383}" type="pres">
      <dgm:prSet presAssocID="{C7FD02FE-E839-4A1E-86E1-4018AC518C60}" presName="conn2-1" presStyleLbl="parChTrans1D3" presStyleIdx="0" presStyleCnt="3"/>
      <dgm:spPr/>
      <dgm:t>
        <a:bodyPr/>
        <a:lstStyle/>
        <a:p>
          <a:endParaRPr lang="en-US"/>
        </a:p>
      </dgm:t>
    </dgm:pt>
    <dgm:pt modelId="{D10FF597-FF73-495C-BCBF-028D78E90520}" type="pres">
      <dgm:prSet presAssocID="{C7FD02FE-E839-4A1E-86E1-4018AC518C60}" presName="connTx" presStyleLbl="parChTrans1D3" presStyleIdx="0" presStyleCnt="3"/>
      <dgm:spPr/>
      <dgm:t>
        <a:bodyPr/>
        <a:lstStyle/>
        <a:p>
          <a:endParaRPr lang="en-US"/>
        </a:p>
      </dgm:t>
    </dgm:pt>
    <dgm:pt modelId="{33F51A0D-7544-4E69-A2C0-F115B4B9D42C}" type="pres">
      <dgm:prSet presAssocID="{FA004A86-CD17-4755-822B-D59FF809760C}" presName="root2" presStyleCnt="0"/>
      <dgm:spPr/>
      <dgm:t>
        <a:bodyPr/>
        <a:lstStyle/>
        <a:p>
          <a:endParaRPr lang="en-US"/>
        </a:p>
      </dgm:t>
    </dgm:pt>
    <dgm:pt modelId="{182236A6-042C-47E9-9258-64CF6BBBAE29}" type="pres">
      <dgm:prSet presAssocID="{FA004A86-CD17-4755-822B-D59FF809760C}" presName="LevelTwoTextNode" presStyleLbl="node3" presStyleIdx="0" presStyleCnt="3" custScaleX="60412" custScaleY="87990" custLinFactNeighborX="-6733" custLinFactNeighborY="-1022">
        <dgm:presLayoutVars>
          <dgm:chPref val="3"/>
        </dgm:presLayoutVars>
      </dgm:prSet>
      <dgm:spPr/>
      <dgm:t>
        <a:bodyPr/>
        <a:lstStyle/>
        <a:p>
          <a:endParaRPr lang="en-US"/>
        </a:p>
      </dgm:t>
    </dgm:pt>
    <dgm:pt modelId="{F0223077-CFEF-4437-9268-0CF65FBDCF3D}" type="pres">
      <dgm:prSet presAssocID="{FA004A86-CD17-4755-822B-D59FF809760C}" presName="level3hierChild" presStyleCnt="0"/>
      <dgm:spPr/>
      <dgm:t>
        <a:bodyPr/>
        <a:lstStyle/>
        <a:p>
          <a:endParaRPr lang="en-US"/>
        </a:p>
      </dgm:t>
    </dgm:pt>
    <dgm:pt modelId="{29913603-C7CC-4887-95A1-694D59EA284F}" type="pres">
      <dgm:prSet presAssocID="{828369F0-74E4-49C4-A0E4-EC007F637E61}" presName="conn2-1" presStyleLbl="parChTrans1D3" presStyleIdx="1" presStyleCnt="3"/>
      <dgm:spPr/>
      <dgm:t>
        <a:bodyPr/>
        <a:lstStyle/>
        <a:p>
          <a:endParaRPr lang="en-US"/>
        </a:p>
      </dgm:t>
    </dgm:pt>
    <dgm:pt modelId="{8F4F0C75-5003-4244-82F5-1B760997168E}" type="pres">
      <dgm:prSet presAssocID="{828369F0-74E4-49C4-A0E4-EC007F637E61}" presName="connTx" presStyleLbl="parChTrans1D3" presStyleIdx="1" presStyleCnt="3"/>
      <dgm:spPr/>
      <dgm:t>
        <a:bodyPr/>
        <a:lstStyle/>
        <a:p>
          <a:endParaRPr lang="en-US"/>
        </a:p>
      </dgm:t>
    </dgm:pt>
    <dgm:pt modelId="{D37A87BE-AE2E-41A7-8213-211BA30670A5}" type="pres">
      <dgm:prSet presAssocID="{7F3B44AB-0C47-4074-A249-BFE1B1178DEC}" presName="root2" presStyleCnt="0"/>
      <dgm:spPr/>
      <dgm:t>
        <a:bodyPr/>
        <a:lstStyle/>
        <a:p>
          <a:endParaRPr lang="en-US"/>
        </a:p>
      </dgm:t>
    </dgm:pt>
    <dgm:pt modelId="{B73077D7-7802-48BC-8B56-F20E0CA29C2E}" type="pres">
      <dgm:prSet presAssocID="{7F3B44AB-0C47-4074-A249-BFE1B1178DEC}" presName="LevelTwoTextNode" presStyleLbl="node3" presStyleIdx="1" presStyleCnt="3" custScaleX="59241" custScaleY="83584" custLinFactNeighborX="-6284" custLinFactNeighborY="3016">
        <dgm:presLayoutVars>
          <dgm:chPref val="3"/>
        </dgm:presLayoutVars>
      </dgm:prSet>
      <dgm:spPr/>
      <dgm:t>
        <a:bodyPr/>
        <a:lstStyle/>
        <a:p>
          <a:endParaRPr lang="en-US"/>
        </a:p>
      </dgm:t>
    </dgm:pt>
    <dgm:pt modelId="{77D2B2F9-F80D-42D3-A1E7-4FB00DDA84EF}" type="pres">
      <dgm:prSet presAssocID="{7F3B44AB-0C47-4074-A249-BFE1B1178DEC}" presName="level3hierChild" presStyleCnt="0"/>
      <dgm:spPr/>
      <dgm:t>
        <a:bodyPr/>
        <a:lstStyle/>
        <a:p>
          <a:endParaRPr lang="en-US"/>
        </a:p>
      </dgm:t>
    </dgm:pt>
    <dgm:pt modelId="{46DF1AC4-9D6A-4B8A-9B3C-72606F5AE5F8}" type="pres">
      <dgm:prSet presAssocID="{1A41E2ED-93A6-4EC1-B840-25AAC7B4261A}" presName="conn2-1" presStyleLbl="parChTrans1D3" presStyleIdx="2" presStyleCnt="3"/>
      <dgm:spPr/>
      <dgm:t>
        <a:bodyPr/>
        <a:lstStyle/>
        <a:p>
          <a:endParaRPr lang="en-US"/>
        </a:p>
      </dgm:t>
    </dgm:pt>
    <dgm:pt modelId="{B3B4A05A-F2F1-490F-8DE9-DCF6D7D1224A}" type="pres">
      <dgm:prSet presAssocID="{1A41E2ED-93A6-4EC1-B840-25AAC7B4261A}" presName="connTx" presStyleLbl="parChTrans1D3" presStyleIdx="2" presStyleCnt="3"/>
      <dgm:spPr/>
      <dgm:t>
        <a:bodyPr/>
        <a:lstStyle/>
        <a:p>
          <a:endParaRPr lang="en-US"/>
        </a:p>
      </dgm:t>
    </dgm:pt>
    <dgm:pt modelId="{700C1C95-4F35-42A0-857B-85FFEBAB43D9}" type="pres">
      <dgm:prSet presAssocID="{F542F97D-853D-4361-87E3-B6CE1EA6DCB5}" presName="root2" presStyleCnt="0"/>
      <dgm:spPr/>
    </dgm:pt>
    <dgm:pt modelId="{7C08E54E-A37B-45E1-967E-42BF0B29E494}" type="pres">
      <dgm:prSet presAssocID="{F542F97D-853D-4361-87E3-B6CE1EA6DCB5}" presName="LevelTwoTextNode" presStyleLbl="node3" presStyleIdx="2" presStyleCnt="3" custScaleX="58741" custScaleY="91618" custLinFactNeighborX="-5962" custLinFactNeighborY="3600">
        <dgm:presLayoutVars>
          <dgm:chPref val="3"/>
        </dgm:presLayoutVars>
      </dgm:prSet>
      <dgm:spPr/>
      <dgm:t>
        <a:bodyPr/>
        <a:lstStyle/>
        <a:p>
          <a:endParaRPr lang="en-US"/>
        </a:p>
      </dgm:t>
    </dgm:pt>
    <dgm:pt modelId="{A2A51D93-B74F-4B9E-977F-9200B8226A52}" type="pres">
      <dgm:prSet presAssocID="{F542F97D-853D-4361-87E3-B6CE1EA6DCB5}" presName="level3hierChild" presStyleCnt="0"/>
      <dgm:spPr/>
    </dgm:pt>
  </dgm:ptLst>
  <dgm:cxnLst>
    <dgm:cxn modelId="{F7155FB7-9E6F-4190-AAE6-827B6F82A0C5}" type="presOf" srcId="{1A41E2ED-93A6-4EC1-B840-25AAC7B4261A}" destId="{B3B4A05A-F2F1-490F-8DE9-DCF6D7D1224A}" srcOrd="1" destOrd="0" presId="urn:microsoft.com/office/officeart/2005/8/layout/hierarchy2"/>
    <dgm:cxn modelId="{DABFF43A-2173-4BF9-81C5-12711A9C06A1}" srcId="{6DF63384-3CB9-4C23-BF5C-D38B6E2AD789}" destId="{FA004A86-CD17-4755-822B-D59FF809760C}" srcOrd="0" destOrd="0" parTransId="{C7FD02FE-E839-4A1E-86E1-4018AC518C60}" sibTransId="{89B8348D-CC09-4F9C-A25E-73B1FC3858F3}"/>
    <dgm:cxn modelId="{43428475-6393-4ACA-8C04-05DEC568D6AC}" type="presOf" srcId="{6DF63384-3CB9-4C23-BF5C-D38B6E2AD789}" destId="{9308171D-9C74-41CC-B30E-9379C190B69E}" srcOrd="0" destOrd="0" presId="urn:microsoft.com/office/officeart/2005/8/layout/hierarchy2"/>
    <dgm:cxn modelId="{75969273-DDDF-43F3-A659-F64043643524}" type="presOf" srcId="{828369F0-74E4-49C4-A0E4-EC007F637E61}" destId="{29913603-C7CC-4887-95A1-694D59EA284F}" srcOrd="0" destOrd="0" presId="urn:microsoft.com/office/officeart/2005/8/layout/hierarchy2"/>
    <dgm:cxn modelId="{B280FA1B-6D8E-4032-82A9-C51EAE033DE8}" type="presOf" srcId="{828369F0-74E4-49C4-A0E4-EC007F637E61}" destId="{8F4F0C75-5003-4244-82F5-1B760997168E}" srcOrd="1" destOrd="0" presId="urn:microsoft.com/office/officeart/2005/8/layout/hierarchy2"/>
    <dgm:cxn modelId="{1FE6A5E2-2672-426D-92C3-B053A9DDD44D}" type="presOf" srcId="{FA004A86-CD17-4755-822B-D59FF809760C}" destId="{182236A6-042C-47E9-9258-64CF6BBBAE29}" srcOrd="0" destOrd="0" presId="urn:microsoft.com/office/officeart/2005/8/layout/hierarchy2"/>
    <dgm:cxn modelId="{6ECBF37F-1C29-48DB-BA3D-72CA4844CECD}" type="presOf" srcId="{C7FD02FE-E839-4A1E-86E1-4018AC518C60}" destId="{D10FF597-FF73-495C-BCBF-028D78E90520}" srcOrd="1" destOrd="0" presId="urn:microsoft.com/office/officeart/2005/8/layout/hierarchy2"/>
    <dgm:cxn modelId="{2E25086A-343E-4B3D-B0E0-6D07C6F3E821}" srcId="{A333F07D-7D42-4605-B164-DB77597E10FA}" destId="{6DF63384-3CB9-4C23-BF5C-D38B6E2AD789}" srcOrd="0" destOrd="0" parTransId="{F05F0182-4C65-464B-82FD-01951A44B9A9}" sibTransId="{4B6AF736-0094-4C3B-B5CD-EC8AFCE27EAF}"/>
    <dgm:cxn modelId="{8202BA3C-55DF-408E-9D74-8F526DE15082}" srcId="{6DF63384-3CB9-4C23-BF5C-D38B6E2AD789}" destId="{7F3B44AB-0C47-4074-A249-BFE1B1178DEC}" srcOrd="1" destOrd="0" parTransId="{828369F0-74E4-49C4-A0E4-EC007F637E61}" sibTransId="{4A74FEFC-A7B5-4DC5-B6CA-2239A7592B32}"/>
    <dgm:cxn modelId="{A10BBF59-5ABA-4E22-B1BF-22EF5550B9E3}" type="presOf" srcId="{F05F0182-4C65-464B-82FD-01951A44B9A9}" destId="{E41249F7-80B2-49AC-85FA-272196991FD8}" srcOrd="1" destOrd="0" presId="urn:microsoft.com/office/officeart/2005/8/layout/hierarchy2"/>
    <dgm:cxn modelId="{25DD31D6-6C07-4631-9846-EB84E9C27650}" type="presOf" srcId="{F542F97D-853D-4361-87E3-B6CE1EA6DCB5}" destId="{7C08E54E-A37B-45E1-967E-42BF0B29E494}" srcOrd="0" destOrd="0" presId="urn:microsoft.com/office/officeart/2005/8/layout/hierarchy2"/>
    <dgm:cxn modelId="{B7623AFC-6004-4958-A9DE-7A16A6A98041}" type="presOf" srcId="{760A19AB-47F6-4700-A7BD-6DF9F4687F0A}" destId="{E533B442-80C9-415F-B445-471A60FA160B}" srcOrd="0" destOrd="0" presId="urn:microsoft.com/office/officeart/2005/8/layout/hierarchy2"/>
    <dgm:cxn modelId="{46CC9B01-2F98-42EE-A36C-51F7E8E4BD77}" type="presOf" srcId="{C7FD02FE-E839-4A1E-86E1-4018AC518C60}" destId="{D30C1C88-2993-4BFD-A657-D5AE315B4383}" srcOrd="0" destOrd="0" presId="urn:microsoft.com/office/officeart/2005/8/layout/hierarchy2"/>
    <dgm:cxn modelId="{8EDB9A7A-FA31-4C59-A006-7AECA475C3D7}" srcId="{6DF63384-3CB9-4C23-BF5C-D38B6E2AD789}" destId="{F542F97D-853D-4361-87E3-B6CE1EA6DCB5}" srcOrd="2" destOrd="0" parTransId="{1A41E2ED-93A6-4EC1-B840-25AAC7B4261A}" sibTransId="{866D501C-39F8-4AB7-B908-0C7047F45164}"/>
    <dgm:cxn modelId="{F4F2C762-45FE-4625-9771-BC024A41D2D9}" type="presOf" srcId="{7F3B44AB-0C47-4074-A249-BFE1B1178DEC}" destId="{B73077D7-7802-48BC-8B56-F20E0CA29C2E}" srcOrd="0" destOrd="0" presId="urn:microsoft.com/office/officeart/2005/8/layout/hierarchy2"/>
    <dgm:cxn modelId="{3F44E3A0-ADA5-4340-84A1-AE2616467527}" type="presOf" srcId="{A333F07D-7D42-4605-B164-DB77597E10FA}" destId="{140D9EBF-DBAF-48E3-A395-29F08566817C}" srcOrd="0" destOrd="0" presId="urn:microsoft.com/office/officeart/2005/8/layout/hierarchy2"/>
    <dgm:cxn modelId="{20CB0874-9E83-4FE4-94F2-D6A44C993829}" srcId="{760A19AB-47F6-4700-A7BD-6DF9F4687F0A}" destId="{A333F07D-7D42-4605-B164-DB77597E10FA}" srcOrd="0" destOrd="0" parTransId="{8F74A5A0-E2CF-4CEA-B248-CC6631FFEEF2}" sibTransId="{D5BEE57A-DC0D-4667-9AA8-9D5B14943B6D}"/>
    <dgm:cxn modelId="{5935BB2E-C1F0-4992-9194-A1A1C35EE885}" type="presOf" srcId="{1A41E2ED-93A6-4EC1-B840-25AAC7B4261A}" destId="{46DF1AC4-9D6A-4B8A-9B3C-72606F5AE5F8}" srcOrd="0" destOrd="0" presId="urn:microsoft.com/office/officeart/2005/8/layout/hierarchy2"/>
    <dgm:cxn modelId="{D05C6412-CB45-4CA8-A20E-404A4B009DBF}" type="presOf" srcId="{F05F0182-4C65-464B-82FD-01951A44B9A9}" destId="{F4ADB0DA-96C7-46F2-BD4B-36320467BE9F}" srcOrd="0" destOrd="0" presId="urn:microsoft.com/office/officeart/2005/8/layout/hierarchy2"/>
    <dgm:cxn modelId="{F25A0C2D-1D51-4151-81D7-DC655825E659}" type="presParOf" srcId="{E533B442-80C9-415F-B445-471A60FA160B}" destId="{BD0E9777-C6F6-4A63-A96F-4528C234FFBE}" srcOrd="0" destOrd="0" presId="urn:microsoft.com/office/officeart/2005/8/layout/hierarchy2"/>
    <dgm:cxn modelId="{BA9C8C09-C1E7-45D0-BA89-EB727EE48383}" type="presParOf" srcId="{BD0E9777-C6F6-4A63-A96F-4528C234FFBE}" destId="{140D9EBF-DBAF-48E3-A395-29F08566817C}" srcOrd="0" destOrd="0" presId="urn:microsoft.com/office/officeart/2005/8/layout/hierarchy2"/>
    <dgm:cxn modelId="{627BB29D-1DEF-440C-A1B6-6E642F9CE404}" type="presParOf" srcId="{BD0E9777-C6F6-4A63-A96F-4528C234FFBE}" destId="{88168B74-1BBC-4E8F-8251-737CC710E62B}" srcOrd="1" destOrd="0" presId="urn:microsoft.com/office/officeart/2005/8/layout/hierarchy2"/>
    <dgm:cxn modelId="{83C3689B-1544-4342-82BF-7B38502AC7CB}" type="presParOf" srcId="{88168B74-1BBC-4E8F-8251-737CC710E62B}" destId="{F4ADB0DA-96C7-46F2-BD4B-36320467BE9F}" srcOrd="0" destOrd="0" presId="urn:microsoft.com/office/officeart/2005/8/layout/hierarchy2"/>
    <dgm:cxn modelId="{F0052864-435A-4970-9657-F5BDDD20841E}" type="presParOf" srcId="{F4ADB0DA-96C7-46F2-BD4B-36320467BE9F}" destId="{E41249F7-80B2-49AC-85FA-272196991FD8}" srcOrd="0" destOrd="0" presId="urn:microsoft.com/office/officeart/2005/8/layout/hierarchy2"/>
    <dgm:cxn modelId="{D27E9E57-438C-4FE0-852C-FECFB9F0704B}" type="presParOf" srcId="{88168B74-1BBC-4E8F-8251-737CC710E62B}" destId="{16989FD6-8AA6-4E79-A857-C078A5C5327E}" srcOrd="1" destOrd="0" presId="urn:microsoft.com/office/officeart/2005/8/layout/hierarchy2"/>
    <dgm:cxn modelId="{2F96C7F0-6172-4274-A059-38D69FC29702}" type="presParOf" srcId="{16989FD6-8AA6-4E79-A857-C078A5C5327E}" destId="{9308171D-9C74-41CC-B30E-9379C190B69E}" srcOrd="0" destOrd="0" presId="urn:microsoft.com/office/officeart/2005/8/layout/hierarchy2"/>
    <dgm:cxn modelId="{D38A8C63-4698-49CC-B168-5F2607C0F4AC}" type="presParOf" srcId="{16989FD6-8AA6-4E79-A857-C078A5C5327E}" destId="{85BE90D8-0EA0-4B46-8CBD-360A909BA27B}" srcOrd="1" destOrd="0" presId="urn:microsoft.com/office/officeart/2005/8/layout/hierarchy2"/>
    <dgm:cxn modelId="{75AD5C78-2CAF-4E19-9ACC-6C3E791BC272}" type="presParOf" srcId="{85BE90D8-0EA0-4B46-8CBD-360A909BA27B}" destId="{D30C1C88-2993-4BFD-A657-D5AE315B4383}" srcOrd="0" destOrd="0" presId="urn:microsoft.com/office/officeart/2005/8/layout/hierarchy2"/>
    <dgm:cxn modelId="{A7E8885E-2ADB-4687-BF7F-7C7E8D575072}" type="presParOf" srcId="{D30C1C88-2993-4BFD-A657-D5AE315B4383}" destId="{D10FF597-FF73-495C-BCBF-028D78E90520}" srcOrd="0" destOrd="0" presId="urn:microsoft.com/office/officeart/2005/8/layout/hierarchy2"/>
    <dgm:cxn modelId="{74B707A5-8668-4F68-BDDC-F04E46F10678}" type="presParOf" srcId="{85BE90D8-0EA0-4B46-8CBD-360A909BA27B}" destId="{33F51A0D-7544-4E69-A2C0-F115B4B9D42C}" srcOrd="1" destOrd="0" presId="urn:microsoft.com/office/officeart/2005/8/layout/hierarchy2"/>
    <dgm:cxn modelId="{FA9D4F89-6EA8-47FF-844C-6D9E0B8503DD}" type="presParOf" srcId="{33F51A0D-7544-4E69-A2C0-F115B4B9D42C}" destId="{182236A6-042C-47E9-9258-64CF6BBBAE29}" srcOrd="0" destOrd="0" presId="urn:microsoft.com/office/officeart/2005/8/layout/hierarchy2"/>
    <dgm:cxn modelId="{D00EDEA1-FA0C-4311-898B-2BF5316994B3}" type="presParOf" srcId="{33F51A0D-7544-4E69-A2C0-F115B4B9D42C}" destId="{F0223077-CFEF-4437-9268-0CF65FBDCF3D}" srcOrd="1" destOrd="0" presId="urn:microsoft.com/office/officeart/2005/8/layout/hierarchy2"/>
    <dgm:cxn modelId="{DDDC1DBC-E440-47EF-B8B9-890FAE792A88}" type="presParOf" srcId="{85BE90D8-0EA0-4B46-8CBD-360A909BA27B}" destId="{29913603-C7CC-4887-95A1-694D59EA284F}" srcOrd="2" destOrd="0" presId="urn:microsoft.com/office/officeart/2005/8/layout/hierarchy2"/>
    <dgm:cxn modelId="{7AE7474D-B2BE-4AB8-A3B2-6BCDDA949321}" type="presParOf" srcId="{29913603-C7CC-4887-95A1-694D59EA284F}" destId="{8F4F0C75-5003-4244-82F5-1B760997168E}" srcOrd="0" destOrd="0" presId="urn:microsoft.com/office/officeart/2005/8/layout/hierarchy2"/>
    <dgm:cxn modelId="{F57BBC94-0FC3-4A1A-8D09-24C26B5528E9}" type="presParOf" srcId="{85BE90D8-0EA0-4B46-8CBD-360A909BA27B}" destId="{D37A87BE-AE2E-41A7-8213-211BA30670A5}" srcOrd="3" destOrd="0" presId="urn:microsoft.com/office/officeart/2005/8/layout/hierarchy2"/>
    <dgm:cxn modelId="{D1337BF1-8100-48EE-9423-46A5233F66EC}" type="presParOf" srcId="{D37A87BE-AE2E-41A7-8213-211BA30670A5}" destId="{B73077D7-7802-48BC-8B56-F20E0CA29C2E}" srcOrd="0" destOrd="0" presId="urn:microsoft.com/office/officeart/2005/8/layout/hierarchy2"/>
    <dgm:cxn modelId="{A9467364-AE17-458A-BB7D-5AD74ECA3B6D}" type="presParOf" srcId="{D37A87BE-AE2E-41A7-8213-211BA30670A5}" destId="{77D2B2F9-F80D-42D3-A1E7-4FB00DDA84EF}" srcOrd="1" destOrd="0" presId="urn:microsoft.com/office/officeart/2005/8/layout/hierarchy2"/>
    <dgm:cxn modelId="{5B37258D-7912-4423-916E-DAD256AD523E}" type="presParOf" srcId="{85BE90D8-0EA0-4B46-8CBD-360A909BA27B}" destId="{46DF1AC4-9D6A-4B8A-9B3C-72606F5AE5F8}" srcOrd="4" destOrd="0" presId="urn:microsoft.com/office/officeart/2005/8/layout/hierarchy2"/>
    <dgm:cxn modelId="{33A4EFF7-3882-478F-897F-18327367047D}" type="presParOf" srcId="{46DF1AC4-9D6A-4B8A-9B3C-72606F5AE5F8}" destId="{B3B4A05A-F2F1-490F-8DE9-DCF6D7D1224A}" srcOrd="0" destOrd="0" presId="urn:microsoft.com/office/officeart/2005/8/layout/hierarchy2"/>
    <dgm:cxn modelId="{C197683C-F2AD-496A-8742-FB794F328699}" type="presParOf" srcId="{85BE90D8-0EA0-4B46-8CBD-360A909BA27B}" destId="{700C1C95-4F35-42A0-857B-85FFEBAB43D9}" srcOrd="5" destOrd="0" presId="urn:microsoft.com/office/officeart/2005/8/layout/hierarchy2"/>
    <dgm:cxn modelId="{337283B0-6D58-45BC-B7B8-5C323E3C6534}" type="presParOf" srcId="{700C1C95-4F35-42A0-857B-85FFEBAB43D9}" destId="{7C08E54E-A37B-45E1-967E-42BF0B29E494}" srcOrd="0" destOrd="0" presId="urn:microsoft.com/office/officeart/2005/8/layout/hierarchy2"/>
    <dgm:cxn modelId="{0C885CBF-C5AB-48C8-82B6-F5BAC5FC44A4}" type="presParOf" srcId="{700C1C95-4F35-42A0-857B-85FFEBAB43D9}" destId="{A2A51D93-B74F-4B9E-977F-9200B8226A52}" srcOrd="1" destOrd="0" presId="urn:microsoft.com/office/officeart/2005/8/layout/hierarchy2"/>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0D9EBF-DBAF-48E3-A395-29F08566817C}">
      <dsp:nvSpPr>
        <dsp:cNvPr id="0" name=""/>
        <dsp:cNvSpPr/>
      </dsp:nvSpPr>
      <dsp:spPr>
        <a:xfrm>
          <a:off x="5831" y="2642866"/>
          <a:ext cx="566824" cy="375476"/>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u="none" kern="1200">
              <a:latin typeface="Arial" panose="020B0604020202020204" pitchFamily="34" charset="0"/>
              <a:cs typeface="Arial" panose="020B0604020202020204" pitchFamily="34" charset="0"/>
            </a:rPr>
            <a:t>24 Dogs</a:t>
          </a:r>
        </a:p>
      </dsp:txBody>
      <dsp:txXfrm>
        <a:off x="16828" y="2653863"/>
        <a:ext cx="544830" cy="353482"/>
      </dsp:txXfrm>
    </dsp:sp>
    <dsp:sp modelId="{F4ADB0DA-96C7-46F2-BD4B-36320467BE9F}">
      <dsp:nvSpPr>
        <dsp:cNvPr id="0" name=""/>
        <dsp:cNvSpPr/>
      </dsp:nvSpPr>
      <dsp:spPr>
        <a:xfrm>
          <a:off x="572655" y="2814931"/>
          <a:ext cx="160495" cy="31346"/>
        </a:xfrm>
        <a:custGeom>
          <a:avLst/>
          <a:gdLst/>
          <a:ahLst/>
          <a:cxnLst/>
          <a:rect l="0" t="0" r="0" b="0"/>
          <a:pathLst>
            <a:path>
              <a:moveTo>
                <a:pt x="0" y="15673"/>
              </a:moveTo>
              <a:lnTo>
                <a:pt x="160495" y="156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648890" y="2826591"/>
        <a:ext cx="8024" cy="8024"/>
      </dsp:txXfrm>
    </dsp:sp>
    <dsp:sp modelId="{9308171D-9C74-41CC-B30E-9379C190B69E}">
      <dsp:nvSpPr>
        <dsp:cNvPr id="0" name=""/>
        <dsp:cNvSpPr/>
      </dsp:nvSpPr>
      <dsp:spPr>
        <a:xfrm>
          <a:off x="733150" y="2512590"/>
          <a:ext cx="2321026" cy="636026"/>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Arial" panose="020B0604020202020204" pitchFamily="34" charset="0"/>
              <a:cs typeface="Arial" panose="020B0604020202020204" pitchFamily="34" charset="0"/>
            </a:rPr>
            <a:t>ESTABLISH IDEAL BW AND MER</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DXA 20 % BF + 5/9 BCS</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3 (ObP, WLD, IBW) or 4 weeks (ObN)</a:t>
          </a:r>
        </a:p>
      </dsp:txBody>
      <dsp:txXfrm>
        <a:off x="751779" y="2531219"/>
        <a:ext cx="2283768" cy="598768"/>
      </dsp:txXfrm>
    </dsp:sp>
    <dsp:sp modelId="{17BF9710-96AC-4947-A4EC-D68DBC392363}">
      <dsp:nvSpPr>
        <dsp:cNvPr id="0" name=""/>
        <dsp:cNvSpPr/>
      </dsp:nvSpPr>
      <dsp:spPr>
        <a:xfrm rot="18254068">
          <a:off x="2788809" y="2313373"/>
          <a:ext cx="1213334" cy="31346"/>
        </a:xfrm>
        <a:custGeom>
          <a:avLst/>
          <a:gdLst/>
          <a:ahLst/>
          <a:cxnLst/>
          <a:rect l="0" t="0" r="0" b="0"/>
          <a:pathLst>
            <a:path>
              <a:moveTo>
                <a:pt x="0" y="15673"/>
              </a:moveTo>
              <a:lnTo>
                <a:pt x="1213334" y="156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5142" y="2298713"/>
        <a:ext cx="60666" cy="60666"/>
      </dsp:txXfrm>
    </dsp:sp>
    <dsp:sp modelId="{698148DF-EC45-4712-B11B-CE704E64ADA8}">
      <dsp:nvSpPr>
        <dsp:cNvPr id="0" name=""/>
        <dsp:cNvSpPr/>
      </dsp:nvSpPr>
      <dsp:spPr>
        <a:xfrm>
          <a:off x="3736775" y="1407705"/>
          <a:ext cx="1717225" cy="83956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Arial" panose="020B0604020202020204" pitchFamily="34" charset="0"/>
              <a:cs typeface="Arial" panose="020B0604020202020204" pitchFamily="34" charset="0"/>
            </a:rPr>
            <a:t>OBESIFICATION</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MER</a:t>
          </a:r>
          <a:r>
            <a:rPr lang="en-US" sz="1000" kern="1200" baseline="-25000">
              <a:latin typeface="Arial" panose="020B0604020202020204" pitchFamily="34" charset="0"/>
              <a:cs typeface="Arial" panose="020B0604020202020204" pitchFamily="34" charset="0"/>
            </a:rPr>
            <a:t>ideal</a:t>
          </a:r>
          <a:r>
            <a:rPr lang="en-US" sz="1000" kern="1200">
              <a:latin typeface="Arial" panose="020B0604020202020204" pitchFamily="34" charset="0"/>
              <a:cs typeface="Arial" panose="020B0604020202020204" pitchFamily="34" charset="0"/>
            </a:rPr>
            <a:t> + excess calories</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DXA &gt; 30% BF + 7/9 BCS</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13 weeks</a:t>
          </a:r>
        </a:p>
      </dsp:txBody>
      <dsp:txXfrm>
        <a:off x="3761365" y="1432295"/>
        <a:ext cx="1668045" cy="790388"/>
      </dsp:txXfrm>
    </dsp:sp>
    <dsp:sp modelId="{D30C1C88-2993-4BFD-A657-D5AE315B4383}">
      <dsp:nvSpPr>
        <dsp:cNvPr id="0" name=""/>
        <dsp:cNvSpPr/>
      </dsp:nvSpPr>
      <dsp:spPr>
        <a:xfrm rot="18767595">
          <a:off x="5216105" y="1267383"/>
          <a:ext cx="1483852" cy="31346"/>
        </a:xfrm>
        <a:custGeom>
          <a:avLst/>
          <a:gdLst/>
          <a:ahLst/>
          <a:cxnLst/>
          <a:rect l="0" t="0" r="0" b="0"/>
          <a:pathLst>
            <a:path>
              <a:moveTo>
                <a:pt x="0" y="15673"/>
              </a:moveTo>
              <a:lnTo>
                <a:pt x="1483852" y="156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5920935" y="1245960"/>
        <a:ext cx="74192" cy="74192"/>
      </dsp:txXfrm>
    </dsp:sp>
    <dsp:sp modelId="{182236A6-042C-47E9-9258-64CF6BBBAE29}">
      <dsp:nvSpPr>
        <dsp:cNvPr id="0" name=""/>
        <dsp:cNvSpPr/>
      </dsp:nvSpPr>
      <dsp:spPr>
        <a:xfrm>
          <a:off x="6462063" y="245587"/>
          <a:ext cx="1542630" cy="986072"/>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dirty="0">
              <a:latin typeface="Arial" panose="020B0604020202020204" pitchFamily="34" charset="0"/>
              <a:cs typeface="Arial" panose="020B0604020202020204" pitchFamily="34" charset="0"/>
            </a:rPr>
            <a:t>TREATMENT</a:t>
          </a:r>
        </a:p>
        <a:p>
          <a:pPr lvl="0" algn="ctr" defTabSz="444500">
            <a:lnSpc>
              <a:spcPct val="90000"/>
            </a:lnSpc>
            <a:spcBef>
              <a:spcPct val="0"/>
            </a:spcBef>
            <a:spcAft>
              <a:spcPct val="35000"/>
            </a:spcAft>
          </a:pPr>
          <a:r>
            <a:rPr lang="en-US" sz="1000" kern="1200" dirty="0">
              <a:latin typeface="Arial" panose="020B0604020202020204" pitchFamily="34" charset="0"/>
              <a:cs typeface="Arial" panose="020B0604020202020204" pitchFamily="34" charset="0"/>
            </a:rPr>
            <a:t>Group ObN</a:t>
          </a:r>
          <a:r>
            <a:rPr lang="en-US" sz="1000" kern="1200" dirty="0" smtClean="0">
              <a:latin typeface="Arial" panose="020B0604020202020204" pitchFamily="34" charset="0"/>
              <a:cs typeface="Arial" panose="020B0604020202020204" pitchFamily="34" charset="0"/>
            </a:rPr>
            <a:t> (6 dogs)</a:t>
          </a:r>
          <a:endParaRPr lang="en-US" sz="1000" kern="1200" dirty="0">
            <a:latin typeface="Arial" panose="020B0604020202020204" pitchFamily="34" charset="0"/>
            <a:cs typeface="Arial" panose="020B0604020202020204" pitchFamily="34" charset="0"/>
          </a:endParaRPr>
        </a:p>
        <a:p>
          <a:pPr lvl="0" algn="ctr" defTabSz="444500">
            <a:lnSpc>
              <a:spcPct val="90000"/>
            </a:lnSpc>
            <a:spcBef>
              <a:spcPct val="0"/>
            </a:spcBef>
            <a:spcAft>
              <a:spcPct val="35000"/>
            </a:spcAft>
          </a:pPr>
          <a:r>
            <a:rPr lang="en-US" sz="1000" kern="1200" dirty="0" smtClean="0">
              <a:latin typeface="Arial" panose="020B0604020202020204" pitchFamily="34" charset="0"/>
              <a:cs typeface="Arial" panose="020B0604020202020204" pitchFamily="34" charset="0"/>
            </a:rPr>
            <a:t>MER</a:t>
          </a:r>
          <a:r>
            <a:rPr lang="en-US" sz="1000" kern="1200" baseline="-25000" dirty="0" smtClean="0">
              <a:latin typeface="Arial" panose="020B0604020202020204" pitchFamily="34" charset="0"/>
              <a:cs typeface="Arial" panose="020B0604020202020204" pitchFamily="34" charset="0"/>
            </a:rPr>
            <a:t>Ideal</a:t>
          </a:r>
        </a:p>
        <a:p>
          <a:pPr lvl="0" algn="ctr" defTabSz="444500">
            <a:lnSpc>
              <a:spcPct val="90000"/>
            </a:lnSpc>
            <a:spcBef>
              <a:spcPct val="0"/>
            </a:spcBef>
            <a:spcAft>
              <a:spcPct val="35000"/>
            </a:spcAft>
          </a:pPr>
          <a:r>
            <a:rPr lang="en-US" sz="1000" kern="1200" dirty="0" smtClean="0">
              <a:latin typeface="Arial" panose="020B0604020202020204" pitchFamily="34" charset="0"/>
              <a:cs typeface="Arial" panose="020B0604020202020204" pitchFamily="34" charset="0"/>
            </a:rPr>
            <a:t>CAD + nutraceutical</a:t>
          </a:r>
          <a:endParaRPr lang="en-US" sz="1000" kern="1200" dirty="0">
            <a:latin typeface="Arial" panose="020B0604020202020204" pitchFamily="34" charset="0"/>
            <a:cs typeface="Arial" panose="020B0604020202020204" pitchFamily="34" charset="0"/>
          </a:endParaRPr>
        </a:p>
        <a:p>
          <a:pPr lvl="0" algn="ctr" defTabSz="444500">
            <a:lnSpc>
              <a:spcPct val="90000"/>
            </a:lnSpc>
            <a:spcBef>
              <a:spcPct val="0"/>
            </a:spcBef>
            <a:spcAft>
              <a:spcPct val="35000"/>
            </a:spcAft>
          </a:pPr>
          <a:r>
            <a:rPr lang="en-US" sz="1000" kern="1200" dirty="0">
              <a:latin typeface="Arial" panose="020B0604020202020204" pitchFamily="34" charset="0"/>
              <a:cs typeface="Arial" panose="020B0604020202020204" pitchFamily="34" charset="0"/>
            </a:rPr>
            <a:t>12 weeks </a:t>
          </a:r>
          <a:r>
            <a:rPr lang="en-US" sz="1000" kern="1200" dirty="0" smtClean="0">
              <a:latin typeface="Arial" panose="020B0604020202020204" pitchFamily="34" charset="0"/>
              <a:cs typeface="Arial" panose="020B0604020202020204" pitchFamily="34" charset="0"/>
            </a:rPr>
            <a:t>or </a:t>
          </a:r>
          <a:r>
            <a:rPr lang="en-US" sz="1000" kern="1200" dirty="0">
              <a:latin typeface="Arial" panose="020B0604020202020204" pitchFamily="34" charset="0"/>
              <a:cs typeface="Arial" panose="020B0604020202020204" pitchFamily="34" charset="0"/>
            </a:rPr>
            <a:t>to 20% BF</a:t>
          </a:r>
          <a:endParaRPr lang="en-US" sz="1000" kern="1200">
            <a:latin typeface="Arial" panose="020B0604020202020204" pitchFamily="34" charset="0"/>
            <a:cs typeface="Arial" panose="020B0604020202020204" pitchFamily="34" charset="0"/>
          </a:endParaRPr>
        </a:p>
      </dsp:txBody>
      <dsp:txXfrm>
        <a:off x="6490944" y="274468"/>
        <a:ext cx="1484868" cy="928310"/>
      </dsp:txXfrm>
    </dsp:sp>
    <dsp:sp modelId="{45DD77DE-B5D0-4825-8B69-3CB47238B00D}">
      <dsp:nvSpPr>
        <dsp:cNvPr id="0" name=""/>
        <dsp:cNvSpPr/>
      </dsp:nvSpPr>
      <dsp:spPr>
        <a:xfrm rot="21569673">
          <a:off x="5453981" y="1807369"/>
          <a:ext cx="1008101" cy="31346"/>
        </a:xfrm>
        <a:custGeom>
          <a:avLst/>
          <a:gdLst/>
          <a:ahLst/>
          <a:cxnLst/>
          <a:rect l="0" t="0" r="0" b="0"/>
          <a:pathLst>
            <a:path>
              <a:moveTo>
                <a:pt x="0" y="15673"/>
              </a:moveTo>
              <a:lnTo>
                <a:pt x="1008101" y="156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5932829" y="1797840"/>
        <a:ext cx="50405" cy="50405"/>
      </dsp:txXfrm>
    </dsp:sp>
    <dsp:sp modelId="{C20074E5-751A-42C4-AE89-6555B27A2141}">
      <dsp:nvSpPr>
        <dsp:cNvPr id="0" name=""/>
        <dsp:cNvSpPr/>
      </dsp:nvSpPr>
      <dsp:spPr>
        <a:xfrm>
          <a:off x="6462063" y="1338039"/>
          <a:ext cx="1542630" cy="961112"/>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dirty="0">
              <a:latin typeface="Arial" panose="020B0604020202020204" pitchFamily="34" charset="0"/>
              <a:cs typeface="Arial" panose="020B0604020202020204" pitchFamily="34" charset="0"/>
            </a:rPr>
            <a:t>TREATMENT</a:t>
          </a:r>
        </a:p>
        <a:p>
          <a:pPr lvl="0" algn="ctr" defTabSz="444500">
            <a:lnSpc>
              <a:spcPct val="90000"/>
            </a:lnSpc>
            <a:spcBef>
              <a:spcPct val="0"/>
            </a:spcBef>
            <a:spcAft>
              <a:spcPct val="35000"/>
            </a:spcAft>
          </a:pPr>
          <a:r>
            <a:rPr lang="en-US" sz="1000" kern="1200" dirty="0">
              <a:latin typeface="Arial" panose="020B0604020202020204" pitchFamily="34" charset="0"/>
              <a:cs typeface="Arial" panose="020B0604020202020204" pitchFamily="34" charset="0"/>
            </a:rPr>
            <a:t>Group ObP</a:t>
          </a:r>
          <a:r>
            <a:rPr lang="en-US" sz="1000" kern="1200" dirty="0" smtClean="0">
              <a:latin typeface="Arial" panose="020B0604020202020204" pitchFamily="34" charset="0"/>
              <a:cs typeface="Arial" panose="020B0604020202020204" pitchFamily="34" charset="0"/>
            </a:rPr>
            <a:t> (6 dogs)</a:t>
          </a:r>
          <a:endParaRPr lang="en-US" sz="1000" kern="1200" dirty="0">
            <a:latin typeface="Arial" panose="020B0604020202020204" pitchFamily="34" charset="0"/>
            <a:cs typeface="Arial" panose="020B0604020202020204" pitchFamily="34" charset="0"/>
          </a:endParaRPr>
        </a:p>
        <a:p>
          <a:pPr lvl="0" algn="ctr" defTabSz="444500">
            <a:lnSpc>
              <a:spcPct val="90000"/>
            </a:lnSpc>
            <a:spcBef>
              <a:spcPct val="0"/>
            </a:spcBef>
            <a:spcAft>
              <a:spcPct val="35000"/>
            </a:spcAft>
          </a:pPr>
          <a:r>
            <a:rPr lang="en-US" sz="1000" kern="1200" dirty="0" smtClean="0">
              <a:latin typeface="Arial" panose="020B0604020202020204" pitchFamily="34" charset="0"/>
              <a:cs typeface="Arial" panose="020B0604020202020204" pitchFamily="34" charset="0"/>
            </a:rPr>
            <a:t>MERIdeal</a:t>
          </a:r>
        </a:p>
        <a:p>
          <a:pPr lvl="0" algn="ctr" defTabSz="444500">
            <a:lnSpc>
              <a:spcPct val="90000"/>
            </a:lnSpc>
            <a:spcBef>
              <a:spcPct val="0"/>
            </a:spcBef>
            <a:spcAft>
              <a:spcPct val="35000"/>
            </a:spcAft>
          </a:pPr>
          <a:r>
            <a:rPr lang="en-US" sz="1000" kern="1200" dirty="0" smtClean="0">
              <a:latin typeface="Arial" panose="020B0604020202020204" pitchFamily="34" charset="0"/>
              <a:cs typeface="Arial" panose="020B0604020202020204" pitchFamily="34" charset="0"/>
            </a:rPr>
            <a:t>CAD + </a:t>
          </a:r>
          <a:r>
            <a:rPr lang="en-US" sz="1000" kern="1200" dirty="0">
              <a:latin typeface="Arial" panose="020B0604020202020204" pitchFamily="34" charset="0"/>
              <a:cs typeface="Arial" panose="020B0604020202020204" pitchFamily="34" charset="0"/>
            </a:rPr>
            <a:t>placebo</a:t>
          </a:r>
        </a:p>
        <a:p>
          <a:pPr lvl="0" algn="ctr" defTabSz="444500">
            <a:lnSpc>
              <a:spcPct val="90000"/>
            </a:lnSpc>
            <a:spcBef>
              <a:spcPct val="0"/>
            </a:spcBef>
            <a:spcAft>
              <a:spcPct val="35000"/>
            </a:spcAft>
          </a:pPr>
          <a:r>
            <a:rPr lang="en-US" sz="1000" kern="1200" dirty="0">
              <a:latin typeface="Arial" panose="020B0604020202020204" pitchFamily="34" charset="0"/>
              <a:cs typeface="Arial" panose="020B0604020202020204" pitchFamily="34" charset="0"/>
            </a:rPr>
            <a:t>12 weeks </a:t>
          </a:r>
          <a:r>
            <a:rPr lang="en-US" sz="1000" kern="1200" dirty="0" smtClean="0">
              <a:latin typeface="Arial" panose="020B0604020202020204" pitchFamily="34" charset="0"/>
              <a:cs typeface="Arial" panose="020B0604020202020204" pitchFamily="34" charset="0"/>
            </a:rPr>
            <a:t>or </a:t>
          </a:r>
          <a:r>
            <a:rPr lang="en-US" sz="1000" kern="1200" dirty="0">
              <a:latin typeface="Arial" panose="020B0604020202020204" pitchFamily="34" charset="0"/>
              <a:cs typeface="Arial" panose="020B0604020202020204" pitchFamily="34" charset="0"/>
            </a:rPr>
            <a:t>to 20% BF</a:t>
          </a:r>
          <a:endParaRPr lang="en-US" sz="1000" kern="1200">
            <a:latin typeface="Arial" panose="020B0604020202020204" pitchFamily="34" charset="0"/>
            <a:cs typeface="Arial" panose="020B0604020202020204" pitchFamily="34" charset="0"/>
          </a:endParaRPr>
        </a:p>
      </dsp:txBody>
      <dsp:txXfrm>
        <a:off x="6490213" y="1366189"/>
        <a:ext cx="1486330" cy="904812"/>
      </dsp:txXfrm>
    </dsp:sp>
    <dsp:sp modelId="{B385411B-6C56-4F9B-9BD9-1478F03926AE}">
      <dsp:nvSpPr>
        <dsp:cNvPr id="0" name=""/>
        <dsp:cNvSpPr/>
      </dsp:nvSpPr>
      <dsp:spPr>
        <a:xfrm rot="2925675">
          <a:off x="5193419" y="2386781"/>
          <a:ext cx="1529225" cy="31346"/>
        </a:xfrm>
        <a:custGeom>
          <a:avLst/>
          <a:gdLst/>
          <a:ahLst/>
          <a:cxnLst/>
          <a:rect l="0" t="0" r="0" b="0"/>
          <a:pathLst>
            <a:path>
              <a:moveTo>
                <a:pt x="0" y="15673"/>
              </a:moveTo>
              <a:lnTo>
                <a:pt x="1529225" y="156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5919801" y="2364224"/>
        <a:ext cx="76461" cy="76461"/>
      </dsp:txXfrm>
    </dsp:sp>
    <dsp:sp modelId="{CBB24794-5D88-4E7B-909E-9A123766B338}">
      <dsp:nvSpPr>
        <dsp:cNvPr id="0" name=""/>
        <dsp:cNvSpPr/>
      </dsp:nvSpPr>
      <dsp:spPr>
        <a:xfrm>
          <a:off x="6462063" y="2414842"/>
          <a:ext cx="1529672" cy="1125156"/>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dirty="0">
              <a:latin typeface="Arial" panose="020B0604020202020204" pitchFamily="34" charset="0"/>
              <a:cs typeface="Arial" panose="020B0604020202020204" pitchFamily="34" charset="0"/>
            </a:rPr>
            <a:t>TREATMENT</a:t>
          </a:r>
        </a:p>
        <a:p>
          <a:pPr lvl="0" algn="ctr" defTabSz="444500">
            <a:lnSpc>
              <a:spcPct val="90000"/>
            </a:lnSpc>
            <a:spcBef>
              <a:spcPct val="0"/>
            </a:spcBef>
            <a:spcAft>
              <a:spcPct val="35000"/>
            </a:spcAft>
          </a:pPr>
          <a:r>
            <a:rPr lang="en-US" sz="1000" kern="1200" dirty="0">
              <a:latin typeface="Arial" panose="020B0604020202020204" pitchFamily="34" charset="0"/>
              <a:cs typeface="Arial" panose="020B0604020202020204" pitchFamily="34" charset="0"/>
            </a:rPr>
            <a:t>Group WLD</a:t>
          </a:r>
          <a:r>
            <a:rPr lang="en-US" sz="1000" kern="1200" dirty="0" smtClean="0">
              <a:latin typeface="Arial" panose="020B0604020202020204" pitchFamily="34" charset="0"/>
              <a:cs typeface="Arial" panose="020B0604020202020204" pitchFamily="34" charset="0"/>
            </a:rPr>
            <a:t> (6 dogs)</a:t>
          </a:r>
        </a:p>
        <a:p>
          <a:pPr lvl="0" algn="ctr" defTabSz="444500">
            <a:lnSpc>
              <a:spcPct val="90000"/>
            </a:lnSpc>
            <a:spcBef>
              <a:spcPct val="0"/>
            </a:spcBef>
            <a:spcAft>
              <a:spcPct val="35000"/>
            </a:spcAft>
          </a:pPr>
          <a:r>
            <a:rPr lang="en-US" sz="1000" kern="1200" dirty="0" smtClean="0">
              <a:latin typeface="Arial" panose="020B0604020202020204" pitchFamily="34" charset="0"/>
              <a:cs typeface="Arial" panose="020B0604020202020204" pitchFamily="34" charset="0"/>
            </a:rPr>
            <a:t>POSITIVE CONTROL</a:t>
          </a:r>
          <a:endParaRPr lang="en-US" sz="1000" kern="1200" dirty="0">
            <a:latin typeface="Arial" panose="020B0604020202020204" pitchFamily="34" charset="0"/>
            <a:cs typeface="Arial" panose="020B0604020202020204" pitchFamily="34" charset="0"/>
          </a:endParaRPr>
        </a:p>
        <a:p>
          <a:pPr lvl="0" algn="ctr" defTabSz="444500">
            <a:lnSpc>
              <a:spcPct val="90000"/>
            </a:lnSpc>
            <a:spcBef>
              <a:spcPct val="0"/>
            </a:spcBef>
            <a:spcAft>
              <a:spcPct val="35000"/>
            </a:spcAft>
          </a:pPr>
          <a:r>
            <a:rPr lang="en-US" sz="1000" kern="1200" dirty="0" smtClean="0">
              <a:latin typeface="Arial" panose="020B0604020202020204" pitchFamily="34" charset="0"/>
              <a:cs typeface="Arial" panose="020B0604020202020204" pitchFamily="34" charset="0"/>
            </a:rPr>
            <a:t>MERIdeal</a:t>
          </a:r>
        </a:p>
        <a:p>
          <a:pPr lvl="0" algn="ctr" defTabSz="444500">
            <a:lnSpc>
              <a:spcPct val="90000"/>
            </a:lnSpc>
            <a:spcBef>
              <a:spcPct val="0"/>
            </a:spcBef>
            <a:spcAft>
              <a:spcPct val="35000"/>
            </a:spcAft>
          </a:pPr>
          <a:r>
            <a:rPr lang="en-US" sz="1000" kern="1200" dirty="0" err="1" smtClean="0">
              <a:latin typeface="Arial" panose="020B0604020202020204" pitchFamily="34" charset="0"/>
              <a:cs typeface="Arial" panose="020B0604020202020204" pitchFamily="34" charset="0"/>
            </a:rPr>
            <a:t>WLD</a:t>
          </a:r>
          <a:endParaRPr lang="en-US" sz="1000" kern="1200" dirty="0">
            <a:latin typeface="Arial" panose="020B0604020202020204" pitchFamily="34" charset="0"/>
            <a:cs typeface="Arial" panose="020B0604020202020204" pitchFamily="34" charset="0"/>
          </a:endParaRPr>
        </a:p>
        <a:p>
          <a:pPr lvl="0" algn="ctr" defTabSz="444500">
            <a:lnSpc>
              <a:spcPct val="90000"/>
            </a:lnSpc>
            <a:spcBef>
              <a:spcPct val="0"/>
            </a:spcBef>
            <a:spcAft>
              <a:spcPct val="35000"/>
            </a:spcAft>
          </a:pPr>
          <a:r>
            <a:rPr lang="en-US" sz="1000" kern="1200" dirty="0">
              <a:latin typeface="Arial" panose="020B0604020202020204" pitchFamily="34" charset="0"/>
              <a:cs typeface="Arial" panose="020B0604020202020204" pitchFamily="34" charset="0"/>
            </a:rPr>
            <a:t>12 weeks </a:t>
          </a:r>
          <a:r>
            <a:rPr lang="en-US" sz="1000" kern="1200" dirty="0" smtClean="0">
              <a:latin typeface="Arial" panose="020B0604020202020204" pitchFamily="34" charset="0"/>
              <a:cs typeface="Arial" panose="020B0604020202020204" pitchFamily="34" charset="0"/>
            </a:rPr>
            <a:t>or </a:t>
          </a:r>
          <a:r>
            <a:rPr lang="en-US" sz="1000" kern="1200" dirty="0">
              <a:latin typeface="Arial" panose="020B0604020202020204" pitchFamily="34" charset="0"/>
              <a:cs typeface="Arial" panose="020B0604020202020204" pitchFamily="34" charset="0"/>
            </a:rPr>
            <a:t>to </a:t>
          </a:r>
          <a:r>
            <a:rPr lang="en-US" sz="1000" kern="1200" dirty="0" smtClean="0">
              <a:latin typeface="Arial" panose="020B0604020202020204" pitchFamily="34" charset="0"/>
              <a:cs typeface="Arial" panose="020B0604020202020204" pitchFamily="34" charset="0"/>
            </a:rPr>
            <a:t>20% BF</a:t>
          </a:r>
          <a:endParaRPr lang="en-US" sz="1000" kern="1200">
            <a:latin typeface="Arial" panose="020B0604020202020204" pitchFamily="34" charset="0"/>
            <a:cs typeface="Arial" panose="020B0604020202020204" pitchFamily="34" charset="0"/>
          </a:endParaRPr>
        </a:p>
      </dsp:txBody>
      <dsp:txXfrm>
        <a:off x="6495018" y="2447797"/>
        <a:ext cx="1463762" cy="1059246"/>
      </dsp:txXfrm>
    </dsp:sp>
    <dsp:sp modelId="{29913603-C7CC-4887-95A1-694D59EA284F}">
      <dsp:nvSpPr>
        <dsp:cNvPr id="0" name=""/>
        <dsp:cNvSpPr/>
      </dsp:nvSpPr>
      <dsp:spPr>
        <a:xfrm rot="1847446">
          <a:off x="2987125" y="3058437"/>
          <a:ext cx="951373" cy="31346"/>
        </a:xfrm>
        <a:custGeom>
          <a:avLst/>
          <a:gdLst/>
          <a:ahLst/>
          <a:cxnLst/>
          <a:rect l="0" t="0" r="0" b="0"/>
          <a:pathLst>
            <a:path>
              <a:moveTo>
                <a:pt x="0" y="15673"/>
              </a:moveTo>
              <a:lnTo>
                <a:pt x="951373" y="156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439027" y="3050326"/>
        <a:ext cx="47568" cy="47568"/>
      </dsp:txXfrm>
    </dsp:sp>
    <dsp:sp modelId="{B73077D7-7802-48BC-8B56-F20E0CA29C2E}">
      <dsp:nvSpPr>
        <dsp:cNvPr id="0" name=""/>
        <dsp:cNvSpPr/>
      </dsp:nvSpPr>
      <dsp:spPr>
        <a:xfrm>
          <a:off x="3871447" y="2734297"/>
          <a:ext cx="1431159" cy="1166637"/>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Arial" panose="020B0604020202020204" pitchFamily="34" charset="0"/>
              <a:cs typeface="Arial" panose="020B0604020202020204" pitchFamily="34" charset="0"/>
            </a:rPr>
            <a:t>MAINTAIN IDEAL</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Group IBW (6 dogs)</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NEGATIVE CONTROL</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MERideal</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CAD</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12 weeks</a:t>
          </a:r>
        </a:p>
      </dsp:txBody>
      <dsp:txXfrm>
        <a:off x="3905617" y="2768467"/>
        <a:ext cx="1362819" cy="109829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0D9EBF-DBAF-48E3-A395-29F08566817C}">
      <dsp:nvSpPr>
        <dsp:cNvPr id="0" name=""/>
        <dsp:cNvSpPr/>
      </dsp:nvSpPr>
      <dsp:spPr>
        <a:xfrm>
          <a:off x="4499" y="1872696"/>
          <a:ext cx="1036962" cy="686906"/>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u="none" kern="1200">
              <a:latin typeface="Arial" panose="020B0604020202020204" pitchFamily="34" charset="0"/>
              <a:cs typeface="Arial" panose="020B0604020202020204" pitchFamily="34" charset="0"/>
            </a:rPr>
            <a:t>18 Dogs</a:t>
          </a:r>
        </a:p>
      </dsp:txBody>
      <dsp:txXfrm>
        <a:off x="24618" y="1892815"/>
        <a:ext cx="996724" cy="646668"/>
      </dsp:txXfrm>
    </dsp:sp>
    <dsp:sp modelId="{F4ADB0DA-96C7-46F2-BD4B-36320467BE9F}">
      <dsp:nvSpPr>
        <dsp:cNvPr id="0" name=""/>
        <dsp:cNvSpPr/>
      </dsp:nvSpPr>
      <dsp:spPr>
        <a:xfrm>
          <a:off x="1041462" y="2187497"/>
          <a:ext cx="293614" cy="57304"/>
        </a:xfrm>
        <a:custGeom>
          <a:avLst/>
          <a:gdLst/>
          <a:ahLst/>
          <a:cxnLst/>
          <a:rect l="0" t="0" r="0" b="0"/>
          <a:pathLst>
            <a:path>
              <a:moveTo>
                <a:pt x="0" y="28652"/>
              </a:moveTo>
              <a:lnTo>
                <a:pt x="293614" y="2865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180928" y="2208809"/>
        <a:ext cx="14680" cy="14680"/>
      </dsp:txXfrm>
    </dsp:sp>
    <dsp:sp modelId="{9308171D-9C74-41CC-B30E-9379C190B69E}">
      <dsp:nvSpPr>
        <dsp:cNvPr id="0" name=""/>
        <dsp:cNvSpPr/>
      </dsp:nvSpPr>
      <dsp:spPr>
        <a:xfrm>
          <a:off x="1335076" y="1777294"/>
          <a:ext cx="2942266" cy="877710"/>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Arial" panose="020B0604020202020204" pitchFamily="34" charset="0"/>
              <a:cs typeface="Arial" panose="020B0604020202020204" pitchFamily="34" charset="0"/>
            </a:rPr>
            <a:t>ESTABLISH IDEAL BW AND MER</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DXA 20 % BF + 5/9 BCS</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3 weeks</a:t>
          </a:r>
        </a:p>
      </dsp:txBody>
      <dsp:txXfrm>
        <a:off x="1360783" y="1803001"/>
        <a:ext cx="2890852" cy="826296"/>
      </dsp:txXfrm>
    </dsp:sp>
    <dsp:sp modelId="{D30C1C88-2993-4BFD-A657-D5AE315B4383}">
      <dsp:nvSpPr>
        <dsp:cNvPr id="0" name=""/>
        <dsp:cNvSpPr/>
      </dsp:nvSpPr>
      <dsp:spPr>
        <a:xfrm rot="19230285">
          <a:off x="4014887" y="1456404"/>
          <a:ext cx="2298984" cy="57304"/>
        </a:xfrm>
        <a:custGeom>
          <a:avLst/>
          <a:gdLst/>
          <a:ahLst/>
          <a:cxnLst/>
          <a:rect l="0" t="0" r="0" b="0"/>
          <a:pathLst>
            <a:path>
              <a:moveTo>
                <a:pt x="0" y="28652"/>
              </a:moveTo>
              <a:lnTo>
                <a:pt x="2298984" y="286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5106905" y="1427581"/>
        <a:ext cx="114949" cy="114949"/>
      </dsp:txXfrm>
    </dsp:sp>
    <dsp:sp modelId="{182236A6-042C-47E9-9258-64CF6BBBAE29}">
      <dsp:nvSpPr>
        <dsp:cNvPr id="0" name=""/>
        <dsp:cNvSpPr/>
      </dsp:nvSpPr>
      <dsp:spPr>
        <a:xfrm>
          <a:off x="6051417" y="133165"/>
          <a:ext cx="1704904" cy="1241595"/>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dirty="0">
              <a:latin typeface="Arial" panose="020B0604020202020204" pitchFamily="34" charset="0"/>
              <a:cs typeface="Arial" panose="020B0604020202020204" pitchFamily="34" charset="0"/>
            </a:rPr>
            <a:t>TREATMENT</a:t>
          </a:r>
        </a:p>
        <a:p>
          <a:pPr lvl="0" algn="ctr" defTabSz="444500">
            <a:lnSpc>
              <a:spcPct val="90000"/>
            </a:lnSpc>
            <a:spcBef>
              <a:spcPct val="0"/>
            </a:spcBef>
            <a:spcAft>
              <a:spcPct val="35000"/>
            </a:spcAft>
          </a:pPr>
          <a:r>
            <a:rPr lang="en-US" sz="1000" kern="1200" dirty="0">
              <a:latin typeface="Arial" panose="020B0604020202020204" pitchFamily="34" charset="0"/>
              <a:cs typeface="Arial" panose="020B0604020202020204" pitchFamily="34" charset="0"/>
            </a:rPr>
            <a:t>Group ExN</a:t>
          </a:r>
          <a:r>
            <a:rPr lang="en-US" sz="1000" kern="1200" dirty="0" smtClean="0">
              <a:latin typeface="Arial" panose="020B0604020202020204" pitchFamily="34" charset="0"/>
              <a:cs typeface="Arial" panose="020B0604020202020204" pitchFamily="34" charset="0"/>
            </a:rPr>
            <a:t> (6 dogs)</a:t>
          </a:r>
          <a:endParaRPr lang="en-US" sz="1000" kern="1200" dirty="0">
            <a:latin typeface="Arial" panose="020B0604020202020204" pitchFamily="34" charset="0"/>
            <a:cs typeface="Arial" panose="020B0604020202020204" pitchFamily="34" charset="0"/>
          </a:endParaRPr>
        </a:p>
        <a:p>
          <a:pPr lvl="0" algn="ctr" defTabSz="444500">
            <a:lnSpc>
              <a:spcPct val="90000"/>
            </a:lnSpc>
            <a:spcBef>
              <a:spcPct val="0"/>
            </a:spcBef>
            <a:spcAft>
              <a:spcPct val="35000"/>
            </a:spcAft>
          </a:pPr>
          <a:r>
            <a:rPr lang="en-US" sz="1000" kern="1200" baseline="0" dirty="0" smtClean="0">
              <a:latin typeface="Arial" panose="020B0604020202020204" pitchFamily="34" charset="0"/>
              <a:cs typeface="Arial" panose="020B0604020202020204" pitchFamily="34" charset="0"/>
            </a:rPr>
            <a:t>Excess kcal</a:t>
          </a:r>
        </a:p>
        <a:p>
          <a:pPr lvl="0" algn="ctr" defTabSz="444500">
            <a:lnSpc>
              <a:spcPct val="90000"/>
            </a:lnSpc>
            <a:spcBef>
              <a:spcPct val="0"/>
            </a:spcBef>
            <a:spcAft>
              <a:spcPct val="35000"/>
            </a:spcAft>
          </a:pPr>
          <a:r>
            <a:rPr lang="en-US" sz="1000" kern="1200" dirty="0" smtClean="0">
              <a:latin typeface="Arial" panose="020B0604020202020204" pitchFamily="34" charset="0"/>
              <a:cs typeface="Arial" panose="020B0604020202020204" pitchFamily="34" charset="0"/>
            </a:rPr>
            <a:t>CAD + nutraceutical</a:t>
          </a:r>
          <a:endParaRPr lang="en-US" sz="1000" kern="1200" dirty="0">
            <a:latin typeface="Arial" panose="020B0604020202020204" pitchFamily="34" charset="0"/>
            <a:cs typeface="Arial" panose="020B0604020202020204" pitchFamily="34" charset="0"/>
          </a:endParaRPr>
        </a:p>
        <a:p>
          <a:pPr lvl="0" algn="ctr" defTabSz="444500">
            <a:lnSpc>
              <a:spcPct val="90000"/>
            </a:lnSpc>
            <a:spcBef>
              <a:spcPct val="0"/>
            </a:spcBef>
            <a:spcAft>
              <a:spcPct val="35000"/>
            </a:spcAft>
          </a:pPr>
          <a:r>
            <a:rPr lang="en-US" sz="1000" kern="1200" dirty="0">
              <a:latin typeface="Arial" panose="020B0604020202020204" pitchFamily="34" charset="0"/>
              <a:cs typeface="Arial" panose="020B0604020202020204" pitchFamily="34" charset="0"/>
            </a:rPr>
            <a:t>12 weeks </a:t>
          </a:r>
          <a:r>
            <a:rPr lang="en-US" sz="1000" kern="1200" dirty="0" smtClean="0">
              <a:latin typeface="Arial" panose="020B0604020202020204" pitchFamily="34" charset="0"/>
              <a:cs typeface="Arial" panose="020B0604020202020204" pitchFamily="34" charset="0"/>
            </a:rPr>
            <a:t>or </a:t>
          </a:r>
          <a:r>
            <a:rPr lang="en-US" sz="1000" kern="1200" dirty="0">
              <a:latin typeface="Arial" panose="020B0604020202020204" pitchFamily="34" charset="0"/>
              <a:cs typeface="Arial" panose="020B0604020202020204" pitchFamily="34" charset="0"/>
            </a:rPr>
            <a:t>to 45% BF</a:t>
          </a:r>
          <a:endParaRPr lang="en-US" sz="1000" kern="1200">
            <a:latin typeface="Arial" panose="020B0604020202020204" pitchFamily="34" charset="0"/>
            <a:cs typeface="Arial" panose="020B0604020202020204" pitchFamily="34" charset="0"/>
          </a:endParaRPr>
        </a:p>
      </dsp:txBody>
      <dsp:txXfrm>
        <a:off x="6087782" y="169530"/>
        <a:ext cx="1632174" cy="1168865"/>
      </dsp:txXfrm>
    </dsp:sp>
    <dsp:sp modelId="{29913603-C7CC-4887-95A1-694D59EA284F}">
      <dsp:nvSpPr>
        <dsp:cNvPr id="0" name=""/>
        <dsp:cNvSpPr/>
      </dsp:nvSpPr>
      <dsp:spPr>
        <a:xfrm rot="32632">
          <a:off x="4277302" y="2195978"/>
          <a:ext cx="1786826" cy="57304"/>
        </a:xfrm>
        <a:custGeom>
          <a:avLst/>
          <a:gdLst/>
          <a:ahLst/>
          <a:cxnLst/>
          <a:rect l="0" t="0" r="0" b="0"/>
          <a:pathLst>
            <a:path>
              <a:moveTo>
                <a:pt x="0" y="28652"/>
              </a:moveTo>
              <a:lnTo>
                <a:pt x="1786826" y="286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US" sz="600" kern="1200"/>
        </a:p>
      </dsp:txBody>
      <dsp:txXfrm>
        <a:off x="5126045" y="2179959"/>
        <a:ext cx="89341" cy="89341"/>
      </dsp:txXfrm>
    </dsp:sp>
    <dsp:sp modelId="{B73077D7-7802-48BC-8B56-F20E0CA29C2E}">
      <dsp:nvSpPr>
        <dsp:cNvPr id="0" name=""/>
        <dsp:cNvSpPr/>
      </dsp:nvSpPr>
      <dsp:spPr>
        <a:xfrm>
          <a:off x="6064088" y="1643399"/>
          <a:ext cx="1671857" cy="1179423"/>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Arial" panose="020B0604020202020204" pitchFamily="34" charset="0"/>
              <a:cs typeface="Arial" panose="020B0604020202020204" pitchFamily="34" charset="0"/>
            </a:rPr>
            <a:t>TREATMENT</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Group ExP (6 dogs)</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Excess kcal</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CAD + placebo</a:t>
          </a:r>
        </a:p>
        <a:p>
          <a:pPr lvl="0" algn="ctr" defTabSz="444500">
            <a:lnSpc>
              <a:spcPct val="90000"/>
            </a:lnSpc>
            <a:spcBef>
              <a:spcPct val="0"/>
            </a:spcBef>
            <a:spcAft>
              <a:spcPct val="35000"/>
            </a:spcAft>
          </a:pPr>
          <a:r>
            <a:rPr lang="en-US" sz="1000" kern="1200">
              <a:latin typeface="Arial" panose="020B0604020202020204" pitchFamily="34" charset="0"/>
              <a:cs typeface="Arial" panose="020B0604020202020204" pitchFamily="34" charset="0"/>
            </a:rPr>
            <a:t>12 weeks or to 45% BF</a:t>
          </a:r>
        </a:p>
      </dsp:txBody>
      <dsp:txXfrm>
        <a:off x="6098632" y="1677943"/>
        <a:ext cx="1602769" cy="1110335"/>
      </dsp:txXfrm>
    </dsp:sp>
    <dsp:sp modelId="{46DF1AC4-9D6A-4B8A-9B3C-72606F5AE5F8}">
      <dsp:nvSpPr>
        <dsp:cNvPr id="0" name=""/>
        <dsp:cNvSpPr/>
      </dsp:nvSpPr>
      <dsp:spPr>
        <a:xfrm rot="2361545">
          <a:off x="4013940" y="2923981"/>
          <a:ext cx="2322638" cy="57304"/>
        </a:xfrm>
        <a:custGeom>
          <a:avLst/>
          <a:gdLst/>
          <a:ahLst/>
          <a:cxnLst/>
          <a:rect l="0" t="0" r="0" b="0"/>
          <a:pathLst>
            <a:path>
              <a:moveTo>
                <a:pt x="0" y="28652"/>
              </a:moveTo>
              <a:lnTo>
                <a:pt x="2322638" y="286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kern="1200"/>
        </a:p>
      </dsp:txBody>
      <dsp:txXfrm>
        <a:off x="5117193" y="2894567"/>
        <a:ext cx="116131" cy="116131"/>
      </dsp:txXfrm>
    </dsp:sp>
    <dsp:sp modelId="{7C08E54E-A37B-45E1-967E-42BF0B29E494}">
      <dsp:nvSpPr>
        <dsp:cNvPr id="0" name=""/>
        <dsp:cNvSpPr/>
      </dsp:nvSpPr>
      <dsp:spPr>
        <a:xfrm>
          <a:off x="6073176" y="3042723"/>
          <a:ext cx="1657746" cy="1292788"/>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Arial" panose="020B0604020202020204" pitchFamily="34" charset="0"/>
              <a:cs typeface="Arial" panose="020B0604020202020204" pitchFamily="34" charset="0"/>
            </a:rPr>
            <a:t>MAINTAIN IDEAL</a:t>
          </a:r>
        </a:p>
        <a:p>
          <a:pPr lvl="0" algn="ctr" defTabSz="444500">
            <a:lnSpc>
              <a:spcPct val="90000"/>
            </a:lnSpc>
            <a:spcBef>
              <a:spcPct val="0"/>
            </a:spcBef>
            <a:spcAft>
              <a:spcPct val="35000"/>
            </a:spcAft>
          </a:pPr>
          <a:r>
            <a:rPr lang="en-US" sz="1000" b="0" kern="1200">
              <a:latin typeface="Arial" panose="020B0604020202020204" pitchFamily="34" charset="0"/>
              <a:cs typeface="Arial" panose="020B0604020202020204" pitchFamily="34" charset="0"/>
            </a:rPr>
            <a:t>Group IBW (6 dogs)</a:t>
          </a:r>
        </a:p>
        <a:p>
          <a:pPr lvl="0" algn="ctr" defTabSz="444500">
            <a:lnSpc>
              <a:spcPct val="90000"/>
            </a:lnSpc>
            <a:spcBef>
              <a:spcPct val="0"/>
            </a:spcBef>
            <a:spcAft>
              <a:spcPct val="35000"/>
            </a:spcAft>
          </a:pPr>
          <a:r>
            <a:rPr lang="en-US" sz="1000" b="0" kern="1200">
              <a:latin typeface="Arial" panose="020B0604020202020204" pitchFamily="34" charset="0"/>
              <a:cs typeface="Arial" panose="020B0604020202020204" pitchFamily="34" charset="0"/>
            </a:rPr>
            <a:t>NEGATIVE CONTROL</a:t>
          </a:r>
        </a:p>
        <a:p>
          <a:pPr lvl="0" algn="ctr" defTabSz="444500">
            <a:lnSpc>
              <a:spcPct val="90000"/>
            </a:lnSpc>
            <a:spcBef>
              <a:spcPct val="0"/>
            </a:spcBef>
            <a:spcAft>
              <a:spcPct val="35000"/>
            </a:spcAft>
          </a:pPr>
          <a:r>
            <a:rPr lang="en-US" sz="1000" b="0" kern="1200">
              <a:latin typeface="Arial" panose="020B0604020202020204" pitchFamily="34" charset="0"/>
              <a:cs typeface="Arial" panose="020B0604020202020204" pitchFamily="34" charset="0"/>
            </a:rPr>
            <a:t>MER</a:t>
          </a:r>
          <a:r>
            <a:rPr lang="en-US" sz="1000" b="0" kern="1200" baseline="-25000">
              <a:latin typeface="Arial" panose="020B0604020202020204" pitchFamily="34" charset="0"/>
              <a:cs typeface="Arial" panose="020B0604020202020204" pitchFamily="34" charset="0"/>
            </a:rPr>
            <a:t>ideal</a:t>
          </a:r>
          <a:endParaRPr lang="en-US" sz="1000" b="0" kern="1200" baseline="30000">
            <a:latin typeface="Arial" panose="020B0604020202020204" pitchFamily="34" charset="0"/>
            <a:cs typeface="Arial" panose="020B0604020202020204" pitchFamily="34" charset="0"/>
          </a:endParaRPr>
        </a:p>
        <a:p>
          <a:pPr lvl="0" algn="ctr" defTabSz="444500">
            <a:lnSpc>
              <a:spcPct val="90000"/>
            </a:lnSpc>
            <a:spcBef>
              <a:spcPct val="0"/>
            </a:spcBef>
            <a:spcAft>
              <a:spcPct val="35000"/>
            </a:spcAft>
          </a:pPr>
          <a:r>
            <a:rPr lang="en-US" sz="1000" b="0" kern="1200" baseline="0">
              <a:latin typeface="Arial" panose="020B0604020202020204" pitchFamily="34" charset="0"/>
              <a:cs typeface="Arial" panose="020B0604020202020204" pitchFamily="34" charset="0"/>
            </a:rPr>
            <a:t>CAD</a:t>
          </a:r>
        </a:p>
        <a:p>
          <a:pPr lvl="0" algn="ctr" defTabSz="444500">
            <a:lnSpc>
              <a:spcPct val="90000"/>
            </a:lnSpc>
            <a:spcBef>
              <a:spcPct val="0"/>
            </a:spcBef>
            <a:spcAft>
              <a:spcPct val="35000"/>
            </a:spcAft>
          </a:pPr>
          <a:r>
            <a:rPr lang="en-US" sz="1000" b="0" kern="1200" baseline="0">
              <a:latin typeface="Arial" panose="020B0604020202020204" pitchFamily="34" charset="0"/>
              <a:cs typeface="Arial" panose="020B0604020202020204" pitchFamily="34" charset="0"/>
            </a:rPr>
            <a:t>12 weeks</a:t>
          </a:r>
        </a:p>
      </dsp:txBody>
      <dsp:txXfrm>
        <a:off x="6111040" y="3080587"/>
        <a:ext cx="1582018" cy="121706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F99F5-B894-422D-925B-791378864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Template>
  <TotalTime>0</TotalTime>
  <Pages>222</Pages>
  <Words>67815</Words>
  <Characters>2512727</Characters>
  <Application>Microsoft Office Word</Application>
  <DocSecurity>0</DocSecurity>
  <Lines>20939</Lines>
  <Paragraphs>5150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2575392</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2014-01-02T16:38:00Z</dcterms:created>
  <dcterms:modified xsi:type="dcterms:W3CDTF">2014-01-03T04:11:00Z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zotero-version="4.0.17.1"&gt;&lt;session id="xpD2sTHj"/&gt;&lt;style id="http://www.zotero.org/styles/journal-of-the-american-veterinary-medical-association" hasBibliography="1" bibliographyStyleHasBeenSet="1"/&gt;&lt;prefs&gt;&lt;pref name="fieldType" val</vt:lpwstr>
  </property>
  <property fmtid="{D5CDD505-2E9C-101B-9397-08002B2CF9AE}" pid="3" name="ZOTERO_PREF_2">
    <vt:lpwstr>ue="Field"/&gt;&lt;pref name="storeReferences" value="true"/&gt;&lt;pref name="automaticJournalAbbreviations" value="true"/&gt;&lt;pref name="noteType" value="0"/&gt;&lt;/prefs&gt;&lt;/data&gt;</vt:lpwstr>
  </property>
</Properties>
</file>