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9C6B73" w14:textId="77777777" w:rsidR="001510DC" w:rsidRDefault="00000000" w:rsidP="00A0345A">
      <w:pPr>
        <w:spacing w:line="480" w:lineRule="auto"/>
        <w:jc w:val="center"/>
        <w:rPr>
          <w:rFonts w:ascii="Times New Roman" w:eastAsia="Times New Roman" w:hAnsi="Times New Roman" w:cs="Times New Roman"/>
          <w:sz w:val="24"/>
          <w:szCs w:val="24"/>
        </w:rPr>
      </w:pPr>
      <w:commentRangeStart w:id="0"/>
      <w:r>
        <w:rPr>
          <w:rFonts w:ascii="Times New Roman" w:eastAsia="Times New Roman" w:hAnsi="Times New Roman" w:cs="Times New Roman"/>
          <w:b/>
          <w:sz w:val="24"/>
          <w:szCs w:val="24"/>
        </w:rPr>
        <w:t>Perceptions of Persistence: Examining the Experiences of Senior Student Affairs Professionals with Marginalized Identities</w:t>
      </w:r>
      <w:commentRangeEnd w:id="0"/>
      <w:r w:rsidR="00A0345A">
        <w:rPr>
          <w:rStyle w:val="CommentReference"/>
        </w:rPr>
        <w:commentReference w:id="0"/>
      </w:r>
    </w:p>
    <w:p w14:paraId="13D2E389" w14:textId="77777777" w:rsidR="001510DC" w:rsidRDefault="001510DC">
      <w:pPr>
        <w:spacing w:after="240" w:line="240" w:lineRule="auto"/>
        <w:jc w:val="center"/>
        <w:rPr>
          <w:rFonts w:ascii="Times New Roman" w:eastAsia="Times New Roman" w:hAnsi="Times New Roman" w:cs="Times New Roman"/>
          <w:sz w:val="24"/>
          <w:szCs w:val="24"/>
        </w:rPr>
      </w:pPr>
    </w:p>
    <w:p w14:paraId="1C6FC08F" w14:textId="77777777" w:rsidR="001510DC" w:rsidRDefault="001510DC">
      <w:pPr>
        <w:spacing w:after="240" w:line="240" w:lineRule="auto"/>
        <w:jc w:val="center"/>
        <w:rPr>
          <w:rFonts w:ascii="Times New Roman" w:eastAsia="Times New Roman" w:hAnsi="Times New Roman" w:cs="Times New Roman"/>
          <w:sz w:val="24"/>
          <w:szCs w:val="24"/>
        </w:rPr>
      </w:pPr>
    </w:p>
    <w:p w14:paraId="063AF3DC" w14:textId="77777777" w:rsidR="001510DC" w:rsidRDefault="001510DC">
      <w:pPr>
        <w:spacing w:after="240" w:line="240" w:lineRule="auto"/>
        <w:jc w:val="center"/>
        <w:rPr>
          <w:rFonts w:ascii="Times New Roman" w:eastAsia="Times New Roman" w:hAnsi="Times New Roman" w:cs="Times New Roman"/>
          <w:sz w:val="24"/>
          <w:szCs w:val="24"/>
        </w:rPr>
      </w:pPr>
    </w:p>
    <w:p w14:paraId="1EAA0475" w14:textId="77777777" w:rsidR="001510DC" w:rsidRDefault="001510DC">
      <w:pPr>
        <w:spacing w:after="240" w:line="240" w:lineRule="auto"/>
        <w:jc w:val="center"/>
        <w:rPr>
          <w:rFonts w:ascii="Times New Roman" w:eastAsia="Times New Roman" w:hAnsi="Times New Roman" w:cs="Times New Roman"/>
          <w:sz w:val="24"/>
          <w:szCs w:val="24"/>
        </w:rPr>
      </w:pPr>
    </w:p>
    <w:p w14:paraId="7B79C58E" w14:textId="77777777" w:rsidR="001510DC" w:rsidRDefault="001510DC">
      <w:pPr>
        <w:spacing w:after="240" w:line="240" w:lineRule="auto"/>
        <w:jc w:val="center"/>
        <w:rPr>
          <w:rFonts w:ascii="Times New Roman" w:eastAsia="Times New Roman" w:hAnsi="Times New Roman" w:cs="Times New Roman"/>
          <w:sz w:val="24"/>
          <w:szCs w:val="24"/>
        </w:rPr>
      </w:pPr>
    </w:p>
    <w:p w14:paraId="56C4FDE6" w14:textId="77777777" w:rsidR="001510DC" w:rsidRDefault="001510DC" w:rsidP="00A0345A">
      <w:pPr>
        <w:spacing w:after="240" w:line="240" w:lineRule="auto"/>
        <w:rPr>
          <w:rFonts w:ascii="Times New Roman" w:eastAsia="Times New Roman" w:hAnsi="Times New Roman" w:cs="Times New Roman"/>
          <w:sz w:val="24"/>
          <w:szCs w:val="24"/>
        </w:rPr>
      </w:pPr>
    </w:p>
    <w:p w14:paraId="5E4D41E3" w14:textId="77777777" w:rsidR="001510DC" w:rsidRDefault="00000000" w:rsidP="00A0345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Presented for the</w:t>
      </w:r>
    </w:p>
    <w:p w14:paraId="54E5796E" w14:textId="77777777" w:rsidR="001510DC" w:rsidRDefault="00000000" w:rsidP="00A0345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14:paraId="0270543F" w14:textId="77777777" w:rsidR="001510DC" w:rsidRDefault="00000000" w:rsidP="00A0345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w:t>
      </w:r>
    </w:p>
    <w:p w14:paraId="2A5C9BDA" w14:textId="77777777" w:rsidR="001510DC" w:rsidRDefault="00000000" w:rsidP="00A0345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The University of Tennessee, Knoxville</w:t>
      </w:r>
    </w:p>
    <w:p w14:paraId="3DD3BF0F" w14:textId="77777777" w:rsidR="001510DC" w:rsidRDefault="001510DC">
      <w:pPr>
        <w:spacing w:line="480" w:lineRule="auto"/>
        <w:jc w:val="center"/>
        <w:rPr>
          <w:rFonts w:ascii="Times New Roman" w:eastAsia="Times New Roman" w:hAnsi="Times New Roman" w:cs="Times New Roman"/>
          <w:b/>
          <w:sz w:val="24"/>
          <w:szCs w:val="24"/>
        </w:rPr>
      </w:pPr>
    </w:p>
    <w:p w14:paraId="7F556A27" w14:textId="77777777" w:rsidR="001510DC" w:rsidRDefault="001510DC">
      <w:pPr>
        <w:spacing w:line="480" w:lineRule="auto"/>
        <w:jc w:val="center"/>
        <w:rPr>
          <w:rFonts w:ascii="Times New Roman" w:eastAsia="Times New Roman" w:hAnsi="Times New Roman" w:cs="Times New Roman"/>
          <w:b/>
          <w:sz w:val="24"/>
          <w:szCs w:val="24"/>
        </w:rPr>
      </w:pPr>
    </w:p>
    <w:p w14:paraId="0AD653DB" w14:textId="77777777" w:rsidR="001510DC" w:rsidRDefault="001510DC">
      <w:pPr>
        <w:spacing w:line="480" w:lineRule="auto"/>
        <w:jc w:val="center"/>
        <w:rPr>
          <w:rFonts w:ascii="Times New Roman" w:eastAsia="Times New Roman" w:hAnsi="Times New Roman" w:cs="Times New Roman"/>
          <w:b/>
          <w:sz w:val="24"/>
          <w:szCs w:val="24"/>
        </w:rPr>
      </w:pPr>
    </w:p>
    <w:p w14:paraId="5B5BAB6F" w14:textId="77777777" w:rsidR="001510DC" w:rsidRDefault="001510DC">
      <w:pPr>
        <w:spacing w:line="480" w:lineRule="auto"/>
        <w:jc w:val="center"/>
        <w:rPr>
          <w:rFonts w:ascii="Times New Roman" w:eastAsia="Times New Roman" w:hAnsi="Times New Roman" w:cs="Times New Roman"/>
          <w:b/>
          <w:sz w:val="24"/>
          <w:szCs w:val="24"/>
        </w:rPr>
      </w:pPr>
    </w:p>
    <w:p w14:paraId="5A671E27" w14:textId="77777777" w:rsidR="001510DC" w:rsidRDefault="001510DC" w:rsidP="00A0345A">
      <w:pPr>
        <w:spacing w:line="480" w:lineRule="auto"/>
        <w:rPr>
          <w:rFonts w:ascii="Times New Roman" w:eastAsia="Times New Roman" w:hAnsi="Times New Roman" w:cs="Times New Roman"/>
          <w:b/>
          <w:sz w:val="24"/>
          <w:szCs w:val="24"/>
        </w:rPr>
      </w:pPr>
    </w:p>
    <w:p w14:paraId="40FCA618" w14:textId="77777777" w:rsidR="001510DC" w:rsidRDefault="001510DC">
      <w:pPr>
        <w:spacing w:line="240" w:lineRule="auto"/>
        <w:jc w:val="center"/>
        <w:rPr>
          <w:rFonts w:ascii="Times New Roman" w:eastAsia="Times New Roman" w:hAnsi="Times New Roman" w:cs="Times New Roman"/>
          <w:sz w:val="24"/>
          <w:szCs w:val="24"/>
        </w:rPr>
      </w:pPr>
    </w:p>
    <w:p w14:paraId="377CBE16" w14:textId="77777777" w:rsidR="001510DC" w:rsidRDefault="001510DC">
      <w:pPr>
        <w:spacing w:line="240" w:lineRule="auto"/>
        <w:jc w:val="center"/>
        <w:rPr>
          <w:rFonts w:ascii="Times New Roman" w:eastAsia="Times New Roman" w:hAnsi="Times New Roman" w:cs="Times New Roman"/>
          <w:sz w:val="24"/>
          <w:szCs w:val="24"/>
        </w:rPr>
      </w:pPr>
    </w:p>
    <w:p w14:paraId="479523E4" w14:textId="77777777" w:rsidR="001510DC" w:rsidRDefault="001510DC">
      <w:pPr>
        <w:spacing w:line="240" w:lineRule="auto"/>
        <w:jc w:val="center"/>
        <w:rPr>
          <w:rFonts w:ascii="Times New Roman" w:eastAsia="Times New Roman" w:hAnsi="Times New Roman" w:cs="Times New Roman"/>
          <w:sz w:val="24"/>
          <w:szCs w:val="24"/>
        </w:rPr>
      </w:pPr>
    </w:p>
    <w:p w14:paraId="3F8EA9C2" w14:textId="77777777" w:rsidR="001510DC" w:rsidRDefault="001510DC">
      <w:pPr>
        <w:spacing w:line="240" w:lineRule="auto"/>
        <w:jc w:val="center"/>
        <w:rPr>
          <w:rFonts w:ascii="Times New Roman" w:eastAsia="Times New Roman" w:hAnsi="Times New Roman" w:cs="Times New Roman"/>
          <w:sz w:val="24"/>
          <w:szCs w:val="24"/>
        </w:rPr>
      </w:pPr>
    </w:p>
    <w:p w14:paraId="5F135FB3" w14:textId="77777777" w:rsidR="001510DC" w:rsidRDefault="001510DC">
      <w:pPr>
        <w:spacing w:line="240" w:lineRule="auto"/>
        <w:jc w:val="center"/>
        <w:rPr>
          <w:rFonts w:ascii="Times New Roman" w:eastAsia="Times New Roman" w:hAnsi="Times New Roman" w:cs="Times New Roman"/>
          <w:sz w:val="24"/>
          <w:szCs w:val="24"/>
        </w:rPr>
      </w:pPr>
    </w:p>
    <w:p w14:paraId="054B4945" w14:textId="77777777" w:rsidR="001510DC" w:rsidRDefault="001510DC">
      <w:pPr>
        <w:spacing w:line="240" w:lineRule="auto"/>
        <w:jc w:val="center"/>
        <w:rPr>
          <w:rFonts w:ascii="Times New Roman" w:eastAsia="Times New Roman" w:hAnsi="Times New Roman" w:cs="Times New Roman"/>
          <w:sz w:val="24"/>
          <w:szCs w:val="24"/>
        </w:rPr>
      </w:pPr>
    </w:p>
    <w:p w14:paraId="34469D7B" w14:textId="77777777" w:rsidR="001510DC" w:rsidRDefault="001510DC">
      <w:pPr>
        <w:spacing w:line="240" w:lineRule="auto"/>
        <w:jc w:val="center"/>
        <w:rPr>
          <w:rFonts w:ascii="Times New Roman" w:eastAsia="Times New Roman" w:hAnsi="Times New Roman" w:cs="Times New Roman"/>
          <w:sz w:val="24"/>
          <w:szCs w:val="24"/>
        </w:rPr>
      </w:pPr>
    </w:p>
    <w:p w14:paraId="1414411E" w14:textId="77777777" w:rsidR="001510DC" w:rsidRDefault="00000000" w:rsidP="00A0345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Ciara Lexene Gazaway</w:t>
      </w:r>
    </w:p>
    <w:p w14:paraId="6812CFAC" w14:textId="77777777" w:rsidR="001510DC" w:rsidRDefault="00000000" w:rsidP="00A0345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December 2024</w:t>
      </w:r>
      <w:r>
        <w:br w:type="page"/>
      </w:r>
    </w:p>
    <w:p w14:paraId="34B5E708"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Dedication </w:t>
      </w:r>
    </w:p>
    <w:p w14:paraId="416CE6D0" w14:textId="77777777" w:rsidR="001510DC" w:rsidRDefault="00000000" w:rsidP="00A0345A">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This dissertation is dedicated to my fellow disruptors, the new generation of student affairs and higher education professionals. When I reflect on my research purpose or why I stay in this field, I often think about you, us, and our future. I also think about students with similar identities and backgrounds. Our stories and talents are invaluable; we are revolutionizing higher education, deconstructing systems that were never made for us and redefining success. I plan to continue dedicating my work, and life, to our collective progression and joy. </w:t>
      </w:r>
      <w:r>
        <w:br w:type="page"/>
      </w:r>
    </w:p>
    <w:p w14:paraId="09DF894A"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Acknowledgements </w:t>
      </w:r>
    </w:p>
    <w:p w14:paraId="5FA2998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feel immense honor, gratitude, and privilege to have completed this dissertation and Ph.D. program. There are many individuals who made this accomplishment possible, and my appreciation for each of you is infinite. </w:t>
      </w:r>
    </w:p>
    <w:p w14:paraId="7BE97C81"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and foremost, thank you to my committee chair and advisor, Dr. Dorian L. McCoy. Your authentic leadership and research expertise is something I have admired for years, and I feel so lucky to have completed this journey alongside you. Thank you for your mentorship, pep talks, humor amongst the chaos, and honesty. I cannot wait to see where this research takes us, and I hope we get to keep ‘throwing shade’ at one another for a long time. </w:t>
      </w:r>
    </w:p>
    <w:p w14:paraId="475A493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to my phenomenal committee members, Dr. Janelle Coleman, Dr. Mary Dueñas, and Dr. Joe Miles. Each of you provided valuable perspectives, recommendations, and encouragement throughout this process and strengthened my research study. Thank you for giving your time, energy, and expertise to this dissertation committee.   </w:t>
      </w:r>
    </w:p>
    <w:p w14:paraId="6DB8840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my wonderful parents, Alex and Charlene, thank you for being my first and constant support system. Several times throughout this journey I reflected on how I almost repeated the third grade, the multiple math tutors needed throughout middle and high school, and the doubt and limitations I placed on myself when applying to colleges. I never imagined this would be possible; but you both always believed in me. You supported each new dream or goal as if you somehow knew it would become a reality, and I cannot express how grateful I am for everything you have done for me these past 28 years. I would not be here without your love and guidance.  </w:t>
      </w:r>
    </w:p>
    <w:p w14:paraId="5AAEA6D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to my partner, Levi; my sisters, Giana and Lauren; the ‘Ph.Dumb’ group chat members; and my close family and friends for your unwavering support. Each motivational text, </w:t>
      </w:r>
      <w:r>
        <w:rPr>
          <w:rFonts w:ascii="Times New Roman" w:eastAsia="Times New Roman" w:hAnsi="Times New Roman" w:cs="Times New Roman"/>
          <w:sz w:val="24"/>
          <w:szCs w:val="24"/>
        </w:rPr>
        <w:lastRenderedPageBreak/>
        <w:t xml:space="preserve">listening ear, shoulder to lean on, and moment to pause and laugh did not go unnoticed. Thank you for giving me the space and grace to be a student and complete this degree. </w:t>
      </w:r>
    </w:p>
    <w:p w14:paraId="79443257" w14:textId="77777777" w:rsidR="001510DC"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And last, but certainly not least, thank you to the eight individuals who shared their time and stories with me: Brayden, Coach, Grace, Jack, Jerome, María, Phê-rô, and Sage. Each of you brought light and life to this research study, and it was an honor to co-create meaning and knowledge with you. Thank you for your time, vulnerability, and trust.  </w:t>
      </w:r>
      <w:r>
        <w:br w:type="page"/>
      </w:r>
    </w:p>
    <w:p w14:paraId="484C2D70"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Abstract </w:t>
      </w:r>
    </w:p>
    <w:p w14:paraId="2D7808DD" w14:textId="0FE65F9A" w:rsidR="001510DC" w:rsidRPr="003A6BDA" w:rsidRDefault="00000000" w:rsidP="003A6BD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Various educational researchers have studied the contexts and practices that encourage underrepresented student persistence in higher education; yet few studies explore the same phenomena with underrepresented professionals in student affairs. Marginalized professionals must navigate cultural taxation, microaggressions, emotional labor, constantly educating others, and being tokenized; while also living as an oppressed individual in the United States. The purpose of this critical, qualitative, phenomenological study </w:t>
      </w:r>
      <w:r w:rsidR="003A6BDA">
        <w:rPr>
          <w:rFonts w:ascii="Times New Roman" w:eastAsia="Times New Roman" w:hAnsi="Times New Roman" w:cs="Times New Roman"/>
          <w:sz w:val="24"/>
          <w:szCs w:val="24"/>
          <w:highlight w:val="white"/>
        </w:rPr>
        <w:t xml:space="preserve">was to chronicle the experiences of professionals with marginalized identities who have persisted and progressed through higher education and understand the contexts that supported their career advancement. </w:t>
      </w:r>
    </w:p>
    <w:p w14:paraId="70F8E4B1" w14:textId="77777777" w:rsidR="001510DC" w:rsidRDefault="00000000">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b/>
          <w:sz w:val="24"/>
          <w:szCs w:val="24"/>
          <w:highlight w:val="white"/>
        </w:rPr>
        <w:t xml:space="preserve">Key words: </w:t>
      </w:r>
      <w:r>
        <w:rPr>
          <w:rFonts w:ascii="Times New Roman" w:eastAsia="Times New Roman" w:hAnsi="Times New Roman" w:cs="Times New Roman"/>
          <w:i/>
          <w:sz w:val="24"/>
          <w:szCs w:val="24"/>
          <w:highlight w:val="white"/>
        </w:rPr>
        <w:t xml:space="preserve">student affairs professionals, professionals with marginalized identities, higher education, persistence, student affairs workplace experiences, career </w:t>
      </w:r>
      <w:r>
        <w:rPr>
          <w:rFonts w:ascii="Times New Roman" w:eastAsia="Times New Roman" w:hAnsi="Times New Roman" w:cs="Times New Roman"/>
          <w:sz w:val="24"/>
          <w:szCs w:val="24"/>
          <w:highlight w:val="white"/>
        </w:rPr>
        <w:t>advancement</w:t>
      </w:r>
    </w:p>
    <w:p w14:paraId="49EC7EC8" w14:textId="122745BB" w:rsidR="001510DC" w:rsidRPr="00A0345A" w:rsidRDefault="00000000" w:rsidP="00A0345A">
      <w:r>
        <w:br w:type="page"/>
      </w:r>
    </w:p>
    <w:p w14:paraId="655B6167" w14:textId="77777777" w:rsidR="001510DC" w:rsidRDefault="00000000" w:rsidP="002F6F51">
      <w:pPr>
        <w:spacing w:line="360" w:lineRule="auto"/>
        <w:jc w:val="center"/>
        <w:rPr>
          <w:rFonts w:ascii="Times New Roman" w:eastAsia="Times New Roman" w:hAnsi="Times New Roman" w:cs="Times New Roman"/>
          <w:b/>
          <w:sz w:val="24"/>
          <w:szCs w:val="24"/>
        </w:rPr>
      </w:pPr>
      <w:commentRangeStart w:id="1"/>
      <w:r>
        <w:rPr>
          <w:rFonts w:ascii="Times New Roman" w:eastAsia="Times New Roman" w:hAnsi="Times New Roman" w:cs="Times New Roman"/>
          <w:b/>
          <w:sz w:val="24"/>
          <w:szCs w:val="24"/>
        </w:rPr>
        <w:lastRenderedPageBreak/>
        <w:t>Table of Contents</w:t>
      </w:r>
      <w:commentRangeEnd w:id="1"/>
      <w:r w:rsidR="00A0345A">
        <w:rPr>
          <w:rStyle w:val="CommentReference"/>
        </w:rPr>
        <w:commentReference w:id="1"/>
      </w:r>
    </w:p>
    <w:p w14:paraId="7DB49876" w14:textId="79996AA5"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1 Introduction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1</w:t>
      </w:r>
    </w:p>
    <w:p w14:paraId="1449E43A" w14:textId="3A37386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Statement of the Problem</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2</w:t>
      </w:r>
    </w:p>
    <w:p w14:paraId="71C53433" w14:textId="4D2D5EF6"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Purpose of the Study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w:t>
      </w:r>
    </w:p>
    <w:p w14:paraId="35706C08" w14:textId="441757BD"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Research Question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w:t>
      </w:r>
    </w:p>
    <w:p w14:paraId="34ED5123" w14:textId="55A4A3F2"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Conceptual Framework</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w:t>
      </w:r>
    </w:p>
    <w:p w14:paraId="0F4E8A94" w14:textId="058C249F"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Methodology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5</w:t>
      </w:r>
    </w:p>
    <w:p w14:paraId="53270198" w14:textId="3DC503C8"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Delimitations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p w14:paraId="1A74F60B" w14:textId="640A89D1"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Significance</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7</w:t>
      </w:r>
    </w:p>
    <w:p w14:paraId="140FC4F6" w14:textId="5E376602"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Terminology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8</w:t>
      </w:r>
    </w:p>
    <w:p w14:paraId="3C03D75A" w14:textId="289CB90E"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Organization of the Study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8</w:t>
      </w:r>
    </w:p>
    <w:p w14:paraId="7A696432" w14:textId="313D9DF8"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2 Literature Review</w:t>
      </w:r>
      <w:r>
        <w:rPr>
          <w:rFonts w:ascii="Times New Roman" w:eastAsia="Times New Roman" w:hAnsi="Times New Roman" w:cs="Times New Roman"/>
          <w:sz w:val="24"/>
          <w:szCs w:val="24"/>
        </w:rPr>
        <w:tab/>
        <w:t>1</w:t>
      </w:r>
      <w:r w:rsidR="00E458C0">
        <w:rPr>
          <w:rFonts w:ascii="Times New Roman" w:eastAsia="Times New Roman" w:hAnsi="Times New Roman" w:cs="Times New Roman"/>
          <w:sz w:val="24"/>
          <w:szCs w:val="24"/>
        </w:rPr>
        <w:t>0</w:t>
      </w:r>
    </w:p>
    <w:p w14:paraId="3835BD76" w14:textId="1985D5E3"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is Oppression</w:t>
      </w:r>
      <w:r>
        <w:rPr>
          <w:rFonts w:ascii="Times New Roman" w:eastAsia="Times New Roman" w:hAnsi="Times New Roman" w:cs="Times New Roman"/>
          <w:sz w:val="24"/>
          <w:szCs w:val="24"/>
        </w:rPr>
        <w:tab/>
        <w:t>1</w:t>
      </w:r>
      <w:r w:rsidR="00E458C0">
        <w:rPr>
          <w:rFonts w:ascii="Times New Roman" w:eastAsia="Times New Roman" w:hAnsi="Times New Roman" w:cs="Times New Roman"/>
          <w:sz w:val="24"/>
          <w:szCs w:val="24"/>
        </w:rPr>
        <w:t>0</w:t>
      </w:r>
    </w:p>
    <w:p w14:paraId="00B235E8" w14:textId="6B7755EE"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Freire’s Pedagogy of the Oppressed </w:t>
      </w:r>
      <w:r>
        <w:rPr>
          <w:rFonts w:ascii="Times New Roman" w:eastAsia="Times New Roman" w:hAnsi="Times New Roman" w:cs="Times New Roman"/>
          <w:sz w:val="24"/>
          <w:szCs w:val="24"/>
        </w:rPr>
        <w:tab/>
        <w:t>1</w:t>
      </w:r>
      <w:r w:rsidR="00E458C0">
        <w:rPr>
          <w:rFonts w:ascii="Times New Roman" w:eastAsia="Times New Roman" w:hAnsi="Times New Roman" w:cs="Times New Roman"/>
          <w:sz w:val="24"/>
          <w:szCs w:val="24"/>
        </w:rPr>
        <w:t>0</w:t>
      </w:r>
    </w:p>
    <w:p w14:paraId="4FCAB72F" w14:textId="297B5493"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Harro’s Cycles of Socialization and Liberation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12</w:t>
      </w:r>
    </w:p>
    <w:p w14:paraId="2EE25EDE" w14:textId="71B22842" w:rsidR="001510DC" w:rsidRDefault="00000000" w:rsidP="002F6F51">
      <w:pPr>
        <w:tabs>
          <w:tab w:val="right" w:leader="dot" w:pos="8630"/>
        </w:tabs>
        <w:spacing w:line="360" w:lineRule="auto"/>
        <w:ind w:left="480"/>
        <w:rPr>
          <w:rFonts w:ascii="Times New Roman" w:eastAsia="Times New Roman" w:hAnsi="Times New Roman" w:cs="Times New Roman"/>
          <w:sz w:val="24"/>
          <w:szCs w:val="24"/>
        </w:rPr>
      </w:pPr>
      <w:r>
        <w:rPr>
          <w:rFonts w:ascii="Times New Roman" w:eastAsia="Times New Roman" w:hAnsi="Times New Roman" w:cs="Times New Roman"/>
          <w:sz w:val="24"/>
          <w:szCs w:val="24"/>
        </w:rPr>
        <w:t>Diangelo’s Cycle of Oppression</w:t>
      </w:r>
      <w:hyperlink r:id="rId12" w:anchor="heading=h.2et92p0">
        <w:r w:rsidR="001510DC">
          <w:rPr>
            <w:rFonts w:ascii="Times New Roman" w:eastAsia="Times New Roman" w:hAnsi="Times New Roman" w:cs="Times New Roman"/>
            <w:sz w:val="24"/>
            <w:szCs w:val="24"/>
          </w:rPr>
          <w:tab/>
        </w:r>
      </w:hyperlink>
      <w:r w:rsidR="00E458C0">
        <w:rPr>
          <w:rFonts w:ascii="Times New Roman" w:eastAsia="Times New Roman" w:hAnsi="Times New Roman" w:cs="Times New Roman"/>
          <w:sz w:val="24"/>
          <w:szCs w:val="24"/>
        </w:rPr>
        <w:t>16</w:t>
      </w:r>
    </w:p>
    <w:p w14:paraId="3D5E32F4" w14:textId="4E313BC6" w:rsidR="001510DC" w:rsidRPr="00845808" w:rsidRDefault="00000000" w:rsidP="002F6F51">
      <w:pPr>
        <w:tabs>
          <w:tab w:val="right" w:leader="dot" w:pos="8630"/>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Experiences of Student Affairs Professionals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17</w:t>
      </w:r>
    </w:p>
    <w:p w14:paraId="61D59F58" w14:textId="79291415"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Individual and Institutional Experiences of Oppression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17</w:t>
      </w:r>
    </w:p>
    <w:p w14:paraId="5B4ED19A" w14:textId="08DDB083"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Excessive Expectations &amp; Intersectionality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19</w:t>
      </w:r>
    </w:p>
    <w:p w14:paraId="79CBEA97" w14:textId="2012AD98"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Subsequent Effects</w:t>
      </w:r>
      <w:r>
        <w:rPr>
          <w:rFonts w:ascii="Times New Roman" w:eastAsia="Times New Roman" w:hAnsi="Times New Roman" w:cs="Times New Roman"/>
          <w:sz w:val="24"/>
          <w:szCs w:val="24"/>
        </w:rPr>
        <w:tab/>
        <w:t>2</w:t>
      </w:r>
      <w:r w:rsidR="00E458C0">
        <w:rPr>
          <w:rFonts w:ascii="Times New Roman" w:eastAsia="Times New Roman" w:hAnsi="Times New Roman" w:cs="Times New Roman"/>
          <w:sz w:val="24"/>
          <w:szCs w:val="24"/>
        </w:rPr>
        <w:t>0</w:t>
      </w:r>
    </w:p>
    <w:p w14:paraId="1EF3A768" w14:textId="5A0D72A0"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Praxis in Student Affairs</w:t>
      </w:r>
      <w:r>
        <w:rPr>
          <w:rFonts w:ascii="Times New Roman" w:eastAsia="Times New Roman" w:hAnsi="Times New Roman" w:cs="Times New Roman"/>
          <w:sz w:val="24"/>
          <w:szCs w:val="24"/>
        </w:rPr>
        <w:tab/>
      </w:r>
      <w:r w:rsidR="00C03835">
        <w:rPr>
          <w:rFonts w:ascii="Times New Roman" w:eastAsia="Times New Roman" w:hAnsi="Times New Roman" w:cs="Times New Roman"/>
          <w:sz w:val="24"/>
          <w:szCs w:val="24"/>
        </w:rPr>
        <w:t>2</w:t>
      </w:r>
      <w:r w:rsidR="00E458C0">
        <w:rPr>
          <w:rFonts w:ascii="Times New Roman" w:eastAsia="Times New Roman" w:hAnsi="Times New Roman" w:cs="Times New Roman"/>
          <w:sz w:val="24"/>
          <w:szCs w:val="24"/>
        </w:rPr>
        <w:t>1</w:t>
      </w:r>
    </w:p>
    <w:p w14:paraId="046A00B3" w14:textId="16A286EC"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Critical Praxis in Action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23</w:t>
      </w:r>
    </w:p>
    <w:p w14:paraId="71A9842D" w14:textId="3E636DB3" w:rsidR="001510DC" w:rsidRDefault="00000000" w:rsidP="002F6F51">
      <w:pPr>
        <w:tabs>
          <w:tab w:val="right" w:leader="dot" w:pos="8630"/>
        </w:tabs>
        <w:spacing w:line="360" w:lineRule="auto"/>
        <w:ind w:lef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Summary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27</w:t>
      </w:r>
    </w:p>
    <w:p w14:paraId="0F40B88C" w14:textId="2C92158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3 Methodology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29</w:t>
      </w:r>
    </w:p>
    <w:p w14:paraId="40F492A0" w14:textId="0073E73D"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Phenomenology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29</w:t>
      </w:r>
    </w:p>
    <w:p w14:paraId="01A9CDB5" w14:textId="7AE57AA2"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Critical Phenomenology</w:t>
      </w:r>
      <w:r>
        <w:rPr>
          <w:rFonts w:ascii="Times New Roman" w:eastAsia="Times New Roman" w:hAnsi="Times New Roman" w:cs="Times New Roman"/>
          <w:sz w:val="24"/>
          <w:szCs w:val="24"/>
        </w:rPr>
        <w:tab/>
        <w:t>3</w:t>
      </w:r>
      <w:r w:rsidR="00E458C0">
        <w:rPr>
          <w:rFonts w:ascii="Times New Roman" w:eastAsia="Times New Roman" w:hAnsi="Times New Roman" w:cs="Times New Roman"/>
          <w:sz w:val="24"/>
          <w:szCs w:val="24"/>
        </w:rPr>
        <w:t>0</w:t>
      </w:r>
    </w:p>
    <w:p w14:paraId="6A455A77" w14:textId="556FB893"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Conceptual Framework</w:t>
      </w:r>
      <w:r>
        <w:rPr>
          <w:rFonts w:ascii="Times New Roman" w:eastAsia="Times New Roman" w:hAnsi="Times New Roman" w:cs="Times New Roman"/>
          <w:sz w:val="24"/>
          <w:szCs w:val="24"/>
        </w:rPr>
        <w:tab/>
        <w:t>3</w:t>
      </w:r>
      <w:r w:rsidR="00E458C0">
        <w:rPr>
          <w:rFonts w:ascii="Times New Roman" w:eastAsia="Times New Roman" w:hAnsi="Times New Roman" w:cs="Times New Roman"/>
          <w:sz w:val="24"/>
          <w:szCs w:val="24"/>
        </w:rPr>
        <w:t>1</w:t>
      </w:r>
    </w:p>
    <w:p w14:paraId="01AC6C8A" w14:textId="024F56B1"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58C0">
        <w:rPr>
          <w:rFonts w:ascii="Times New Roman" w:eastAsia="Times New Roman" w:hAnsi="Times New Roman" w:cs="Times New Roman"/>
          <w:sz w:val="24"/>
          <w:szCs w:val="24"/>
        </w:rPr>
        <w:t>Recruitmen</w:t>
      </w:r>
      <w:r>
        <w:rPr>
          <w:rFonts w:ascii="Times New Roman" w:eastAsia="Times New Roman" w:hAnsi="Times New Roman" w:cs="Times New Roman"/>
          <w:sz w:val="24"/>
          <w:szCs w:val="24"/>
        </w:rPr>
        <w:t>t</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33</w:t>
      </w:r>
    </w:p>
    <w:p w14:paraId="4ECC98E3" w14:textId="54837D3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58C0">
        <w:rPr>
          <w:rFonts w:ascii="Times New Roman" w:eastAsia="Times New Roman" w:hAnsi="Times New Roman" w:cs="Times New Roman"/>
          <w:sz w:val="24"/>
          <w:szCs w:val="24"/>
        </w:rPr>
        <w:t>Participan</w:t>
      </w:r>
      <w:r>
        <w:rPr>
          <w:rFonts w:ascii="Times New Roman" w:eastAsia="Times New Roman" w:hAnsi="Times New Roman" w:cs="Times New Roman"/>
          <w:sz w:val="24"/>
          <w:szCs w:val="24"/>
        </w:rPr>
        <w:t>t</w:t>
      </w:r>
      <w:r w:rsidR="00E458C0">
        <w:rPr>
          <w:rFonts w:ascii="Times New Roman" w:eastAsia="Times New Roman" w:hAnsi="Times New Roman" w:cs="Times New Roman"/>
          <w:sz w:val="24"/>
          <w:szCs w:val="24"/>
        </w:rPr>
        <w:t>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34</w:t>
      </w:r>
    </w:p>
    <w:p w14:paraId="1A12237F" w14:textId="6F136657"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 Collection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35</w:t>
      </w:r>
    </w:p>
    <w:p w14:paraId="44E88040" w14:textId="71C1F7DE"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Reflexive Participant Collaboration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35</w:t>
      </w:r>
    </w:p>
    <w:p w14:paraId="268CEB2C" w14:textId="57C16633"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Data Analysis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37</w:t>
      </w:r>
    </w:p>
    <w:p w14:paraId="0726BB3F" w14:textId="0014D5DB"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Transcendental Stage</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38</w:t>
      </w:r>
    </w:p>
    <w:p w14:paraId="73EA2591" w14:textId="658DCA28"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Transcendental-Phenomenological Reduction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39</w:t>
      </w:r>
    </w:p>
    <w:p w14:paraId="78B02907" w14:textId="7C3E657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Imaginative Variation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40</w:t>
      </w:r>
    </w:p>
    <w:p w14:paraId="1922ED67" w14:textId="48D6AA10"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Constructing the Essence of the Phenomenon</w:t>
      </w:r>
      <w:r>
        <w:rPr>
          <w:rFonts w:ascii="Times New Roman" w:eastAsia="Times New Roman" w:hAnsi="Times New Roman" w:cs="Times New Roman"/>
          <w:sz w:val="24"/>
          <w:szCs w:val="24"/>
        </w:rPr>
        <w:tab/>
      </w:r>
      <w:r w:rsidR="002A4C44">
        <w:rPr>
          <w:rFonts w:ascii="Times New Roman" w:eastAsia="Times New Roman" w:hAnsi="Times New Roman" w:cs="Times New Roman"/>
          <w:sz w:val="24"/>
          <w:szCs w:val="24"/>
        </w:rPr>
        <w:t>4</w:t>
      </w:r>
      <w:r w:rsidR="00E458C0">
        <w:rPr>
          <w:rFonts w:ascii="Times New Roman" w:eastAsia="Times New Roman" w:hAnsi="Times New Roman" w:cs="Times New Roman"/>
          <w:sz w:val="24"/>
          <w:szCs w:val="24"/>
        </w:rPr>
        <w:t>0</w:t>
      </w:r>
    </w:p>
    <w:p w14:paraId="6BFA45A2" w14:textId="6AB9F80E"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Trustworthiness</w:t>
      </w:r>
      <w:r>
        <w:rPr>
          <w:rFonts w:ascii="Times New Roman" w:eastAsia="Times New Roman" w:hAnsi="Times New Roman" w:cs="Times New Roman"/>
          <w:sz w:val="24"/>
          <w:szCs w:val="24"/>
        </w:rPr>
        <w:tab/>
      </w:r>
      <w:r w:rsidR="00C03835">
        <w:rPr>
          <w:rFonts w:ascii="Times New Roman" w:eastAsia="Times New Roman" w:hAnsi="Times New Roman" w:cs="Times New Roman"/>
          <w:sz w:val="24"/>
          <w:szCs w:val="24"/>
        </w:rPr>
        <w:t>4</w:t>
      </w:r>
      <w:r w:rsidR="00E458C0">
        <w:rPr>
          <w:rFonts w:ascii="Times New Roman" w:eastAsia="Times New Roman" w:hAnsi="Times New Roman" w:cs="Times New Roman"/>
          <w:sz w:val="24"/>
          <w:szCs w:val="24"/>
        </w:rPr>
        <w:t>1</w:t>
      </w:r>
    </w:p>
    <w:p w14:paraId="7B4E410C" w14:textId="61694A4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Ethical Considerations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43</w:t>
      </w:r>
    </w:p>
    <w:p w14:paraId="04226A77" w14:textId="7D9D2C2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Positionality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44</w:t>
      </w:r>
    </w:p>
    <w:p w14:paraId="375B0982" w14:textId="4A558B2C"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Summary</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47</w:t>
      </w:r>
    </w:p>
    <w:p w14:paraId="3A88957F" w14:textId="268130BC"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4 Findings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48</w:t>
      </w:r>
    </w:p>
    <w:p w14:paraId="24DBF7BD" w14:textId="096FD67C"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Phenomenological Themes</w:t>
      </w:r>
      <w:r>
        <w:rPr>
          <w:rFonts w:ascii="Times New Roman" w:eastAsia="Times New Roman" w:hAnsi="Times New Roman" w:cs="Times New Roman"/>
          <w:sz w:val="24"/>
          <w:szCs w:val="24"/>
        </w:rPr>
        <w:tab/>
      </w:r>
      <w:r w:rsidR="00C03835">
        <w:rPr>
          <w:rFonts w:ascii="Times New Roman" w:eastAsia="Times New Roman" w:hAnsi="Times New Roman" w:cs="Times New Roman"/>
          <w:sz w:val="24"/>
          <w:szCs w:val="24"/>
        </w:rPr>
        <w:t>5</w:t>
      </w:r>
      <w:r w:rsidR="00E458C0">
        <w:rPr>
          <w:rFonts w:ascii="Times New Roman" w:eastAsia="Times New Roman" w:hAnsi="Times New Roman" w:cs="Times New Roman"/>
          <w:sz w:val="24"/>
          <w:szCs w:val="24"/>
        </w:rPr>
        <w:t>1</w:t>
      </w:r>
    </w:p>
    <w:p w14:paraId="25BBD5E5" w14:textId="73FD7378"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Experiences in the Workplace</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51</w:t>
      </w:r>
    </w:p>
    <w:p w14:paraId="32096991" w14:textId="3151A5F3"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Encounters with Oppression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51</w:t>
      </w:r>
    </w:p>
    <w:p w14:paraId="2E239C12" w14:textId="496A89AE"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Representation </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57</w:t>
      </w:r>
    </w:p>
    <w:p w14:paraId="27272174" w14:textId="7325A731"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Internalized Oppression</w:t>
      </w:r>
      <w:r>
        <w:rPr>
          <w:rFonts w:ascii="Times New Roman" w:eastAsia="Times New Roman" w:hAnsi="Times New Roman" w:cs="Times New Roman"/>
          <w:sz w:val="24"/>
          <w:szCs w:val="24"/>
        </w:rPr>
        <w:tab/>
      </w:r>
      <w:r w:rsidR="00C03835">
        <w:rPr>
          <w:rFonts w:ascii="Times New Roman" w:eastAsia="Times New Roman" w:hAnsi="Times New Roman" w:cs="Times New Roman"/>
          <w:sz w:val="24"/>
          <w:szCs w:val="24"/>
        </w:rPr>
        <w:t>6</w:t>
      </w:r>
      <w:r w:rsidR="00E458C0">
        <w:rPr>
          <w:rFonts w:ascii="Times New Roman" w:eastAsia="Times New Roman" w:hAnsi="Times New Roman" w:cs="Times New Roman"/>
          <w:sz w:val="24"/>
          <w:szCs w:val="24"/>
        </w:rPr>
        <w:t>1</w:t>
      </w:r>
    </w:p>
    <w:p w14:paraId="233B1A7C" w14:textId="7334C69A"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Identity and Cultural Influence</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63</w:t>
      </w:r>
    </w:p>
    <w:p w14:paraId="2D73DB7E" w14:textId="7A1E97BD"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Persistence Pathways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66</w:t>
      </w:r>
    </w:p>
    <w:p w14:paraId="50B83F73" w14:textId="429A92CD"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Challenging Oppression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66</w:t>
      </w:r>
    </w:p>
    <w:p w14:paraId="4766EDFA" w14:textId="7F7D794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Community, Mentorship, and Relationships</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69</w:t>
      </w:r>
    </w:p>
    <w:p w14:paraId="52C4696F" w14:textId="4BB38745"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Institutional Leadership and Supervision</w:t>
      </w:r>
      <w:r>
        <w:rPr>
          <w:rFonts w:ascii="Times New Roman" w:eastAsia="Times New Roman" w:hAnsi="Times New Roman" w:cs="Times New Roman"/>
          <w:sz w:val="24"/>
          <w:szCs w:val="24"/>
        </w:rPr>
        <w:tab/>
      </w:r>
      <w:r w:rsidR="00E458C0">
        <w:rPr>
          <w:rFonts w:ascii="Times New Roman" w:eastAsia="Times New Roman" w:hAnsi="Times New Roman" w:cs="Times New Roman"/>
          <w:sz w:val="24"/>
          <w:szCs w:val="24"/>
        </w:rPr>
        <w:t>76</w:t>
      </w:r>
    </w:p>
    <w:p w14:paraId="540DAA74" w14:textId="18306220"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Knowing yourself and Your Limits</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78</w:t>
      </w:r>
    </w:p>
    <w:p w14:paraId="2B5109E5" w14:textId="6C3ECFD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Critical Praxis Analysis</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82</w:t>
      </w:r>
      <w:r>
        <w:rPr>
          <w:rFonts w:ascii="Times New Roman" w:eastAsia="Times New Roman" w:hAnsi="Times New Roman" w:cs="Times New Roman"/>
          <w:sz w:val="24"/>
          <w:szCs w:val="24"/>
        </w:rPr>
        <w:t xml:space="preserve">  </w:t>
      </w:r>
    </w:p>
    <w:p w14:paraId="5EF5634B" w14:textId="041B380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Conscientization</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83</w:t>
      </w:r>
    </w:p>
    <w:p w14:paraId="06EF0A91" w14:textId="34BADE30"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Reflection</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84</w:t>
      </w:r>
    </w:p>
    <w:p w14:paraId="1B7519BF" w14:textId="7BAE36E6"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Action</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85</w:t>
      </w:r>
    </w:p>
    <w:p w14:paraId="76696948" w14:textId="6DE109E7"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Essen</w:t>
      </w:r>
      <w:r w:rsidR="00DE0865">
        <w:rPr>
          <w:rFonts w:ascii="Times New Roman" w:eastAsia="Times New Roman" w:hAnsi="Times New Roman" w:cs="Times New Roman"/>
          <w:sz w:val="24"/>
          <w:szCs w:val="24"/>
        </w:rPr>
        <w:t>c</w:t>
      </w:r>
      <w:r>
        <w:rPr>
          <w:rFonts w:ascii="Times New Roman" w:eastAsia="Times New Roman" w:hAnsi="Times New Roman" w:cs="Times New Roman"/>
          <w:sz w:val="24"/>
          <w:szCs w:val="24"/>
        </w:rPr>
        <w:t>e of Career Persistence Among Student Affairs Professionals with Marginalized</w:t>
      </w:r>
    </w:p>
    <w:p w14:paraId="44F8F880" w14:textId="436DFA39"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Identities</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87</w:t>
      </w:r>
    </w:p>
    <w:p w14:paraId="1E621E65" w14:textId="085E1931"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Summary</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88</w:t>
      </w:r>
      <w:r>
        <w:rPr>
          <w:rFonts w:ascii="Times New Roman" w:eastAsia="Times New Roman" w:hAnsi="Times New Roman" w:cs="Times New Roman"/>
          <w:sz w:val="24"/>
          <w:szCs w:val="24"/>
        </w:rPr>
        <w:t xml:space="preserve">     </w:t>
      </w:r>
    </w:p>
    <w:p w14:paraId="3534BEA4" w14:textId="560326D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5 Discussion, Implications, and Conclusions</w:t>
      </w:r>
      <w:r>
        <w:rPr>
          <w:rFonts w:ascii="Times New Roman" w:eastAsia="Times New Roman" w:hAnsi="Times New Roman" w:cs="Times New Roman"/>
          <w:sz w:val="24"/>
          <w:szCs w:val="24"/>
        </w:rPr>
        <w:tab/>
        <w:t>9</w:t>
      </w:r>
      <w:r w:rsidR="00DC0F02">
        <w:rPr>
          <w:rFonts w:ascii="Times New Roman" w:eastAsia="Times New Roman" w:hAnsi="Times New Roman" w:cs="Times New Roman"/>
          <w:sz w:val="24"/>
          <w:szCs w:val="24"/>
        </w:rPr>
        <w:t>0</w:t>
      </w:r>
    </w:p>
    <w:p w14:paraId="43826B06" w14:textId="269007E6"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Summary of Findings</w:t>
      </w:r>
      <w:r>
        <w:rPr>
          <w:rFonts w:ascii="Times New Roman" w:eastAsia="Times New Roman" w:hAnsi="Times New Roman" w:cs="Times New Roman"/>
          <w:sz w:val="24"/>
          <w:szCs w:val="24"/>
        </w:rPr>
        <w:tab/>
      </w:r>
      <w:r w:rsidR="00C03835">
        <w:rPr>
          <w:rFonts w:ascii="Times New Roman" w:eastAsia="Times New Roman" w:hAnsi="Times New Roman" w:cs="Times New Roman"/>
          <w:sz w:val="24"/>
          <w:szCs w:val="24"/>
        </w:rPr>
        <w:t>9</w:t>
      </w:r>
      <w:r w:rsidR="00DC0F02">
        <w:rPr>
          <w:rFonts w:ascii="Times New Roman" w:eastAsia="Times New Roman" w:hAnsi="Times New Roman" w:cs="Times New Roman"/>
          <w:sz w:val="24"/>
          <w:szCs w:val="24"/>
        </w:rPr>
        <w:t>1</w:t>
      </w:r>
    </w:p>
    <w:p w14:paraId="7D50B006" w14:textId="6BD3F3FE"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Discussion</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94</w:t>
      </w:r>
    </w:p>
    <w:p w14:paraId="1B7DD722" w14:textId="5E4AF29C"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Connection to Foundational Theories and Concepts</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94</w:t>
      </w:r>
    </w:p>
    <w:p w14:paraId="45B2FE0E" w14:textId="7B90AAE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Connection to Existing Higher Education Research</w:t>
      </w:r>
      <w:r>
        <w:rPr>
          <w:rFonts w:ascii="Times New Roman" w:eastAsia="Times New Roman" w:hAnsi="Times New Roman" w:cs="Times New Roman"/>
          <w:sz w:val="24"/>
          <w:szCs w:val="24"/>
        </w:rPr>
        <w:tab/>
      </w:r>
      <w:r w:rsidR="00DC0F02">
        <w:rPr>
          <w:rFonts w:ascii="Times New Roman" w:eastAsia="Times New Roman" w:hAnsi="Times New Roman" w:cs="Times New Roman"/>
          <w:sz w:val="24"/>
          <w:szCs w:val="24"/>
        </w:rPr>
        <w:t>98</w:t>
      </w:r>
    </w:p>
    <w:p w14:paraId="7EC93C98" w14:textId="363122BE" w:rsidR="001510DC" w:rsidRPr="00DE0865" w:rsidRDefault="00000000" w:rsidP="002F6F51">
      <w:pPr>
        <w:tabs>
          <w:tab w:val="right" w:leader="dot" w:pos="8630"/>
        </w:tabs>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Critical Praxis in Student Affairs</w:t>
      </w:r>
      <w:r>
        <w:rPr>
          <w:rFonts w:ascii="Times New Roman" w:eastAsia="Times New Roman" w:hAnsi="Times New Roman" w:cs="Times New Roman"/>
          <w:sz w:val="24"/>
          <w:szCs w:val="24"/>
        </w:rPr>
        <w:tab/>
      </w:r>
      <w:r w:rsidR="00DE0865">
        <w:rPr>
          <w:rFonts w:ascii="Times New Roman" w:eastAsia="Times New Roman" w:hAnsi="Times New Roman" w:cs="Times New Roman"/>
          <w:sz w:val="24"/>
          <w:szCs w:val="24"/>
        </w:rPr>
        <w:t>1</w:t>
      </w:r>
      <w:r w:rsidR="00C03835">
        <w:rPr>
          <w:rFonts w:ascii="Times New Roman" w:eastAsia="Times New Roman" w:hAnsi="Times New Roman" w:cs="Times New Roman"/>
          <w:sz w:val="24"/>
          <w:szCs w:val="24"/>
        </w:rPr>
        <w:t>0</w:t>
      </w:r>
      <w:r w:rsidR="00DC0F02">
        <w:rPr>
          <w:rFonts w:ascii="Times New Roman" w:eastAsia="Times New Roman" w:hAnsi="Times New Roman" w:cs="Times New Roman"/>
          <w:sz w:val="24"/>
          <w:szCs w:val="24"/>
        </w:rPr>
        <w:t>1</w:t>
      </w:r>
    </w:p>
    <w:p w14:paraId="09268770" w14:textId="42F76966"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Implications for Higher Education</w:t>
      </w:r>
      <w:r>
        <w:rPr>
          <w:rFonts w:ascii="Times New Roman" w:eastAsia="Times New Roman" w:hAnsi="Times New Roman" w:cs="Times New Roman"/>
          <w:sz w:val="24"/>
          <w:szCs w:val="24"/>
        </w:rPr>
        <w:tab/>
      </w:r>
      <w:r w:rsidR="00DE0865">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05</w:t>
      </w:r>
    </w:p>
    <w:p w14:paraId="26267CAD" w14:textId="19B0B691"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Implications for Non-Marginalized Supervisors, Colleagues, and Administrators</w:t>
      </w:r>
      <w:r>
        <w:rPr>
          <w:rFonts w:ascii="Times New Roman" w:eastAsia="Times New Roman" w:hAnsi="Times New Roman" w:cs="Times New Roman"/>
          <w:sz w:val="24"/>
          <w:szCs w:val="24"/>
        </w:rPr>
        <w:tab/>
      </w:r>
      <w:r w:rsidR="00DE0865">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05</w:t>
      </w:r>
    </w:p>
    <w:p w14:paraId="2D89BA09" w14:textId="03697347"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Implications for Professionals with Marginalized Identities</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08</w:t>
      </w:r>
    </w:p>
    <w:p w14:paraId="17B2C629" w14:textId="2D4789A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Recommendations for Future Research</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10</w:t>
      </w:r>
    </w:p>
    <w:p w14:paraId="1074C655" w14:textId="684E7154"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Conclusion</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12</w:t>
      </w:r>
    </w:p>
    <w:p w14:paraId="6AE957FC" w14:textId="4B38104B" w:rsidR="001510DC" w:rsidRDefault="00000000"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 References</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14</w:t>
      </w:r>
    </w:p>
    <w:p w14:paraId="43F88AD8" w14:textId="51835E77" w:rsidR="00A0345A" w:rsidRDefault="00A0345A" w:rsidP="002F6F51">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Appendices</w:t>
      </w:r>
      <w:r>
        <w:rPr>
          <w:rFonts w:ascii="Times New Roman" w:eastAsia="Times New Roman" w:hAnsi="Times New Roman" w:cs="Times New Roman"/>
          <w:sz w:val="24"/>
          <w:szCs w:val="24"/>
        </w:rPr>
        <w:tab/>
        <w:t>1</w:t>
      </w:r>
      <w:r w:rsidR="00DC0F02">
        <w:rPr>
          <w:rFonts w:ascii="Times New Roman" w:eastAsia="Times New Roman" w:hAnsi="Times New Roman" w:cs="Times New Roman"/>
          <w:sz w:val="24"/>
          <w:szCs w:val="24"/>
        </w:rPr>
        <w:t>29</w:t>
      </w:r>
    </w:p>
    <w:p w14:paraId="14E145BA" w14:textId="290D4026" w:rsidR="001510DC" w:rsidRDefault="00000000" w:rsidP="00A0345A">
      <w:pPr>
        <w:tabs>
          <w:tab w:val="right" w:leader="dot" w:pos="8630"/>
        </w:tabs>
        <w:spacing w:line="36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A: </w:t>
      </w:r>
      <w:r w:rsidR="00213A4D">
        <w:rPr>
          <w:rFonts w:ascii="Times New Roman" w:eastAsia="Times New Roman" w:hAnsi="Times New Roman" w:cs="Times New Roman"/>
          <w:sz w:val="24"/>
          <w:szCs w:val="24"/>
        </w:rPr>
        <w:t>Informed Consent Document</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29</w:t>
      </w:r>
    </w:p>
    <w:p w14:paraId="05299435" w14:textId="48586A1D" w:rsidR="00213A4D" w:rsidRDefault="00213A4D" w:rsidP="00A0345A">
      <w:pPr>
        <w:tabs>
          <w:tab w:val="right" w:leader="dot" w:pos="8630"/>
        </w:tabs>
        <w:spacing w:line="36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 Semi-structure Interview Protocol</w:t>
      </w:r>
      <w:r>
        <w:rPr>
          <w:rFonts w:ascii="Times New Roman" w:eastAsia="Times New Roman" w:hAnsi="Times New Roman" w:cs="Times New Roman"/>
          <w:sz w:val="24"/>
          <w:szCs w:val="24"/>
        </w:rPr>
        <w:tab/>
        <w:t>1</w:t>
      </w:r>
      <w:r w:rsidR="00DC0F02">
        <w:rPr>
          <w:rFonts w:ascii="Times New Roman" w:eastAsia="Times New Roman" w:hAnsi="Times New Roman" w:cs="Times New Roman"/>
          <w:sz w:val="24"/>
          <w:szCs w:val="24"/>
        </w:rPr>
        <w:t>34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21FA8325" w14:textId="3E54B519" w:rsidR="00213A4D" w:rsidRPr="00213A4D" w:rsidRDefault="00213A4D" w:rsidP="00A0345A">
      <w:pPr>
        <w:tabs>
          <w:tab w:val="right" w:leader="dot" w:pos="8630"/>
        </w:tabs>
        <w:spacing w:line="360" w:lineRule="auto"/>
        <w:ind w:left="288"/>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Appendix C: Follow-up Conversation Protocol</w:t>
      </w:r>
      <w:r>
        <w:rPr>
          <w:rFonts w:ascii="Times New Roman" w:eastAsia="Times New Roman" w:hAnsi="Times New Roman" w:cs="Times New Roman"/>
          <w:sz w:val="24"/>
          <w:szCs w:val="24"/>
        </w:rPr>
        <w:tab/>
        <w:t>1</w:t>
      </w:r>
      <w:r w:rsidR="00DC0F02">
        <w:rPr>
          <w:rFonts w:ascii="Times New Roman" w:eastAsia="Times New Roman" w:hAnsi="Times New Roman" w:cs="Times New Roman"/>
          <w:sz w:val="24"/>
          <w:szCs w:val="24"/>
        </w:rPr>
        <w:t>36</w:t>
      </w:r>
    </w:p>
    <w:p w14:paraId="7625E277" w14:textId="1209F067" w:rsidR="00213A4D" w:rsidRDefault="00213A4D" w:rsidP="00A0345A">
      <w:pPr>
        <w:tabs>
          <w:tab w:val="right" w:leader="dot" w:pos="8630"/>
        </w:tabs>
        <w:spacing w:line="36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D: Recruitment Email</w:t>
      </w:r>
      <w:r>
        <w:rPr>
          <w:rFonts w:ascii="Times New Roman" w:eastAsia="Times New Roman" w:hAnsi="Times New Roman" w:cs="Times New Roman"/>
          <w:sz w:val="24"/>
          <w:szCs w:val="24"/>
        </w:rPr>
        <w:tab/>
        <w:t>1</w:t>
      </w:r>
      <w:r w:rsidR="00DC0F02">
        <w:rPr>
          <w:rFonts w:ascii="Times New Roman" w:eastAsia="Times New Roman" w:hAnsi="Times New Roman" w:cs="Times New Roman"/>
          <w:sz w:val="24"/>
          <w:szCs w:val="24"/>
        </w:rPr>
        <w:t>37</w:t>
      </w:r>
    </w:p>
    <w:p w14:paraId="066E6570" w14:textId="0460517E" w:rsidR="007351F5" w:rsidRPr="007351F5" w:rsidRDefault="00000000" w:rsidP="007351F5">
      <w:pPr>
        <w:tabs>
          <w:tab w:val="right" w:leader="dot" w:pos="863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Vita</w:t>
      </w:r>
      <w:r>
        <w:rPr>
          <w:rFonts w:ascii="Times New Roman" w:eastAsia="Times New Roman" w:hAnsi="Times New Roman" w:cs="Times New Roman"/>
          <w:sz w:val="24"/>
          <w:szCs w:val="24"/>
        </w:rPr>
        <w:tab/>
      </w:r>
      <w:r w:rsidR="00213A4D">
        <w:rPr>
          <w:rFonts w:ascii="Times New Roman" w:eastAsia="Times New Roman" w:hAnsi="Times New Roman" w:cs="Times New Roman"/>
          <w:sz w:val="24"/>
          <w:szCs w:val="24"/>
        </w:rPr>
        <w:t>1</w:t>
      </w:r>
      <w:r w:rsidR="00DC0F02">
        <w:rPr>
          <w:rFonts w:ascii="Times New Roman" w:eastAsia="Times New Roman" w:hAnsi="Times New Roman" w:cs="Times New Roman"/>
          <w:sz w:val="24"/>
          <w:szCs w:val="24"/>
        </w:rPr>
        <w:t>38</w:t>
      </w:r>
    </w:p>
    <w:p w14:paraId="7BB640E0" w14:textId="7F3787ED" w:rsidR="007351F5" w:rsidRPr="007351F5" w:rsidRDefault="007351F5" w:rsidP="007351F5">
      <w:pPr>
        <w:tabs>
          <w:tab w:val="left" w:pos="1520"/>
        </w:tabs>
        <w:rPr>
          <w:rFonts w:ascii="Times New Roman" w:eastAsia="Times New Roman" w:hAnsi="Times New Roman" w:cs="Times New Roman"/>
          <w:sz w:val="24"/>
          <w:szCs w:val="24"/>
        </w:rPr>
        <w:sectPr w:rsidR="007351F5" w:rsidRPr="007351F5" w:rsidSect="00AD518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299"/>
        </w:sectPr>
      </w:pPr>
    </w:p>
    <w:p w14:paraId="6EE53C67" w14:textId="5A5E8583" w:rsidR="001510DC" w:rsidRPr="00845808" w:rsidRDefault="00000000" w:rsidP="007351F5">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w:t>
      </w:r>
      <w:r w:rsidR="00A0345A">
        <w:rPr>
          <w:rFonts w:ascii="Times New Roman" w:eastAsia="Times New Roman" w:hAnsi="Times New Roman" w:cs="Times New Roman"/>
          <w:b/>
          <w:sz w:val="24"/>
          <w:szCs w:val="24"/>
        </w:rPr>
        <w:t>hapter</w:t>
      </w:r>
      <w:r>
        <w:rPr>
          <w:rFonts w:ascii="Times New Roman" w:eastAsia="Times New Roman" w:hAnsi="Times New Roman" w:cs="Times New Roman"/>
          <w:b/>
          <w:sz w:val="24"/>
          <w:szCs w:val="24"/>
        </w:rPr>
        <w:t xml:space="preserve"> 1</w:t>
      </w:r>
    </w:p>
    <w:p w14:paraId="6B4B395F"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3FE4D86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Educational researchers have studied the contexts and practices that encourage persistence among underrepresented students from historically marginalized groups in higher education (Patterson Silver Wolf et al., 2015, 2017, 2021; NASPA, 2022; Tinto, 1993, 2006; Walton &amp; Cohen, 2011; Walton et al., 2012); yet exploration of the same phenomena for professionals from historically marginalized groups working in student affairs has received far less attention. Professionals with marginalized identities experience unique challenges and barriers as they navigate the student affairs profession, support their students and institution, fulfill their job responsibilities, and pursue leadership roles.  </w:t>
      </w:r>
    </w:p>
    <w:p w14:paraId="494E36F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Marginalized groups can include People of Color, the Queer community, disabled individuals, those with identities from two or more of these groups, and anyone holding a historically oppressed identity. In student affairs, professionals from marginalized groups experience discrimination, bias, microaggressions, stereotypes, invalidations, and insults in the workplace (</w:t>
      </w:r>
      <w:r>
        <w:rPr>
          <w:rFonts w:ascii="Times New Roman" w:eastAsia="Times New Roman" w:hAnsi="Times New Roman" w:cs="Times New Roman"/>
          <w:sz w:val="24"/>
          <w:szCs w:val="24"/>
        </w:rPr>
        <w:t xml:space="preserve">Bazner; 2022; Boss &amp; Bravo, 2021; </w:t>
      </w:r>
      <w:r>
        <w:rPr>
          <w:rFonts w:ascii="Times New Roman" w:eastAsia="Times New Roman" w:hAnsi="Times New Roman" w:cs="Times New Roman"/>
          <w:sz w:val="24"/>
          <w:szCs w:val="24"/>
          <w:highlight w:val="white"/>
        </w:rPr>
        <w:t xml:space="preserve">Croteau &amp; Lark, 2009; </w:t>
      </w:r>
      <w:r>
        <w:rPr>
          <w:rFonts w:ascii="Times New Roman" w:eastAsia="Times New Roman" w:hAnsi="Times New Roman" w:cs="Times New Roman"/>
          <w:sz w:val="24"/>
          <w:szCs w:val="24"/>
        </w:rPr>
        <w:t>DeCuir-Gunby et al., 2020; Duran et al., 2022;</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Espino &amp; Ariza, 2022; </w:t>
      </w:r>
      <w:r>
        <w:rPr>
          <w:rFonts w:ascii="Times New Roman" w:eastAsia="Times New Roman" w:hAnsi="Times New Roman" w:cs="Times New Roman"/>
          <w:sz w:val="24"/>
          <w:szCs w:val="24"/>
          <w:highlight w:val="white"/>
        </w:rPr>
        <w:t xml:space="preserve">Gunzburger, 2017;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w:t>
      </w:r>
      <w:r>
        <w:rPr>
          <w:rFonts w:ascii="Times New Roman" w:eastAsia="Times New Roman" w:hAnsi="Times New Roman" w:cs="Times New Roman"/>
          <w:sz w:val="24"/>
          <w:szCs w:val="24"/>
        </w:rPr>
        <w:t xml:space="preserve">Kortegast, 2021; Pertuz, 2017; Trejo, 2020; </w:t>
      </w:r>
      <w:r>
        <w:rPr>
          <w:rFonts w:ascii="Times New Roman" w:eastAsia="Times New Roman" w:hAnsi="Times New Roman" w:cs="Times New Roman"/>
          <w:sz w:val="24"/>
          <w:szCs w:val="24"/>
          <w:highlight w:val="white"/>
        </w:rPr>
        <w:t xml:space="preserve">Wesley, 2018). Simultaneously, campuses depend on these professionals to advocate for diversity and inclusion and call on them to support marginalized students, often without recognition, gratitude, or additional compensation </w:t>
      </w:r>
      <w:r>
        <w:rPr>
          <w:rFonts w:ascii="Times New Roman" w:eastAsia="Times New Roman" w:hAnsi="Times New Roman" w:cs="Times New Roman"/>
          <w:sz w:val="24"/>
          <w:szCs w:val="24"/>
        </w:rPr>
        <w:t xml:space="preserve">(Boss &amp; Bravo, 2021; Gardner et al., 2014; Kanagala &amp; Oliver, 2019; Kortegast, 2021; Pertuz, 2017; Smith, 2013). This reinforces </w:t>
      </w:r>
      <w:r>
        <w:rPr>
          <w:rFonts w:ascii="Times New Roman" w:eastAsia="Times New Roman" w:hAnsi="Times New Roman" w:cs="Times New Roman"/>
          <w:sz w:val="24"/>
          <w:szCs w:val="24"/>
          <w:highlight w:val="white"/>
        </w:rPr>
        <w:t>the “minority tax,” or the uncompensated additional responsibilities, expectations, or burdens placed on underrepresented professionals to meet the needs and diversity efforts of their institution (</w:t>
      </w:r>
      <w:r>
        <w:rPr>
          <w:rFonts w:ascii="Times New Roman" w:eastAsia="Times New Roman" w:hAnsi="Times New Roman" w:cs="Times New Roman"/>
          <w:sz w:val="24"/>
          <w:szCs w:val="24"/>
        </w:rPr>
        <w:t xml:space="preserve">Duran et al., 2022; </w:t>
      </w:r>
      <w:r>
        <w:rPr>
          <w:rFonts w:ascii="Times New Roman" w:eastAsia="Times New Roman" w:hAnsi="Times New Roman" w:cs="Times New Roman"/>
          <w:sz w:val="24"/>
          <w:szCs w:val="24"/>
          <w:highlight w:val="white"/>
        </w:rPr>
        <w:t xml:space="preserve">Rodríguez et al., 2015; Trejo, 2020). These factors, or a combination of them, may explain why </w:t>
      </w:r>
      <w:r>
        <w:rPr>
          <w:rFonts w:ascii="Times New Roman" w:eastAsia="Times New Roman" w:hAnsi="Times New Roman" w:cs="Times New Roman"/>
          <w:sz w:val="24"/>
          <w:szCs w:val="24"/>
          <w:highlight w:val="white"/>
        </w:rPr>
        <w:lastRenderedPageBreak/>
        <w:t>diverse professionals are significantly underrepresented within higher education leadership (</w:t>
      </w:r>
      <w:r>
        <w:rPr>
          <w:rFonts w:ascii="Times New Roman" w:eastAsia="Times New Roman" w:hAnsi="Times New Roman" w:cs="Times New Roman"/>
          <w:sz w:val="24"/>
          <w:szCs w:val="24"/>
        </w:rPr>
        <w:t xml:space="preserve">American Council on Education, 2023; </w:t>
      </w:r>
      <w:r>
        <w:rPr>
          <w:rFonts w:ascii="Times New Roman" w:eastAsia="Times New Roman" w:hAnsi="Times New Roman" w:cs="Times New Roman"/>
          <w:sz w:val="24"/>
          <w:szCs w:val="24"/>
          <w:highlight w:val="white"/>
        </w:rPr>
        <w:t xml:space="preserve">Gasman &amp; Travers, 2015; </w:t>
      </w:r>
      <w:r>
        <w:rPr>
          <w:rFonts w:ascii="Times New Roman" w:eastAsia="Times New Roman" w:hAnsi="Times New Roman" w:cs="Times New Roman"/>
          <w:sz w:val="24"/>
          <w:szCs w:val="24"/>
        </w:rPr>
        <w:t>Pritchard &amp; McChesney, 2018</w:t>
      </w:r>
      <w:r>
        <w:rPr>
          <w:rFonts w:ascii="Times New Roman" w:eastAsia="Times New Roman" w:hAnsi="Times New Roman" w:cs="Times New Roman"/>
          <w:sz w:val="24"/>
          <w:szCs w:val="24"/>
          <w:highlight w:val="white"/>
        </w:rPr>
        <w:t xml:space="preserve">). However, some professionals with marginalized identities </w:t>
      </w:r>
      <w:r>
        <w:rPr>
          <w:rFonts w:ascii="Times New Roman" w:eastAsia="Times New Roman" w:hAnsi="Times New Roman" w:cs="Times New Roman"/>
          <w:i/>
          <w:sz w:val="24"/>
          <w:szCs w:val="24"/>
          <w:highlight w:val="white"/>
        </w:rPr>
        <w:t>do</w:t>
      </w:r>
      <w:r>
        <w:rPr>
          <w:rFonts w:ascii="Times New Roman" w:eastAsia="Times New Roman" w:hAnsi="Times New Roman" w:cs="Times New Roman"/>
          <w:sz w:val="24"/>
          <w:szCs w:val="24"/>
          <w:highlight w:val="white"/>
        </w:rPr>
        <w:t xml:space="preserve"> excel in student affairs. What has allowed them to overcome barriers and persist? What strategies and contexts have aided in their career advancement? These thoughts inspired my research question and the following dissertation.</w:t>
      </w:r>
    </w:p>
    <w:p w14:paraId="589E8162"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Statement of the Problem</w:t>
      </w:r>
    </w:p>
    <w:p w14:paraId="53D6718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many can relate to negative work experiences in </w:t>
      </w:r>
      <w:r>
        <w:rPr>
          <w:rFonts w:ascii="Times New Roman" w:eastAsia="Times New Roman" w:hAnsi="Times New Roman" w:cs="Times New Roman"/>
          <w:sz w:val="24"/>
          <w:szCs w:val="24"/>
          <w:highlight w:val="white"/>
        </w:rPr>
        <w:t xml:space="preserve">student affairs, professionals with marginalized identities experience a variety of additional strains which influence burnout, job satisfaction, and progression through the field. Numerous studies illuminate the ways professionals from marginalized groups navigate bias and microaggressions, additional labor and excessive expectations, differential treatment, and lack of overall support (Boss &amp; Bravo, 2021; Bazner, 2022; Croteau &amp; Lark, 2009; </w:t>
      </w:r>
      <w:r>
        <w:rPr>
          <w:rFonts w:ascii="Times New Roman" w:eastAsia="Times New Roman" w:hAnsi="Times New Roman" w:cs="Times New Roman"/>
          <w:sz w:val="24"/>
          <w:szCs w:val="24"/>
        </w:rPr>
        <w:t xml:space="preserve">DeCuir-Gunby et al., 2020; Duran et al, 2022; Espino &amp; Ariza, 2022; Garland-Thompson, 2017; </w:t>
      </w:r>
      <w:r>
        <w:rPr>
          <w:rFonts w:ascii="Times New Roman" w:eastAsia="Times New Roman" w:hAnsi="Times New Roman" w:cs="Times New Roman"/>
          <w:sz w:val="24"/>
          <w:szCs w:val="24"/>
          <w:highlight w:val="white"/>
        </w:rPr>
        <w:t xml:space="preserve">Gunzburger, 2017; </w:t>
      </w:r>
      <w:r>
        <w:rPr>
          <w:rFonts w:ascii="Times New Roman" w:eastAsia="Times New Roman" w:hAnsi="Times New Roman" w:cs="Times New Roman"/>
          <w:sz w:val="24"/>
          <w:szCs w:val="24"/>
        </w:rPr>
        <w:t xml:space="preserve">Jourian et al., 2015; Kortegast, 2021; </w:t>
      </w:r>
      <w:r>
        <w:rPr>
          <w:rFonts w:ascii="Times New Roman" w:eastAsia="Times New Roman" w:hAnsi="Times New Roman" w:cs="Times New Roman"/>
          <w:sz w:val="24"/>
          <w:szCs w:val="24"/>
          <w:highlight w:val="white"/>
        </w:rPr>
        <w:t>Nixon, 2017; Wesley, 2018). Studies focusing on predominantly White institutions (PWIs) highlight how Professionals of Color and those with multiple marginalized identities often experience overt racism, sexism, homophobia, and transphobia (</w:t>
      </w:r>
      <w:r>
        <w:rPr>
          <w:rFonts w:ascii="Times New Roman" w:eastAsia="Times New Roman" w:hAnsi="Times New Roman" w:cs="Times New Roman"/>
          <w:sz w:val="24"/>
          <w:szCs w:val="24"/>
        </w:rPr>
        <w:t xml:space="preserve">DeCuir-Gunby et al., 2020; Duran et al., 2022; </w:t>
      </w:r>
      <w:r>
        <w:rPr>
          <w:rFonts w:ascii="Times New Roman" w:eastAsia="Times New Roman" w:hAnsi="Times New Roman" w:cs="Times New Roman"/>
          <w:sz w:val="24"/>
          <w:szCs w:val="24"/>
          <w:highlight w:val="white"/>
        </w:rPr>
        <w:t xml:space="preserve">Gardner et al., 2014; Hylton, 2012; Wesley, 2018;). Professionals with Disabilities struggle to attain positions in the academy and then fight to stay, belong, and resist the ableist structures within education (Evans et al., 2017; Garland-Thomson, 2017; Garland-Thomas et al., 2022; Singer &amp; Bacon, 2020). In addition to interpersonal experiences, Queer professionals face safety, health, and longevity concerns due to inequitable university policies </w:t>
      </w:r>
      <w:r>
        <w:rPr>
          <w:rFonts w:ascii="Times New Roman" w:eastAsia="Times New Roman" w:hAnsi="Times New Roman" w:cs="Times New Roman"/>
          <w:sz w:val="24"/>
          <w:szCs w:val="24"/>
          <w:highlight w:val="white"/>
        </w:rPr>
        <w:lastRenderedPageBreak/>
        <w:t>and state legislation (Croteau &amp; Lark, 2009; Duran et al., 2022; Jourian et al., 2015; Kanagala &amp; Oliver, 2019; Kortegast, 2021). </w:t>
      </w:r>
    </w:p>
    <w:p w14:paraId="64CE3B9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studies (Bazner; 2022; Boss &amp; Bravo, 2021; Espino &amp; Ariza, 2022; </w:t>
      </w:r>
      <w:r>
        <w:rPr>
          <w:rFonts w:ascii="Times New Roman" w:eastAsia="Times New Roman" w:hAnsi="Times New Roman" w:cs="Times New Roman"/>
          <w:sz w:val="24"/>
          <w:szCs w:val="24"/>
          <w:highlight w:val="white"/>
        </w:rPr>
        <w:t xml:space="preserve">Gunzburger, 2017;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w:t>
      </w:r>
      <w:r>
        <w:rPr>
          <w:rFonts w:ascii="Times New Roman" w:eastAsia="Times New Roman" w:hAnsi="Times New Roman" w:cs="Times New Roman"/>
          <w:sz w:val="24"/>
          <w:szCs w:val="24"/>
        </w:rPr>
        <w:t xml:space="preserve">Kortegast, 2021; Pertuz, 2017; </w:t>
      </w:r>
      <w:r>
        <w:rPr>
          <w:rFonts w:ascii="Times New Roman" w:eastAsia="Times New Roman" w:hAnsi="Times New Roman" w:cs="Times New Roman"/>
          <w:sz w:val="24"/>
          <w:szCs w:val="24"/>
          <w:highlight w:val="white"/>
        </w:rPr>
        <w:t>Wesley, 2018</w:t>
      </w:r>
      <w:r>
        <w:rPr>
          <w:rFonts w:ascii="Times New Roman" w:eastAsia="Times New Roman" w:hAnsi="Times New Roman" w:cs="Times New Roman"/>
          <w:sz w:val="24"/>
          <w:szCs w:val="24"/>
        </w:rPr>
        <w:t>) have explored the experiences of student affairs professionals with marginalized identities and their treatment, a noticeable gap exists regarding the experiences of professionals with marginalized identities who persist and reach senior-level roles. Scholars have discussed the role of Black university presidents at historically Black colleges and universities (HBCUs) (Cole, 2020; Watson &amp; Gregory, 2023); the leadership journey of (primarily White) Women presidents (Wolverton et al., 2023); and the faculty-focused experiences of Women of Color (Blackshear &amp; Hollis, 2021; Nixon, 2017; Trejo, 2020); however, the phenomenon of persistence amongst student affairs professionals with marginalized identities remains unexplored. Further investigation of the practices and policies that perpetuate negative and oppressive work environments within student affairs is necessary (Boss &amp; Bravo, 2021; Kortegast, 2021). Bazner (2022) recommends future studies focus on coping strategies and how professionals found “respite and success in challenging organizational structures” (p. 580). Additionally, Karunaratne et al. (2016) stressed the importance of additional research that explores how student affairs professionals navigate critical praxis within the context of their identities to illuminate themes related to interpersonal and institutional power dynamics.</w:t>
      </w:r>
    </w:p>
    <w:p w14:paraId="56D0A06A"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 of the Study</w:t>
      </w:r>
    </w:p>
    <w:p w14:paraId="1CA6E1D2" w14:textId="7776EB2C"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purpose of this study was to chronicle the experiences of professionals with marginalized identities who have persisted and progressed through higher </w:t>
      </w:r>
      <w:r w:rsidR="007351F5">
        <w:rPr>
          <w:rFonts w:ascii="Times New Roman" w:eastAsia="Times New Roman" w:hAnsi="Times New Roman" w:cs="Times New Roman"/>
          <w:sz w:val="24"/>
          <w:szCs w:val="24"/>
          <w:highlight w:val="white"/>
        </w:rPr>
        <w:t>education and</w:t>
      </w:r>
      <w:r>
        <w:rPr>
          <w:rFonts w:ascii="Times New Roman" w:eastAsia="Times New Roman" w:hAnsi="Times New Roman" w:cs="Times New Roman"/>
          <w:sz w:val="24"/>
          <w:szCs w:val="24"/>
          <w:highlight w:val="white"/>
        </w:rPr>
        <w:t xml:space="preserve"> understand the contexts that supported their career advancement. There is value in </w:t>
      </w:r>
      <w:r w:rsidR="007351F5">
        <w:rPr>
          <w:rFonts w:ascii="Times New Roman" w:eastAsia="Times New Roman" w:hAnsi="Times New Roman" w:cs="Times New Roman"/>
          <w:sz w:val="24"/>
          <w:szCs w:val="24"/>
          <w:highlight w:val="white"/>
        </w:rPr>
        <w:t>the</w:t>
      </w:r>
      <w:r>
        <w:rPr>
          <w:rFonts w:ascii="Times New Roman" w:eastAsia="Times New Roman" w:hAnsi="Times New Roman" w:cs="Times New Roman"/>
          <w:sz w:val="24"/>
          <w:szCs w:val="24"/>
          <w:highlight w:val="white"/>
        </w:rPr>
        <w:t xml:space="preserve"> diverse </w:t>
      </w:r>
      <w:r>
        <w:rPr>
          <w:rFonts w:ascii="Times New Roman" w:eastAsia="Times New Roman" w:hAnsi="Times New Roman" w:cs="Times New Roman"/>
          <w:sz w:val="24"/>
          <w:szCs w:val="24"/>
          <w:highlight w:val="white"/>
        </w:rPr>
        <w:lastRenderedPageBreak/>
        <w:t>stories educational leaders with marginalized identities share about the ways in which they live and lead. These narratives are qualitatively different from traditional practices discussed in literature (</w:t>
      </w:r>
      <w:r>
        <w:rPr>
          <w:rFonts w:ascii="Times New Roman" w:eastAsia="Times New Roman" w:hAnsi="Times New Roman" w:cs="Times New Roman"/>
          <w:sz w:val="24"/>
          <w:szCs w:val="24"/>
        </w:rPr>
        <w:t xml:space="preserve">Espino &amp; Ariza, 2022; </w:t>
      </w:r>
      <w:r>
        <w:rPr>
          <w:rFonts w:ascii="Times New Roman" w:eastAsia="Times New Roman" w:hAnsi="Times New Roman" w:cs="Times New Roman"/>
          <w:sz w:val="24"/>
          <w:szCs w:val="24"/>
          <w:highlight w:val="white"/>
        </w:rPr>
        <w:t>Kortegast, 2021; Marine &amp; Gilbert, 2022; Santamaría, 2014; Singer &amp; Bacon, 2020). Additionally, the field of student affairs continues to do harm by centering White, cisgender, masculine, heterosexual, able bodied, nonindigenous, Western, and Christian perspectives in research and practice (Duran et al., 2022; Garland-Thomson, 2017; Kortegast, 2021; Robbins, 2019; Singer &amp; Bacon, 2020). This study sought to disrupt this norm by engaging professionals with marginalized identities in the critical research process.  </w:t>
      </w:r>
    </w:p>
    <w:p w14:paraId="4931EA9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existing literature does not specifically address how professionals with marginalized identities overcome negative work experiences, progress in their career, and ultimately persist. By conducting this study, I hope to fill a gap in student affairs scholarly literature. Finally, gaining insight into the contexts and strategies professionals have lived through and used to advance within the field is crucial to recognizing how more professionals with marginalized identities potentially could do the same. </w:t>
      </w:r>
    </w:p>
    <w:p w14:paraId="1B0075C6" w14:textId="77777777" w:rsidR="001510DC" w:rsidRDefault="00000000">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Questions</w:t>
      </w:r>
    </w:p>
    <w:p w14:paraId="7BB2F023"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research question guided this study:</w:t>
      </w:r>
    </w:p>
    <w:p w14:paraId="1AB36C4C"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experiences of student affairs professionals with marginalized identities who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persist through systemic and contextual barriers and reach senior-level roles?</w:t>
      </w:r>
    </w:p>
    <w:p w14:paraId="704E6391"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Conceptual Framework</w:t>
      </w:r>
    </w:p>
    <w:p w14:paraId="0A4EA83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Marine and Gilbert’s (2022) critical praxis in student affairs model provides a framework for challenging structures of oppression and supporting the aspiration of equity within higher education. The model served as the conceptual framework for this study. The critical praxis </w:t>
      </w:r>
      <w:r>
        <w:rPr>
          <w:rFonts w:ascii="Times New Roman" w:eastAsia="Times New Roman" w:hAnsi="Times New Roman" w:cs="Times New Roman"/>
          <w:sz w:val="24"/>
          <w:szCs w:val="24"/>
          <w:highlight w:val="white"/>
        </w:rPr>
        <w:lastRenderedPageBreak/>
        <w:t xml:space="preserve">framework stems from Freire’s (1970) pedagogy of the oppressed. Freire (1970) defined praxis as “the action and reflection of [people] upon their world in order to transform it” (p. 79). He also conceptualized </w:t>
      </w:r>
      <w:r>
        <w:rPr>
          <w:rFonts w:ascii="Times New Roman" w:eastAsia="Times New Roman" w:hAnsi="Times New Roman" w:cs="Times New Roman"/>
          <w:i/>
          <w:sz w:val="24"/>
          <w:szCs w:val="24"/>
          <w:highlight w:val="white"/>
        </w:rPr>
        <w:t>conscientization</w:t>
      </w:r>
      <w:r>
        <w:rPr>
          <w:rFonts w:ascii="Times New Roman" w:eastAsia="Times New Roman" w:hAnsi="Times New Roman" w:cs="Times New Roman"/>
          <w:sz w:val="24"/>
          <w:szCs w:val="24"/>
          <w:highlight w:val="white"/>
        </w:rPr>
        <w:t>, the awareness of one’s position, power, and commitment to transformative change. Marine and Gilbert’s (2022) model for critical praxis has three elements: conscientization, reflection, and action. They suggest conscientization is at the center of critical praxis while professionals consistently engage in reflection and action. I will utilize the critical praxis model to frame and understand how conscientization, reflection, and action contribute to the persistence of professionals with marginalized identities. </w:t>
      </w:r>
    </w:p>
    <w:p w14:paraId="06980719"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Methodology</w:t>
      </w:r>
    </w:p>
    <w:p w14:paraId="1154F7A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Phenomenological researchers endeavor to describe a specific shared experience (Hayes &amp; Graham, 2022; Husserl, 1965; Weiss et al., 2020). A phenomenological approach allows researchers to uncover meaning and increase understanding of the phenomena through intentional experiences and consciousness (Moustakas, 1994). “Phenomenology is the ‘science of science’ since it alone investigates that which all other sciences simply take for granted (or ignore), the very essence of their own objects'' (Husserl, 1965, p. 23). This is what I sought to do in this study – investigate what is taken for granted or ignored. Researchers employ phenomenological methods when they intend to describe a common experience, or phenomenon, in relation to the perceived truths and lived realities of a certain population (Hayes &amp; Graham, 2022). Critical phenomenology goes further by </w:t>
      </w:r>
      <w:proofErr w:type="gramStart"/>
      <w:r>
        <w:rPr>
          <w:rFonts w:ascii="Times New Roman" w:eastAsia="Times New Roman" w:hAnsi="Times New Roman" w:cs="Times New Roman"/>
          <w:sz w:val="24"/>
          <w:szCs w:val="24"/>
        </w:rPr>
        <w:t>giving intentional consideration to</w:t>
      </w:r>
      <w:proofErr w:type="gramEnd"/>
      <w:r>
        <w:rPr>
          <w:rFonts w:ascii="Times New Roman" w:eastAsia="Times New Roman" w:hAnsi="Times New Roman" w:cs="Times New Roman"/>
          <w:sz w:val="24"/>
          <w:szCs w:val="24"/>
        </w:rPr>
        <w:t xml:space="preserve"> the historical and social structures that shape experiences throughout the research process (Weiss et al., 2020). A critical phenomenological approach was chosen as the most appropriate method to explore the experience of persistence amongst professionals with marginalized identities in student affairs. </w:t>
      </w:r>
    </w:p>
    <w:p w14:paraId="03AD12D8" w14:textId="440D7BBA"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Given the need to identify participants with shared experiences, I </w:t>
      </w:r>
      <w:r w:rsidR="007351F5">
        <w:rPr>
          <w:rFonts w:ascii="Times New Roman" w:eastAsia="Times New Roman" w:hAnsi="Times New Roman" w:cs="Times New Roman"/>
          <w:sz w:val="24"/>
          <w:szCs w:val="24"/>
        </w:rPr>
        <w:t>utilized purposeful</w:t>
      </w:r>
      <w:r>
        <w:rPr>
          <w:rFonts w:ascii="Times New Roman" w:eastAsia="Times New Roman" w:hAnsi="Times New Roman" w:cs="Times New Roman"/>
          <w:sz w:val="24"/>
          <w:szCs w:val="24"/>
        </w:rPr>
        <w:t>/criterion sampling (Marshall &amp; Rossman, 2014; Merriam &amp; Tisdell, 2016; Palinkas et al., 2015) to identify participants. Employing a purposeful sampling technique can ensure the “specific phenomena selected for illumination can be actively targeted” (Hayes &amp; Graham, 2022, p. 35). Criteria for participation included serving in a senior-level student affairs role or in an administrative leadership position within higher education, in addition to holding at least one historically marginalized identity. </w:t>
      </w:r>
    </w:p>
    <w:p w14:paraId="21B887C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used snowball sampling (Lu et al., 2021; Naderifar et al., 2017) to seek referrals from established participants and my professional network about individuals who meet the criteria. I continued to accept participants until saturation, the production of no new data from the phenomenon, is attained (Merriam &amp; Tisdell, 2016). I engaged with Marine and Gilbert’s (2022) critical praxis model while I identified participants, collected and analyzed data, and conceptualized findings. I also engaged in reflexivity throughout the research process (Given, 2008; Merriam &amp; Tisdell, 2016). I collected data through one-on-one semi-structured interviews (Alase, 2017; Hayes &amp; Graham, 2022; Kallio et al., 2016; Moustakas, 1994 </w:t>
      </w:r>
      <w:r>
        <w:rPr>
          <w:rFonts w:ascii="Times New Roman" w:eastAsia="Times New Roman" w:hAnsi="Times New Roman" w:cs="Times New Roman"/>
          <w:sz w:val="24"/>
          <w:szCs w:val="24"/>
          <w:highlight w:val="white"/>
        </w:rPr>
        <w:t>Rabionet, 2009</w:t>
      </w:r>
      <w:r>
        <w:rPr>
          <w:rFonts w:ascii="Times New Roman" w:eastAsia="Times New Roman" w:hAnsi="Times New Roman" w:cs="Times New Roman"/>
          <w:sz w:val="24"/>
          <w:szCs w:val="24"/>
        </w:rPr>
        <w:t xml:space="preserve">) to allow for flexibility and the opportunity for follow-up questions. I recorded and transcribed each interview. Through a follow-up conversation, I engaged in reflexive participant collaboration (Motulsky, 2021). Reflexive participant collaboration is a critical and intentional form of member checking that allows the researcher and participants to develop meaning and understanding of the data in tandem (Motulsky, 2021). Data analysis took place after each interview and follow-up conversation, until I achieved saturation. Using the interview transcripts and follow-up conversation notes, I developed clusters of recurring or significant statements and themes, then used the themes to continue coding the data. These clusters of codes embody the </w:t>
      </w:r>
      <w:r>
        <w:rPr>
          <w:rFonts w:ascii="Times New Roman" w:eastAsia="Times New Roman" w:hAnsi="Times New Roman" w:cs="Times New Roman"/>
          <w:sz w:val="24"/>
          <w:szCs w:val="24"/>
        </w:rPr>
        <w:lastRenderedPageBreak/>
        <w:t xml:space="preserve">“core themes of the experience” (Moustakas, 1994, p. 121). The positionality statement in chapter three outlines my personal biases, how I engage with </w:t>
      </w:r>
      <w:r>
        <w:rPr>
          <w:rFonts w:ascii="Times New Roman" w:eastAsia="Times New Roman" w:hAnsi="Times New Roman" w:cs="Times New Roman"/>
          <w:sz w:val="24"/>
          <w:szCs w:val="24"/>
          <w:highlight w:val="white"/>
        </w:rPr>
        <w:t>Marine and Gilbert’s (2022) critical praxis model, and</w:t>
      </w:r>
      <w:r>
        <w:rPr>
          <w:rFonts w:ascii="Times New Roman" w:eastAsia="Times New Roman" w:hAnsi="Times New Roman" w:cs="Times New Roman"/>
          <w:sz w:val="24"/>
          <w:szCs w:val="24"/>
        </w:rPr>
        <w:t xml:space="preserve"> my bracketing and reflexivity strategies (Givens, 2008; Merriam &amp; Tisdell, 2016; Moustakas, 1994). </w:t>
      </w:r>
    </w:p>
    <w:p w14:paraId="3F3E2760"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Delimitations</w:t>
      </w:r>
    </w:p>
    <w:p w14:paraId="4E79634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critical, qualitative research study focused on professionals with marginalized identities. An intentional decision was made to limit this study </w:t>
      </w:r>
      <w:r>
        <w:rPr>
          <w:rFonts w:ascii="Times New Roman" w:eastAsia="Times New Roman" w:hAnsi="Times New Roman" w:cs="Times New Roman"/>
          <w:sz w:val="24"/>
          <w:szCs w:val="24"/>
          <w:highlight w:val="white"/>
        </w:rPr>
        <w:t xml:space="preserve">to professionals from any marginalized group not including cisgender, straight, White women and men with no other oppressed social identity. This decision was made because cisgender, straight, White women and men comprise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student affairs and higher education professionals (</w:t>
      </w:r>
      <w:r>
        <w:rPr>
          <w:rFonts w:ascii="Times New Roman" w:eastAsia="Times New Roman" w:hAnsi="Times New Roman" w:cs="Times New Roman"/>
          <w:sz w:val="24"/>
          <w:szCs w:val="24"/>
        </w:rPr>
        <w:t>National Center for Education Statistics, 2023; Pritchard &amp; McChesney, 2018;</w:t>
      </w:r>
      <w:r>
        <w:rPr>
          <w:rFonts w:ascii="Times New Roman" w:eastAsia="Times New Roman" w:hAnsi="Times New Roman" w:cs="Times New Roman"/>
          <w:sz w:val="24"/>
          <w:szCs w:val="24"/>
          <w:highlight w:val="white"/>
        </w:rPr>
        <w:t xml:space="preserve">). They also advance at higher rates than Professionals of Color and hold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university presidencies (</w:t>
      </w:r>
      <w:r>
        <w:rPr>
          <w:rFonts w:ascii="Times New Roman" w:eastAsia="Times New Roman" w:hAnsi="Times New Roman" w:cs="Times New Roman"/>
          <w:sz w:val="24"/>
          <w:szCs w:val="24"/>
        </w:rPr>
        <w:t xml:space="preserve">American Council on Education, 2023). </w:t>
      </w:r>
      <w:r>
        <w:rPr>
          <w:rFonts w:ascii="Times New Roman" w:eastAsia="Times New Roman" w:hAnsi="Times New Roman" w:cs="Times New Roman"/>
          <w:sz w:val="24"/>
          <w:szCs w:val="24"/>
          <w:highlight w:val="white"/>
        </w:rPr>
        <w:t>Further, Women of Color, non-Christian, people with disabilities, and professionals with ethnic, gender, or sexually diverse identities are continually underrepresented in institutional leadership (American Council on Education, 2023) and their experiences are rarely documented in research. The purpose of this study was to understand the experiences of professionals from marginalized groups who have persisted through their career in higher education, and illuminate the context, relationships, and strategies that supported their persistence. </w:t>
      </w:r>
    </w:p>
    <w:p w14:paraId="21E310C9"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Significance</w:t>
      </w:r>
    </w:p>
    <w:p w14:paraId="1F07AF03"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study sought to highlight how professionals with marginalized identities persist within student affairs through a phenomenological and critical praxis perspective. I intended to understand the context, strategies, relationships, practices, and stories of these professionals. The </w:t>
      </w:r>
      <w:r>
        <w:rPr>
          <w:rFonts w:ascii="Times New Roman" w:eastAsia="Times New Roman" w:hAnsi="Times New Roman" w:cs="Times New Roman"/>
          <w:sz w:val="24"/>
          <w:szCs w:val="24"/>
        </w:rPr>
        <w:lastRenderedPageBreak/>
        <w:t xml:space="preserve">future of the student affairs profession relies on a critical examination of how institutions demonstrate their espoused values (NASPA, 2022, p.6). Data from this study have the potential to broaden perspectives for non-marginalized colleagues and inform practice for </w:t>
      </w:r>
      <w:r>
        <w:rPr>
          <w:rFonts w:ascii="Times New Roman" w:eastAsia="Times New Roman" w:hAnsi="Times New Roman" w:cs="Times New Roman"/>
          <w:sz w:val="24"/>
          <w:szCs w:val="24"/>
          <w:highlight w:val="white"/>
        </w:rPr>
        <w:t>university leadership and supervisors. Further, f</w:t>
      </w:r>
      <w:r>
        <w:rPr>
          <w:rFonts w:ascii="Times New Roman" w:eastAsia="Times New Roman" w:hAnsi="Times New Roman" w:cs="Times New Roman"/>
          <w:sz w:val="24"/>
          <w:szCs w:val="24"/>
        </w:rPr>
        <w:t>indings from this study may provide a framework to support future generations of student affairs leaders with marginalized identities. </w:t>
      </w:r>
    </w:p>
    <w:p w14:paraId="04D1BE37"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Terminology</w:t>
      </w:r>
    </w:p>
    <w:p w14:paraId="7D7AF953"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Definitions are provided to ensure clarity throughout the study:</w:t>
      </w:r>
    </w:p>
    <w:p w14:paraId="71BBF1F1" w14:textId="77777777" w:rsidR="001510D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Oppression</w:t>
      </w:r>
      <w:r>
        <w:rPr>
          <w:rFonts w:ascii="Times New Roman" w:eastAsia="Times New Roman" w:hAnsi="Times New Roman" w:cs="Times New Roman"/>
          <w:sz w:val="24"/>
          <w:szCs w:val="24"/>
        </w:rPr>
        <w:t xml:space="preserve"> – “the exercise of authority or power in a burdensome, cruel, or unjust matter, (Dictionary.com, n.d.). Oppression encompasses the misinformation, mistreatment, and structural barriers created and perpetuated by those with dominant identities towards those with subordinate identities (DiAngelo, 2016; Freire, 1970; Harro, 2000a).</w:t>
      </w:r>
    </w:p>
    <w:p w14:paraId="523D9014" w14:textId="77777777" w:rsidR="001510D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Persistence</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“to go on resolutely in spite of opposition [or] to continue to exist especially past a usual, expected, or normal time,” (Merriam-Webster, n.d.). Or “to continue in pursuit of a goal even when challenges arise” (Tinto, 2017). </w:t>
      </w:r>
    </w:p>
    <w:p w14:paraId="1ECD2DE7" w14:textId="77777777" w:rsidR="001510D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Professionals with marginalized identities</w:t>
      </w:r>
      <w:r>
        <w:rPr>
          <w:rFonts w:ascii="Times New Roman" w:eastAsia="Times New Roman" w:hAnsi="Times New Roman" w:cs="Times New Roman"/>
          <w:sz w:val="24"/>
          <w:szCs w:val="24"/>
          <w:highlight w:val="white"/>
        </w:rPr>
        <w:t xml:space="preserve"> – encompasses individuals who hold a historically oppressed identity related to gender or gender identity/expression, race, sexual orientation, ethnicity, nationality, religion, disability, or immigration/citizenship status.</w:t>
      </w:r>
    </w:p>
    <w:p w14:paraId="4066BA34"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Organization of the Study </w:t>
      </w:r>
    </w:p>
    <w:p w14:paraId="40023B13" w14:textId="77777777" w:rsidR="001510DC" w:rsidRDefault="00000000">
      <w:pPr>
        <w:spacing w:line="480" w:lineRule="auto"/>
        <w:rPr>
          <w:rFonts w:ascii="Times New Roman" w:eastAsia="Times New Roman" w:hAnsi="Times New Roman" w:cs="Times New Roman"/>
          <w:sz w:val="24"/>
          <w:szCs w:val="24"/>
        </w:rPr>
      </w:pPr>
      <w:bookmarkStart w:id="2" w:name="_gjdgxs" w:colFirst="0" w:colLast="0"/>
      <w:bookmarkEnd w:id="2"/>
      <w:r>
        <w:rPr>
          <w:rFonts w:ascii="Times New Roman" w:eastAsia="Times New Roman" w:hAnsi="Times New Roman" w:cs="Times New Roman"/>
          <w:sz w:val="24"/>
          <w:szCs w:val="24"/>
        </w:rPr>
        <w:tab/>
        <w:t xml:space="preserve">This dissertation focuses on the experiences of senior student affairs professionals with marginalized identities and is organized into five chapters. I summarized the study including the purpose and significance, methodology and research question, conceptual framework, and </w:t>
      </w:r>
      <w:r>
        <w:rPr>
          <w:rFonts w:ascii="Times New Roman" w:eastAsia="Times New Roman" w:hAnsi="Times New Roman" w:cs="Times New Roman"/>
          <w:sz w:val="24"/>
          <w:szCs w:val="24"/>
        </w:rPr>
        <w:lastRenderedPageBreak/>
        <w:t xml:space="preserve">delimitations and definitions in Chapter 1. In Chapter 2, I discuss relevant theories, studies, and scholarship on systems of oppression; how professionals with marginalized identities experience oppression and barriers to their career advancement; and Marine and Gilbert’s (2022) model for critical praxis in student affairs. I present the methodology in Chapter 3, beginning with a review of phenomenological research design. I will discuss the methods, participants, data collection, and data analysis techniques;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describe my positionality as a researcher, trustworthiness, and reflexivity. I discuss the findings in Chapter 4; and in Chapter 5, I discuss the findings, implications, and opportunities for future research. </w:t>
      </w:r>
    </w:p>
    <w:p w14:paraId="30A12E1B" w14:textId="77777777" w:rsidR="001510DC" w:rsidRDefault="00000000">
      <w:pPr>
        <w:spacing w:after="160" w:line="259" w:lineRule="auto"/>
        <w:rPr>
          <w:rFonts w:ascii="Calibri" w:eastAsia="Calibri" w:hAnsi="Calibri" w:cs="Calibri"/>
        </w:rPr>
      </w:pPr>
      <w:r>
        <w:br w:type="page"/>
      </w:r>
    </w:p>
    <w:p w14:paraId="3272925C" w14:textId="7C49BA41"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w:t>
      </w:r>
      <w:r w:rsidR="00A0345A">
        <w:rPr>
          <w:rFonts w:ascii="Times New Roman" w:eastAsia="Times New Roman" w:hAnsi="Times New Roman" w:cs="Times New Roman"/>
          <w:b/>
          <w:sz w:val="24"/>
          <w:szCs w:val="24"/>
        </w:rPr>
        <w:t>hapter</w:t>
      </w:r>
      <w:r>
        <w:rPr>
          <w:rFonts w:ascii="Times New Roman" w:eastAsia="Times New Roman" w:hAnsi="Times New Roman" w:cs="Times New Roman"/>
          <w:b/>
          <w:sz w:val="24"/>
          <w:szCs w:val="24"/>
        </w:rPr>
        <w:t xml:space="preserve"> 2</w:t>
      </w:r>
    </w:p>
    <w:p w14:paraId="70659103"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Literature Review</w:t>
      </w:r>
    </w:p>
    <w:p w14:paraId="037905C6" w14:textId="2963D11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In this study I sought to illuminate </w:t>
      </w:r>
      <w:r>
        <w:rPr>
          <w:rFonts w:ascii="Times New Roman" w:eastAsia="Times New Roman" w:hAnsi="Times New Roman" w:cs="Times New Roman"/>
          <w:sz w:val="24"/>
          <w:szCs w:val="24"/>
        </w:rPr>
        <w:t xml:space="preserve">the ways in which professionals with marginalized identities persist within student affairs </w:t>
      </w:r>
      <w:r>
        <w:rPr>
          <w:rFonts w:ascii="Times New Roman" w:eastAsia="Times New Roman" w:hAnsi="Times New Roman" w:cs="Times New Roman"/>
          <w:sz w:val="24"/>
          <w:szCs w:val="24"/>
          <w:highlight w:val="white"/>
        </w:rPr>
        <w:t>through a critical qualitative phenomenological approach</w:t>
      </w:r>
      <w:r>
        <w:rPr>
          <w:rFonts w:ascii="Times New Roman" w:eastAsia="Times New Roman" w:hAnsi="Times New Roman" w:cs="Times New Roman"/>
          <w:sz w:val="24"/>
          <w:szCs w:val="24"/>
        </w:rPr>
        <w:t xml:space="preserve">. Chapter two includes a literature review that provides foundational understanding of the context behind this study. In this review, I discuss relevant theories, studies, and scholarship on systems of oppression; how professionals with marginalized identities experience oppression and barriers to their career advancement; and Marine and Gilbert’s (2022) model for critical praxis in student affairs. I begin by reviewing </w:t>
      </w:r>
      <w:r>
        <w:rPr>
          <w:rFonts w:ascii="Times New Roman" w:eastAsia="Times New Roman" w:hAnsi="Times New Roman" w:cs="Times New Roman"/>
          <w:sz w:val="24"/>
          <w:szCs w:val="24"/>
          <w:highlight w:val="white"/>
        </w:rPr>
        <w:t xml:space="preserve">Freire’s (1970/2014) pedagogy of the oppressed, Harro’s (2000a, 2000b) cycle of socialization and cycle of liberation, and DiAngelo’s (2016) cycle of oppression. I then discuss literature that examines how student affairs professionals with marginalized identities are oppressed in the workplace. I conclude by reviewing </w:t>
      </w:r>
      <w:r>
        <w:rPr>
          <w:rFonts w:ascii="Times New Roman" w:eastAsia="Times New Roman" w:hAnsi="Times New Roman" w:cs="Times New Roman"/>
          <w:sz w:val="24"/>
          <w:szCs w:val="24"/>
        </w:rPr>
        <w:t xml:space="preserve">Marine and Gilbert’s (2022) model for critical </w:t>
      </w:r>
      <w:r w:rsidR="007351F5">
        <w:rPr>
          <w:rFonts w:ascii="Times New Roman" w:eastAsia="Times New Roman" w:hAnsi="Times New Roman" w:cs="Times New Roman"/>
          <w:sz w:val="24"/>
          <w:szCs w:val="24"/>
        </w:rPr>
        <w:t>praxis and</w:t>
      </w:r>
      <w:r>
        <w:rPr>
          <w:rFonts w:ascii="Times New Roman" w:eastAsia="Times New Roman" w:hAnsi="Times New Roman" w:cs="Times New Roman"/>
          <w:sz w:val="24"/>
          <w:szCs w:val="24"/>
        </w:rPr>
        <w:t xml:space="preserve"> illustrate how the model utilizes the foundational theories I discussed earlier. </w:t>
      </w:r>
    </w:p>
    <w:p w14:paraId="54DF1CC6"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Oppression?</w:t>
      </w:r>
    </w:p>
    <w:p w14:paraId="0E5FB957"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Freire’s Pedagogy of the Oppressed</w:t>
      </w:r>
    </w:p>
    <w:p w14:paraId="0955F72E"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Paulo Freire, a Brazilian educator and philosopher wrote the book, </w:t>
      </w:r>
      <w:r>
        <w:rPr>
          <w:rFonts w:ascii="Times New Roman" w:eastAsia="Times New Roman" w:hAnsi="Times New Roman" w:cs="Times New Roman"/>
          <w:i/>
          <w:sz w:val="24"/>
          <w:szCs w:val="24"/>
        </w:rPr>
        <w:t>Pedagogy of the Oppresse</w:t>
      </w:r>
      <w:r>
        <w:rPr>
          <w:rFonts w:ascii="Times New Roman" w:eastAsia="Times New Roman" w:hAnsi="Times New Roman" w:cs="Times New Roman"/>
          <w:sz w:val="24"/>
          <w:szCs w:val="24"/>
        </w:rPr>
        <w:t xml:space="preserve">d, and believed traditional education was used by dominant groups to maintain their power and perpetuate oppression (Freire et al., 2014). Freire (1970) contended that traditional educational processes follow a “banking model” (Freire et al., 2014, p. 72); students are passive participants in learning, they absorb information, and are not given encouragement or resources to be creative or critical. This model reinforces power imbalances and allows certain groups to remain ignorant (Bryan, 2017). Freire (1970) proposed a liberatory approach to education where </w:t>
      </w:r>
      <w:r>
        <w:rPr>
          <w:rFonts w:ascii="Times New Roman" w:eastAsia="Times New Roman" w:hAnsi="Times New Roman" w:cs="Times New Roman"/>
          <w:sz w:val="24"/>
          <w:szCs w:val="24"/>
        </w:rPr>
        <w:lastRenderedPageBreak/>
        <w:t xml:space="preserve">the teacher and student have a complementary relationship. When dialogue and critical thinking are incorporated into learning, students are empowered to be active participants and question the world around them. </w:t>
      </w:r>
      <w:r>
        <w:rPr>
          <w:rFonts w:ascii="Times New Roman" w:eastAsia="Times New Roman" w:hAnsi="Times New Roman" w:cs="Times New Roman"/>
          <w:sz w:val="24"/>
          <w:szCs w:val="24"/>
        </w:rPr>
        <w:tab/>
      </w:r>
    </w:p>
    <w:p w14:paraId="41F85882"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approach to education is a pedagogy of liberation (Freire, 1970). When students experience liberatory pedagogy, they embark on the process of conscientization. Conscientization is the development of critical consciousness, where individuals become aware of oppression, how it manifests, and how it affects them (Freire, 1970; Freire et al., 2014; Gonzalez et al., 2020; Marine &amp; Gilbert, 2022; Torres, 2019). The process of conscientization involves recognizing injustices and their cause, questioning the status quo, and reconsidering beliefs and worldview. Both the oppressed and the oppressor can experience conscientization, and the result is praxis that leads to liberation (Freire, 1970; Freire et al., 2014; Marine &amp; Gilbert, 2022; Torres, 2019). </w:t>
      </w:r>
    </w:p>
    <w:p w14:paraId="6F6840E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(1970) defined praxis as the combination of reflection and action which challenges oppression and transforms society. Praxis involves critically analyzing real world situations and then taking action to enact positive change (Freire, 1970; Freire et al., 2014; Gonzalez et al., 2020; Marine &amp; Gilbert, 2022). For conscientized individuals, their new understanding serves as motivation for transformative action, making praxis an integral component of liberation. Freire (1970) referred to liberation as the act of relinquishing societal assumptions and oppressive conditions, and actively participating in the creation of a more just society. One must experience conscientization and engage in praxis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reach liberation.  </w:t>
      </w:r>
    </w:p>
    <w:p w14:paraId="0D8FABC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was a radical educator and made significant contributions to critical pedagogy and educational theory through </w:t>
      </w:r>
      <w:r>
        <w:rPr>
          <w:rFonts w:ascii="Times New Roman" w:eastAsia="Times New Roman" w:hAnsi="Times New Roman" w:cs="Times New Roman"/>
          <w:i/>
          <w:sz w:val="24"/>
          <w:szCs w:val="24"/>
        </w:rPr>
        <w:t>Pedagogy of the Oppresse</w:t>
      </w:r>
      <w:r>
        <w:rPr>
          <w:rFonts w:ascii="Times New Roman" w:eastAsia="Times New Roman" w:hAnsi="Times New Roman" w:cs="Times New Roman"/>
          <w:sz w:val="24"/>
          <w:szCs w:val="24"/>
        </w:rPr>
        <w:t xml:space="preserve">d, (McKenna, 2013; Reynolds, 2007; Torres, 2019). His conceptualizations of conscientization and praxis are influential to the ways in </w:t>
      </w:r>
      <w:r>
        <w:rPr>
          <w:rFonts w:ascii="Times New Roman" w:eastAsia="Times New Roman" w:hAnsi="Times New Roman" w:cs="Times New Roman"/>
          <w:sz w:val="24"/>
          <w:szCs w:val="24"/>
        </w:rPr>
        <w:lastRenderedPageBreak/>
        <w:t>which scholars and practitioners disrupt systems of oppression and engage in critical education or research (Marine &amp; Gilbert, 2022; McKenna, 2013; Reynolds, 2007). His concepts and strategies remain relevant and have evolved to meet the needs of contemporary society (Gonzalez et al., 2020; Marine &amp; Gilbert, 2020; Torres, 2019).            </w:t>
      </w:r>
    </w:p>
    <w:p w14:paraId="5BBE99E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Harro’s Cycles of Socialization and Liberation </w:t>
      </w:r>
    </w:p>
    <w:p w14:paraId="3A244416"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Harro (2000a, 2000b) conceptualized the cycle of socialization and cycle of liberation as the processes one goes through when they learn about socialized identities, how the world treats certain identities, and the path for creating change in their society. Harro’s (2000a) cycle of socialization begins with the understanding that everyone is born into a society in which oppression exists (Nam et al., 2022; Rodgers et al., 2020). As individuals mature and experience the world, they are socialized by adults and institutions to follow certain rules and norms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this oppression. These societal norms and rules are constantly reinforced, and often lead to negative outcomes for those with and without power. The cycle is perpetuated by an individual's fear, ignorance, confusion, power, or powerlessness; and continues until a critical incident occurs that makes “oppression impossible to ignore,” (Harro, 2000a, p. 51). This is when enacting change and liberation begins, and the individual enters a new cycle. The cycle of liberation (Harro, 2000b) illustrates the process of gaining new understanding, a shift in worldview, engagement in social change, and challenging systems of oppression. The following sections describe the cycles of socialization and liberation in greater detail.      </w:t>
      </w:r>
    </w:p>
    <w:p w14:paraId="1C54C6CD"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Cycle of Socialization </w:t>
      </w:r>
    </w:p>
    <w:p w14:paraId="7B5B72E5" w14:textId="0FF632DF"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Harro (2000a) contended socialization begins before consciousness, as all people are born with ascribed identities into a world with systems of oppression already established (Nam et al., 2022; Pease, 2021; Rodgers et al., 2020). The identities one holds, whether dominant or </w:t>
      </w:r>
      <w:r>
        <w:rPr>
          <w:rFonts w:ascii="Times New Roman" w:eastAsia="Times New Roman" w:hAnsi="Times New Roman" w:cs="Times New Roman"/>
          <w:sz w:val="24"/>
          <w:szCs w:val="24"/>
        </w:rPr>
        <w:lastRenderedPageBreak/>
        <w:t xml:space="preserve">subordinate, determines the amount of oppression one experiences (Harro, 2000a). Dominant groups are privileged at </w:t>
      </w:r>
      <w:r w:rsidR="007351F5">
        <w:rPr>
          <w:rFonts w:ascii="Times New Roman" w:eastAsia="Times New Roman" w:hAnsi="Times New Roman" w:cs="Times New Roman"/>
          <w:sz w:val="24"/>
          <w:szCs w:val="24"/>
        </w:rPr>
        <w:t>birth and</w:t>
      </w:r>
      <w:r>
        <w:rPr>
          <w:rFonts w:ascii="Times New Roman" w:eastAsia="Times New Roman" w:hAnsi="Times New Roman" w:cs="Times New Roman"/>
          <w:sz w:val="24"/>
          <w:szCs w:val="24"/>
        </w:rPr>
        <w:t xml:space="preserve"> are considered the ‘norm’ around which assumptions are built. Dominant groups have more social power and are given options and opportunities because of their dominant identities. Men, White people, middle- and upper-class people, Christians, people without disabilities, and heterosexuals belong to dominant groups (Harro, 2000a; Pease, 2021). Subordinate groups are born as targets. Subordinate identities are not considered the ‘norm’ and are often defined by misinformation. These groups experience prejudice, discrimination, and structural and interpersonal barriers. Women, People of Color, LGBTQ+ (Lesbian, Gay, Bisexual, Transgender, and Queer) communities, disabled people, non-Christians, and people living in poverty belong to subordinate groups (Harro, 2000a; Pease, 2021). Both dominant and subordinate groups are socialized into prescribed roles without choice or consciousness. </w:t>
      </w:r>
    </w:p>
    <w:p w14:paraId="7E53C5E1" w14:textId="6C9174D2"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cycle continues, individuals enter the first socialization. This socialization is initiated by families of origin and adults raising the individual (Bañales et al., 2020; Harro, 2000a). These adults socialize children to the norms and rules that must be followed, they shape one's self-concept, and they teach behaviors and values (Harro, 2000a; Nash &amp; Miller, 2015). Children grow up informed by comments such as “boys don’t cry;” “You shouldn't trust white people;" "They're better than we are. Stay in your place;" “Don't worry if you break the toy. We can always buy another one;" “Christianity is the true religion;" “Children should be seen and not heard;" and "Don't kiss other girls. You're supposed to like boys." (Harro, 2000a, p. 47). These rules influence how individuals express themselves, who they respect, trust, and befriend, and what they initially believe and value. Dominant groups typically benefit from or are comfortable with these rules and norms; </w:t>
      </w:r>
      <w:r w:rsidR="007351F5">
        <w:rPr>
          <w:rFonts w:ascii="Times New Roman" w:eastAsia="Times New Roman" w:hAnsi="Times New Roman" w:cs="Times New Roman"/>
          <w:sz w:val="24"/>
          <w:szCs w:val="24"/>
        </w:rPr>
        <w:t>whereas</w:t>
      </w:r>
      <w:r>
        <w:rPr>
          <w:rFonts w:ascii="Times New Roman" w:eastAsia="Times New Roman" w:hAnsi="Times New Roman" w:cs="Times New Roman"/>
          <w:sz w:val="24"/>
          <w:szCs w:val="24"/>
        </w:rPr>
        <w:t xml:space="preserve"> subordinate groups often have identities and beliefs that are contrary to these norms (Bañales et al., 2020; Harro, 2000a; Pease, 2021).  </w:t>
      </w:r>
    </w:p>
    <w:p w14:paraId="6EDB515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next stage is institutional and cultural socialization, which reinforces the messages one has already been taught. Schools and universities, medical facilities, sports teams, social services, places of worship, and governmental agencies are all institutions. Music, television and movies, books, art, and other forms of media construct a society’s culture. The more institutions and culture one engages with, the more socialization they experience. A society’s culture and institutions emphasize the rules, roles, and assumptions which have been taught by family and communities of origin (Bañales et al., 2020; Harro, 2000a; Nash &amp; Miller, 2015). By engaging with institutions and culture, individuals notice who is in leadership roles and empowered to make decisions; which groups are accepted, have money, and access to food, housing, and healthcare; who is represented; and which groups have power (Harro, 2000a). This leads to the enforcement stage, when an individual realizes the institutional and cultural messages maintain the idea that subordinate groups are inferior to dominant groups (Bryan, 2017; Harro, 2000a) and one receives rewards and privileges for maintaining the status quo. Dominant groups are expected to enforce these messages because they keep them in power. Members of dominant groups that break the rules and advocate for other groups often receive disapproval or punishment. Subordinate groups may choose to maintain the status quo because it leads them to higher, more powerful spaces. When people with subordinate identities perpetuate socialized rules and assumptions, they receive recognition for having ‘made it,’ are considered the model members of their group, and given certain privileges that lead them to money, connections, or power (Harro, 2000a; Pease, 2021; Rodgers et al., 2020). </w:t>
      </w:r>
    </w:p>
    <w:p w14:paraId="6ECC08C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this cycle of systemic learning are emotionally difficult for all involved. Continuous experiences with oppression and marginalization may cause those with subordinate identities to feel angry, frustrated, silenced, and dehumanized. They may participate in </w:t>
      </w:r>
      <w:r>
        <w:rPr>
          <w:rFonts w:ascii="Times New Roman" w:eastAsia="Times New Roman" w:hAnsi="Times New Roman" w:cs="Times New Roman"/>
          <w:sz w:val="24"/>
          <w:szCs w:val="24"/>
        </w:rPr>
        <w:lastRenderedPageBreak/>
        <w:t>reinforcing stereotypes about their own group and perpetuate the system of oppression. Harro (2000a) refers to this learned helplessness as internalized oppression, implying that subordinate groups become their own oppressor from within. Internalized oppression leads individuals from subordinate groups to perceive their identities and characteristics of their group as inferior (Brookfield, 2019; Pease, 2021; Rodgers et al., 2020). Members of dominant groups may continue to do harm as they perpetuate the system of oppression, or they experience guilt when they learn about oppression and their unearned privilege. Believing dominant groups are superior and maintaining structures that oppress subordinate groups and keep dominant groups in power is internalized dominance (Brookfield, 2019; Pease; 2021; Rodgers et al., 2020). At the core of the cycle is one’s fear, ignorance, confusion, insecurity, and power or powerlessness. These experiences and emotions keep individuals in the continuous cycle of socialization. Socialization is interrupted when one takes a stance against oppression, begins to enact change, and embarks on the cycle of liberation (Harro, 2000a; Pease, 2021).   </w:t>
      </w:r>
    </w:p>
    <w:p w14:paraId="247AF2CC"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Cycle of Liberation</w:t>
      </w:r>
    </w:p>
    <w:p w14:paraId="1BC150D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Harro (2000b) also conceptualized the cycle of liberation. When someone, regardless of identity or group, begins to engage in social change that challenges oppression, the cycle is placed into motion. Harro (2000b) noted there is no beginning or end, one can enter the cycle at any point and will likely repeat the process numerous times. Although a variety of interactions or experiences can lead to liberation, it is usually a critical event that initiates a change in worldview. The experience of “waking up” (Harro, 2000b, p. 619) typically initiates the cycle of liberation. A person may experience cognitive dissonance and critical consciousness from waking up, where the truths about the world and society no longer make sense (Gonzalez et al., 2020; Harro, 2000b; </w:t>
      </w:r>
      <w:r>
        <w:rPr>
          <w:rFonts w:ascii="Times New Roman" w:eastAsia="Times New Roman" w:hAnsi="Times New Roman" w:cs="Times New Roman"/>
          <w:sz w:val="24"/>
          <w:szCs w:val="24"/>
          <w:highlight w:val="white"/>
        </w:rPr>
        <w:t>Monjaras‐Gaytan et al., 2021</w:t>
      </w:r>
      <w:r>
        <w:rPr>
          <w:rFonts w:ascii="Times New Roman" w:eastAsia="Times New Roman" w:hAnsi="Times New Roman" w:cs="Times New Roman"/>
          <w:sz w:val="24"/>
          <w:szCs w:val="24"/>
        </w:rPr>
        <w:t xml:space="preserve">). This leads to the ‘getting ready’ phase where </w:t>
      </w:r>
      <w:r>
        <w:rPr>
          <w:rFonts w:ascii="Times New Roman" w:eastAsia="Times New Roman" w:hAnsi="Times New Roman" w:cs="Times New Roman"/>
          <w:sz w:val="24"/>
          <w:szCs w:val="24"/>
        </w:rPr>
        <w:lastRenderedPageBreak/>
        <w:t>an individual begins to educate themselves and dismantle long-held assumptions about society (Harro, 2000b). Getting ready encourages individuals to reach out and seek feedback about their new worldview, and gain experiences and exposure with naming injustices (</w:t>
      </w:r>
      <w:r>
        <w:rPr>
          <w:rFonts w:ascii="Times New Roman" w:eastAsia="Times New Roman" w:hAnsi="Times New Roman" w:cs="Times New Roman"/>
          <w:sz w:val="24"/>
          <w:szCs w:val="24"/>
          <w:highlight w:val="white"/>
        </w:rPr>
        <w:t>Monjaras‐Gaytan et al., 2021)</w:t>
      </w:r>
      <w:r>
        <w:rPr>
          <w:rFonts w:ascii="Times New Roman" w:eastAsia="Times New Roman" w:hAnsi="Times New Roman" w:cs="Times New Roman"/>
          <w:sz w:val="24"/>
          <w:szCs w:val="24"/>
        </w:rPr>
        <w:t xml:space="preserve">. Reaching out leads to community building. This community is composed of people similar to and different from </w:t>
      </w:r>
      <w:proofErr w:type="gramStart"/>
      <w:r>
        <w:rPr>
          <w:rFonts w:ascii="Times New Roman" w:eastAsia="Times New Roman" w:hAnsi="Times New Roman" w:cs="Times New Roman"/>
          <w:sz w:val="24"/>
          <w:szCs w:val="24"/>
        </w:rPr>
        <w:t>oneself, and</w:t>
      </w:r>
      <w:proofErr w:type="gramEnd"/>
      <w:r>
        <w:rPr>
          <w:rFonts w:ascii="Times New Roman" w:eastAsia="Times New Roman" w:hAnsi="Times New Roman" w:cs="Times New Roman"/>
          <w:sz w:val="24"/>
          <w:szCs w:val="24"/>
        </w:rPr>
        <w:t xml:space="preserve"> provides a collaborative space to challenge assumptions and build coalitions. Coalescing is the next phase, and includes larger-scale education, organizing, lobbying, fundraising, and consistent allyship (Harro, 2000b). At this point, an individual is ready to enact change by transforming institutions and culture. This includes changing leadership, definitions, and rules, influencing policy change, and challenging structures. As individuals consistently engage with these phases, the cycle of liberation continues (Harro, 2000b; Nam et al., 2022; Pease, 2021; Rodgers et al., 2020).     </w:t>
      </w:r>
    </w:p>
    <w:p w14:paraId="6247A5B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DiAngelo’s Cycle of Oppression </w:t>
      </w:r>
    </w:p>
    <w:p w14:paraId="71AE4F1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DiAngelo (2012; 2016) conceptualized a model that illustrates oppression through the image of a cycle. The cycle of oppression incorporates similar concepts from Harro’s (2000a, 2000b) work such as socialization, internalized oppression, and institutional reinforcements. The cycle includes seven continuous stages: 1) the generation of misinformation, 2) social acceptance of the mistreatment of marginalized groups, 3) internalized oppression, (4) internalized dominance, 5) institutions perpetuate and reinforce mistreatment, 6) justification for further mistreatment, and 7) continual systematic mistreatment of targeted groups (DiAngelo, 2016). </w:t>
      </w:r>
    </w:p>
    <w:p w14:paraId="471D738F" w14:textId="3FA1EE86"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Harro (2000a) referred to socialization as the consistent messages one receives from family and institutions about societal rules, norms, and ways to be. </w:t>
      </w:r>
      <w:r w:rsidR="007351F5">
        <w:rPr>
          <w:rFonts w:ascii="Times New Roman" w:eastAsia="Times New Roman" w:hAnsi="Times New Roman" w:cs="Times New Roman"/>
          <w:sz w:val="24"/>
          <w:szCs w:val="24"/>
        </w:rPr>
        <w:t>Whereas</w:t>
      </w:r>
      <w:r>
        <w:rPr>
          <w:rFonts w:ascii="Times New Roman" w:eastAsia="Times New Roman" w:hAnsi="Times New Roman" w:cs="Times New Roman"/>
          <w:sz w:val="24"/>
          <w:szCs w:val="24"/>
        </w:rPr>
        <w:t xml:space="preserve"> DiAngelo (2016) called this the generation of misinformation. The misinformation is about marginalized groups and misrepresents them in stereotypical or negative ways. This leads to the mistreatment of </w:t>
      </w:r>
      <w:r>
        <w:rPr>
          <w:rFonts w:ascii="Times New Roman" w:eastAsia="Times New Roman" w:hAnsi="Times New Roman" w:cs="Times New Roman"/>
          <w:sz w:val="24"/>
          <w:szCs w:val="24"/>
        </w:rPr>
        <w:lastRenderedPageBreak/>
        <w:t xml:space="preserve">marginalized groups, which society accepts since they have already accepted the misinformation as truth (Rodgers et al., 2020). The more marginalized groups are mistreated, the more they may begin to believe the misinformation about themselves; this is internalized oppression. When someone from a marginalized group perceives their identities and characteristics of their group as having lesser value than dominant groups, the result is internalized oppression (Brookfield, 2019; Pease, 2021; Rodgers et al., 2020). People with non-marginalized identities may experience internalized dominance, even unconsciously, because they are socialized to believe they are superior. Internalized dominance causes non-marginalized groups to uphold structures of oppression to maintain their power (Brookfield, 2019; Pease, 2021; Rodgers et al., 2020).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Harro (2000a), DiAngelo (2016) highlighted the role institutions play in perpetuating and enforcing the misinformation and mistreatment. Dominant groups hold most of the power across institutions, and they incorporate the misinformation and mistreatment into their systems to maintain this power (Nash &amp; Miller, 2015; Pease, 2021). As institutions reinforce this cycle of oppression, further mistreatment of marginalized groups is justified and becomes embedded within society (Brookfield, 2019; DiAngelo, 2016; Rodgers et al., 2020; Nash &amp; Miller, 2015; Pease, 2021).      </w:t>
      </w:r>
    </w:p>
    <w:p w14:paraId="4FE709FE"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Experiences of Student Affairs Professionals </w:t>
      </w:r>
    </w:p>
    <w:p w14:paraId="6D77355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Individual and Institutional Experiences of Oppression </w:t>
      </w:r>
    </w:p>
    <w:p w14:paraId="1145D27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highlight w:val="white"/>
        </w:rPr>
        <w:t xml:space="preserve">Professionals with marginalized identities experience various forms and types of oppression within the field of student affairs; these experiences are well documented in the literature </w:t>
      </w:r>
      <w:r>
        <w:rPr>
          <w:rFonts w:ascii="Times New Roman" w:eastAsia="Times New Roman" w:hAnsi="Times New Roman" w:cs="Times New Roman"/>
          <w:sz w:val="24"/>
          <w:szCs w:val="24"/>
        </w:rPr>
        <w:t xml:space="preserve">(Bazner, 2022; Boss &amp; Bravo, 2021; DeCuir-Gunby et al., 2020; Duran et al., 2022; Espino &amp; Ariza, 2022; Gardner et al., 2014; </w:t>
      </w:r>
      <w:r>
        <w:rPr>
          <w:rFonts w:ascii="Times New Roman" w:eastAsia="Times New Roman" w:hAnsi="Times New Roman" w:cs="Times New Roman"/>
          <w:sz w:val="24"/>
          <w:szCs w:val="24"/>
          <w:highlight w:val="white"/>
        </w:rPr>
        <w:t xml:space="preserve">; Garland-Thomson, 2017; Garland-Thomas et al., 2022; Gunzburger, 2017; Hylton, 2012;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w:t>
      </w:r>
      <w:r>
        <w:rPr>
          <w:rFonts w:ascii="Times New Roman" w:eastAsia="Times New Roman" w:hAnsi="Times New Roman" w:cs="Times New Roman"/>
          <w:sz w:val="24"/>
          <w:szCs w:val="24"/>
        </w:rPr>
        <w:lastRenderedPageBreak/>
        <w:t xml:space="preserve">Kortegast, 2021; Moore, 2016; Pertuz, 2017; </w:t>
      </w:r>
      <w:r>
        <w:rPr>
          <w:rFonts w:ascii="Times New Roman" w:eastAsia="Times New Roman" w:hAnsi="Times New Roman" w:cs="Times New Roman"/>
          <w:sz w:val="24"/>
          <w:szCs w:val="24"/>
          <w:highlight w:val="white"/>
        </w:rPr>
        <w:t>Wesley, 2018</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On an individual level, discrimination is experienced from supervisors, colleagues, and other university staff. This discrimination can come in the form of microaggressions, stereotypes, insults, and invalidation. When surveying participants with various marginalized identities, Moore (2016) found that 25.3% of participants reported experiencing microassaults in the workplace, 69.3% of participants have experienced microinsults while at work, and 71.6% of participants indicated they have encountered microinvalidations. Studies focusing on predominantly White institutions (PWI) highlight how professionals on these campuses oftentimes experience overt racism, sexism, homophobia, and transphobia (Gardner, et al., 2014; Hylton, 2012; Wesley, 2018; West, 2019). Black women are constantly assumed to be angry, loud, lazy, and unintelligent (Gunzburger, 2017; Wesley, 2018). Professionals with Disabilities struggle to attain positions in the academy and then fight to stay, belong, and resist the ableist structures within education (Evans et al., 2017; Garland-Thomson, 2017; Garland-Thomas et al., 2022; Singer &amp; Bacon, 2020). LGBT (Lesbian, Gay, Bisexual, and Transgender) professionals experience colleagues or supervisors interfering or giving suggestions on how open they should be about their sexuality (Croteau &amp; Lark, 2009;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Kortegast, 2021). Further, multiple studies showcase how discrimination, especially racism and homophobia, creates a barrier to forming meaningful relationships with supervisors (Gunzburger, 2017; Klima, 2018; </w:t>
      </w:r>
      <w:r>
        <w:rPr>
          <w:rFonts w:ascii="Times New Roman" w:eastAsia="Times New Roman" w:hAnsi="Times New Roman" w:cs="Times New Roman"/>
          <w:sz w:val="24"/>
          <w:szCs w:val="24"/>
        </w:rPr>
        <w:t>Jourian et al., 2015;</w:t>
      </w:r>
      <w:r>
        <w:rPr>
          <w:rFonts w:ascii="Times New Roman" w:eastAsia="Times New Roman" w:hAnsi="Times New Roman" w:cs="Times New Roman"/>
          <w:sz w:val="24"/>
          <w:szCs w:val="24"/>
          <w:highlight w:val="white"/>
        </w:rPr>
        <w:t xml:space="preserve"> Moore, 2016). </w:t>
      </w:r>
    </w:p>
    <w:p w14:paraId="3EA848A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white"/>
        </w:rPr>
        <w:t xml:space="preserve">n an institutional level, various discriminatory policies and common institutional practices were discussed in the literature. Croteau and Lark (2009) noted how LGB people continue to fight for the ability to live with their partner if they work in residence life or have a live-on position. Further, many campuses are not as inclusive as perceived, as few resources </w:t>
      </w:r>
      <w:r>
        <w:rPr>
          <w:rFonts w:ascii="Times New Roman" w:eastAsia="Times New Roman" w:hAnsi="Times New Roman" w:cs="Times New Roman"/>
          <w:sz w:val="24"/>
          <w:szCs w:val="24"/>
          <w:highlight w:val="white"/>
        </w:rPr>
        <w:lastRenderedPageBreak/>
        <w:t>exist for LGBT professionals and an anti-gay and anti-trans sentiment remains prominent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Kortegast, 2021; Smith, 2013). </w:t>
      </w:r>
      <w:r>
        <w:rPr>
          <w:rFonts w:ascii="Times New Roman" w:eastAsia="Times New Roman" w:hAnsi="Times New Roman" w:cs="Times New Roman"/>
          <w:sz w:val="24"/>
          <w:szCs w:val="24"/>
        </w:rPr>
        <w:t>A university’s commitment to marginalized identities is frequently measured in the resources - either fiscal, professional development opportunities, or education and training - devoted to diversity, equity, and inclusion (Kanagala &amp; Oliver, 2019; Klima, 2018; Smith, 2013). These funds and resources are often limited and showcase an institutional lack of care and commitment for marginalized communities. </w:t>
      </w:r>
    </w:p>
    <w:p w14:paraId="58F7AFD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Excessive Expectations &amp; Intersectionality </w:t>
      </w:r>
    </w:p>
    <w:p w14:paraId="3122ADE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Many professionals feel as if they need to work harder (than their non-marginalized colleagues), be overly prepared, and ‘on the top of their game’ </w:t>
      </w:r>
      <w:proofErr w:type="gramStart"/>
      <w:r>
        <w:rPr>
          <w:rFonts w:ascii="Times New Roman" w:eastAsia="Times New Roman" w:hAnsi="Times New Roman" w:cs="Times New Roman"/>
          <w:sz w:val="24"/>
          <w:szCs w:val="24"/>
        </w:rPr>
        <w:t>at all times</w:t>
      </w:r>
      <w:proofErr w:type="gramEnd"/>
      <w:r>
        <w:rPr>
          <w:rFonts w:ascii="Times New Roman" w:eastAsia="Times New Roman" w:hAnsi="Times New Roman" w:cs="Times New Roman"/>
          <w:sz w:val="24"/>
          <w:szCs w:val="24"/>
        </w:rPr>
        <w:t xml:space="preserve"> (Hylton, 2012; Moore, 2016; Wesley, 2018).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Simultaneously, participants across studies shared how their campuses looked to them as the primary representative of their marginalized identity(ies) and consistently tokenized them (Gardner et al., 2014; Pertuz, 2017; Smith, 2013). So often in student affairs, those with the most marginalized intersecting identities are called on to engage in intersectionality focused work or tasks (Kanagala &amp; Oliver, 2019). Intersectionality work on campuses requires the professional to exert mental and emotional labor to meet additional expectations, typically without recognition or compensation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Kanagala &amp; Oliver, 2019; Moore, 2008; Pierce, 1996; </w:t>
      </w:r>
      <w:r>
        <w:rPr>
          <w:rFonts w:ascii="Times New Roman" w:eastAsia="Times New Roman" w:hAnsi="Times New Roman" w:cs="Times New Roman"/>
          <w:sz w:val="24"/>
          <w:szCs w:val="24"/>
          <w:highlight w:val="white"/>
        </w:rPr>
        <w:t>Rodríguez et al., 2015; Trejo, 2020)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This experience is referred to as the “minority tax,” (Trejo, 2020, p. 2753), or the uncompensated additional responsibilities, expectations, or burdens placed on underrepresented professionals to meet the needs of marginalized constituents or achieve diversity efforts at their institution (Rodríguez et al., 2015). Though institutions are guided by their mission for equity and inclusivity and employ and enroll people with a variety of identities and backgrounds, professionals with multiple marginalized </w:t>
      </w:r>
      <w:r>
        <w:rPr>
          <w:rFonts w:ascii="Times New Roman" w:eastAsia="Times New Roman" w:hAnsi="Times New Roman" w:cs="Times New Roman"/>
          <w:sz w:val="24"/>
          <w:szCs w:val="24"/>
          <w:highlight w:val="white"/>
        </w:rPr>
        <w:lastRenderedPageBreak/>
        <w:t xml:space="preserve">identities labor and exist at the organizational borders (Kanagala &amp; Oliver, 2019). This speaks to the tokenization of professionals holding multiple marginalized identities (Pertuz, 2017; Trejo, 2020) and may explain why these professionals often leave the field </w:t>
      </w:r>
      <w:r>
        <w:rPr>
          <w:rFonts w:ascii="Times New Roman" w:eastAsia="Times New Roman" w:hAnsi="Times New Roman" w:cs="Times New Roman"/>
          <w:sz w:val="24"/>
          <w:szCs w:val="24"/>
        </w:rPr>
        <w:t xml:space="preserve">(Marshall et al., 2016; Kanagala &amp; Oliver, 2019; </w:t>
      </w:r>
      <w:r>
        <w:rPr>
          <w:rFonts w:ascii="Times New Roman" w:eastAsia="Times New Roman" w:hAnsi="Times New Roman" w:cs="Times New Roman"/>
          <w:sz w:val="24"/>
          <w:szCs w:val="24"/>
          <w:highlight w:val="white"/>
        </w:rPr>
        <w:t>Robbins, 2019</w:t>
      </w:r>
      <w:r>
        <w:rPr>
          <w:rFonts w:ascii="Times New Roman" w:eastAsia="Times New Roman" w:hAnsi="Times New Roman" w:cs="Times New Roman"/>
          <w:sz w:val="24"/>
          <w:szCs w:val="24"/>
        </w:rPr>
        <w:t>).</w:t>
      </w:r>
    </w:p>
    <w:p w14:paraId="1A75E04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Subsequent Effects </w:t>
      </w:r>
    </w:p>
    <w:p w14:paraId="372A564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Participants with multiple marginalized identities have reported how navi</w:t>
      </w:r>
      <w:r>
        <w:rPr>
          <w:rFonts w:ascii="Times New Roman" w:eastAsia="Times New Roman" w:hAnsi="Times New Roman" w:cs="Times New Roman"/>
          <w:sz w:val="24"/>
          <w:szCs w:val="24"/>
          <w:highlight w:val="white"/>
        </w:rPr>
        <w:t xml:space="preserve">gating the intersections of their identities was emotionally taxing (Gardner et al., 2014; Smith, 2013; Wesley, 2018). Cultural taxation is the exhaustion professionals from marginalized groups experience when expected to educate on diversity issues, regardless of content expertise or interest (Padilla, 1994). Similarly, some professionals may experience racial battle fatigue, which is a concept that centers the emotional, psychological, and physiological distress brought on by oppressive environments (Smith et al., 2011). Student affairs professionals who identify as queer and as People of Color sometimes feel as if their only choice is to leave departments, institutions, and geographic regions where their identities are exploited, silenced, or threatened (Kanagala &amp; Oliver, 2019; Marshall et al., 2016; Pertuz, 2017; Robbins et al., 2019). The everyday experiences of navigating between dominant and marginalized cultures is referred to as living a bicultural existence, and can be incredibly stressful (Gardner et al., 2014). These professionals must make decisions on whether to engage or disengage from challenging oppression and discrimination within an institution and organization founded on exclusionary principles. This constant and draining decision process is referred to as emotional labor (Moore, 2008). Emotional labor can also refer to suppressing true feelings or personal strains for fear of consequences by the dominant group (Pierce, 1996). It can be confusing, disorienting, and traumatizing when student affairs professionals must shift the salience of one or more of their </w:t>
      </w:r>
      <w:r>
        <w:rPr>
          <w:rFonts w:ascii="Times New Roman" w:eastAsia="Times New Roman" w:hAnsi="Times New Roman" w:cs="Times New Roman"/>
          <w:sz w:val="24"/>
          <w:szCs w:val="24"/>
          <w:highlight w:val="white"/>
        </w:rPr>
        <w:lastRenderedPageBreak/>
        <w:t xml:space="preserve">identities in multiple work environments (Robbins et al., 2019). These notions combined with the burnout and low job satisfaction student affairs professionals face, creates an especially difficult challenge for professionals with marginalized identities to advance through the field (Kanagala &amp; Oliver, 2019; </w:t>
      </w:r>
      <w:r>
        <w:rPr>
          <w:rFonts w:ascii="Times New Roman" w:eastAsia="Times New Roman" w:hAnsi="Times New Roman" w:cs="Times New Roman"/>
          <w:sz w:val="24"/>
          <w:szCs w:val="24"/>
        </w:rPr>
        <w:t xml:space="preserve">Marshall et al., 2016; </w:t>
      </w:r>
      <w:r>
        <w:rPr>
          <w:rFonts w:ascii="Times New Roman" w:eastAsia="Times New Roman" w:hAnsi="Times New Roman" w:cs="Times New Roman"/>
          <w:sz w:val="24"/>
          <w:szCs w:val="24"/>
          <w:highlight w:val="white"/>
        </w:rPr>
        <w:t>Robbins, 2019; Trejo, 2020).</w:t>
      </w:r>
    </w:p>
    <w:p w14:paraId="6E3C514E"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Critical Praxis in Student Affairs </w:t>
      </w:r>
    </w:p>
    <w:p w14:paraId="1B081F0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Inclusivity is the hallmark of a quality university (Gairín &amp; Suárez, 2014), yet many institutions struggle to create or maintain an inclusive and accessible educational environment (</w:t>
      </w:r>
      <w:r>
        <w:rPr>
          <w:rFonts w:ascii="Times New Roman" w:eastAsia="Times New Roman" w:hAnsi="Times New Roman" w:cs="Times New Roman"/>
          <w:sz w:val="24"/>
          <w:szCs w:val="24"/>
          <w:highlight w:val="white"/>
        </w:rPr>
        <w:t xml:space="preserve">Blackshear &amp; Hollis, 2021; Hussain &amp; Jones, 2019; </w:t>
      </w:r>
      <w:r>
        <w:rPr>
          <w:rFonts w:ascii="Times New Roman" w:eastAsia="Times New Roman" w:hAnsi="Times New Roman" w:cs="Times New Roman"/>
          <w:sz w:val="24"/>
          <w:szCs w:val="24"/>
        </w:rPr>
        <w:t>Moriña, 2017; Singer &amp; Bacon, 2020). This struggle leads to adverse experiences for students, faculty, and staff with marginalized identities (</w:t>
      </w:r>
      <w:r>
        <w:rPr>
          <w:rFonts w:ascii="Times New Roman" w:eastAsia="Times New Roman" w:hAnsi="Times New Roman" w:cs="Times New Roman"/>
          <w:sz w:val="24"/>
          <w:szCs w:val="24"/>
          <w:highlight w:val="white"/>
        </w:rPr>
        <w:t xml:space="preserve">Hussain &amp; Jones, 2019; </w:t>
      </w:r>
      <w:r>
        <w:rPr>
          <w:rFonts w:ascii="Times New Roman" w:eastAsia="Times New Roman" w:hAnsi="Times New Roman" w:cs="Times New Roman"/>
          <w:sz w:val="24"/>
          <w:szCs w:val="24"/>
        </w:rPr>
        <w:t xml:space="preserve">Kanagala &amp; Oliver, 2019; </w:t>
      </w:r>
      <w:r>
        <w:rPr>
          <w:rFonts w:ascii="Times New Roman" w:eastAsia="Times New Roman" w:hAnsi="Times New Roman" w:cs="Times New Roman"/>
          <w:sz w:val="24"/>
          <w:szCs w:val="24"/>
          <w:highlight w:val="white"/>
        </w:rPr>
        <w:t xml:space="preserve">Moragne-Patterson &amp; Barnett, 2017; Wesley, 2018). Higher education scholars and practitioners continue to explore the factors, contexts, and circumstances that aggravate or mitigate these experiences. Marine and Gilbert (2022 highlighted the disconnect between the espoused values of the student affairs profession, such as inclusion and democracy, and the current realities facing marginalized groups on college campuses. Through their scholar-practitioner journeys, Marine and Gilbert (2022) experienced the unique challenges that come with transforming systems and structures of oppression. They noticed commonalities in how they, and other professionals, were enacting change on their campuses. Freire’s (1970) pedagogy of the oppressed and the application of critical theory frameworks all informed the work of critical praxis, and contributed to the critical praxis in student affairs model developed by Marine and Gilbert (2022). Freire (1970) defined praxis as “the action and reflection of [people] upon their world in order to transform it” (p. 79). He also conceptualized </w:t>
      </w:r>
      <w:r>
        <w:rPr>
          <w:rFonts w:ascii="Times New Roman" w:eastAsia="Times New Roman" w:hAnsi="Times New Roman" w:cs="Times New Roman"/>
          <w:i/>
          <w:sz w:val="24"/>
          <w:szCs w:val="24"/>
          <w:highlight w:val="white"/>
        </w:rPr>
        <w:t>conscientization</w:t>
      </w:r>
      <w:r>
        <w:rPr>
          <w:rFonts w:ascii="Times New Roman" w:eastAsia="Times New Roman" w:hAnsi="Times New Roman" w:cs="Times New Roman"/>
          <w:sz w:val="24"/>
          <w:szCs w:val="24"/>
          <w:highlight w:val="white"/>
        </w:rPr>
        <w:t xml:space="preserve">, the awareness of one’s position, power, and commitment to transformative </w:t>
      </w:r>
      <w:r>
        <w:rPr>
          <w:rFonts w:ascii="Times New Roman" w:eastAsia="Times New Roman" w:hAnsi="Times New Roman" w:cs="Times New Roman"/>
          <w:sz w:val="24"/>
          <w:szCs w:val="24"/>
          <w:highlight w:val="white"/>
        </w:rPr>
        <w:lastRenderedPageBreak/>
        <w:t>change. Marine and Gilbert’s (2022) model suggests conscientization is at the center of critical praxis while professionals consistently engage in reflection and action.</w:t>
      </w:r>
    </w:p>
    <w:p w14:paraId="219B864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three elements of Marine and Gilbert’s (2022) model of critical praxis in student affairs are conscientization, reflection, and action. Marine and Gilbert noted how conscientization is a continual process and may occur before reflection and action, arise following reflection and action, or both. Conscientization typically develops through encounters with inequity, either personal or observed, and compels professionals to “revisit and reconsider long-held assumptions about the educational process, about rule making and rule following,” (Marine &amp; Gilbert, 2022, p. 188). Life experiences, formal learning, and relationships are the main pathways to conscientization outlined by Marine and Gilbert (2022). Conscientization can materialize through a personal experience with oppression or inequity, engagement with critical scholarship, or connections with those who exist at society’s margins and experience systemic barriers. </w:t>
      </w:r>
    </w:p>
    <w:p w14:paraId="667BC5E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next element, reflection, is essential to critical praxis and more than simply considering how one experiences society. Reflection is the process by which individuals acknowledge and contemplate their positionality in relation to others and the world. The process requires honesty and vulnerability. Core components of reflection include asking critical questions, reframing assumptions, and envisioning a better world (Marine &amp; Gilbert, 2022). Critical questions challenge the status quo and call attention to the systems of power and oppression at play. Though there may not be a ‘right’ answer, reflecting on the possibilities can reveal insights that may contribute to change and transformation (Marine &amp; Gilbert, 2022). </w:t>
      </w:r>
    </w:p>
    <w:p w14:paraId="35644D3E" w14:textId="6C25CC6E"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final element of critical praxis is intentional action which challenges and transforms systems. Action can occur interpersonally or institutionally, and focuses on challenging </w:t>
      </w:r>
      <w:r>
        <w:rPr>
          <w:rFonts w:ascii="Times New Roman" w:eastAsia="Times New Roman" w:hAnsi="Times New Roman" w:cs="Times New Roman"/>
          <w:sz w:val="24"/>
          <w:szCs w:val="24"/>
          <w:highlight w:val="white"/>
        </w:rPr>
        <w:lastRenderedPageBreak/>
        <w:t xml:space="preserve">dominant narratives, disrupting power dynamics, and resisting neoliberal forces (Marine &amp; Gilbert, 2022). Challenging dominant narratives involves expressing your questions about the status quo, pushing back, and encouraging a shift. This can expand to resisting neoliberal forces such as commodification of knowledge, hierarchy and resource allocation norms, and capitalistic </w:t>
      </w:r>
      <w:r w:rsidR="007351F5">
        <w:rPr>
          <w:rFonts w:ascii="Times New Roman" w:eastAsia="Times New Roman" w:hAnsi="Times New Roman" w:cs="Times New Roman"/>
          <w:sz w:val="24"/>
          <w:szCs w:val="24"/>
          <w:highlight w:val="white"/>
        </w:rPr>
        <w:t>ideals,</w:t>
      </w:r>
      <w:r>
        <w:rPr>
          <w:rFonts w:ascii="Times New Roman" w:eastAsia="Times New Roman" w:hAnsi="Times New Roman" w:cs="Times New Roman"/>
          <w:sz w:val="24"/>
          <w:szCs w:val="24"/>
          <w:highlight w:val="white"/>
        </w:rPr>
        <w:t xml:space="preserve"> which inevitably reveals and disrupts power dynamics (Marine &amp; Gilbert, 2022). </w:t>
      </w:r>
    </w:p>
    <w:p w14:paraId="63F415F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Critical Praxis in Action </w:t>
      </w:r>
    </w:p>
    <w:p w14:paraId="25FAB74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Marine and Gilbert’s (2022) critical praxis in student affairs model is a recent contribution to the field, and research employing this conceptual framework is limited. In their edited text, Marine and Gilbert provided examples of practitioners and scholars enacting critical praxis as a framework for creating transformation at their institutions. These narratives, along with Simpson’s (2023) utilization of the model to identify how critical frameworks influence the curricular approach within student affairs, will serve as the foundation for understanding how critical praxis can be applied as a conceptual framework. Marine and Gilbert’s text is divided into two sections: critical praxis in student affairs leadership and engaging students in critical praxis. Insights drawn from both sections offer specific examples and applicable knowledge for the following study. </w:t>
      </w:r>
    </w:p>
    <w:p w14:paraId="1E5550B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chapter one, Gilbert (2022) illustrated a critical praxis approach to supervision that incorporates a Black feminist theory and trauma-informed lens. Gilbert (2022) recalled her experience in her first full-time role as a “white, queer, cisgender woman, [who] reported to a Black, heterosexual, cisgender woman” (p. 20). Gilbert noted how the relationship she had with her supervisor provided an opportunity for </w:t>
      </w:r>
      <w:proofErr w:type="gramStart"/>
      <w:r>
        <w:rPr>
          <w:rFonts w:ascii="Times New Roman" w:eastAsia="Times New Roman" w:hAnsi="Times New Roman" w:cs="Times New Roman"/>
          <w:sz w:val="24"/>
          <w:szCs w:val="24"/>
        </w:rPr>
        <w:t>both of them</w:t>
      </w:r>
      <w:proofErr w:type="gramEnd"/>
      <w:r>
        <w:rPr>
          <w:rFonts w:ascii="Times New Roman" w:eastAsia="Times New Roman" w:hAnsi="Times New Roman" w:cs="Times New Roman"/>
          <w:sz w:val="24"/>
          <w:szCs w:val="24"/>
        </w:rPr>
        <w:t xml:space="preserve"> to learn about and from one another.  These honest conversations and shared experiences stayed with Gilbert as she advanced through her career and began supervising others. Gilbert’s experience with conscientization </w:t>
      </w:r>
      <w:r>
        <w:rPr>
          <w:rFonts w:ascii="Times New Roman" w:eastAsia="Times New Roman" w:hAnsi="Times New Roman" w:cs="Times New Roman"/>
          <w:sz w:val="24"/>
          <w:szCs w:val="24"/>
        </w:rPr>
        <w:lastRenderedPageBreak/>
        <w:t xml:space="preserve">(Freire, 1970; Marine &amp; Gilbert, 2022) and reflection led her to engage in transformative change as a professional. Gilbert’s approach to supervision builds off insights from Quiros and Berger’s (2013) five assumptions of trauma-informed practice and Quaye and colleagues’ (2018) Strategic Imperative for Racial Justice and Decolonization framework, in collaboration with the critical praxis in student affairs model. Gilbert’s (2022) method to critical trauma-informed supervision connects the elements of safety, trust, choice, empowerment, and collaboration in the supervisory relationship. Safety is integral to this approach and involves centering compassion, healing, and love (Gilbert, 2022; Quaye et al., 2018; Quiros &amp; Berger, 2013). The work of ensuring safety happens concurrently as supervisors develop trust, empower their supervisees, and encourage choice and collaborations. These elements can be operationalized through reimagining the performance evaluation process, leveraging professional development, and advocating for policy change (Gilbert, 2022). Performance reviews typically follow a standard process that does not involve feedback for or evaluation of the supervisor; engaging in a trauma-informed critical praxis approach to the performance evaluation process encourages bidirectional feedback and transparent conversations about expectations and support (Gilbert, 2022). Professional development has been traditionally defined to mean conference attendance, which is unattainable and inaccessible for many student affairs professionals (Gilbert, 2022). Supervisors </w:t>
      </w:r>
      <w:proofErr w:type="gramStart"/>
      <w:r>
        <w:rPr>
          <w:rFonts w:ascii="Times New Roman" w:eastAsia="Times New Roman" w:hAnsi="Times New Roman" w:cs="Times New Roman"/>
          <w:sz w:val="24"/>
          <w:szCs w:val="24"/>
        </w:rPr>
        <w:t>have the ability to</w:t>
      </w:r>
      <w:proofErr w:type="gramEnd"/>
      <w:r>
        <w:rPr>
          <w:rFonts w:ascii="Times New Roman" w:eastAsia="Times New Roman" w:hAnsi="Times New Roman" w:cs="Times New Roman"/>
          <w:sz w:val="24"/>
          <w:szCs w:val="24"/>
        </w:rPr>
        <w:t xml:space="preserve"> seek or cocreate learning opportunities for their staff that are effective, financially responsible, and accessible (Gilbert, 2022). Interrogating policy is a significant form of advocacy and critical praxis for supervisors. Professionals who wish to holistically support their staff and disrupt oppressive norms can ensure parental leave, family medical leave, disability accommodations, and other human resource policies are equitable and do not create barriers for certain populations (Gilbert, 2022). </w:t>
      </w:r>
    </w:p>
    <w:p w14:paraId="4A06725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Gilbert (2022) also provided questions for professionals to consider as they engage in critical trauma-informed supervision. Professionals are encouraged to reflect on how they are negatively influenced by systems of oppression, how they benefit and uphold these systems, the ways their identities protect them from or heighten the chances of experiencing indirect trauma in the workplace, and the strategies they might leverage to challenge oppression and promote holistic well-being (Gilbert, 2022). These insights can contribute to understanding the role of supervisors in the persistence of professionals with marginalized identities. Additionally, incorporating the insights and suggestions outlined by Gilbert (2022) into one’s research design can support the reflexivity process (Husserl, 1965; Morrow, 2005; Motulsky, 2021; Moustakas, 1994). Critical scholars can reflect on how they are negatively influenced by systems of oppression, how they benefit and uphold these systems, and the ways their identities protect or heighten the chances of experiencing indirect trauma in the workplace to engage in reflexivity (Gilbert, 2022; Morrow, 2005; Motulsky, 2021; Moustakas, 1994). </w:t>
      </w:r>
    </w:p>
    <w:p w14:paraId="745D691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Rockey and colleagues (2022) operationalized critical praxis in their work with community colleges. Higher education student affairs graduate and preparation programs typically center scholarship and practice focused on traditional-age students attending four-year institutions (Hornak et al., 2016; Rockey et al., 2022). However, the students served by community colleges are often members of communities most marginalized within the education system (American Association of Community Colleges, 2020; Rockey et al., 2022). Rockey and colleagues (2022) experienced conscientization (Freire, 1970; Marine &amp; Gilbert, 2022) through working at community colleges or serving students who interacted with the community college system and benefited from the educational access provided. Through their reflection (Freire, 1970; Marine &amp; Gilbert, 2022), Rockey et al. (2022) concluded the advancement of educational </w:t>
      </w:r>
      <w:r>
        <w:rPr>
          <w:rFonts w:ascii="Times New Roman" w:eastAsia="Times New Roman" w:hAnsi="Times New Roman" w:cs="Times New Roman"/>
          <w:sz w:val="24"/>
          <w:szCs w:val="24"/>
        </w:rPr>
        <w:lastRenderedPageBreak/>
        <w:t xml:space="preserve">equity relies on prioritizing the needs of community colleges and their students, and addressing these needs in student affairs preparation programs. They applied a critical praxis model to their work with community colleges and illustrated the significance of using counter-stories to disrupt dominant and oppressive narratives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enact transformational change (Freire, 1970; Harro, 2000b; Marine &amp; Gilbert, 2022). Counter-stories can challenge the deficit mindset applied to community colleges (Zamani-Gallaher et al., 2017) and center the diverse experiences of those navigating higher education at the margins (Rockey et al., 2022). </w:t>
      </w:r>
    </w:p>
    <w:p w14:paraId="3E95905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Ashlee and Ashlee (2022) applied a critical praxis framework to their social justice and coalition building efforts at their institution. The authors are educators who apply an interconnectivity lens to their critical praxis approach to student affairs. Through conscientization and reflection (Freire, 1970; Marie &amp; Gilbert, 2022), the authors realized the most meaningful way to engage in social justice change was to change themselves. This included reflecting on how their dominant identities influence their worldview and interrogating their internalized dominance (Brookfield, 2019; DiAngelo, 2016; Harro, 2000a; Pease; 2021; Rodgers et al., 2020). Through this process, Ashlee and Ashlee (2022) noticed that merely insisting or encouraging others to change their ways to reduce oppression was not always effective or sustainable; instead, they realized there was tangible action that could be taken to “reduce [our] complicity in the harm done to others” (p. 90). This led them to incorporating an interconnectivity (Keating, 2013) model to their work. </w:t>
      </w:r>
    </w:p>
    <w:p w14:paraId="0AD0271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interconnectivity encourages one to go further than reflecting on positionality, and explore opportunities to connect across differences (Ashlee &amp; Ashlee, 2022; Keating, 2013). Interconnectivity is grounded in feminist Women of Color theories (Anzaldúa &amp; Keating, 2002; Keating, 2013; Moraga &amp; Anzaldúa, 2015) and involves practicing an ethic of </w:t>
      </w:r>
      <w:r>
        <w:rPr>
          <w:rFonts w:ascii="Times New Roman" w:eastAsia="Times New Roman" w:hAnsi="Times New Roman" w:cs="Times New Roman"/>
          <w:sz w:val="24"/>
          <w:szCs w:val="24"/>
        </w:rPr>
        <w:lastRenderedPageBreak/>
        <w:t xml:space="preserve">interrelatedness, connecting through difference, and listening with raw intention. An ethic of interrelatedness is the idea that every life is intricately connected to the life of everyone else (Moraga &amp; Anzaldúa, 2015). Rather than viewing differences as fixed, unchanging barriers between individuals, interconnectivity suggests connecting through differences can encourage transformation and coalition building (Ashlee &amp; Ashlee, 2022). An essential aspect of connecting through differences and practicing interconnectivity is listening with raw openness. This is an active form of engagement which requires intention, vulnerability, and a willingness to be changed (Ashlee &amp; Ashlee, 2022; Moraga &amp; Anzaldúa, 2015). Ashlee and Ashlee (2022) contended that engaging a critical praxis of interconnectivity framework in student affairs work can promote social justice coalition building and “help heal the pain that results from inherited systems of power in higher education” (p. 101). </w:t>
      </w:r>
      <w:r>
        <w:rPr>
          <w:rFonts w:ascii="Times New Roman" w:eastAsia="Times New Roman" w:hAnsi="Times New Roman" w:cs="Times New Roman"/>
          <w:sz w:val="24"/>
          <w:szCs w:val="24"/>
          <w:highlight w:val="white"/>
        </w:rPr>
        <w:t>Simpson (2023) used the critical praxis model as a conceptual framework to analyze curricular approaches in student affairs. The qualitative study utilized a constructivist paradigm to understand how critical theoretical models influence curricula and critical praxis work. Simpson (2023) examined three curricula from a single institution through an interpretive content analysis method (Krippendorff, 2004). The three elements of critical praxis, conscientization, action, and reflection, were used as initial analysis codes. In addition, Simpson (2023) coded for theory application and equity centered language to document the inclusion of praxis within curriculum design. </w:t>
      </w:r>
    </w:p>
    <w:p w14:paraId="6E794984"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Summary</w:t>
      </w:r>
    </w:p>
    <w:p w14:paraId="3E063FD2"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studies (Bazner; 2022; Boss &amp; Bravo, 2021; DeCuir-Gunby et al., 2020; Duran et al, 2022; Espino &amp; Ariza, 2022; </w:t>
      </w:r>
      <w:r>
        <w:rPr>
          <w:rFonts w:ascii="Times New Roman" w:eastAsia="Times New Roman" w:hAnsi="Times New Roman" w:cs="Times New Roman"/>
          <w:sz w:val="24"/>
          <w:szCs w:val="24"/>
          <w:highlight w:val="white"/>
        </w:rPr>
        <w:t xml:space="preserve">Gunzburger, 2017;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w:t>
      </w:r>
      <w:r>
        <w:rPr>
          <w:rFonts w:ascii="Times New Roman" w:eastAsia="Times New Roman" w:hAnsi="Times New Roman" w:cs="Times New Roman"/>
          <w:sz w:val="24"/>
          <w:szCs w:val="24"/>
        </w:rPr>
        <w:t xml:space="preserve">Kortegast, 2021; Pertuz, 2017; </w:t>
      </w:r>
      <w:r>
        <w:rPr>
          <w:rFonts w:ascii="Times New Roman" w:eastAsia="Times New Roman" w:hAnsi="Times New Roman" w:cs="Times New Roman"/>
          <w:sz w:val="24"/>
          <w:szCs w:val="24"/>
          <w:highlight w:val="white"/>
        </w:rPr>
        <w:t>Wesley, 2018</w:t>
      </w:r>
      <w:r>
        <w:rPr>
          <w:rFonts w:ascii="Times New Roman" w:eastAsia="Times New Roman" w:hAnsi="Times New Roman" w:cs="Times New Roman"/>
          <w:sz w:val="24"/>
          <w:szCs w:val="24"/>
        </w:rPr>
        <w:t xml:space="preserve">) have explored the experiences of student affairs professionals with marginalized identities and their treatment, a gap exists regarding the </w:t>
      </w:r>
      <w:r>
        <w:rPr>
          <w:rFonts w:ascii="Times New Roman" w:eastAsia="Times New Roman" w:hAnsi="Times New Roman" w:cs="Times New Roman"/>
          <w:sz w:val="24"/>
          <w:szCs w:val="24"/>
        </w:rPr>
        <w:lastRenderedPageBreak/>
        <w:t>experiences of professionals with marginalized identities who persist and reach senior-level roles. Scholars have discussed the role of Black university presidents at historically Black colleges and universities (HBCUs; Cole, 2020; Watson &amp; Gregory, 2023); the leadership journey of (primarily White) Women presidents (Wolverton et al., 2023); and the faculty-focused experiences of Women of Color (Blackshear &amp; Hollis, 2021; Nixon, 2017; Trejo, 2020); however, the phenomenon of persistence amongst student affairs professionals with marginalized identities is not represented in the literature. Further investigation of the practices and policies that perpetuate negative and oppressive work environments within student affairs is necessary (Boss &amp; Bravo, 2021; Kortegast, 2021). Bazner (2022) recommended future studies focus on coping strategies and how professionals found “respite and success in challenging organizational structures” (p. 580). Additionally, Karunaratne and colleagues (2016) stressed the importance of additional research that explores how student affairs professionals navigate critical praxis within the context of their identities to illuminate themes related to interpersonal and institutional power dynamics. </w:t>
      </w:r>
    </w:p>
    <w:p w14:paraId="10CB204D" w14:textId="77777777" w:rsidR="001510DC" w:rsidRDefault="00000000">
      <w:pPr>
        <w:spacing w:after="160" w:line="480" w:lineRule="auto"/>
        <w:rPr>
          <w:rFonts w:ascii="Calibri" w:eastAsia="Calibri" w:hAnsi="Calibri" w:cs="Calibri"/>
        </w:rPr>
      </w:pPr>
      <w:r>
        <w:rPr>
          <w:rFonts w:ascii="Times New Roman" w:eastAsia="Times New Roman" w:hAnsi="Times New Roman" w:cs="Times New Roman"/>
          <w:sz w:val="24"/>
          <w:szCs w:val="24"/>
        </w:rPr>
        <w:tab/>
        <w:t>To this end, I explored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the ways in which professionals with marginalized identities persist within student affairs </w:t>
      </w:r>
      <w:r>
        <w:rPr>
          <w:rFonts w:ascii="Times New Roman" w:eastAsia="Times New Roman" w:hAnsi="Times New Roman" w:cs="Times New Roman"/>
          <w:sz w:val="24"/>
          <w:szCs w:val="24"/>
          <w:highlight w:val="white"/>
        </w:rPr>
        <w:t>through a critical qualitative phenomenological approach</w:t>
      </w:r>
      <w:r>
        <w:rPr>
          <w:rFonts w:ascii="Times New Roman" w:eastAsia="Times New Roman" w:hAnsi="Times New Roman" w:cs="Times New Roman"/>
          <w:sz w:val="24"/>
          <w:szCs w:val="24"/>
        </w:rPr>
        <w:t>. In this review of the literature, I provided a foundational context of praxis and pedagogy of the oppressed (Freire, 1970); the cycle of oppression (</w:t>
      </w:r>
      <w:r>
        <w:rPr>
          <w:rFonts w:ascii="Times New Roman" w:eastAsia="Times New Roman" w:hAnsi="Times New Roman" w:cs="Times New Roman"/>
          <w:sz w:val="24"/>
          <w:szCs w:val="24"/>
          <w:highlight w:val="white"/>
        </w:rPr>
        <w:t xml:space="preserve">DiAngelo, 2016) and the cycles of socialization and liberation (Harro, 2000). The review also examined scholarship on the experiences of student affairs professionals with marginalized identities and </w:t>
      </w:r>
      <w:r>
        <w:rPr>
          <w:rFonts w:ascii="Times New Roman" w:eastAsia="Times New Roman" w:hAnsi="Times New Roman" w:cs="Times New Roman"/>
          <w:sz w:val="24"/>
          <w:szCs w:val="24"/>
        </w:rPr>
        <w:t>Marine and Gilbert’s (2022) model for critical praxis. I concluded with research suggestions from scholars about further exploration of critical praxis and how professionals with marginalized identities persist through higher education.</w:t>
      </w:r>
    </w:p>
    <w:p w14:paraId="13C2A32F" w14:textId="4DB299DC" w:rsidR="001510DC" w:rsidRDefault="00000000" w:rsidP="002F6F5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w:t>
      </w:r>
      <w:r w:rsidR="00A0345A">
        <w:rPr>
          <w:rFonts w:ascii="Times New Roman" w:eastAsia="Times New Roman" w:hAnsi="Times New Roman" w:cs="Times New Roman"/>
          <w:b/>
          <w:sz w:val="24"/>
          <w:szCs w:val="24"/>
        </w:rPr>
        <w:t>hapter</w:t>
      </w:r>
      <w:r>
        <w:rPr>
          <w:rFonts w:ascii="Times New Roman" w:eastAsia="Times New Roman" w:hAnsi="Times New Roman" w:cs="Times New Roman"/>
          <w:b/>
          <w:sz w:val="24"/>
          <w:szCs w:val="24"/>
        </w:rPr>
        <w:t xml:space="preserve"> 3</w:t>
      </w:r>
    </w:p>
    <w:p w14:paraId="2CFAF4E1"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Methodology </w:t>
      </w:r>
    </w:p>
    <w:p w14:paraId="3291150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conducted a critical qualitative phenomenological research study to explore the ways in which student affairs professionals with marginalized identities perceive their career persistence. </w:t>
      </w:r>
    </w:p>
    <w:p w14:paraId="02E1B892"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research question guided the study:</w:t>
      </w:r>
    </w:p>
    <w:p w14:paraId="28725D88"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experiences of student affairs professionals with marginalized identities who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persist through systemic and contextual barriers and reach senior-level positions?</w:t>
      </w:r>
    </w:p>
    <w:p w14:paraId="467AEF7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chapter I </w:t>
      </w:r>
      <w:r>
        <w:rPr>
          <w:rFonts w:ascii="Times New Roman" w:eastAsia="Times New Roman" w:hAnsi="Times New Roman" w:cs="Times New Roman"/>
          <w:sz w:val="24"/>
          <w:szCs w:val="24"/>
          <w:highlight w:val="white"/>
        </w:rPr>
        <w:t>detail the methods I used for the study. More specifically, I discuss the research design, conceptual framework, participants, data collection and analysis, and trustworthiness. I also discuss my positionality and reflexivity strategies. Through these methods, I sought to understand the phenomenon of career persistence amongst student affairs professionals with marginalized identities.</w:t>
      </w:r>
    </w:p>
    <w:p w14:paraId="75429162"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Phenomenology</w:t>
      </w:r>
    </w:p>
    <w:p w14:paraId="15D049ED"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utilized a qualitative, phenomenological research design for this study. Merriam and Tisdell (2016) described qualitative research as “</w:t>
      </w:r>
      <w:r>
        <w:rPr>
          <w:rFonts w:ascii="Times New Roman" w:eastAsia="Times New Roman" w:hAnsi="Times New Roman" w:cs="Times New Roman"/>
          <w:sz w:val="24"/>
          <w:szCs w:val="24"/>
          <w:highlight w:val="white"/>
        </w:rPr>
        <w:t xml:space="preserve">how people interpret their experiences, how they construct their worlds, and what meaning they attribute to their experiences” (p. 6). Qualitative research is unique because the researcher is the human instrument, and they are essential to discovering the meaning participants make from their experiences (Merriam &amp; Tisdell, 2016; </w:t>
      </w:r>
      <w:r>
        <w:rPr>
          <w:rFonts w:ascii="Times New Roman" w:eastAsia="Times New Roman" w:hAnsi="Times New Roman" w:cs="Times New Roman"/>
          <w:sz w:val="24"/>
          <w:szCs w:val="24"/>
        </w:rPr>
        <w:t>Nowell et al., 2017</w:t>
      </w:r>
      <w:r>
        <w:rPr>
          <w:rFonts w:ascii="Times New Roman" w:eastAsia="Times New Roman" w:hAnsi="Times New Roman" w:cs="Times New Roman"/>
          <w:sz w:val="24"/>
          <w:szCs w:val="24"/>
          <w:highlight w:val="white"/>
        </w:rPr>
        <w:t xml:space="preserve">). When researchers are interested in a specific shared experience, or phenomenon, they employ phenomenological research methods </w:t>
      </w:r>
      <w:r>
        <w:rPr>
          <w:rFonts w:ascii="Times New Roman" w:eastAsia="Times New Roman" w:hAnsi="Times New Roman" w:cs="Times New Roman"/>
          <w:sz w:val="24"/>
          <w:szCs w:val="24"/>
        </w:rPr>
        <w:t xml:space="preserve">(Hayes &amp; Graham, 2022; Husserl, 1965; </w:t>
      </w:r>
      <w:r>
        <w:rPr>
          <w:rFonts w:ascii="Times New Roman" w:eastAsia="Times New Roman" w:hAnsi="Times New Roman" w:cs="Times New Roman"/>
          <w:sz w:val="24"/>
          <w:szCs w:val="24"/>
          <w:highlight w:val="white"/>
        </w:rPr>
        <w:t xml:space="preserve">Merriam &amp; Tisdell, 2016; Moustakas, 1994; </w:t>
      </w:r>
      <w:r>
        <w:rPr>
          <w:rFonts w:ascii="Times New Roman" w:eastAsia="Times New Roman" w:hAnsi="Times New Roman" w:cs="Times New Roman"/>
          <w:sz w:val="24"/>
          <w:szCs w:val="24"/>
        </w:rPr>
        <w:t xml:space="preserve">Weiss et al., 2020). The term phenomenology refers to “knowledge as it appears to consciousness, the science of </w:t>
      </w:r>
      <w:r>
        <w:rPr>
          <w:rFonts w:ascii="Times New Roman" w:eastAsia="Times New Roman" w:hAnsi="Times New Roman" w:cs="Times New Roman"/>
          <w:sz w:val="24"/>
          <w:szCs w:val="24"/>
        </w:rPr>
        <w:lastRenderedPageBreak/>
        <w:t xml:space="preserve">describing what one perceives, senses, and knows in one’s immediate awareness and experience” (Moustakas, 1994, p. 25). Phenomenology allows researchers to “systematically inquire into the mind and human experience,” (Padilla-Diaz, 2015, p. 107). Additionally, phenomenological researchers seek to describe a person’s experience in the way they experience it, rather than from a theoretical perspective (Bevan, 2014). A phenomenological approach allows researchers to uncover meaning and increase understanding of the phenomena through intentional experiences and consciousness (Moustakas, 1994). When employing these methods, participant experiences are collected, analyzed, and compared, allowing the researcher to describe the essence of the phenomenon (Husserl, 1965; Merriam &amp; Tisdell, 2016; Moustakas, 1994).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accurately understand and conceptualize the essence of the participants’ experiences, a phenomenological researcher must set aside, or bracket, prior beliefs and assumptions about the phenomenon so they do not influence or interfere with the findings (Merriam &amp; Tisdell, 2016; Moustakas, 1994).  </w:t>
      </w:r>
    </w:p>
    <w:p w14:paraId="72B0BD2C"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Critical Phenomenology    </w:t>
      </w:r>
    </w:p>
    <w:p w14:paraId="0156240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Phenomenological researchers are interested in a common experience, or phenomenon, in relation to the perceived truths and lived realities of a certain population (Hayes &amp; Graham, 2022). Critical phenomenology goes further by </w:t>
      </w:r>
      <w:proofErr w:type="gramStart"/>
      <w:r>
        <w:rPr>
          <w:rFonts w:ascii="Times New Roman" w:eastAsia="Times New Roman" w:hAnsi="Times New Roman" w:cs="Times New Roman"/>
          <w:sz w:val="24"/>
          <w:szCs w:val="24"/>
        </w:rPr>
        <w:t>giving purposeful consideration to</w:t>
      </w:r>
      <w:proofErr w:type="gramEnd"/>
      <w:r>
        <w:rPr>
          <w:rFonts w:ascii="Times New Roman" w:eastAsia="Times New Roman" w:hAnsi="Times New Roman" w:cs="Times New Roman"/>
          <w:sz w:val="24"/>
          <w:szCs w:val="24"/>
        </w:rPr>
        <w:t xml:space="preserve"> the historical and social structures that shape experiences throughout the research process (Weiss et al., 2020). This requires intentional understanding of the population you are studying and how society views, treats, and marginalizes them (Weiss et al., 2020). Critical phenomenology exceeds the classical phenomenological approach because the researcher not only explores what can be seen, but also the “ways of seeing” (Weiss et al., 2020, p. 16) and meaning making. </w:t>
      </w:r>
    </w:p>
    <w:p w14:paraId="60B1726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Moreover, Weiss and colleagues (2020) contend critical phenomenology is both a way of approaching research, and a way of approaching political and social activism. The knowledge and understanding formed from critical phenomenological research can and should be contributed to social-political discourse and practice (Weiss et al., 2020). Critical phenomenology does not merely describe experiences of oppression, but develops strategies for dismantling oppressive structures. Weiss and colleagues (2020) asserted the aim of critical phenomenology is “not just to interpret the world, but also to change it” (p. 24).  </w:t>
      </w:r>
    </w:p>
    <w:p w14:paraId="127F441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Conceptual Framework </w:t>
      </w:r>
    </w:p>
    <w:p w14:paraId="37642E20" w14:textId="1F7D18D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Marine and Gilbert’s (2022) critical praxis in student affairs model provides a framework for challenging structures of oppression and supporting the goal of equity within higher education, and </w:t>
      </w:r>
      <w:r w:rsidR="007351F5">
        <w:rPr>
          <w:rFonts w:ascii="Times New Roman" w:eastAsia="Times New Roman" w:hAnsi="Times New Roman" w:cs="Times New Roman"/>
          <w:sz w:val="24"/>
          <w:szCs w:val="24"/>
          <w:highlight w:val="white"/>
        </w:rPr>
        <w:t>guided</w:t>
      </w:r>
      <w:r>
        <w:rPr>
          <w:rFonts w:ascii="Times New Roman" w:eastAsia="Times New Roman" w:hAnsi="Times New Roman" w:cs="Times New Roman"/>
          <w:sz w:val="24"/>
          <w:szCs w:val="24"/>
          <w:highlight w:val="white"/>
        </w:rPr>
        <w:t xml:space="preserve"> the conceptualization of the study findings. This critical praxis framework stems from Freire’s (1970) pedagogy of the oppressed. Freire (1970) defined praxis as “the action and reflection of [people] upon their world in order to transform it” (p. 79). He also conceptualized </w:t>
      </w:r>
      <w:r>
        <w:rPr>
          <w:rFonts w:ascii="Times New Roman" w:eastAsia="Times New Roman" w:hAnsi="Times New Roman" w:cs="Times New Roman"/>
          <w:i/>
          <w:sz w:val="24"/>
          <w:szCs w:val="24"/>
          <w:highlight w:val="white"/>
        </w:rPr>
        <w:t>conscientization</w:t>
      </w:r>
      <w:r>
        <w:rPr>
          <w:rFonts w:ascii="Times New Roman" w:eastAsia="Times New Roman" w:hAnsi="Times New Roman" w:cs="Times New Roman"/>
          <w:sz w:val="24"/>
          <w:szCs w:val="24"/>
          <w:highlight w:val="white"/>
        </w:rPr>
        <w:t>, the awareness of one’s position, power, and commitment to transformative change. Marine and Gilbert’s (2022) model suggests conscientization is at the center of critical praxis while professionals consistently engage in reflection and action.</w:t>
      </w:r>
    </w:p>
    <w:p w14:paraId="194A609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three elements of Marine and Gilbert’s (2022) model of critical praxis in higher education and student affairs are conscientization, reflection, and action. Conscientization typically develops through encounters with inequity, whether personal or observed, and often compels professionals to “revisit and reconsider long-held assumptions about the educational process, about rule making and rule following,” (Marine &amp; Gilbert, 2022, p. 188). Life experiences, formal learning, and relationships are the main pathways to conscientization outlined by Marine and Gilbert (2022). The next element, reflection, is essential to critical praxis </w:t>
      </w:r>
      <w:r>
        <w:rPr>
          <w:rFonts w:ascii="Times New Roman" w:eastAsia="Times New Roman" w:hAnsi="Times New Roman" w:cs="Times New Roman"/>
          <w:sz w:val="24"/>
          <w:szCs w:val="24"/>
          <w:highlight w:val="white"/>
        </w:rPr>
        <w:lastRenderedPageBreak/>
        <w:t>and fundamentally different from conscientization. Reflection is the process by which individuals acknowledge and contemplate their positionality in relation to others and the world. Core components of reflection include asking critical questions, reframing assumptions, and envisioning a better world (Marine &amp; Gilbert, 2022). The final element of critical praxis is intentional action that challenges and transforms systems. Key characteristics of critical praxis action include challenging dominant narratives, disrupting power dynamics, and resisting neoliberal forces (Marine &amp; Gilbert, 2022). Each component of the critical praxis model is continuous and requires practitioners and scholars to consistently reflect, act, and engage in the gradual and iterative process of conscientization (Marine &amp; Gilbert, 2022). </w:t>
      </w:r>
    </w:p>
    <w:p w14:paraId="55672D1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relationship between critical praxis and phenomenology is synergistic. The elements of conscientization, reflection, and action (Marine &amp; Gilbert, 2022) mirror distinct critical phenomenology characteristics such as bracketing and the importance of understanding the historical and societal structures that influence experiences.  Further, authors from Marine and Gilbert’s (2022) text provide strategies for enacting critical praxis in scholar-practitioner work. </w:t>
      </w:r>
    </w:p>
    <w:p w14:paraId="723A58D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 and trust building with participants can be supported by prioritizing safety and empowerment as suggested by Quiros and Berger’s (2013) five assumptions of trauma-informed practice (Gilbert, 2022; Goodwin et al., 2020; Marshall &amp; Rossman, 2016). Adopting an interconnectivity framework (Keating, 2013), and specifically incorporating an ethic of interrelatedness and listening with raw openness, may also contribute to the participant and researcher relationship and trustworthiness of findings (Ashlee &amp; Ashlee, 2022; Goodwin et al., 2020; Marshall &amp; Rossman, 2016; Motulsky, 2021). </w:t>
      </w:r>
      <w:r>
        <w:rPr>
          <w:rFonts w:ascii="Times New Roman" w:eastAsia="Times New Roman" w:hAnsi="Times New Roman" w:cs="Times New Roman"/>
          <w:sz w:val="24"/>
          <w:szCs w:val="24"/>
          <w:highlight w:val="white"/>
        </w:rPr>
        <w:t xml:space="preserve">By utilizing the critical praxis model as a framework for conceptualizing data from phenomenological research, findings may yield a </w:t>
      </w:r>
      <w:r>
        <w:rPr>
          <w:rFonts w:ascii="Times New Roman" w:eastAsia="Times New Roman" w:hAnsi="Times New Roman" w:cs="Times New Roman"/>
          <w:sz w:val="24"/>
          <w:szCs w:val="24"/>
          <w:highlight w:val="white"/>
        </w:rPr>
        <w:lastRenderedPageBreak/>
        <w:t>critical and holistic understanding of the experiences of marginalized professionals and contribute to equitable change within higher education. </w:t>
      </w:r>
    </w:p>
    <w:p w14:paraId="43704AB6"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Recruitment</w:t>
      </w:r>
    </w:p>
    <w:p w14:paraId="45EF10F1" w14:textId="38CF4DBC"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Given the need to identify participants with shared experiences, I utilized purposeful/criterion sampling (Marshall &amp; Rossman, 2016; Merriam &amp; Tisdell, 2016; Palinkas et al., 2015) to identify prospective participants. Criterion-based sampling requires the researcher to determine attributes of their sample that are crucial to the study, and then find prospective participants who meet the criteria (Merriam &amp; Tisdell, 2016). Employing a purposeful sampling technique can ensure the “specific phenomena selected for illumination can be actively targeted” (Hayes &amp; Graham, 2022, p. 35) and is appropriate for this study, as all participants needed to have experience persisting through the field of higher education and student affairs. Additional criteria for participation included serving in a senior-level student affairs role or in an administrative leadership position within higher education, and holding at least one historically marginalized identity.</w:t>
      </w:r>
      <w:r>
        <w:rPr>
          <w:rFonts w:ascii="Calibri" w:eastAsia="Calibri" w:hAnsi="Calibri" w:cs="Calibri"/>
        </w:rPr>
        <w:t xml:space="preserve"> </w:t>
      </w:r>
      <w:r>
        <w:rPr>
          <w:rFonts w:ascii="Times New Roman" w:eastAsia="Times New Roman" w:hAnsi="Times New Roman" w:cs="Times New Roman"/>
          <w:sz w:val="24"/>
          <w:szCs w:val="24"/>
        </w:rPr>
        <w:t xml:space="preserve">I </w:t>
      </w:r>
      <w:r w:rsidR="007351F5">
        <w:rPr>
          <w:rFonts w:ascii="Times New Roman" w:eastAsia="Times New Roman" w:hAnsi="Times New Roman" w:cs="Times New Roman"/>
          <w:sz w:val="24"/>
          <w:szCs w:val="24"/>
        </w:rPr>
        <w:t>was also</w:t>
      </w:r>
      <w:r>
        <w:rPr>
          <w:rFonts w:ascii="Times New Roman" w:eastAsia="Times New Roman" w:hAnsi="Times New Roman" w:cs="Times New Roman"/>
          <w:sz w:val="24"/>
          <w:szCs w:val="24"/>
        </w:rPr>
        <w:t xml:space="preserve"> aware of the types of institutions potential participants have experience with, and considered professionals serving at community colleges, historically Black colleges and Universities (HBCUs), Hispanic Serving Institutions (HSIs), Minority Serving Institutions (MSIs), small private, religious, or public institutions, and large research universities. To assist in recruitment, I leveraged my personal connections to previous supervisors, mentors, and social media networks to seek potential participants. I am fortunate that my circle of mentors and past supervisors all hold marginalized identities and have extensive connections to professionals across the U.S. who meet the criteria for this study. However, I excluded colleagues or senior-level administrators I personally knew to minimize potential risks. I expand on other ethical considerations later in this chapter.   </w:t>
      </w:r>
    </w:p>
    <w:p w14:paraId="7F69CBCF" w14:textId="77777777" w:rsidR="001510DC" w:rsidRDefault="00000000">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Phenomenological research indicates that studies with as few as five participants are acceptable when proper phenomenological methods, such as conducting more than one interview, are utilized (Larsen &amp; Adu, 2022). Further, seeking additional participants is not needed if saturation can be reached with a smaller sample size (Saunders et al., 2018; Seidman, 2013; Thomas &amp; Pollio, 2002). Saturation occurs when no new data is found from exploring the phenomenon. To this end, I intended to interview 6-10 participants (Thomas and Pollio, 2002), and I will continue data collection until saturation is achieved. </w:t>
      </w:r>
    </w:p>
    <w:p w14:paraId="18BCB15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recruited prospective participants by asking my professional network to consider student affairs practitioner-educators they know who meet the criteria and may be willing to participate. I asked 10 colleagues to forward individual invitations with details about the study via email to potential participants to gauge their interest. Each colleague sent the invitation to 2-5 potential participants, and the invitation informed prospective participants to email me directly. I continued to accept participants until I had representation from various identities, backgrounds, institution types, and geographic regions, and felt saturation could be attained (Merriam &amp; Tisdell, 2016; Thomas &amp; Pollio, 2002). This recruitment process concluded with 8 practitioners who each participated in an interview and follow-up conversation.  </w:t>
      </w:r>
    </w:p>
    <w:p w14:paraId="19ED5604"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w:t>
      </w:r>
    </w:p>
    <w:p w14:paraId="41099C63" w14:textId="6B349DD8" w:rsidR="001510DC" w:rsidRDefault="00000000">
      <w:pPr>
        <w:spacing w:line="48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eight participants in this study’s sample have served a collective 130+ years within student affairs at higher education institutions across the </w:t>
      </w:r>
      <w:r w:rsidR="007351F5">
        <w:rPr>
          <w:rFonts w:ascii="Times New Roman" w:eastAsia="Times New Roman" w:hAnsi="Times New Roman" w:cs="Times New Roman"/>
          <w:sz w:val="24"/>
          <w:szCs w:val="24"/>
        </w:rPr>
        <w:t>U.S.</w:t>
      </w:r>
      <w:r>
        <w:rPr>
          <w:rFonts w:ascii="Times New Roman" w:eastAsia="Times New Roman" w:hAnsi="Times New Roman" w:cs="Times New Roman"/>
          <w:sz w:val="24"/>
          <w:szCs w:val="24"/>
        </w:rPr>
        <w:t xml:space="preserve"> Four participants identify as men and four identify as women; three participants identify as Queer; and four participants identify </w:t>
      </w:r>
      <w:r w:rsidR="007351F5">
        <w:rPr>
          <w:rFonts w:ascii="Times New Roman" w:eastAsia="Times New Roman" w:hAnsi="Times New Roman" w:cs="Times New Roman"/>
          <w:sz w:val="24"/>
          <w:szCs w:val="24"/>
        </w:rPr>
        <w:t>as Black</w:t>
      </w:r>
      <w:r>
        <w:rPr>
          <w:rFonts w:ascii="Times New Roman" w:eastAsia="Times New Roman" w:hAnsi="Times New Roman" w:cs="Times New Roman"/>
          <w:sz w:val="24"/>
          <w:szCs w:val="24"/>
        </w:rPr>
        <w:t xml:space="preserve">, three as Asian American, and one as Latina. Seven of the eight participants are first-generation college students. Participants currently work and reside in the West Coast, Midwest, and Southern regions of the United States; but the collective sample has career experiences in all </w:t>
      </w:r>
      <w:r>
        <w:rPr>
          <w:rFonts w:ascii="Times New Roman" w:eastAsia="Times New Roman" w:hAnsi="Times New Roman" w:cs="Times New Roman"/>
          <w:sz w:val="24"/>
          <w:szCs w:val="24"/>
        </w:rPr>
        <w:lastRenderedPageBreak/>
        <w:t>areas of the U.S., with seven states represented in this study. Participants currently serve as assistant vice presidents (AVP) for student services, engagement, or equity and identity within student affairs divisions; dean of students (DOS) or combined DOS and AVP roles; or vice presidents of student affairs divisions. Large and mid-sized public institutions, small and medium sized liberal arts colleges, large private research or technical institutions, and small and medium size private religious university experiences are represented within the sample. Individual participant descriptions will be discussed in greater detail in Chapter 4.</w:t>
      </w:r>
      <w:r>
        <w:rPr>
          <w:rFonts w:ascii="Times New Roman" w:eastAsia="Times New Roman" w:hAnsi="Times New Roman" w:cs="Times New Roman"/>
          <w:sz w:val="24"/>
          <w:szCs w:val="24"/>
          <w:highlight w:val="yellow"/>
        </w:rPr>
        <w:t xml:space="preserve"> </w:t>
      </w:r>
    </w:p>
    <w:p w14:paraId="28C16000"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Data Collection</w:t>
      </w:r>
    </w:p>
    <w:p w14:paraId="1D8CB845"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Qualitative researchers often collect data through participant interviews. These interviews are typically less structured and allow the researcher to develop new ideas and questions based on participant responses (Merriam &amp; Tisdell, 2016). Phenomenological interviews are conversational, free from ambiguity, and flexible in structure (Larson &amp; Adu, 2021). For this study, I conducted one-on-one semi-structured interviews (Alase, 2017; Hayes &amp; Graham, 2022; Kallio et al., 2016; Larson &amp; Adu, 2021; Moustakas, 1994 </w:t>
      </w:r>
      <w:r>
        <w:rPr>
          <w:rFonts w:ascii="Times New Roman" w:eastAsia="Times New Roman" w:hAnsi="Times New Roman" w:cs="Times New Roman"/>
          <w:sz w:val="24"/>
          <w:szCs w:val="24"/>
          <w:highlight w:val="white"/>
        </w:rPr>
        <w:t>Rabionet, 2009</w:t>
      </w:r>
      <w:r>
        <w:rPr>
          <w:rFonts w:ascii="Times New Roman" w:eastAsia="Times New Roman" w:hAnsi="Times New Roman" w:cs="Times New Roman"/>
          <w:sz w:val="24"/>
          <w:szCs w:val="24"/>
        </w:rPr>
        <w:t>). I developed an interview protocol (Merriam &amp; Tisdell, 2016) with open-ended questions to allow for flexibility and the opportunity for follow-up questions (Appendix A). The interview questions emphasized how the participants reacted to or experienced the phenomenon being studied, with the goal of identifying the essence of the participants’ shared experiences (Larsen &amp; Adu, 2022; Moustakas, 1994). All interviews were recorded via Zoom and transcribed using Rev Max transcription service. </w:t>
      </w:r>
    </w:p>
    <w:p w14:paraId="3A85E17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Reflexive Participant Collaboration </w:t>
      </w:r>
    </w:p>
    <w:p w14:paraId="3D2881F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a follow-up conversation, I engaged in reflexive participant collaboration (Motulsky, 2021). Reflexive participant collaboration is a critical and intentional form of </w:t>
      </w:r>
      <w:r>
        <w:rPr>
          <w:rFonts w:ascii="Times New Roman" w:eastAsia="Times New Roman" w:hAnsi="Times New Roman" w:cs="Times New Roman"/>
          <w:sz w:val="24"/>
          <w:szCs w:val="24"/>
        </w:rPr>
        <w:lastRenderedPageBreak/>
        <w:t>member checking that allows the researcher and participants to develop meaning and understanding of the data in tandem (Motulsky, 2021). Reflexivity is the researcher's understanding of how their experiences and beliefs about the world influence the research process (Morrow, 2005), and is central to this type of member checking. Member checking is the process of soliciting feedback from participants about the data to assess the trustworthiness of the interpretations or research findings (Birt et al., 2016; Lincoln &amp; Guba, 1985; Motulsky, 2021). There are concerns regarding the traditional, transcript review and checklist-type approach to member checking. Madill and Sullivan (2018) noted how some researchers have adopted the tool as a “gold standard” (p. 323), without considering the ethical and moral pitfalls burdens placed on participants, or influences on research findings (Motulsky, 2021). This lack of criticality and reflexivity led Motulsky (2021) to propose an alternate approach to trustworthiness: reflexive participant collaboration.   </w:t>
      </w:r>
    </w:p>
    <w:p w14:paraId="560F408A" w14:textId="5B16628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employ this approach, I engaged in a conversation with each participant after their interview was reviewed and transcribed. I described my understanding of the participant’s experiences and sought their feedback to assess the accuracy of my description. This conversation replaced transcript </w:t>
      </w:r>
      <w:r w:rsidR="007351F5">
        <w:rPr>
          <w:rFonts w:ascii="Times New Roman" w:eastAsia="Times New Roman" w:hAnsi="Times New Roman" w:cs="Times New Roman"/>
          <w:sz w:val="24"/>
          <w:szCs w:val="24"/>
        </w:rPr>
        <w:t>reviews and</w:t>
      </w:r>
      <w:r>
        <w:rPr>
          <w:rFonts w:ascii="Times New Roman" w:eastAsia="Times New Roman" w:hAnsi="Times New Roman" w:cs="Times New Roman"/>
          <w:sz w:val="24"/>
          <w:szCs w:val="24"/>
        </w:rPr>
        <w:t xml:space="preserve"> eliminated the transactional elements and additional burdens placed on participants during traditional member checking. I engaged in reflexivity throughout this process and continuously questioned my biases and assumptions regarding the participant’s feedback and my interpretations (Motulsky, 2021). Reflexive participant collaboration is an ongoing process, and dialogue with participants continued until data analysis was complete. I provide more details on how I will employ this method and describe additional trustworthiness strategies later in this chapter.      </w:t>
      </w:r>
    </w:p>
    <w:p w14:paraId="014FF280" w14:textId="77777777" w:rsidR="002F6F51" w:rsidRDefault="002F6F51">
      <w:pPr>
        <w:spacing w:line="480" w:lineRule="auto"/>
        <w:jc w:val="center"/>
        <w:rPr>
          <w:rFonts w:ascii="Times New Roman" w:eastAsia="Times New Roman" w:hAnsi="Times New Roman" w:cs="Times New Roman"/>
          <w:b/>
          <w:sz w:val="24"/>
          <w:szCs w:val="24"/>
        </w:rPr>
      </w:pPr>
    </w:p>
    <w:p w14:paraId="222BDD7A" w14:textId="7C591A39"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Data Analysis</w:t>
      </w:r>
    </w:p>
    <w:p w14:paraId="07DC680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analysis took place after each interview and follow-up conversation, until I reached the point of saturation (Merriam &amp; Tisdell, 2016; Saunders et al., 2018; Thomas &amp; Polliom, 2002). I utilized Husserl’s (1965) “reductions” or specific phenomenological analysis techniques to conceptualize an accurate description of the essence of participants’ shared experiences (Gill, 2014; Moustakas, 1994). The first reduction is the </w:t>
      </w:r>
      <w:r>
        <w:rPr>
          <w:rFonts w:ascii="Times New Roman" w:eastAsia="Times New Roman" w:hAnsi="Times New Roman" w:cs="Times New Roman"/>
          <w:i/>
          <w:sz w:val="24"/>
          <w:szCs w:val="24"/>
        </w:rPr>
        <w:t>transcendental stage</w:t>
      </w:r>
      <w:r>
        <w:rPr>
          <w:rFonts w:ascii="Times New Roman" w:eastAsia="Times New Roman" w:hAnsi="Times New Roman" w:cs="Times New Roman"/>
          <w:sz w:val="24"/>
          <w:szCs w:val="24"/>
        </w:rPr>
        <w:t xml:space="preserve">, which requires the researcher to engage in </w:t>
      </w:r>
      <w:r>
        <w:rPr>
          <w:rFonts w:ascii="Times New Roman" w:eastAsia="Times New Roman" w:hAnsi="Times New Roman" w:cs="Times New Roman"/>
          <w:i/>
          <w:sz w:val="24"/>
          <w:szCs w:val="24"/>
        </w:rPr>
        <w:t>epochè</w:t>
      </w:r>
      <w:r>
        <w:rPr>
          <w:rFonts w:ascii="Times New Roman" w:eastAsia="Times New Roman" w:hAnsi="Times New Roman" w:cs="Times New Roman"/>
          <w:sz w:val="24"/>
          <w:szCs w:val="24"/>
        </w:rPr>
        <w:t xml:space="preserve">, also referred to as bracketing (Moustakas, 1994; Neubauer et al., 2019). Husserl described </w:t>
      </w:r>
      <w:r>
        <w:rPr>
          <w:rFonts w:ascii="Times New Roman" w:eastAsia="Times New Roman" w:hAnsi="Times New Roman" w:cs="Times New Roman"/>
          <w:i/>
          <w:sz w:val="24"/>
          <w:szCs w:val="24"/>
        </w:rPr>
        <w:t>epochè</w:t>
      </w:r>
      <w:r>
        <w:rPr>
          <w:rFonts w:ascii="Times New Roman" w:eastAsia="Times New Roman" w:hAnsi="Times New Roman" w:cs="Times New Roman"/>
          <w:sz w:val="24"/>
          <w:szCs w:val="24"/>
        </w:rPr>
        <w:t xml:space="preserve"> as the act of setting aside all biases, judgements, previous knowledge, and preconceived ideas about the research subject (Husserl, 1965; Moustakas, 1994, p. 85; Neubauer et al., 2019). The second stage is the </w:t>
      </w:r>
      <w:r>
        <w:rPr>
          <w:rFonts w:ascii="Times New Roman" w:eastAsia="Times New Roman" w:hAnsi="Times New Roman" w:cs="Times New Roman"/>
          <w:i/>
          <w:sz w:val="24"/>
          <w:szCs w:val="24"/>
        </w:rPr>
        <w:t>transcendental-phenomenological reduction</w:t>
      </w:r>
      <w:r>
        <w:rPr>
          <w:rFonts w:ascii="Times New Roman" w:eastAsia="Times New Roman" w:hAnsi="Times New Roman" w:cs="Times New Roman"/>
          <w:sz w:val="24"/>
          <w:szCs w:val="24"/>
        </w:rPr>
        <w:t xml:space="preserve">. During this stage, the researcher engages with the interview data and constructs descriptions of the phenomenon’s essences from each participant’s experience. This is when horizontalization (Moustakas, 1994, p. 120), or the act of continuously re-reading interview transcripts to ensure accurate understanding, takes place. </w:t>
      </w:r>
      <w:r>
        <w:rPr>
          <w:rFonts w:ascii="Times New Roman" w:eastAsia="Times New Roman" w:hAnsi="Times New Roman" w:cs="Times New Roman"/>
          <w:i/>
          <w:sz w:val="24"/>
          <w:szCs w:val="24"/>
        </w:rPr>
        <w:t xml:space="preserve">Imaginative variation </w:t>
      </w:r>
      <w:r>
        <w:rPr>
          <w:rFonts w:ascii="Times New Roman" w:eastAsia="Times New Roman" w:hAnsi="Times New Roman" w:cs="Times New Roman"/>
          <w:sz w:val="24"/>
          <w:szCs w:val="24"/>
        </w:rPr>
        <w:t>is the final reduction. This process requires imagining the phenomenon in different contexts, or variations, to see what is left as the invariant or essential elements of the phenomenon (Moustakas, 1994; Gill, 2014). These steps aid in the researcher’s ability to derive the essence of the phenomenon, which is the main objective of phenomenological research (Moustakas, 1994; Neubauer et al., 2019). </w:t>
      </w:r>
    </w:p>
    <w:p w14:paraId="2D8F1B0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study, I employed the specific methods outlined by Husserl (1965) to answer my research questions and engaged in reflexive participant collaboration (Motulsky, 2021) to develop meaning and understanding of the data with my participants. Since this study is exploring a phenomenon amongst a population with a variety of identities, it is crucial for me to </w:t>
      </w:r>
      <w:r>
        <w:rPr>
          <w:rFonts w:ascii="Times New Roman" w:eastAsia="Times New Roman" w:hAnsi="Times New Roman" w:cs="Times New Roman"/>
          <w:sz w:val="24"/>
          <w:szCs w:val="24"/>
        </w:rPr>
        <w:lastRenderedPageBreak/>
        <w:t>derive the true essence of the phenomenon. Husserl believed that individuals experiencing the same phenomenon would describe commonly perceived features and experiences associated with that phenomenon; these features, or universal essences, can be identified and understood to develop a comprehensive description of the phenomenon under exploration (Neubauer et al., 2019). Engaging in Husserl’s (1965) stages of reductions and the co-creation of meaning with my participants allowed me to fully understand and describe the shared experiences and core elements of the phenomenon (Gill, 2014).</w:t>
      </w:r>
    </w:p>
    <w:p w14:paraId="660B95A8"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Transcendental Stage </w:t>
      </w:r>
    </w:p>
    <w:p w14:paraId="657932E2"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Husserl’s approach, the researcher prioritizes </w:t>
      </w:r>
      <w:r>
        <w:rPr>
          <w:rFonts w:ascii="Times New Roman" w:eastAsia="Times New Roman" w:hAnsi="Times New Roman" w:cs="Times New Roman"/>
          <w:i/>
          <w:sz w:val="24"/>
          <w:szCs w:val="24"/>
        </w:rPr>
        <w:t>transcendental subjectivity</w:t>
      </w:r>
      <w:r>
        <w:rPr>
          <w:rFonts w:ascii="Times New Roman" w:eastAsia="Times New Roman" w:hAnsi="Times New Roman" w:cs="Times New Roman"/>
          <w:sz w:val="24"/>
          <w:szCs w:val="24"/>
        </w:rPr>
        <w:t>, or the consistent reflection and assessment of biases and preconceptions so they do not influence the data (Husserl, 1965; Neubauer et al., 2019). Achieving this subjectivity begins with</w:t>
      </w:r>
      <w:r>
        <w:rPr>
          <w:rFonts w:ascii="Times New Roman" w:eastAsia="Times New Roman" w:hAnsi="Times New Roman" w:cs="Times New Roman"/>
          <w:i/>
          <w:sz w:val="24"/>
          <w:szCs w:val="24"/>
        </w:rPr>
        <w:t xml:space="preserve"> epochè</w:t>
      </w:r>
      <w:r>
        <w:rPr>
          <w:rFonts w:ascii="Times New Roman" w:eastAsia="Times New Roman" w:hAnsi="Times New Roman" w:cs="Times New Roman"/>
          <w:sz w:val="24"/>
          <w:szCs w:val="24"/>
        </w:rPr>
        <w:t>, the process of setting aside, or bracketing, any of the biases or preconceptions the researcher may have about the phenomenon or subject (Husserl, 1965; Moustakas, 1994, p. 85; Neubauer et al., 2019). Epochè and bracketing are connected in phenomenological research, and allow the researcher to explore the experiences of others from a clear perspective while also acknowledging the realities of the world (Moustakas, 1994). To reach and maintain transcendental subjectivity (Husserl, 1965), the researcher must engage in epochè and bracketing throughout the research process (Moustakas, 1994). Identifying my personal moments of conscientization (</w:t>
      </w:r>
      <w:r>
        <w:rPr>
          <w:rFonts w:ascii="Times New Roman" w:eastAsia="Times New Roman" w:hAnsi="Times New Roman" w:cs="Times New Roman"/>
          <w:sz w:val="24"/>
          <w:szCs w:val="24"/>
          <w:highlight w:val="white"/>
        </w:rPr>
        <w:t xml:space="preserve">Freire, 1970; </w:t>
      </w:r>
      <w:r>
        <w:rPr>
          <w:rFonts w:ascii="Times New Roman" w:eastAsia="Times New Roman" w:hAnsi="Times New Roman" w:cs="Times New Roman"/>
          <w:sz w:val="24"/>
          <w:szCs w:val="24"/>
        </w:rPr>
        <w:t>Marine &amp; Gilbert, 2022) served as a catalyst for epochè. I describe my experience with conscientization and positionality in greater detail later in this chapter. </w:t>
      </w:r>
    </w:p>
    <w:p w14:paraId="75A1F4A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ensure the processes of epochè and bracketing are consistently and intentionally employed throughout the study, I engaged in reflective journaling (Ahmed, 2024) and </w:t>
      </w:r>
      <w:r>
        <w:rPr>
          <w:rFonts w:ascii="Times New Roman" w:eastAsia="Times New Roman" w:hAnsi="Times New Roman" w:cs="Times New Roman"/>
          <w:sz w:val="24"/>
          <w:szCs w:val="24"/>
        </w:rPr>
        <w:lastRenderedPageBreak/>
        <w:t>meaningful dialogue with my colleagues and dissertation committee chair throughout data collection. Journaling is something I do in my personal life, and I do not follow a specific structure or method. For this study, I journaled my initial beliefs and preconceptions about the phenomenon before data collection; journaled my thoughts and feelings after each interview and as they came up during data analysis; and reflected on my journal entries to ensure my emotions are not influencing the data or my understanding of the data. The reflective practice of journaling enhances transparency and contributes to overall trustworthiness (Ahmed, 2024). I continuously engaged in conversation with my dissertation committee chair and trusted colleagues to process the feelings that arise during interviews and maintain transcendental subjectivity (Husserl, 1965). I discuss my trustworthiness strategies further in this chapter.     </w:t>
      </w:r>
    </w:p>
    <w:p w14:paraId="61344BE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Transcendental-Phenomenological Reduction</w:t>
      </w:r>
    </w:p>
    <w:p w14:paraId="2E5048C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transcendental subjectivity (Husserl, 1965) is to prepare the researcher for transcendental-phenomenological reduction, or the task of developing rich descriptions of what is observed and gathered from the participants shared experiences (Husserl, 1965; Moustakas, 1994). This step of data analysis required me to read and reread interview transcripts and notes to ensure I was accurately understanding the experiences of participants. Reflexive participant collaboration (Motulsky, 2021) took place during this step as I engaged in conversations with participants about my understanding of the data. I coded the interview transcripts for significant statements and patterns while allowing new data horizons to emerge. When a phenomenological researcher engages in the process of observation and rich description, new horizons are established; this process of horizontalization (Moustakas, 19945) allows each experience being described by the participant to have an equal value. Once all significant statements were highlighted and initial descriptions developed, repetitive statements and descriptions that do not </w:t>
      </w:r>
      <w:r>
        <w:rPr>
          <w:rFonts w:ascii="Times New Roman" w:eastAsia="Times New Roman" w:hAnsi="Times New Roman" w:cs="Times New Roman"/>
          <w:sz w:val="24"/>
          <w:szCs w:val="24"/>
        </w:rPr>
        <w:lastRenderedPageBreak/>
        <w:t xml:space="preserve">answer my research question were deleted. This left only the horizons, or core elements and qualities, of the phenomenon (Moustakas, 1994). Horizons were clustered into themes that address the research question or connect to the conceptual framework that guided this study (Moustakas, 1994). This was a continuous process until I felt all themes were identified for each set of interviews. Developing the themes and general description of the phenomenon is the </w:t>
      </w:r>
      <w:proofErr w:type="gramStart"/>
      <w:r>
        <w:rPr>
          <w:rFonts w:ascii="Times New Roman" w:eastAsia="Times New Roman" w:hAnsi="Times New Roman" w:cs="Times New Roman"/>
          <w:sz w:val="24"/>
          <w:szCs w:val="24"/>
        </w:rPr>
        <w:t>ultimate goal</w:t>
      </w:r>
      <w:proofErr w:type="gramEnd"/>
      <w:r>
        <w:rPr>
          <w:rFonts w:ascii="Times New Roman" w:eastAsia="Times New Roman" w:hAnsi="Times New Roman" w:cs="Times New Roman"/>
          <w:sz w:val="24"/>
          <w:szCs w:val="24"/>
        </w:rPr>
        <w:t xml:space="preserve"> of transcendental-phenomenological reduction (Husserl, 1965).         </w:t>
      </w:r>
    </w:p>
    <w:p w14:paraId="59043FF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Imaginative Variation </w:t>
      </w:r>
    </w:p>
    <w:p w14:paraId="13180DB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Imaginative variation follows phenomenological reduction in the research process, and is used to create textural and structural description (Husserl, 1965; Moustakas, 1994). The textural descriptions are the “what” of the experience and the structural description is the “how” (Moustakas, 1994, p.98). Imaginative variation requires imagining the phenomenon from different perspectives, or variations, to see what is left as the invariant or essential elements of the phenomenon (Gill, 2014; Moustakas, 1994). When engaging in imaginative variation, the researcher focuses on meanings and essences, rather than facts or measurable forms of data (Leigh-Osroosh, 2021; Moustakas, 1994). The descriptions constructed are rich and intricate, they illuminate the key details of participants’ experiences for the reader (Stahl &amp; King, 2020). This process derives the universal essences, aiding in the completion of the textural and structural descriptions. </w:t>
      </w:r>
    </w:p>
    <w:p w14:paraId="1CD273B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Constructing the Essence of the Phenomenon</w:t>
      </w:r>
    </w:p>
    <w:p w14:paraId="50AE8F6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concluding step of Husserl’s (1965) phenomenological data analysis process is to construct the essence of the phenomenon using the textural and structural descriptions (Leigh-Osroosh, 2021; Moustakas, 1994). Synthesizing the textural and structural descriptions after an exhaustive and robust study of the participants’ experiences allows the researcher to construct a </w:t>
      </w:r>
      <w:r>
        <w:rPr>
          <w:rFonts w:ascii="Times New Roman" w:eastAsia="Times New Roman" w:hAnsi="Times New Roman" w:cs="Times New Roman"/>
          <w:sz w:val="24"/>
          <w:szCs w:val="24"/>
        </w:rPr>
        <w:lastRenderedPageBreak/>
        <w:t>“unified statement of the essences of the experience of the phenomenon as a whole,” (Moustakas, 1994, p. 100). The language and words participants use to describe their experiences are powerful. This language should be honored throughout the data analysis process and used to describe the essence of the phenomenon explored (Santos et al., 2015; Thomas &amp; Pollio, 2002).  </w:t>
      </w:r>
    </w:p>
    <w:p w14:paraId="53BFF3F3"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Trustworthiness </w:t>
      </w:r>
    </w:p>
    <w:p w14:paraId="05FE9E7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The researcher is the primary instrument in qualitative research, and thus responsible for ensuring the rigor and trustworthiness of the study (Motulsky, 2021; Nowell et al., 2017). Trustworthiness is established when a methodology is intentionally chosen to answer the research questions and the methods are properly followed throughout the research process (Leigh-Osroosh, 2021). I chose a critical phenomenological approach for this study since I aimed to describe the phenomenon of persistence amongst student affairs professionals with marginalized identities. Moreover, I thoroughly follow the methods outlined in this chapter. A specific aspect of my methodology that assists with trustworthiness is the use of rich, thick description to establish credibility (Stahl &amp; King, 2020). Rich, detailed descriptions in qualitative research illuminate the intricacies of participant experiences and help clarify their meanings (Stahl &amp; King, 2020). </w:t>
      </w:r>
    </w:p>
    <w:p w14:paraId="14116E35"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 checking is another key component of this study’s methodology that supports credibility and trustworthiness (Lincoln &amp; Guba, 1985; Motulsky, 2021). I engaged in reflexive participant collaboration (Motulsky, 2021) as the specific form of member checking for this study. Member checking is the process of soliciting feedback from participants about the data to assess the trustworthiness of the interpretations or research findings (Birt et al., 2016; Lincoln &amp; Guba, 1985; Motulsky, 2021). Lincoln and Guba (1985) declared member checking as “the most crucial technique for establishing credibility” (p. 314), and has led to a transactional, </w:t>
      </w:r>
      <w:r>
        <w:rPr>
          <w:rFonts w:ascii="Times New Roman" w:eastAsia="Times New Roman" w:hAnsi="Times New Roman" w:cs="Times New Roman"/>
          <w:sz w:val="24"/>
          <w:szCs w:val="24"/>
        </w:rPr>
        <w:lastRenderedPageBreak/>
        <w:t>unintentional, and uncritical application of the tool throughout qualitative research (Motulsky, 2021). Madille and Sullivan (2018) noted how traditional member checking, such as transcript or theme review, has been adopted as the “gold standard” (p. 323) by qualitative researchers. This is often done without consideration of the ethical and moral pitfalls, burdens placed on participants, or influences on research findings (Madill &amp; Sullivan, 2018; Motulsky, 2021). This is a significant pattern that needs disrupting, as critical researchers must prioritize their participants’ wellbeing and empowerment, and their own reflexivity (Motulsky, 2021). </w:t>
      </w:r>
    </w:p>
    <w:p w14:paraId="7BBDA537" w14:textId="13E8D430"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Reflexivity is a researcher's understanding of how their experiences, beliefs, and biases influence the research process (Morrow, 2005; Motulsky, 2021). Reflexivity is crucial in critical, qualitative research, and mirrors distinct phenomenological methods such as e</w:t>
      </w:r>
      <w:r w:rsidR="00E02991">
        <w:rPr>
          <w:rFonts w:ascii="Times New Roman" w:eastAsia="Times New Roman" w:hAnsi="Times New Roman" w:cs="Times New Roman"/>
          <w:sz w:val="24"/>
          <w:szCs w:val="24"/>
        </w:rPr>
        <w:t>pochè</w:t>
      </w:r>
      <w:r>
        <w:rPr>
          <w:rFonts w:ascii="Times New Roman" w:eastAsia="Times New Roman" w:hAnsi="Times New Roman" w:cs="Times New Roman"/>
          <w:sz w:val="24"/>
          <w:szCs w:val="24"/>
        </w:rPr>
        <w:t>, bracketing, and transcendental subjectivity (Husserl, 1965; Moustakas, 1994; Morrow, 2005). Reflexivity is also key in reflexive participant collaboration, as the responsibility is placed on the researcher and the participants are invited to co-develop understanding (Motulsky, 2021). Engaging in reflexive participant collaboration aided in the credibility of my findings and study trustworthiness. </w:t>
      </w:r>
    </w:p>
    <w:p w14:paraId="3578378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Reflexivity and the combination of specific phenomenological analysis techniques such as epochè, bracketing, and transcendental subjectivity (Husserl, 1965; Moustakas, 1994) served as additional trustworthiness methods (Lincoln &amp; Guba, 1985; Stahl &amp; King, 2020). Peer debriefing is the process of honestly sharing emotions, biases, and assumed meanings with a non-involved researcher, and receiving transparent feedback that is not emotionally charged (Lincoln &amp; Guba, 1985; Stahl &amp; King, 2020). Peer debriefing allows the researcher to clear their mind of emotions that may influence interpretations and harm credibility (Lincoln &amp; Guba, 1985; Stahl &amp; King, 2020). I engaged in peer debriefing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attain transcendental </w:t>
      </w:r>
      <w:r>
        <w:rPr>
          <w:rFonts w:ascii="Times New Roman" w:eastAsia="Times New Roman" w:hAnsi="Times New Roman" w:cs="Times New Roman"/>
          <w:sz w:val="24"/>
          <w:szCs w:val="24"/>
        </w:rPr>
        <w:lastRenderedPageBreak/>
        <w:t>subjectivity, the consistent reflection and assessment of biases and preconceptions so they do not influence the data (Husserl, 1965; Neubauer et al., 2019). This consistent reflection, and the process of bracketing my personal experiences and beliefs, cannot be done alone. I engaged in peer debriefing with my dissertation committee chair throughout this study, and actively incorporated his feedback into my research process. This fusion of consistent reflexivity, bracketing, and peer debriefing supported the overall trustworthiness of the study.    </w:t>
      </w:r>
    </w:p>
    <w:p w14:paraId="5FF6016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Ethical Considerations</w:t>
      </w:r>
    </w:p>
    <w:p w14:paraId="7BA035A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prioritized ethical considerations throughout the research process. Since participant sensitivity is prioritized in qualitative research, a strong study must consider ethics when discussing trustworthiness (Goodwin et al., 2020; Marshall &amp; Rossman, 2016). The trustworthiness of a study cannot be judged solely on the research design and methods. How the researcher is ethically engaged must be considered (Marshall &amp; Rossman, 2016). Ethical considerations in qualitative research focus on the principles of respect for persons, beneficence, and justice (Marshall &amp; Rossman, 2016). Respect for persons is maintained when researchers honor their participants’ privacy, anonymity, and right to participate or withdraw from the study. Beneficence is the concept of ‘do no harm’ and justice refers to the “redress of past societal injustices” (Marshall &amp; Rossman, 2016, p. 52) and who benefits from the new knowledge formed from the study.  </w:t>
      </w:r>
    </w:p>
    <w:p w14:paraId="4C36A606" w14:textId="193D978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obtained approval through the University of Tennessee, Knoxville Institutional Review Board (IRB). Following IRB approval, I began recruitment and prioritized ethical considerations throughout the screening process. I ensured I have no personal connection to the participants. This meant no University of Tennessee, Knoxville professionals were eligible for study participation. These considerations support the principles of respect for persons and beneficence </w:t>
      </w:r>
      <w:r>
        <w:rPr>
          <w:rFonts w:ascii="Times New Roman" w:eastAsia="Times New Roman" w:hAnsi="Times New Roman" w:cs="Times New Roman"/>
          <w:sz w:val="24"/>
          <w:szCs w:val="24"/>
        </w:rPr>
        <w:lastRenderedPageBreak/>
        <w:t xml:space="preserve">as participants confidentiality </w:t>
      </w:r>
      <w:r w:rsidR="00E02991">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honored and potential risks were limited (Goodwin et al., 2020; Marshall &amp; Rossman, 2016)</w:t>
      </w:r>
    </w:p>
    <w:p w14:paraId="678C1F1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Once I completed recruitment and participant selection, I asked each participant to sign an informed consent form through DocuSign, a platform designed for private and secure document signage. The informed consent form detailed the purpose of the study, approximate time commitment for interviews and follow-up conversations, any potential risks or benefits, the ability of participants to withdraw from the study at any point, and my dissertation committee chair’s contact information. All participants were over the age of 18 and received information about data collection procedures before the initial interview. All records of interview transcripts and notes were saved and stored in a two-factor authenticated, password-protected computer owned by the University of Tennessee, Knoxville. All recorded materials and transcriptions were erased upon completion of the study to minimize the risk of violating participant confidentiality. During the first interview, I asked participants to self-select a pseudonym that was used as their identity in the study (Given, 2008; Goodwin et al., 2020; Surmiak, 2018). Participants self-selected their pseudonyms to minimize the potential harm that could come from a pseudonym I chose for them (Given, 2008; Goodwin et al., 2020; Surmiak, 2018). </w:t>
      </w:r>
    </w:p>
    <w:p w14:paraId="05920A0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Positionality</w:t>
      </w:r>
    </w:p>
    <w:p w14:paraId="4E968ED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bring my own perspectives, experiences, beliefs, and biases to the academy. As a young millennial with less than five years of full-time experience, I understand my age and lack of time in the field gives me a limited understanding of a long-held career in higher education and the breadth of that experience. In contrast, my age does not minimize the fullness of my experiences or threaten the fortitude of my beliefs and values. I experienced conscientization (</w:t>
      </w:r>
      <w:r>
        <w:rPr>
          <w:rFonts w:ascii="Times New Roman" w:eastAsia="Times New Roman" w:hAnsi="Times New Roman" w:cs="Times New Roman"/>
          <w:sz w:val="24"/>
          <w:szCs w:val="24"/>
          <w:highlight w:val="white"/>
        </w:rPr>
        <w:t xml:space="preserve">Freire, 1970; </w:t>
      </w:r>
      <w:r>
        <w:rPr>
          <w:rFonts w:ascii="Times New Roman" w:eastAsia="Times New Roman" w:hAnsi="Times New Roman" w:cs="Times New Roman"/>
          <w:sz w:val="24"/>
          <w:szCs w:val="24"/>
        </w:rPr>
        <w:t xml:space="preserve">Marine &amp; Gilbert, 2022) by forming relationships with people from all backgrounds and </w:t>
      </w:r>
      <w:r>
        <w:rPr>
          <w:rFonts w:ascii="Times New Roman" w:eastAsia="Times New Roman" w:hAnsi="Times New Roman" w:cs="Times New Roman"/>
          <w:sz w:val="24"/>
          <w:szCs w:val="24"/>
        </w:rPr>
        <w:lastRenderedPageBreak/>
        <w:t xml:space="preserve">communities during adolescence and learning about their experiences; and when I came out as Queer at the end of high school. After coming out, I experienced rejection from family members and peers, unprompted questions about my personal life and beliefs, and open disgust from strangers for holding my partner's hand. These experiences fueled my curiosity and disappointment with the society in which I lived. I was reconsidering my long-held assumptions about the world as Marine and Gilbert (2022) suggested. However, I was not exposed to, nor engaged in discussions about, the historical context and systemic structure of oppression until I attended college. These conversations and my understanding developed as I engaged with critical scholarship, learned about concepts such as </w:t>
      </w:r>
      <w:r>
        <w:rPr>
          <w:rFonts w:ascii="Times New Roman" w:eastAsia="Times New Roman" w:hAnsi="Times New Roman" w:cs="Times New Roman"/>
          <w:sz w:val="24"/>
          <w:szCs w:val="24"/>
          <w:highlight w:val="white"/>
        </w:rPr>
        <w:t>DiAngelo’s (2016) cycle of oppression,</w:t>
      </w:r>
      <w:r>
        <w:rPr>
          <w:rFonts w:ascii="Times New Roman" w:eastAsia="Times New Roman" w:hAnsi="Times New Roman" w:cs="Times New Roman"/>
          <w:sz w:val="24"/>
          <w:szCs w:val="24"/>
        </w:rPr>
        <w:t xml:space="preserve"> intersectionality (Crenshaw, 1989; 2019), and </w:t>
      </w:r>
      <w:r>
        <w:rPr>
          <w:rFonts w:ascii="Times New Roman" w:eastAsia="Times New Roman" w:hAnsi="Times New Roman" w:cs="Times New Roman"/>
          <w:sz w:val="24"/>
          <w:szCs w:val="24"/>
          <w:highlight w:val="white"/>
        </w:rPr>
        <w:t>social justice (Bell, 2016)</w:t>
      </w:r>
      <w:r>
        <w:rPr>
          <w:rFonts w:ascii="Times New Roman" w:eastAsia="Times New Roman" w:hAnsi="Times New Roman" w:cs="Times New Roman"/>
          <w:sz w:val="24"/>
          <w:szCs w:val="24"/>
        </w:rPr>
        <w:t>; and began understanding the structural barriers that exist for people with non-dominant identities while enrolled in my master’s program. My interest in the persistence of marginalized professionals emerged when I was introduced to the concept of burnout during my master’s program and began noticing marginalized professionals leaving the field. I originally wanted to know the ‘why’ behind the significant attrition crisis (Marshall et al., 2016) in student affairs. This interest transitioned to frustration as professionals with marginalized identities shared their experiences with me, and I learned of the additional challenges facing these professionals. To mitigate this frustration, I decided to focus my research on individuals with marginalized identities who persisted through the systems I was desperate to deconstruct. </w:t>
      </w:r>
    </w:p>
    <w:p w14:paraId="00F3D7EF" w14:textId="63C4F62E"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a white, cisgender, Queer, able-bodied woman from a lower-middle class background. I am continually understanding and acknowledging the privilege and power of my dominant identities, while also navigating the complexity that comes with ‘otherness.’ Outside of my passion for higher education, most of my purpose centers the lives of marginalized </w:t>
      </w:r>
      <w:r>
        <w:rPr>
          <w:rFonts w:ascii="Times New Roman" w:eastAsia="Times New Roman" w:hAnsi="Times New Roman" w:cs="Times New Roman"/>
          <w:sz w:val="24"/>
          <w:szCs w:val="24"/>
        </w:rPr>
        <w:lastRenderedPageBreak/>
        <w:t xml:space="preserve">populations and addressing the inequalities and injustices they face. I bring my experiences and </w:t>
      </w:r>
      <w:r w:rsidR="00E02991">
        <w:rPr>
          <w:rFonts w:ascii="Times New Roman" w:eastAsia="Times New Roman" w:hAnsi="Times New Roman" w:cs="Times New Roman"/>
          <w:sz w:val="24"/>
          <w:szCs w:val="24"/>
        </w:rPr>
        <w:t>worldview</w:t>
      </w:r>
      <w:r>
        <w:rPr>
          <w:rFonts w:ascii="Times New Roman" w:eastAsia="Times New Roman" w:hAnsi="Times New Roman" w:cs="Times New Roman"/>
          <w:sz w:val="24"/>
          <w:szCs w:val="24"/>
        </w:rPr>
        <w:t xml:space="preserve"> to the academy and recognize they will influence my research. To counteract my biases, I consistently challenge my socialized assumptions and practice reflexivity. Processing the intersectionality (Crenshaw, 1989; 2019) of my identities and how they shape my experiences, immersing myself in critical literature, and engaging in uncomfortable, transformative conversations with peers and colleagues have and will continue to influence my conscientization. These experiences and lessons motivate me to reflect on my assumptions, challenge dominant narratives, and disrupt power dynamics in both my personal and professional life. My action manifests through leveraging my knowledge and positionality within my scholar-practitioner role and personal sphere of influence. I prioritize critical research, investigate best practices, seek out the most excluded and marginalized communities on campus, and consistently work to ensure my decisions, behaviors, and actions are thoughtful and equitable. Engaging in these elements of critical praxis is essential to my role as a researcher, but just as crucial for my individual journey as an aspiring ally and activist. </w:t>
      </w:r>
    </w:p>
    <w:p w14:paraId="25AF93E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My application of critical phenomenology is purposeful. It is not only a method of research, but a commitment I make as a researcher. Critical phenomenologists must prioritize their own learning of identities, privilege, and structures of oppression. They also need to understand the responsibility of conducting qualitative research with populations that have experienced discrimination and trauma, and prioritize the inclusion of critical theories into conceptual or theoretical frameworks used in their research. Lastly, critical phenomenology is not complete without the incorporation of tangible action and practical changes based on the new knowledge that is formed. I will expand on this approach based on the study findings in chapter five. </w:t>
      </w:r>
    </w:p>
    <w:p w14:paraId="5BCA324D"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Summary</w:t>
      </w:r>
    </w:p>
    <w:p w14:paraId="76F8A57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conducted a critical phenomenological qualitative study on the ways in which student affairs professionals with marginalized identities perceive their career experiences and advancement. In Chapter 3, I presented the research question, described the phenomenological methodology, and discussed my positionality as the researcher. I described my recruitment, data collection, and data analysis techniques; discussed the ethical considerations; and explained my reflexivity and trustworthiness strategies.   </w:t>
      </w:r>
    </w:p>
    <w:p w14:paraId="3BF01D78" w14:textId="77777777" w:rsidR="001510DC" w:rsidRDefault="00000000">
      <w:pPr>
        <w:spacing w:after="160" w:line="259"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Chapter 4</w:t>
      </w:r>
    </w:p>
    <w:p w14:paraId="05A765A1"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Findings</w:t>
      </w:r>
    </w:p>
    <w:p w14:paraId="01F28D96" w14:textId="5C7D8782"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Chapter 4, I present the findings from phenomenological interviews with eight senior student affairs professionals (see </w:t>
      </w:r>
      <w:r w:rsidR="00A0345A" w:rsidRPr="00A0345A">
        <w:rPr>
          <w:rFonts w:ascii="Times New Roman" w:eastAsia="Times New Roman" w:hAnsi="Times New Roman" w:cs="Times New Roman"/>
          <w:b/>
          <w:bCs/>
          <w:sz w:val="24"/>
          <w:szCs w:val="24"/>
        </w:rPr>
        <w:t>Table</w:t>
      </w:r>
      <w:r w:rsidRPr="00A0345A">
        <w:rPr>
          <w:rFonts w:ascii="Times New Roman" w:eastAsia="Times New Roman" w:hAnsi="Times New Roman" w:cs="Times New Roman"/>
          <w:b/>
          <w:bCs/>
          <w:sz w:val="24"/>
          <w:szCs w:val="24"/>
        </w:rPr>
        <w:t xml:space="preserve"> 1</w:t>
      </w:r>
      <w:r>
        <w:rPr>
          <w:rFonts w:ascii="Times New Roman" w:eastAsia="Times New Roman" w:hAnsi="Times New Roman" w:cs="Times New Roman"/>
          <w:sz w:val="24"/>
          <w:szCs w:val="24"/>
        </w:rPr>
        <w:t xml:space="preserve">: Participant Demographics and </w:t>
      </w:r>
      <w:r w:rsidR="00A0345A" w:rsidRPr="00A0345A">
        <w:rPr>
          <w:rFonts w:ascii="Times New Roman" w:eastAsia="Times New Roman" w:hAnsi="Times New Roman" w:cs="Times New Roman"/>
          <w:b/>
          <w:bCs/>
          <w:sz w:val="24"/>
          <w:szCs w:val="24"/>
        </w:rPr>
        <w:t>Table</w:t>
      </w:r>
      <w:r w:rsidRPr="00A0345A">
        <w:rPr>
          <w:rFonts w:ascii="Times New Roman" w:eastAsia="Times New Roman" w:hAnsi="Times New Roman" w:cs="Times New Roman"/>
          <w:b/>
          <w:bCs/>
          <w:sz w:val="24"/>
          <w:szCs w:val="24"/>
        </w:rPr>
        <w:t xml:space="preserve"> 2</w:t>
      </w:r>
      <w:r>
        <w:rPr>
          <w:rFonts w:ascii="Times New Roman" w:eastAsia="Times New Roman" w:hAnsi="Times New Roman" w:cs="Times New Roman"/>
          <w:sz w:val="24"/>
          <w:szCs w:val="24"/>
        </w:rPr>
        <w:t xml:space="preserve">: Participants’ Institutional Background). The purpose of this critical, qualitative, phenomenological study was to explore the ways in which student affairs professionals with marginalized identities perceive their career persistence. To accomplish this, I engaged in a phenomenological interview, data collection and analysis techniques, and a reflexive participant collaboration (Motulsky, 2021) follow-up conversation with each participant: </w:t>
      </w:r>
      <w:r>
        <w:rPr>
          <w:rFonts w:ascii="Times New Roman" w:eastAsia="Times New Roman" w:hAnsi="Times New Roman" w:cs="Times New Roman"/>
          <w:i/>
          <w:sz w:val="24"/>
          <w:szCs w:val="24"/>
        </w:rPr>
        <w:t>workplace experiences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persistence pathways</w:t>
      </w:r>
      <w:r>
        <w:rPr>
          <w:rFonts w:ascii="Times New Roman" w:eastAsia="Times New Roman" w:hAnsi="Times New Roman" w:cs="Times New Roman"/>
          <w:sz w:val="24"/>
          <w:szCs w:val="24"/>
        </w:rPr>
        <w:t xml:space="preserve">. I subsequently categorized each theme into four sub-themes (see </w:t>
      </w:r>
      <w:r w:rsidR="00A0345A" w:rsidRPr="00A0345A">
        <w:rPr>
          <w:rFonts w:ascii="Times New Roman" w:eastAsia="Times New Roman" w:hAnsi="Times New Roman" w:cs="Times New Roman"/>
          <w:b/>
          <w:bCs/>
          <w:sz w:val="24"/>
          <w:szCs w:val="24"/>
        </w:rPr>
        <w:t>Table</w:t>
      </w:r>
      <w:r w:rsidRPr="00A0345A">
        <w:rPr>
          <w:rFonts w:ascii="Times New Roman" w:eastAsia="Times New Roman" w:hAnsi="Times New Roman" w:cs="Times New Roman"/>
          <w:b/>
          <w:bCs/>
          <w:sz w:val="24"/>
          <w:szCs w:val="24"/>
        </w:rPr>
        <w:t xml:space="preserve"> 3</w:t>
      </w:r>
      <w:r>
        <w:rPr>
          <w:rFonts w:ascii="Times New Roman" w:eastAsia="Times New Roman" w:hAnsi="Times New Roman" w:cs="Times New Roman"/>
          <w:sz w:val="24"/>
          <w:szCs w:val="24"/>
        </w:rPr>
        <w:t xml:space="preserve">). Additionally, data were conceptually analyzed for elements of critical praxis: </w:t>
      </w:r>
      <w:r>
        <w:rPr>
          <w:rFonts w:ascii="Times New Roman" w:eastAsia="Times New Roman" w:hAnsi="Times New Roman" w:cs="Times New Roman"/>
          <w:i/>
          <w:sz w:val="24"/>
          <w:szCs w:val="24"/>
        </w:rPr>
        <w:t>conscientization, reflection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action</w:t>
      </w:r>
      <w:r>
        <w:rPr>
          <w:rFonts w:ascii="Times New Roman" w:eastAsia="Times New Roman" w:hAnsi="Times New Roman" w:cs="Times New Roman"/>
          <w:sz w:val="24"/>
          <w:szCs w:val="24"/>
        </w:rPr>
        <w:t xml:space="preserve">.  </w:t>
      </w:r>
    </w:p>
    <w:p w14:paraId="512E5A87" w14:textId="290A1BC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chapter, I describe the themes and sub-themes that emerged from phenomenological analysis and provide participants’ narratives to amplify their experiences. I also provide a conceptual analysis of the data using Marine and Gilbert’s (2022) model for critical praxis in student affairs and illustrate the ways conscientization, reflection, and action </w:t>
      </w:r>
      <w:r w:rsidR="00E02991">
        <w:rPr>
          <w:rFonts w:ascii="Times New Roman" w:eastAsia="Times New Roman" w:hAnsi="Times New Roman" w:cs="Times New Roman"/>
          <w:sz w:val="24"/>
          <w:szCs w:val="24"/>
        </w:rPr>
        <w:t>influenced participants</w:t>
      </w:r>
      <w:r>
        <w:rPr>
          <w:rFonts w:ascii="Times New Roman" w:eastAsia="Times New Roman" w:hAnsi="Times New Roman" w:cs="Times New Roman"/>
          <w:sz w:val="24"/>
          <w:szCs w:val="24"/>
        </w:rPr>
        <w:t xml:space="preserve">’ experiences. I conclude with a synthesis of the descriptions using participant language to capture the essence of persistence for student affairs professionals with marginalized identities.  </w:t>
      </w:r>
    </w:p>
    <w:p w14:paraId="7A53DF3C" w14:textId="77777777" w:rsidR="001510DC" w:rsidRDefault="00000000">
      <w:pPr>
        <w:spacing w:line="480" w:lineRule="auto"/>
        <w:rPr>
          <w:rFonts w:ascii="Times New Roman" w:eastAsia="Times New Roman" w:hAnsi="Times New Roman" w:cs="Times New Roman"/>
          <w:sz w:val="24"/>
          <w:szCs w:val="24"/>
        </w:rPr>
      </w:pPr>
      <w:r>
        <w:br w:type="page"/>
      </w:r>
    </w:p>
    <w:p w14:paraId="7EA7EABE" w14:textId="6C4B702F" w:rsidR="001510DC" w:rsidRDefault="00A0345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1: Participant Demographics</w:t>
      </w:r>
    </w:p>
    <w:tbl>
      <w:tblPr>
        <w:tblStyle w:val="a"/>
        <w:tblW w:w="5000" w:type="pct"/>
        <w:tblBorders>
          <w:top w:val="nil"/>
          <w:left w:val="nil"/>
          <w:bottom w:val="nil"/>
          <w:right w:val="nil"/>
          <w:insideH w:val="nil"/>
          <w:insideV w:val="nil"/>
        </w:tblBorders>
        <w:tblLook w:val="0600" w:firstRow="0" w:lastRow="0" w:firstColumn="0" w:lastColumn="0" w:noHBand="1" w:noVBand="1"/>
      </w:tblPr>
      <w:tblGrid>
        <w:gridCol w:w="1039"/>
        <w:gridCol w:w="1550"/>
        <w:gridCol w:w="2201"/>
        <w:gridCol w:w="1994"/>
        <w:gridCol w:w="2576"/>
      </w:tblGrid>
      <w:tr w:rsidR="001510DC" w14:paraId="4B990ABE" w14:textId="77777777" w:rsidTr="00A0345A">
        <w:trPr>
          <w:trHeight w:val="392"/>
        </w:trPr>
        <w:tc>
          <w:tcPr>
            <w:tcW w:w="555" w:type="pct"/>
            <w:tcBorders>
              <w:top w:val="nil"/>
              <w:left w:val="nil"/>
              <w:bottom w:val="single" w:sz="8" w:space="0" w:color="000000"/>
              <w:right w:val="single" w:sz="8" w:space="0" w:color="CCCCCC"/>
            </w:tcBorders>
            <w:tcMar>
              <w:top w:w="40" w:type="dxa"/>
              <w:left w:w="40" w:type="dxa"/>
              <w:bottom w:w="40" w:type="dxa"/>
              <w:right w:w="40" w:type="dxa"/>
            </w:tcMar>
            <w:vAlign w:val="bottom"/>
          </w:tcPr>
          <w:p w14:paraId="0AE57516" w14:textId="77777777" w:rsidR="001510DC" w:rsidRDefault="00000000">
            <w:pPr>
              <w:widowControl w:val="0"/>
              <w:jc w:val="center"/>
              <w:rPr>
                <w:sz w:val="20"/>
                <w:szCs w:val="20"/>
              </w:rPr>
            </w:pPr>
            <w:r>
              <w:rPr>
                <w:rFonts w:ascii="Times New Roman" w:eastAsia="Times New Roman" w:hAnsi="Times New Roman" w:cs="Times New Roman"/>
                <w:b/>
                <w:i/>
                <w:sz w:val="24"/>
                <w:szCs w:val="24"/>
              </w:rPr>
              <w:t>Name</w:t>
            </w:r>
          </w:p>
        </w:tc>
        <w:tc>
          <w:tcPr>
            <w:tcW w:w="828" w:type="pct"/>
            <w:tcBorders>
              <w:top w:val="nil"/>
              <w:left w:val="single" w:sz="8" w:space="0" w:color="CCCCCC"/>
              <w:bottom w:val="single" w:sz="8" w:space="0" w:color="000000"/>
              <w:right w:val="nil"/>
            </w:tcBorders>
            <w:tcMar>
              <w:top w:w="40" w:type="dxa"/>
              <w:left w:w="40" w:type="dxa"/>
              <w:bottom w:w="40" w:type="dxa"/>
              <w:right w:w="40" w:type="dxa"/>
            </w:tcMar>
            <w:vAlign w:val="bottom"/>
          </w:tcPr>
          <w:p w14:paraId="1FC97C6D" w14:textId="77777777" w:rsidR="001510DC" w:rsidRDefault="00000000">
            <w:pPr>
              <w:widowControl w:val="0"/>
              <w:jc w:val="center"/>
              <w:rPr>
                <w:sz w:val="20"/>
                <w:szCs w:val="20"/>
              </w:rPr>
            </w:pPr>
            <w:r>
              <w:rPr>
                <w:rFonts w:ascii="Times New Roman" w:eastAsia="Times New Roman" w:hAnsi="Times New Roman" w:cs="Times New Roman"/>
                <w:b/>
                <w:i/>
                <w:sz w:val="24"/>
                <w:szCs w:val="24"/>
              </w:rPr>
              <w:t>Gender</w:t>
            </w:r>
          </w:p>
        </w:tc>
        <w:tc>
          <w:tcPr>
            <w:tcW w:w="1176" w:type="pct"/>
            <w:tcBorders>
              <w:top w:val="nil"/>
              <w:left w:val="nil"/>
              <w:bottom w:val="single" w:sz="8" w:space="0" w:color="000000"/>
              <w:right w:val="nil"/>
            </w:tcBorders>
            <w:tcMar>
              <w:top w:w="40" w:type="dxa"/>
              <w:left w:w="40" w:type="dxa"/>
              <w:bottom w:w="40" w:type="dxa"/>
              <w:right w:w="40" w:type="dxa"/>
            </w:tcMar>
            <w:vAlign w:val="bottom"/>
          </w:tcPr>
          <w:p w14:paraId="0FB71441" w14:textId="77777777" w:rsidR="001510DC" w:rsidRDefault="00000000">
            <w:pPr>
              <w:widowControl w:val="0"/>
              <w:jc w:val="center"/>
              <w:rPr>
                <w:sz w:val="20"/>
                <w:szCs w:val="20"/>
              </w:rPr>
            </w:pPr>
            <w:r>
              <w:rPr>
                <w:rFonts w:ascii="Times New Roman" w:eastAsia="Times New Roman" w:hAnsi="Times New Roman" w:cs="Times New Roman"/>
                <w:b/>
                <w:i/>
                <w:sz w:val="24"/>
                <w:szCs w:val="24"/>
              </w:rPr>
              <w:t>Race</w:t>
            </w:r>
          </w:p>
        </w:tc>
        <w:tc>
          <w:tcPr>
            <w:tcW w:w="1065" w:type="pct"/>
            <w:tcBorders>
              <w:top w:val="nil"/>
              <w:left w:val="nil"/>
              <w:bottom w:val="single" w:sz="8" w:space="0" w:color="000000"/>
              <w:right w:val="nil"/>
            </w:tcBorders>
            <w:tcMar>
              <w:top w:w="40" w:type="dxa"/>
              <w:left w:w="40" w:type="dxa"/>
              <w:bottom w:w="40" w:type="dxa"/>
              <w:right w:w="40" w:type="dxa"/>
            </w:tcMar>
            <w:vAlign w:val="bottom"/>
          </w:tcPr>
          <w:p w14:paraId="7D90ACFE" w14:textId="77777777" w:rsidR="001510DC" w:rsidRDefault="00000000">
            <w:pPr>
              <w:widowControl w:val="0"/>
              <w:jc w:val="center"/>
              <w:rPr>
                <w:sz w:val="20"/>
                <w:szCs w:val="20"/>
              </w:rPr>
            </w:pPr>
            <w:r>
              <w:rPr>
                <w:rFonts w:ascii="Times New Roman" w:eastAsia="Times New Roman" w:hAnsi="Times New Roman" w:cs="Times New Roman"/>
                <w:b/>
                <w:i/>
                <w:sz w:val="24"/>
                <w:szCs w:val="24"/>
              </w:rPr>
              <w:t>Sexual Orientation</w:t>
            </w:r>
          </w:p>
        </w:tc>
        <w:tc>
          <w:tcPr>
            <w:tcW w:w="1376" w:type="pct"/>
            <w:tcBorders>
              <w:top w:val="nil"/>
              <w:left w:val="nil"/>
              <w:bottom w:val="single" w:sz="8" w:space="0" w:color="000000"/>
              <w:right w:val="nil"/>
            </w:tcBorders>
            <w:tcMar>
              <w:top w:w="40" w:type="dxa"/>
              <w:left w:w="40" w:type="dxa"/>
              <w:bottom w:w="40" w:type="dxa"/>
              <w:right w:w="40" w:type="dxa"/>
            </w:tcMar>
            <w:vAlign w:val="bottom"/>
          </w:tcPr>
          <w:p w14:paraId="324992FF" w14:textId="77777777" w:rsidR="001510DC" w:rsidRDefault="00000000">
            <w:pPr>
              <w:widowControl w:val="0"/>
              <w:jc w:val="center"/>
              <w:rPr>
                <w:sz w:val="20"/>
                <w:szCs w:val="20"/>
              </w:rPr>
            </w:pPr>
            <w:r>
              <w:rPr>
                <w:rFonts w:ascii="Times New Roman" w:eastAsia="Times New Roman" w:hAnsi="Times New Roman" w:cs="Times New Roman"/>
                <w:b/>
                <w:i/>
                <w:sz w:val="24"/>
                <w:szCs w:val="24"/>
              </w:rPr>
              <w:t>Notes</w:t>
            </w:r>
          </w:p>
        </w:tc>
      </w:tr>
      <w:tr w:rsidR="001510DC" w14:paraId="75A61DB8" w14:textId="77777777" w:rsidTr="00A0345A">
        <w:trPr>
          <w:trHeight w:val="360"/>
        </w:trPr>
        <w:tc>
          <w:tcPr>
            <w:tcW w:w="555" w:type="pct"/>
            <w:tcBorders>
              <w:top w:val="single" w:sz="8" w:space="0" w:color="CCCCCC"/>
              <w:left w:val="nil"/>
              <w:bottom w:val="nil"/>
              <w:right w:val="single" w:sz="8" w:space="0" w:color="000000"/>
            </w:tcBorders>
            <w:tcMar>
              <w:top w:w="40" w:type="dxa"/>
              <w:left w:w="40" w:type="dxa"/>
              <w:bottom w:w="40" w:type="dxa"/>
              <w:right w:w="40" w:type="dxa"/>
            </w:tcMar>
            <w:vAlign w:val="bottom"/>
          </w:tcPr>
          <w:p w14:paraId="493DE726" w14:textId="77777777" w:rsidR="001510DC" w:rsidRDefault="00000000">
            <w:pPr>
              <w:widowControl w:val="0"/>
              <w:jc w:val="center"/>
              <w:rPr>
                <w:sz w:val="20"/>
                <w:szCs w:val="20"/>
              </w:rPr>
            </w:pPr>
            <w:r>
              <w:rPr>
                <w:rFonts w:ascii="Times New Roman" w:eastAsia="Times New Roman" w:hAnsi="Times New Roman" w:cs="Times New Roman"/>
                <w:sz w:val="24"/>
                <w:szCs w:val="24"/>
              </w:rPr>
              <w:t>Brayden</w:t>
            </w:r>
          </w:p>
        </w:tc>
        <w:tc>
          <w:tcPr>
            <w:tcW w:w="828" w:type="pct"/>
            <w:tcBorders>
              <w:top w:val="single" w:sz="8" w:space="0" w:color="CCCCCC"/>
              <w:left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66D98B9F" w14:textId="77777777" w:rsidR="001510DC" w:rsidRDefault="00000000">
            <w:pPr>
              <w:widowControl w:val="0"/>
              <w:jc w:val="center"/>
              <w:rPr>
                <w:sz w:val="20"/>
                <w:szCs w:val="20"/>
              </w:rPr>
            </w:pPr>
            <w:r>
              <w:rPr>
                <w:rFonts w:ascii="Times New Roman" w:eastAsia="Times New Roman" w:hAnsi="Times New Roman" w:cs="Times New Roman"/>
                <w:sz w:val="24"/>
                <w:szCs w:val="24"/>
              </w:rPr>
              <w:t>Man</w:t>
            </w:r>
          </w:p>
        </w:tc>
        <w:tc>
          <w:tcPr>
            <w:tcW w:w="11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42CE4567" w14:textId="77777777" w:rsidR="001510DC" w:rsidRDefault="00000000">
            <w:pPr>
              <w:widowControl w:val="0"/>
              <w:jc w:val="center"/>
              <w:rPr>
                <w:sz w:val="20"/>
                <w:szCs w:val="20"/>
              </w:rPr>
            </w:pPr>
            <w:r>
              <w:rPr>
                <w:rFonts w:ascii="Times New Roman" w:eastAsia="Times New Roman" w:hAnsi="Times New Roman" w:cs="Times New Roman"/>
                <w:sz w:val="24"/>
                <w:szCs w:val="24"/>
              </w:rPr>
              <w:t>Black</w:t>
            </w:r>
          </w:p>
        </w:tc>
        <w:tc>
          <w:tcPr>
            <w:tcW w:w="1065"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7E4956CF" w14:textId="77777777" w:rsidR="001510DC" w:rsidRDefault="00000000">
            <w:pPr>
              <w:widowControl w:val="0"/>
              <w:jc w:val="center"/>
              <w:rPr>
                <w:sz w:val="20"/>
                <w:szCs w:val="20"/>
              </w:rPr>
            </w:pPr>
            <w:r>
              <w:rPr>
                <w:rFonts w:ascii="Times New Roman" w:eastAsia="Times New Roman" w:hAnsi="Times New Roman" w:cs="Times New Roman"/>
                <w:sz w:val="24"/>
                <w:szCs w:val="24"/>
              </w:rPr>
              <w:t>Straight</w:t>
            </w:r>
          </w:p>
        </w:tc>
        <w:tc>
          <w:tcPr>
            <w:tcW w:w="13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tcPr>
          <w:p w14:paraId="5E942D99"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Self-identified as Afro-Caribbean: Haitian and Barbadian</w:t>
            </w:r>
          </w:p>
        </w:tc>
      </w:tr>
      <w:tr w:rsidR="001510DC" w14:paraId="5BCEDB62"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00CF2591" w14:textId="77777777" w:rsidR="001510DC" w:rsidRDefault="00000000">
            <w:pPr>
              <w:widowControl w:val="0"/>
              <w:jc w:val="center"/>
              <w:rPr>
                <w:sz w:val="20"/>
                <w:szCs w:val="20"/>
              </w:rPr>
            </w:pPr>
            <w:r>
              <w:rPr>
                <w:rFonts w:ascii="Times New Roman" w:eastAsia="Times New Roman" w:hAnsi="Times New Roman" w:cs="Times New Roman"/>
                <w:sz w:val="24"/>
                <w:szCs w:val="24"/>
              </w:rPr>
              <w:t>Coach</w:t>
            </w:r>
          </w:p>
        </w:tc>
        <w:tc>
          <w:tcPr>
            <w:tcW w:w="828" w:type="pct"/>
            <w:tcBorders>
              <w:top w:val="single" w:sz="8" w:space="0" w:color="D9D9D9"/>
              <w:left w:val="single" w:sz="8" w:space="0" w:color="CCCCCC"/>
              <w:bottom w:val="single" w:sz="8" w:space="0" w:color="CCCCCC"/>
              <w:right w:val="nil"/>
            </w:tcBorders>
            <w:tcMar>
              <w:top w:w="40" w:type="dxa"/>
              <w:left w:w="40" w:type="dxa"/>
              <w:bottom w:w="40" w:type="dxa"/>
              <w:right w:w="40" w:type="dxa"/>
            </w:tcMar>
            <w:vAlign w:val="bottom"/>
          </w:tcPr>
          <w:p w14:paraId="25E0D99C" w14:textId="77777777" w:rsidR="001510DC" w:rsidRDefault="00000000">
            <w:pPr>
              <w:widowControl w:val="0"/>
              <w:jc w:val="center"/>
              <w:rPr>
                <w:sz w:val="20"/>
                <w:szCs w:val="20"/>
              </w:rPr>
            </w:pPr>
            <w:r>
              <w:rPr>
                <w:rFonts w:ascii="Times New Roman" w:eastAsia="Times New Roman" w:hAnsi="Times New Roman" w:cs="Times New Roman"/>
                <w:sz w:val="24"/>
                <w:szCs w:val="24"/>
              </w:rPr>
              <w:t>Woman</w:t>
            </w:r>
          </w:p>
        </w:tc>
        <w:tc>
          <w:tcPr>
            <w:tcW w:w="1176"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3E08F669" w14:textId="77777777" w:rsidR="001510DC" w:rsidRDefault="00000000">
            <w:pPr>
              <w:widowControl w:val="0"/>
              <w:jc w:val="center"/>
              <w:rPr>
                <w:sz w:val="20"/>
                <w:szCs w:val="20"/>
              </w:rPr>
            </w:pPr>
            <w:r>
              <w:rPr>
                <w:rFonts w:ascii="Times New Roman" w:eastAsia="Times New Roman" w:hAnsi="Times New Roman" w:cs="Times New Roman"/>
                <w:sz w:val="24"/>
                <w:szCs w:val="24"/>
              </w:rPr>
              <w:t>African American</w:t>
            </w:r>
          </w:p>
        </w:tc>
        <w:tc>
          <w:tcPr>
            <w:tcW w:w="1065"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78E1FD16" w14:textId="77777777" w:rsidR="001510DC" w:rsidRDefault="00000000">
            <w:pPr>
              <w:widowControl w:val="0"/>
              <w:jc w:val="center"/>
              <w:rPr>
                <w:sz w:val="20"/>
                <w:szCs w:val="20"/>
              </w:rPr>
            </w:pPr>
            <w:r>
              <w:rPr>
                <w:rFonts w:ascii="Times New Roman" w:eastAsia="Times New Roman" w:hAnsi="Times New Roman" w:cs="Times New Roman"/>
                <w:sz w:val="24"/>
                <w:szCs w:val="24"/>
              </w:rPr>
              <w:t>Straight</w:t>
            </w:r>
          </w:p>
        </w:tc>
        <w:tc>
          <w:tcPr>
            <w:tcW w:w="1376" w:type="pct"/>
            <w:tcBorders>
              <w:top w:val="single" w:sz="8" w:space="0" w:color="D9D9D9"/>
              <w:left w:val="nil"/>
              <w:bottom w:val="single" w:sz="8" w:space="0" w:color="CCCCCC"/>
              <w:right w:val="nil"/>
            </w:tcBorders>
            <w:tcMar>
              <w:top w:w="40" w:type="dxa"/>
              <w:left w:w="40" w:type="dxa"/>
              <w:bottom w:w="40" w:type="dxa"/>
              <w:right w:w="40" w:type="dxa"/>
            </w:tcMar>
          </w:tcPr>
          <w:p w14:paraId="10B71C8C"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Self-identified as African American</w:t>
            </w:r>
          </w:p>
        </w:tc>
      </w:tr>
      <w:tr w:rsidR="001510DC" w14:paraId="663CBCCE"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29C3251B"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Grace</w:t>
            </w:r>
          </w:p>
        </w:tc>
        <w:tc>
          <w:tcPr>
            <w:tcW w:w="828" w:type="pct"/>
            <w:tcBorders>
              <w:top w:val="single" w:sz="8" w:space="0" w:color="CCCCCC"/>
              <w:left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3E7342DE"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Woman</w:t>
            </w:r>
          </w:p>
        </w:tc>
        <w:tc>
          <w:tcPr>
            <w:tcW w:w="11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66D9121E"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Multi-racial, Asian American and White</w:t>
            </w:r>
          </w:p>
        </w:tc>
        <w:tc>
          <w:tcPr>
            <w:tcW w:w="1065"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3098F013"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Straight </w:t>
            </w:r>
          </w:p>
        </w:tc>
        <w:tc>
          <w:tcPr>
            <w:tcW w:w="13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tcPr>
          <w:p w14:paraId="763EE74F"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Self-identified as Multi-racial </w:t>
            </w:r>
          </w:p>
        </w:tc>
      </w:tr>
      <w:tr w:rsidR="001510DC" w14:paraId="6D33EE97"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43241576" w14:textId="77777777" w:rsidR="001510DC" w:rsidRDefault="00000000">
            <w:pPr>
              <w:widowControl w:val="0"/>
              <w:jc w:val="center"/>
              <w:rPr>
                <w:sz w:val="20"/>
                <w:szCs w:val="20"/>
              </w:rPr>
            </w:pPr>
            <w:r>
              <w:rPr>
                <w:rFonts w:ascii="Times New Roman" w:eastAsia="Times New Roman" w:hAnsi="Times New Roman" w:cs="Times New Roman"/>
                <w:sz w:val="24"/>
                <w:szCs w:val="24"/>
              </w:rPr>
              <w:t>Jack</w:t>
            </w:r>
          </w:p>
        </w:tc>
        <w:tc>
          <w:tcPr>
            <w:tcW w:w="828" w:type="pct"/>
            <w:tcBorders>
              <w:top w:val="single" w:sz="8" w:space="0" w:color="D9D9D9"/>
              <w:left w:val="single" w:sz="8" w:space="0" w:color="CCCCCC"/>
              <w:bottom w:val="single" w:sz="8" w:space="0" w:color="CCCCCC"/>
              <w:right w:val="nil"/>
            </w:tcBorders>
            <w:tcMar>
              <w:top w:w="40" w:type="dxa"/>
              <w:left w:w="40" w:type="dxa"/>
              <w:bottom w:w="40" w:type="dxa"/>
              <w:right w:w="40" w:type="dxa"/>
            </w:tcMar>
            <w:vAlign w:val="bottom"/>
          </w:tcPr>
          <w:p w14:paraId="5A58158D" w14:textId="77777777" w:rsidR="001510DC" w:rsidRDefault="00000000">
            <w:pPr>
              <w:widowControl w:val="0"/>
              <w:jc w:val="center"/>
              <w:rPr>
                <w:sz w:val="20"/>
                <w:szCs w:val="20"/>
              </w:rPr>
            </w:pPr>
            <w:r>
              <w:rPr>
                <w:rFonts w:ascii="Times New Roman" w:eastAsia="Times New Roman" w:hAnsi="Times New Roman" w:cs="Times New Roman"/>
                <w:sz w:val="24"/>
                <w:szCs w:val="24"/>
              </w:rPr>
              <w:t>Man</w:t>
            </w:r>
          </w:p>
        </w:tc>
        <w:tc>
          <w:tcPr>
            <w:tcW w:w="1176"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003F9938" w14:textId="77777777" w:rsidR="001510DC" w:rsidRDefault="00000000">
            <w:pPr>
              <w:widowControl w:val="0"/>
              <w:jc w:val="center"/>
              <w:rPr>
                <w:sz w:val="20"/>
                <w:szCs w:val="20"/>
              </w:rPr>
            </w:pPr>
            <w:r>
              <w:rPr>
                <w:rFonts w:ascii="Times New Roman" w:eastAsia="Times New Roman" w:hAnsi="Times New Roman" w:cs="Times New Roman"/>
                <w:sz w:val="24"/>
                <w:szCs w:val="24"/>
              </w:rPr>
              <w:t>Vietnamese American</w:t>
            </w:r>
          </w:p>
        </w:tc>
        <w:tc>
          <w:tcPr>
            <w:tcW w:w="1065"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22E5A867" w14:textId="77777777" w:rsidR="001510DC" w:rsidRDefault="00000000">
            <w:pPr>
              <w:widowControl w:val="0"/>
              <w:jc w:val="center"/>
              <w:rPr>
                <w:sz w:val="20"/>
                <w:szCs w:val="20"/>
              </w:rPr>
            </w:pPr>
            <w:r>
              <w:rPr>
                <w:rFonts w:ascii="Times New Roman" w:eastAsia="Times New Roman" w:hAnsi="Times New Roman" w:cs="Times New Roman"/>
                <w:sz w:val="24"/>
                <w:szCs w:val="24"/>
              </w:rPr>
              <w:t>Gay</w:t>
            </w:r>
          </w:p>
        </w:tc>
        <w:tc>
          <w:tcPr>
            <w:tcW w:w="1376" w:type="pct"/>
            <w:tcBorders>
              <w:top w:val="single" w:sz="8" w:space="0" w:color="D9D9D9"/>
              <w:left w:val="nil"/>
              <w:bottom w:val="single" w:sz="8" w:space="0" w:color="CCCCCC"/>
              <w:right w:val="nil"/>
            </w:tcBorders>
            <w:tcMar>
              <w:top w:w="40" w:type="dxa"/>
              <w:left w:w="40" w:type="dxa"/>
              <w:bottom w:w="40" w:type="dxa"/>
              <w:right w:w="40" w:type="dxa"/>
            </w:tcMar>
          </w:tcPr>
          <w:p w14:paraId="5F7A2D97" w14:textId="77777777" w:rsidR="001510DC" w:rsidRDefault="001510DC">
            <w:pPr>
              <w:widowControl w:val="0"/>
              <w:jc w:val="center"/>
              <w:rPr>
                <w:rFonts w:ascii="Times New Roman" w:eastAsia="Times New Roman" w:hAnsi="Times New Roman" w:cs="Times New Roman"/>
                <w:sz w:val="24"/>
                <w:szCs w:val="24"/>
              </w:rPr>
            </w:pPr>
          </w:p>
        </w:tc>
      </w:tr>
      <w:tr w:rsidR="001510DC" w14:paraId="6963F3A6"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7C5516E8" w14:textId="77777777" w:rsidR="001510DC" w:rsidRDefault="00000000">
            <w:pPr>
              <w:widowControl w:val="0"/>
              <w:jc w:val="center"/>
              <w:rPr>
                <w:sz w:val="20"/>
                <w:szCs w:val="20"/>
              </w:rPr>
            </w:pPr>
            <w:r>
              <w:rPr>
                <w:rFonts w:ascii="Times New Roman" w:eastAsia="Times New Roman" w:hAnsi="Times New Roman" w:cs="Times New Roman"/>
                <w:sz w:val="24"/>
                <w:szCs w:val="24"/>
              </w:rPr>
              <w:t>Jerome</w:t>
            </w:r>
          </w:p>
        </w:tc>
        <w:tc>
          <w:tcPr>
            <w:tcW w:w="828" w:type="pct"/>
            <w:tcBorders>
              <w:top w:val="single" w:sz="8" w:space="0" w:color="CCCCCC"/>
              <w:left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675CAC74" w14:textId="77777777" w:rsidR="001510DC" w:rsidRDefault="00000000">
            <w:pPr>
              <w:widowControl w:val="0"/>
              <w:jc w:val="center"/>
              <w:rPr>
                <w:sz w:val="20"/>
                <w:szCs w:val="20"/>
              </w:rPr>
            </w:pPr>
            <w:r>
              <w:rPr>
                <w:rFonts w:ascii="Times New Roman" w:eastAsia="Times New Roman" w:hAnsi="Times New Roman" w:cs="Times New Roman"/>
                <w:sz w:val="24"/>
                <w:szCs w:val="24"/>
              </w:rPr>
              <w:t>Man</w:t>
            </w:r>
          </w:p>
        </w:tc>
        <w:tc>
          <w:tcPr>
            <w:tcW w:w="11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6950C6D0" w14:textId="77777777" w:rsidR="001510DC" w:rsidRDefault="00000000">
            <w:pPr>
              <w:widowControl w:val="0"/>
              <w:jc w:val="center"/>
              <w:rPr>
                <w:sz w:val="20"/>
                <w:szCs w:val="20"/>
              </w:rPr>
            </w:pPr>
            <w:r>
              <w:rPr>
                <w:rFonts w:ascii="Times New Roman" w:eastAsia="Times New Roman" w:hAnsi="Times New Roman" w:cs="Times New Roman"/>
                <w:sz w:val="24"/>
                <w:szCs w:val="24"/>
              </w:rPr>
              <w:t>Black</w:t>
            </w:r>
          </w:p>
        </w:tc>
        <w:tc>
          <w:tcPr>
            <w:tcW w:w="1065"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vAlign w:val="bottom"/>
          </w:tcPr>
          <w:p w14:paraId="5AE8103F" w14:textId="77777777" w:rsidR="001510DC" w:rsidRDefault="00000000">
            <w:pPr>
              <w:widowControl w:val="0"/>
              <w:jc w:val="center"/>
              <w:rPr>
                <w:sz w:val="20"/>
                <w:szCs w:val="20"/>
              </w:rPr>
            </w:pPr>
            <w:r>
              <w:rPr>
                <w:rFonts w:ascii="Times New Roman" w:eastAsia="Times New Roman" w:hAnsi="Times New Roman" w:cs="Times New Roman"/>
                <w:sz w:val="24"/>
                <w:szCs w:val="24"/>
              </w:rPr>
              <w:t>Gay/Queer</w:t>
            </w:r>
          </w:p>
        </w:tc>
        <w:tc>
          <w:tcPr>
            <w:tcW w:w="1376" w:type="pct"/>
            <w:tcBorders>
              <w:top w:val="single" w:sz="8" w:space="0" w:color="CCCCCC"/>
              <w:left w:val="nil"/>
              <w:bottom w:val="single" w:sz="8" w:space="0" w:color="D9D9D9"/>
              <w:right w:val="nil"/>
            </w:tcBorders>
            <w:shd w:val="clear" w:color="auto" w:fill="D9D9D9"/>
            <w:tcMar>
              <w:top w:w="40" w:type="dxa"/>
              <w:left w:w="40" w:type="dxa"/>
              <w:bottom w:w="40" w:type="dxa"/>
              <w:right w:w="40" w:type="dxa"/>
            </w:tcMar>
          </w:tcPr>
          <w:p w14:paraId="13C4364D"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Self-identified as living with disabilities</w:t>
            </w:r>
          </w:p>
        </w:tc>
      </w:tr>
      <w:tr w:rsidR="001510DC" w14:paraId="7914C241"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3A8712AD" w14:textId="77777777" w:rsidR="001510DC" w:rsidRDefault="00000000">
            <w:pPr>
              <w:widowControl w:val="0"/>
              <w:jc w:val="center"/>
              <w:rPr>
                <w:sz w:val="20"/>
                <w:szCs w:val="20"/>
              </w:rPr>
            </w:pPr>
            <w:r>
              <w:rPr>
                <w:rFonts w:ascii="Times New Roman" w:eastAsia="Times New Roman" w:hAnsi="Times New Roman" w:cs="Times New Roman"/>
                <w:sz w:val="24"/>
                <w:szCs w:val="24"/>
              </w:rPr>
              <w:t>María</w:t>
            </w:r>
          </w:p>
        </w:tc>
        <w:tc>
          <w:tcPr>
            <w:tcW w:w="828" w:type="pct"/>
            <w:tcBorders>
              <w:top w:val="single" w:sz="8" w:space="0" w:color="D9D9D9"/>
              <w:left w:val="single" w:sz="8" w:space="0" w:color="CCCCCC"/>
              <w:bottom w:val="single" w:sz="8" w:space="0" w:color="CCCCCC"/>
              <w:right w:val="nil"/>
            </w:tcBorders>
            <w:tcMar>
              <w:top w:w="40" w:type="dxa"/>
              <w:left w:w="40" w:type="dxa"/>
              <w:bottom w:w="40" w:type="dxa"/>
              <w:right w:w="40" w:type="dxa"/>
            </w:tcMar>
            <w:vAlign w:val="bottom"/>
          </w:tcPr>
          <w:p w14:paraId="6AE45BD9" w14:textId="77777777" w:rsidR="001510DC" w:rsidRDefault="00000000">
            <w:pPr>
              <w:widowControl w:val="0"/>
              <w:jc w:val="center"/>
              <w:rPr>
                <w:sz w:val="20"/>
                <w:szCs w:val="20"/>
              </w:rPr>
            </w:pPr>
            <w:r>
              <w:rPr>
                <w:rFonts w:ascii="Times New Roman" w:eastAsia="Times New Roman" w:hAnsi="Times New Roman" w:cs="Times New Roman"/>
                <w:sz w:val="24"/>
                <w:szCs w:val="24"/>
              </w:rPr>
              <w:t>Woman</w:t>
            </w:r>
          </w:p>
        </w:tc>
        <w:tc>
          <w:tcPr>
            <w:tcW w:w="1176"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55A48E57" w14:textId="77777777" w:rsidR="001510DC" w:rsidRDefault="00000000">
            <w:pPr>
              <w:widowControl w:val="0"/>
              <w:jc w:val="center"/>
              <w:rPr>
                <w:sz w:val="20"/>
                <w:szCs w:val="20"/>
              </w:rPr>
            </w:pPr>
            <w:r>
              <w:rPr>
                <w:rFonts w:ascii="Times New Roman" w:eastAsia="Times New Roman" w:hAnsi="Times New Roman" w:cs="Times New Roman"/>
                <w:sz w:val="24"/>
                <w:szCs w:val="24"/>
              </w:rPr>
              <w:t>Latina</w:t>
            </w:r>
          </w:p>
        </w:tc>
        <w:tc>
          <w:tcPr>
            <w:tcW w:w="1065" w:type="pct"/>
            <w:tcBorders>
              <w:top w:val="single" w:sz="8" w:space="0" w:color="D9D9D9"/>
              <w:left w:val="nil"/>
              <w:bottom w:val="single" w:sz="8" w:space="0" w:color="CCCCCC"/>
              <w:right w:val="nil"/>
            </w:tcBorders>
            <w:tcMar>
              <w:top w:w="40" w:type="dxa"/>
              <w:left w:w="40" w:type="dxa"/>
              <w:bottom w:w="40" w:type="dxa"/>
              <w:right w:w="40" w:type="dxa"/>
            </w:tcMar>
            <w:vAlign w:val="bottom"/>
          </w:tcPr>
          <w:p w14:paraId="24F578D9" w14:textId="77777777" w:rsidR="001510DC" w:rsidRDefault="00000000">
            <w:pPr>
              <w:widowControl w:val="0"/>
              <w:jc w:val="center"/>
              <w:rPr>
                <w:sz w:val="20"/>
                <w:szCs w:val="20"/>
              </w:rPr>
            </w:pPr>
            <w:r>
              <w:rPr>
                <w:rFonts w:ascii="Times New Roman" w:eastAsia="Times New Roman" w:hAnsi="Times New Roman" w:cs="Times New Roman"/>
                <w:sz w:val="24"/>
                <w:szCs w:val="24"/>
              </w:rPr>
              <w:t>Queer</w:t>
            </w:r>
          </w:p>
        </w:tc>
        <w:tc>
          <w:tcPr>
            <w:tcW w:w="1376" w:type="pct"/>
            <w:tcBorders>
              <w:top w:val="single" w:sz="8" w:space="0" w:color="D9D9D9"/>
              <w:left w:val="nil"/>
              <w:bottom w:val="single" w:sz="8" w:space="0" w:color="CCCCCC"/>
              <w:right w:val="nil"/>
            </w:tcBorders>
            <w:tcMar>
              <w:top w:w="40" w:type="dxa"/>
              <w:left w:w="40" w:type="dxa"/>
              <w:bottom w:w="40" w:type="dxa"/>
              <w:right w:w="40" w:type="dxa"/>
            </w:tcMar>
          </w:tcPr>
          <w:p w14:paraId="7829DD1E"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Naturalized citizen, Indigenous to Mexico</w:t>
            </w:r>
          </w:p>
        </w:tc>
      </w:tr>
      <w:tr w:rsidR="001510DC" w14:paraId="5DA65804" w14:textId="77777777" w:rsidTr="00A0345A">
        <w:trPr>
          <w:trHeight w:val="360"/>
        </w:trPr>
        <w:tc>
          <w:tcPr>
            <w:tcW w:w="555" w:type="pct"/>
            <w:tcBorders>
              <w:top w:val="nil"/>
              <w:left w:val="nil"/>
              <w:bottom w:val="nil"/>
              <w:right w:val="single" w:sz="8" w:space="0" w:color="000000"/>
            </w:tcBorders>
            <w:tcMar>
              <w:top w:w="40" w:type="dxa"/>
              <w:left w:w="40" w:type="dxa"/>
              <w:bottom w:w="40" w:type="dxa"/>
              <w:right w:w="40" w:type="dxa"/>
            </w:tcMar>
            <w:vAlign w:val="bottom"/>
          </w:tcPr>
          <w:p w14:paraId="2C6D2948" w14:textId="77777777" w:rsidR="001510DC" w:rsidRDefault="00000000">
            <w:pPr>
              <w:widowControl w:val="0"/>
              <w:jc w:val="center"/>
              <w:rPr>
                <w:sz w:val="20"/>
                <w:szCs w:val="20"/>
              </w:rPr>
            </w:pPr>
            <w:r>
              <w:rPr>
                <w:rFonts w:ascii="Times New Roman" w:eastAsia="Times New Roman" w:hAnsi="Times New Roman" w:cs="Times New Roman"/>
                <w:sz w:val="24"/>
                <w:szCs w:val="24"/>
              </w:rPr>
              <w:t>Phê-rô</w:t>
            </w:r>
          </w:p>
        </w:tc>
        <w:tc>
          <w:tcPr>
            <w:tcW w:w="828" w:type="pct"/>
            <w:tcBorders>
              <w:top w:val="nil"/>
              <w:left w:val="single" w:sz="8" w:space="0" w:color="CCCCCC"/>
              <w:bottom w:val="nil"/>
              <w:right w:val="nil"/>
            </w:tcBorders>
            <w:shd w:val="clear" w:color="auto" w:fill="D9D9D9"/>
            <w:tcMar>
              <w:top w:w="40" w:type="dxa"/>
              <w:left w:w="40" w:type="dxa"/>
              <w:bottom w:w="40" w:type="dxa"/>
              <w:right w:w="40" w:type="dxa"/>
            </w:tcMar>
            <w:vAlign w:val="bottom"/>
          </w:tcPr>
          <w:p w14:paraId="72D577C2" w14:textId="77777777" w:rsidR="001510DC" w:rsidRDefault="00000000">
            <w:pPr>
              <w:widowControl w:val="0"/>
              <w:jc w:val="center"/>
              <w:rPr>
                <w:sz w:val="20"/>
                <w:szCs w:val="20"/>
              </w:rPr>
            </w:pPr>
            <w:r>
              <w:rPr>
                <w:rFonts w:ascii="Times New Roman" w:eastAsia="Times New Roman" w:hAnsi="Times New Roman" w:cs="Times New Roman"/>
                <w:sz w:val="24"/>
                <w:szCs w:val="24"/>
              </w:rPr>
              <w:t>Man</w:t>
            </w:r>
          </w:p>
        </w:tc>
        <w:tc>
          <w:tcPr>
            <w:tcW w:w="1176" w:type="pct"/>
            <w:tcBorders>
              <w:top w:val="nil"/>
              <w:left w:val="nil"/>
              <w:bottom w:val="nil"/>
              <w:right w:val="nil"/>
            </w:tcBorders>
            <w:shd w:val="clear" w:color="auto" w:fill="D9D9D9"/>
            <w:tcMar>
              <w:top w:w="40" w:type="dxa"/>
              <w:left w:w="40" w:type="dxa"/>
              <w:bottom w:w="40" w:type="dxa"/>
              <w:right w:w="40" w:type="dxa"/>
            </w:tcMar>
            <w:vAlign w:val="bottom"/>
          </w:tcPr>
          <w:p w14:paraId="02604E0F" w14:textId="77777777" w:rsidR="001510DC" w:rsidRDefault="00000000">
            <w:pPr>
              <w:widowControl w:val="0"/>
              <w:jc w:val="center"/>
              <w:rPr>
                <w:sz w:val="20"/>
                <w:szCs w:val="20"/>
              </w:rPr>
            </w:pPr>
            <w:r>
              <w:rPr>
                <w:rFonts w:ascii="Times New Roman" w:eastAsia="Times New Roman" w:hAnsi="Times New Roman" w:cs="Times New Roman"/>
                <w:sz w:val="24"/>
                <w:szCs w:val="24"/>
              </w:rPr>
              <w:t>Vietnamese American</w:t>
            </w:r>
          </w:p>
        </w:tc>
        <w:tc>
          <w:tcPr>
            <w:tcW w:w="1065" w:type="pct"/>
            <w:tcBorders>
              <w:top w:val="nil"/>
              <w:left w:val="nil"/>
              <w:bottom w:val="nil"/>
              <w:right w:val="nil"/>
            </w:tcBorders>
            <w:shd w:val="clear" w:color="auto" w:fill="D9D9D9"/>
            <w:tcMar>
              <w:top w:w="40" w:type="dxa"/>
              <w:left w:w="40" w:type="dxa"/>
              <w:bottom w:w="40" w:type="dxa"/>
              <w:right w:w="40" w:type="dxa"/>
            </w:tcMar>
            <w:vAlign w:val="bottom"/>
          </w:tcPr>
          <w:p w14:paraId="439F3D3C" w14:textId="77777777" w:rsidR="001510DC" w:rsidRDefault="00000000">
            <w:pPr>
              <w:widowControl w:val="0"/>
              <w:jc w:val="center"/>
              <w:rPr>
                <w:sz w:val="20"/>
                <w:szCs w:val="20"/>
              </w:rPr>
            </w:pPr>
            <w:r>
              <w:rPr>
                <w:rFonts w:ascii="Times New Roman" w:eastAsia="Times New Roman" w:hAnsi="Times New Roman" w:cs="Times New Roman"/>
                <w:sz w:val="24"/>
                <w:szCs w:val="24"/>
              </w:rPr>
              <w:t>Straight</w:t>
            </w:r>
          </w:p>
        </w:tc>
        <w:tc>
          <w:tcPr>
            <w:tcW w:w="1376" w:type="pct"/>
            <w:tcBorders>
              <w:top w:val="nil"/>
              <w:left w:val="nil"/>
              <w:bottom w:val="nil"/>
              <w:right w:val="nil"/>
            </w:tcBorders>
            <w:shd w:val="clear" w:color="auto" w:fill="D9D9D9"/>
            <w:tcMar>
              <w:top w:w="40" w:type="dxa"/>
              <w:left w:w="40" w:type="dxa"/>
              <w:bottom w:w="40" w:type="dxa"/>
              <w:right w:w="40" w:type="dxa"/>
            </w:tcMar>
          </w:tcPr>
          <w:p w14:paraId="4EFD11F2" w14:textId="77777777" w:rsidR="001510DC" w:rsidRDefault="001510DC">
            <w:pPr>
              <w:widowControl w:val="0"/>
              <w:jc w:val="center"/>
              <w:rPr>
                <w:rFonts w:ascii="Times New Roman" w:eastAsia="Times New Roman" w:hAnsi="Times New Roman" w:cs="Times New Roman"/>
                <w:sz w:val="24"/>
                <w:szCs w:val="24"/>
              </w:rPr>
            </w:pPr>
          </w:p>
        </w:tc>
      </w:tr>
      <w:tr w:rsidR="001510DC" w14:paraId="17B16A53" w14:textId="77777777" w:rsidTr="00A0345A">
        <w:trPr>
          <w:trHeight w:val="392"/>
        </w:trPr>
        <w:tc>
          <w:tcPr>
            <w:tcW w:w="555" w:type="pct"/>
            <w:tcBorders>
              <w:top w:val="nil"/>
              <w:left w:val="nil"/>
              <w:bottom w:val="nil"/>
              <w:right w:val="single" w:sz="8" w:space="0" w:color="000000"/>
            </w:tcBorders>
            <w:tcMar>
              <w:top w:w="40" w:type="dxa"/>
              <w:left w:w="40" w:type="dxa"/>
              <w:bottom w:w="40" w:type="dxa"/>
              <w:right w:w="40" w:type="dxa"/>
            </w:tcMar>
            <w:vAlign w:val="bottom"/>
          </w:tcPr>
          <w:p w14:paraId="518B68E5" w14:textId="77777777" w:rsidR="001510DC" w:rsidRDefault="00000000">
            <w:pPr>
              <w:widowControl w:val="0"/>
              <w:jc w:val="center"/>
              <w:rPr>
                <w:sz w:val="20"/>
                <w:szCs w:val="20"/>
              </w:rPr>
            </w:pPr>
            <w:r>
              <w:rPr>
                <w:rFonts w:ascii="Times New Roman" w:eastAsia="Times New Roman" w:hAnsi="Times New Roman" w:cs="Times New Roman"/>
                <w:sz w:val="24"/>
                <w:szCs w:val="24"/>
              </w:rPr>
              <w:t>Sage</w:t>
            </w:r>
          </w:p>
        </w:tc>
        <w:tc>
          <w:tcPr>
            <w:tcW w:w="828" w:type="pct"/>
            <w:tcBorders>
              <w:top w:val="nil"/>
              <w:left w:val="single" w:sz="8" w:space="0" w:color="CCCCCC"/>
              <w:bottom w:val="nil"/>
              <w:right w:val="nil"/>
            </w:tcBorders>
            <w:tcMar>
              <w:top w:w="40" w:type="dxa"/>
              <w:left w:w="40" w:type="dxa"/>
              <w:bottom w:w="40" w:type="dxa"/>
              <w:right w:w="40" w:type="dxa"/>
            </w:tcMar>
            <w:vAlign w:val="bottom"/>
          </w:tcPr>
          <w:p w14:paraId="6C43F20E" w14:textId="77777777" w:rsidR="001510DC" w:rsidRDefault="00000000">
            <w:pPr>
              <w:widowControl w:val="0"/>
              <w:jc w:val="center"/>
              <w:rPr>
                <w:sz w:val="20"/>
                <w:szCs w:val="20"/>
              </w:rPr>
            </w:pPr>
            <w:r>
              <w:rPr>
                <w:rFonts w:ascii="Times New Roman" w:eastAsia="Times New Roman" w:hAnsi="Times New Roman" w:cs="Times New Roman"/>
                <w:sz w:val="24"/>
                <w:szCs w:val="24"/>
              </w:rPr>
              <w:t>Woman</w:t>
            </w:r>
          </w:p>
        </w:tc>
        <w:tc>
          <w:tcPr>
            <w:tcW w:w="1176" w:type="pct"/>
            <w:tcBorders>
              <w:top w:val="nil"/>
              <w:left w:val="nil"/>
              <w:bottom w:val="nil"/>
              <w:right w:val="nil"/>
            </w:tcBorders>
            <w:tcMar>
              <w:top w:w="40" w:type="dxa"/>
              <w:left w:w="40" w:type="dxa"/>
              <w:bottom w:w="40" w:type="dxa"/>
              <w:right w:w="40" w:type="dxa"/>
            </w:tcMar>
            <w:vAlign w:val="bottom"/>
          </w:tcPr>
          <w:p w14:paraId="05A9ED43" w14:textId="77777777" w:rsidR="001510DC" w:rsidRDefault="00000000">
            <w:pPr>
              <w:widowControl w:val="0"/>
              <w:jc w:val="center"/>
              <w:rPr>
                <w:sz w:val="20"/>
                <w:szCs w:val="20"/>
              </w:rPr>
            </w:pPr>
            <w:r>
              <w:rPr>
                <w:rFonts w:ascii="Times New Roman" w:eastAsia="Times New Roman" w:hAnsi="Times New Roman" w:cs="Times New Roman"/>
                <w:sz w:val="24"/>
                <w:szCs w:val="24"/>
              </w:rPr>
              <w:t>Black</w:t>
            </w:r>
          </w:p>
        </w:tc>
        <w:tc>
          <w:tcPr>
            <w:tcW w:w="1065" w:type="pct"/>
            <w:tcBorders>
              <w:top w:val="nil"/>
              <w:left w:val="nil"/>
              <w:bottom w:val="nil"/>
              <w:right w:val="nil"/>
            </w:tcBorders>
            <w:tcMar>
              <w:top w:w="40" w:type="dxa"/>
              <w:left w:w="40" w:type="dxa"/>
              <w:bottom w:w="40" w:type="dxa"/>
              <w:right w:w="40" w:type="dxa"/>
            </w:tcMar>
            <w:vAlign w:val="bottom"/>
          </w:tcPr>
          <w:p w14:paraId="62FFE5A6" w14:textId="77777777" w:rsidR="001510DC" w:rsidRDefault="00000000">
            <w:pPr>
              <w:widowControl w:val="0"/>
              <w:jc w:val="center"/>
              <w:rPr>
                <w:sz w:val="20"/>
                <w:szCs w:val="20"/>
              </w:rPr>
            </w:pPr>
            <w:r>
              <w:rPr>
                <w:rFonts w:ascii="Times New Roman" w:eastAsia="Times New Roman" w:hAnsi="Times New Roman" w:cs="Times New Roman"/>
                <w:sz w:val="24"/>
                <w:szCs w:val="24"/>
              </w:rPr>
              <w:t>Straight</w:t>
            </w:r>
          </w:p>
        </w:tc>
        <w:tc>
          <w:tcPr>
            <w:tcW w:w="1376" w:type="pct"/>
            <w:tcBorders>
              <w:top w:val="nil"/>
              <w:left w:val="nil"/>
              <w:bottom w:val="nil"/>
              <w:right w:val="nil"/>
            </w:tcBorders>
            <w:tcMar>
              <w:top w:w="40" w:type="dxa"/>
              <w:left w:w="40" w:type="dxa"/>
              <w:bottom w:w="40" w:type="dxa"/>
              <w:right w:w="40" w:type="dxa"/>
            </w:tcMar>
          </w:tcPr>
          <w:p w14:paraId="0E1A07FF" w14:textId="77777777" w:rsidR="001510DC" w:rsidRDefault="001510DC">
            <w:pPr>
              <w:widowControl w:val="0"/>
              <w:jc w:val="center"/>
              <w:rPr>
                <w:sz w:val="20"/>
                <w:szCs w:val="20"/>
              </w:rPr>
            </w:pPr>
          </w:p>
        </w:tc>
      </w:tr>
    </w:tbl>
    <w:p w14:paraId="0C48BDD5" w14:textId="77777777" w:rsidR="001510DC" w:rsidRDefault="00000000">
      <w:pPr>
        <w:spacing w:line="480" w:lineRule="auto"/>
        <w:rPr>
          <w:rFonts w:ascii="Times New Roman" w:eastAsia="Times New Roman" w:hAnsi="Times New Roman" w:cs="Times New Roman"/>
          <w:sz w:val="24"/>
          <w:szCs w:val="24"/>
        </w:rPr>
      </w:pPr>
      <w:r>
        <w:br w:type="page"/>
      </w:r>
    </w:p>
    <w:p w14:paraId="5DA75963" w14:textId="588055BF" w:rsidR="001510DC" w:rsidRDefault="00A0345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2: Participants’ Institutional Background</w:t>
      </w:r>
    </w:p>
    <w:tbl>
      <w:tblPr>
        <w:tblStyle w:val="a0"/>
        <w:tblW w:w="5000" w:type="pct"/>
        <w:tblBorders>
          <w:top w:val="nil"/>
          <w:left w:val="nil"/>
          <w:bottom w:val="nil"/>
          <w:right w:val="nil"/>
          <w:insideH w:val="nil"/>
          <w:insideV w:val="nil"/>
        </w:tblBorders>
        <w:tblLook w:val="0600" w:firstRow="0" w:lastRow="0" w:firstColumn="0" w:lastColumn="0" w:noHBand="1" w:noVBand="1"/>
      </w:tblPr>
      <w:tblGrid>
        <w:gridCol w:w="1025"/>
        <w:gridCol w:w="3280"/>
        <w:gridCol w:w="2842"/>
        <w:gridCol w:w="2213"/>
      </w:tblGrid>
      <w:tr w:rsidR="001510DC" w14:paraId="1895F0FB" w14:textId="77777777" w:rsidTr="00A0345A">
        <w:trPr>
          <w:trHeight w:val="386"/>
        </w:trPr>
        <w:tc>
          <w:tcPr>
            <w:tcW w:w="547" w:type="pct"/>
            <w:tcBorders>
              <w:top w:val="nil"/>
              <w:left w:val="nil"/>
              <w:bottom w:val="single" w:sz="8" w:space="0" w:color="000000"/>
              <w:right w:val="single" w:sz="8" w:space="0" w:color="CCCCCC"/>
            </w:tcBorders>
            <w:tcMar>
              <w:top w:w="40" w:type="dxa"/>
              <w:left w:w="40" w:type="dxa"/>
              <w:bottom w:w="40" w:type="dxa"/>
              <w:right w:w="40" w:type="dxa"/>
            </w:tcMar>
            <w:vAlign w:val="bottom"/>
          </w:tcPr>
          <w:p w14:paraId="781D0FF7" w14:textId="77777777" w:rsidR="001510DC" w:rsidRDefault="00000000">
            <w:pPr>
              <w:widowControl w:val="0"/>
              <w:jc w:val="center"/>
              <w:rPr>
                <w:sz w:val="20"/>
                <w:szCs w:val="20"/>
              </w:rPr>
            </w:pPr>
            <w:r>
              <w:rPr>
                <w:rFonts w:ascii="Times New Roman" w:eastAsia="Times New Roman" w:hAnsi="Times New Roman" w:cs="Times New Roman"/>
                <w:b/>
                <w:i/>
                <w:sz w:val="24"/>
                <w:szCs w:val="24"/>
              </w:rPr>
              <w:t>Name</w:t>
            </w:r>
          </w:p>
        </w:tc>
        <w:tc>
          <w:tcPr>
            <w:tcW w:w="1752" w:type="pct"/>
            <w:tcBorders>
              <w:top w:val="nil"/>
              <w:left w:val="single" w:sz="8" w:space="0" w:color="CCCCCC"/>
              <w:bottom w:val="single" w:sz="8" w:space="0" w:color="000000"/>
              <w:right w:val="nil"/>
            </w:tcBorders>
            <w:tcMar>
              <w:top w:w="40" w:type="dxa"/>
              <w:left w:w="40" w:type="dxa"/>
              <w:bottom w:w="40" w:type="dxa"/>
              <w:right w:w="40" w:type="dxa"/>
            </w:tcMar>
            <w:vAlign w:val="bottom"/>
          </w:tcPr>
          <w:p w14:paraId="0DFA713E" w14:textId="77777777" w:rsidR="001510DC" w:rsidRDefault="00000000">
            <w:pPr>
              <w:widowControl w:val="0"/>
              <w:jc w:val="center"/>
              <w:rPr>
                <w:sz w:val="20"/>
                <w:szCs w:val="20"/>
              </w:rPr>
            </w:pPr>
            <w:r>
              <w:rPr>
                <w:rFonts w:ascii="Times New Roman" w:eastAsia="Times New Roman" w:hAnsi="Times New Roman" w:cs="Times New Roman"/>
                <w:b/>
                <w:i/>
                <w:sz w:val="24"/>
                <w:szCs w:val="24"/>
              </w:rPr>
              <w:t>Current Role</w:t>
            </w:r>
          </w:p>
        </w:tc>
        <w:tc>
          <w:tcPr>
            <w:tcW w:w="1518" w:type="pct"/>
            <w:tcBorders>
              <w:top w:val="nil"/>
              <w:left w:val="nil"/>
              <w:bottom w:val="single" w:sz="8" w:space="0" w:color="000000"/>
              <w:right w:val="nil"/>
            </w:tcBorders>
            <w:tcMar>
              <w:top w:w="40" w:type="dxa"/>
              <w:left w:w="40" w:type="dxa"/>
              <w:bottom w:w="40" w:type="dxa"/>
              <w:right w:w="40" w:type="dxa"/>
            </w:tcMar>
            <w:vAlign w:val="bottom"/>
          </w:tcPr>
          <w:p w14:paraId="5BD70A66" w14:textId="77777777" w:rsidR="001510DC" w:rsidRDefault="001510DC">
            <w:pPr>
              <w:widowControl w:val="0"/>
              <w:jc w:val="center"/>
              <w:rPr>
                <w:sz w:val="20"/>
                <w:szCs w:val="20"/>
              </w:rPr>
            </w:pPr>
          </w:p>
          <w:p w14:paraId="63B6D1B4" w14:textId="77777777" w:rsidR="001510DC" w:rsidRDefault="00000000">
            <w:pPr>
              <w:widowControl w:val="0"/>
              <w:jc w:val="center"/>
              <w:rPr>
                <w:sz w:val="20"/>
                <w:szCs w:val="20"/>
              </w:rPr>
            </w:pPr>
            <w:r>
              <w:rPr>
                <w:rFonts w:ascii="Times New Roman" w:eastAsia="Times New Roman" w:hAnsi="Times New Roman" w:cs="Times New Roman"/>
                <w:b/>
                <w:i/>
                <w:sz w:val="24"/>
                <w:szCs w:val="24"/>
              </w:rPr>
              <w:t>Institution Type</w:t>
            </w:r>
          </w:p>
        </w:tc>
        <w:tc>
          <w:tcPr>
            <w:tcW w:w="1182" w:type="pct"/>
            <w:tcBorders>
              <w:top w:val="nil"/>
              <w:left w:val="nil"/>
              <w:bottom w:val="single" w:sz="8" w:space="0" w:color="000000"/>
              <w:right w:val="nil"/>
            </w:tcBorders>
            <w:tcMar>
              <w:top w:w="40" w:type="dxa"/>
              <w:left w:w="40" w:type="dxa"/>
              <w:bottom w:w="40" w:type="dxa"/>
              <w:right w:w="40" w:type="dxa"/>
            </w:tcMar>
            <w:vAlign w:val="bottom"/>
          </w:tcPr>
          <w:p w14:paraId="7797E0BF" w14:textId="77777777" w:rsidR="001510DC" w:rsidRDefault="00000000">
            <w:pPr>
              <w:widowControl w:val="0"/>
              <w:jc w:val="center"/>
              <w:rPr>
                <w:sz w:val="20"/>
                <w:szCs w:val="20"/>
              </w:rPr>
            </w:pPr>
            <w:r>
              <w:rPr>
                <w:rFonts w:ascii="Times New Roman" w:eastAsia="Times New Roman" w:hAnsi="Times New Roman" w:cs="Times New Roman"/>
                <w:b/>
                <w:i/>
                <w:sz w:val="24"/>
                <w:szCs w:val="24"/>
              </w:rPr>
              <w:t>Geographic Region</w:t>
            </w:r>
          </w:p>
        </w:tc>
      </w:tr>
      <w:tr w:rsidR="001510DC" w14:paraId="31A9810B" w14:textId="77777777" w:rsidTr="00A0345A">
        <w:trPr>
          <w:trHeight w:val="360"/>
        </w:trPr>
        <w:tc>
          <w:tcPr>
            <w:tcW w:w="547" w:type="pct"/>
            <w:tcBorders>
              <w:top w:val="single" w:sz="8" w:space="0" w:color="CCCCCC"/>
              <w:left w:val="nil"/>
              <w:bottom w:val="nil"/>
              <w:right w:val="single" w:sz="8" w:space="0" w:color="000000"/>
            </w:tcBorders>
            <w:tcMar>
              <w:top w:w="40" w:type="dxa"/>
              <w:left w:w="40" w:type="dxa"/>
              <w:bottom w:w="40" w:type="dxa"/>
              <w:right w:w="40" w:type="dxa"/>
            </w:tcMar>
            <w:vAlign w:val="bottom"/>
          </w:tcPr>
          <w:p w14:paraId="4B4A8EBF" w14:textId="77777777" w:rsidR="001510DC" w:rsidRDefault="00000000">
            <w:pPr>
              <w:widowControl w:val="0"/>
              <w:jc w:val="center"/>
              <w:rPr>
                <w:sz w:val="20"/>
                <w:szCs w:val="20"/>
              </w:rPr>
            </w:pPr>
            <w:r>
              <w:rPr>
                <w:rFonts w:ascii="Times New Roman" w:eastAsia="Times New Roman" w:hAnsi="Times New Roman" w:cs="Times New Roman"/>
                <w:sz w:val="24"/>
                <w:szCs w:val="24"/>
              </w:rPr>
              <w:t>Brayden</w:t>
            </w:r>
          </w:p>
        </w:tc>
        <w:tc>
          <w:tcPr>
            <w:tcW w:w="1752" w:type="pct"/>
            <w:tcBorders>
              <w:top w:val="single" w:sz="8" w:space="0" w:color="CCCCCC"/>
              <w:left w:val="single" w:sz="8" w:space="0" w:color="CCCCCC"/>
              <w:bottom w:val="single" w:sz="8" w:space="0" w:color="D9D9D9"/>
            </w:tcBorders>
            <w:shd w:val="clear" w:color="auto" w:fill="D9D9D9"/>
            <w:tcMar>
              <w:top w:w="40" w:type="dxa"/>
              <w:left w:w="40" w:type="dxa"/>
              <w:bottom w:w="40" w:type="dxa"/>
              <w:right w:w="40" w:type="dxa"/>
            </w:tcMar>
            <w:vAlign w:val="bottom"/>
          </w:tcPr>
          <w:p w14:paraId="06530CC2" w14:textId="77777777" w:rsidR="001510DC" w:rsidRDefault="00000000">
            <w:pPr>
              <w:widowControl w:val="0"/>
              <w:jc w:val="center"/>
              <w:rPr>
                <w:sz w:val="20"/>
                <w:szCs w:val="20"/>
              </w:rPr>
            </w:pPr>
            <w:r>
              <w:rPr>
                <w:rFonts w:ascii="Times New Roman" w:eastAsia="Times New Roman" w:hAnsi="Times New Roman" w:cs="Times New Roman"/>
                <w:sz w:val="24"/>
                <w:szCs w:val="24"/>
              </w:rPr>
              <w:t>Vice President of Campus and Student Life</w:t>
            </w:r>
          </w:p>
        </w:tc>
        <w:tc>
          <w:tcPr>
            <w:tcW w:w="1518" w:type="pct"/>
            <w:tcBorders>
              <w:top w:val="single" w:sz="8" w:space="0" w:color="000000"/>
            </w:tcBorders>
            <w:shd w:val="clear" w:color="auto" w:fill="D9D9D9"/>
            <w:tcMar>
              <w:top w:w="40" w:type="dxa"/>
              <w:left w:w="40" w:type="dxa"/>
              <w:bottom w:w="40" w:type="dxa"/>
              <w:right w:w="40" w:type="dxa"/>
            </w:tcMar>
            <w:vAlign w:val="bottom"/>
          </w:tcPr>
          <w:p w14:paraId="3B1D1A03"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Mid-size, private, religious, liberal arts</w:t>
            </w:r>
          </w:p>
        </w:tc>
        <w:tc>
          <w:tcPr>
            <w:tcW w:w="1182" w:type="pct"/>
            <w:tcBorders>
              <w:top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667BAD05" w14:textId="36937739" w:rsidR="001510DC" w:rsidRDefault="00E02991">
            <w:pPr>
              <w:widowControl w:val="0"/>
              <w:jc w:val="center"/>
              <w:rPr>
                <w:sz w:val="20"/>
                <w:szCs w:val="20"/>
              </w:rPr>
            </w:pPr>
            <w:r>
              <w:rPr>
                <w:rFonts w:ascii="Times New Roman" w:eastAsia="Times New Roman" w:hAnsi="Times New Roman" w:cs="Times New Roman"/>
                <w:sz w:val="24"/>
                <w:szCs w:val="24"/>
              </w:rPr>
              <w:t>Northwest</w:t>
            </w:r>
          </w:p>
        </w:tc>
      </w:tr>
      <w:tr w:rsidR="001510DC" w14:paraId="2A50A893"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4EC84FDF" w14:textId="77777777" w:rsidR="001510DC" w:rsidRDefault="00000000">
            <w:pPr>
              <w:widowControl w:val="0"/>
              <w:jc w:val="center"/>
              <w:rPr>
                <w:sz w:val="20"/>
                <w:szCs w:val="20"/>
              </w:rPr>
            </w:pPr>
            <w:r>
              <w:rPr>
                <w:rFonts w:ascii="Times New Roman" w:eastAsia="Times New Roman" w:hAnsi="Times New Roman" w:cs="Times New Roman"/>
                <w:sz w:val="24"/>
                <w:szCs w:val="24"/>
              </w:rPr>
              <w:t>Coach</w:t>
            </w:r>
          </w:p>
        </w:tc>
        <w:tc>
          <w:tcPr>
            <w:tcW w:w="1752" w:type="pct"/>
            <w:tcBorders>
              <w:top w:val="single" w:sz="8" w:space="0" w:color="D9D9D9"/>
              <w:left w:val="single" w:sz="8" w:space="0" w:color="CCCCCC"/>
              <w:bottom w:val="single" w:sz="8" w:space="0" w:color="CCCCCC"/>
            </w:tcBorders>
            <w:tcMar>
              <w:top w:w="40" w:type="dxa"/>
              <w:left w:w="40" w:type="dxa"/>
              <w:bottom w:w="40" w:type="dxa"/>
              <w:right w:w="40" w:type="dxa"/>
            </w:tcMar>
            <w:vAlign w:val="bottom"/>
          </w:tcPr>
          <w:p w14:paraId="75AD05C9" w14:textId="77777777" w:rsidR="001510DC" w:rsidRDefault="00000000">
            <w:pPr>
              <w:widowControl w:val="0"/>
              <w:jc w:val="center"/>
              <w:rPr>
                <w:sz w:val="20"/>
                <w:szCs w:val="20"/>
              </w:rPr>
            </w:pPr>
            <w:r>
              <w:rPr>
                <w:rFonts w:ascii="Times New Roman" w:eastAsia="Times New Roman" w:hAnsi="Times New Roman" w:cs="Times New Roman"/>
                <w:sz w:val="24"/>
                <w:szCs w:val="24"/>
              </w:rPr>
              <w:t xml:space="preserve">Vice President of Student Services </w:t>
            </w:r>
          </w:p>
        </w:tc>
        <w:tc>
          <w:tcPr>
            <w:tcW w:w="1518" w:type="pct"/>
            <w:shd w:val="clear" w:color="auto" w:fill="FFFFFF"/>
            <w:tcMar>
              <w:top w:w="40" w:type="dxa"/>
              <w:left w:w="40" w:type="dxa"/>
              <w:bottom w:w="40" w:type="dxa"/>
              <w:right w:w="40" w:type="dxa"/>
            </w:tcMar>
            <w:vAlign w:val="bottom"/>
          </w:tcPr>
          <w:p w14:paraId="09C3DFD1"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private, religious</w:t>
            </w:r>
          </w:p>
        </w:tc>
        <w:tc>
          <w:tcPr>
            <w:tcW w:w="1182" w:type="pct"/>
            <w:tcBorders>
              <w:top w:val="single" w:sz="8" w:space="0" w:color="D9D9D9"/>
              <w:bottom w:val="single" w:sz="8" w:space="0" w:color="CCCCCC"/>
              <w:right w:val="nil"/>
            </w:tcBorders>
            <w:tcMar>
              <w:top w:w="40" w:type="dxa"/>
              <w:left w:w="40" w:type="dxa"/>
              <w:bottom w:w="40" w:type="dxa"/>
              <w:right w:w="40" w:type="dxa"/>
            </w:tcMar>
            <w:vAlign w:val="bottom"/>
          </w:tcPr>
          <w:p w14:paraId="3A6E08B4" w14:textId="77777777" w:rsidR="001510DC" w:rsidRDefault="00000000">
            <w:pPr>
              <w:widowControl w:val="0"/>
              <w:jc w:val="center"/>
              <w:rPr>
                <w:sz w:val="20"/>
                <w:szCs w:val="20"/>
              </w:rPr>
            </w:pPr>
            <w:r>
              <w:rPr>
                <w:rFonts w:ascii="Times New Roman" w:eastAsia="Times New Roman" w:hAnsi="Times New Roman" w:cs="Times New Roman"/>
                <w:sz w:val="24"/>
                <w:szCs w:val="24"/>
              </w:rPr>
              <w:t>Southern</w:t>
            </w:r>
          </w:p>
        </w:tc>
      </w:tr>
      <w:tr w:rsidR="001510DC" w14:paraId="253B8AED"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735FD84E"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Grace</w:t>
            </w:r>
          </w:p>
        </w:tc>
        <w:tc>
          <w:tcPr>
            <w:tcW w:w="1752" w:type="pct"/>
            <w:tcBorders>
              <w:top w:val="single" w:sz="8" w:space="0" w:color="CCCCCC"/>
              <w:left w:val="single" w:sz="8" w:space="0" w:color="CCCCCC"/>
              <w:bottom w:val="single" w:sz="8" w:space="0" w:color="D9D9D9"/>
            </w:tcBorders>
            <w:shd w:val="clear" w:color="auto" w:fill="D9D9D9"/>
            <w:tcMar>
              <w:top w:w="40" w:type="dxa"/>
              <w:left w:w="40" w:type="dxa"/>
              <w:bottom w:w="40" w:type="dxa"/>
              <w:right w:w="40" w:type="dxa"/>
            </w:tcMar>
            <w:vAlign w:val="bottom"/>
          </w:tcPr>
          <w:p w14:paraId="3EFA1E6C"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Vice President for Student Affairs and Dean of Students</w:t>
            </w:r>
          </w:p>
        </w:tc>
        <w:tc>
          <w:tcPr>
            <w:tcW w:w="1518" w:type="pct"/>
            <w:shd w:val="clear" w:color="auto" w:fill="D9D9D9"/>
            <w:tcMar>
              <w:top w:w="40" w:type="dxa"/>
              <w:left w:w="40" w:type="dxa"/>
              <w:bottom w:w="40" w:type="dxa"/>
              <w:right w:w="40" w:type="dxa"/>
            </w:tcMar>
            <w:vAlign w:val="bottom"/>
          </w:tcPr>
          <w:p w14:paraId="1C6DF944"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public, research intensive </w:t>
            </w:r>
          </w:p>
        </w:tc>
        <w:tc>
          <w:tcPr>
            <w:tcW w:w="1182" w:type="pct"/>
            <w:tcBorders>
              <w:top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42006BFC"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 Coast </w:t>
            </w:r>
          </w:p>
        </w:tc>
      </w:tr>
      <w:tr w:rsidR="001510DC" w14:paraId="7ED5EE65"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784D5A8B" w14:textId="77777777" w:rsidR="001510DC" w:rsidRDefault="00000000">
            <w:pPr>
              <w:widowControl w:val="0"/>
              <w:jc w:val="center"/>
              <w:rPr>
                <w:sz w:val="20"/>
                <w:szCs w:val="20"/>
              </w:rPr>
            </w:pPr>
            <w:r>
              <w:rPr>
                <w:rFonts w:ascii="Times New Roman" w:eastAsia="Times New Roman" w:hAnsi="Times New Roman" w:cs="Times New Roman"/>
                <w:sz w:val="24"/>
                <w:szCs w:val="24"/>
              </w:rPr>
              <w:t>Jack</w:t>
            </w:r>
          </w:p>
        </w:tc>
        <w:tc>
          <w:tcPr>
            <w:tcW w:w="1752" w:type="pct"/>
            <w:tcBorders>
              <w:top w:val="single" w:sz="8" w:space="0" w:color="D9D9D9"/>
              <w:left w:val="single" w:sz="8" w:space="0" w:color="CCCCCC"/>
              <w:bottom w:val="single" w:sz="8" w:space="0" w:color="CCCCCC"/>
            </w:tcBorders>
            <w:tcMar>
              <w:top w:w="40" w:type="dxa"/>
              <w:left w:w="40" w:type="dxa"/>
              <w:bottom w:w="40" w:type="dxa"/>
              <w:right w:w="40" w:type="dxa"/>
            </w:tcMar>
            <w:vAlign w:val="bottom"/>
          </w:tcPr>
          <w:p w14:paraId="4A978C65" w14:textId="77777777" w:rsidR="001510DC" w:rsidRDefault="00000000">
            <w:pPr>
              <w:widowControl w:val="0"/>
              <w:jc w:val="center"/>
              <w:rPr>
                <w:sz w:val="20"/>
                <w:szCs w:val="20"/>
              </w:rPr>
            </w:pPr>
            <w:r>
              <w:rPr>
                <w:rFonts w:ascii="Times New Roman" w:eastAsia="Times New Roman" w:hAnsi="Times New Roman" w:cs="Times New Roman"/>
                <w:sz w:val="24"/>
                <w:szCs w:val="24"/>
              </w:rPr>
              <w:t>Dean of Students</w:t>
            </w:r>
          </w:p>
        </w:tc>
        <w:tc>
          <w:tcPr>
            <w:tcW w:w="1518" w:type="pct"/>
            <w:shd w:val="clear" w:color="auto" w:fill="FFFFFF"/>
            <w:tcMar>
              <w:top w:w="40" w:type="dxa"/>
              <w:left w:w="40" w:type="dxa"/>
              <w:bottom w:w="40" w:type="dxa"/>
              <w:right w:w="40" w:type="dxa"/>
            </w:tcMar>
            <w:vAlign w:val="bottom"/>
          </w:tcPr>
          <w:p w14:paraId="32F1C8F2"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private, liberal arts</w:t>
            </w:r>
          </w:p>
        </w:tc>
        <w:tc>
          <w:tcPr>
            <w:tcW w:w="1182" w:type="pct"/>
            <w:tcBorders>
              <w:top w:val="single" w:sz="8" w:space="0" w:color="D9D9D9"/>
              <w:bottom w:val="single" w:sz="8" w:space="0" w:color="CCCCCC"/>
              <w:right w:val="nil"/>
            </w:tcBorders>
            <w:tcMar>
              <w:top w:w="40" w:type="dxa"/>
              <w:left w:w="40" w:type="dxa"/>
              <w:bottom w:w="40" w:type="dxa"/>
              <w:right w:w="40" w:type="dxa"/>
            </w:tcMar>
            <w:vAlign w:val="bottom"/>
          </w:tcPr>
          <w:p w14:paraId="00B6C5FB" w14:textId="77777777" w:rsidR="001510DC" w:rsidRDefault="00000000">
            <w:pPr>
              <w:widowControl w:val="0"/>
              <w:jc w:val="center"/>
              <w:rPr>
                <w:sz w:val="20"/>
                <w:szCs w:val="20"/>
              </w:rPr>
            </w:pPr>
            <w:r>
              <w:rPr>
                <w:rFonts w:ascii="Times New Roman" w:eastAsia="Times New Roman" w:hAnsi="Times New Roman" w:cs="Times New Roman"/>
                <w:sz w:val="24"/>
                <w:szCs w:val="24"/>
              </w:rPr>
              <w:t>West Coast</w:t>
            </w:r>
          </w:p>
        </w:tc>
      </w:tr>
      <w:tr w:rsidR="001510DC" w14:paraId="230B11AD"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70278C14" w14:textId="77777777" w:rsidR="001510DC" w:rsidRDefault="00000000">
            <w:pPr>
              <w:widowControl w:val="0"/>
              <w:jc w:val="center"/>
              <w:rPr>
                <w:sz w:val="20"/>
                <w:szCs w:val="20"/>
              </w:rPr>
            </w:pPr>
            <w:r>
              <w:rPr>
                <w:rFonts w:ascii="Times New Roman" w:eastAsia="Times New Roman" w:hAnsi="Times New Roman" w:cs="Times New Roman"/>
                <w:sz w:val="24"/>
                <w:szCs w:val="24"/>
              </w:rPr>
              <w:t>Jerome</w:t>
            </w:r>
          </w:p>
        </w:tc>
        <w:tc>
          <w:tcPr>
            <w:tcW w:w="1752" w:type="pct"/>
            <w:tcBorders>
              <w:top w:val="single" w:sz="8" w:space="0" w:color="CCCCCC"/>
              <w:left w:val="single" w:sz="8" w:space="0" w:color="CCCCCC"/>
              <w:bottom w:val="single" w:sz="8" w:space="0" w:color="D9D9D9"/>
            </w:tcBorders>
            <w:shd w:val="clear" w:color="auto" w:fill="D9D9D9"/>
            <w:tcMar>
              <w:top w:w="40" w:type="dxa"/>
              <w:left w:w="40" w:type="dxa"/>
              <w:bottom w:w="40" w:type="dxa"/>
              <w:right w:w="40" w:type="dxa"/>
            </w:tcMar>
            <w:vAlign w:val="bottom"/>
          </w:tcPr>
          <w:p w14:paraId="3835DC85" w14:textId="77777777" w:rsidR="001510DC" w:rsidRDefault="00000000">
            <w:pPr>
              <w:widowControl w:val="0"/>
              <w:jc w:val="center"/>
              <w:rPr>
                <w:sz w:val="20"/>
                <w:szCs w:val="20"/>
              </w:rPr>
            </w:pPr>
            <w:r>
              <w:rPr>
                <w:rFonts w:ascii="Times New Roman" w:eastAsia="Times New Roman" w:hAnsi="Times New Roman" w:cs="Times New Roman"/>
                <w:sz w:val="24"/>
                <w:szCs w:val="24"/>
              </w:rPr>
              <w:t>Assistant Vice Chancellor for Student Engagement</w:t>
            </w:r>
          </w:p>
        </w:tc>
        <w:tc>
          <w:tcPr>
            <w:tcW w:w="1518" w:type="pct"/>
            <w:shd w:val="clear" w:color="auto" w:fill="D9D9D9"/>
            <w:tcMar>
              <w:top w:w="40" w:type="dxa"/>
              <w:left w:w="40" w:type="dxa"/>
              <w:bottom w:w="40" w:type="dxa"/>
              <w:right w:w="40" w:type="dxa"/>
            </w:tcMar>
            <w:vAlign w:val="bottom"/>
          </w:tcPr>
          <w:p w14:paraId="05599A89"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public, liberal arts</w:t>
            </w:r>
          </w:p>
        </w:tc>
        <w:tc>
          <w:tcPr>
            <w:tcW w:w="1182" w:type="pct"/>
            <w:tcBorders>
              <w:top w:val="single" w:sz="8" w:space="0" w:color="CCCCCC"/>
              <w:bottom w:val="single" w:sz="8" w:space="0" w:color="D9D9D9"/>
              <w:right w:val="nil"/>
            </w:tcBorders>
            <w:shd w:val="clear" w:color="auto" w:fill="D9D9D9"/>
            <w:tcMar>
              <w:top w:w="40" w:type="dxa"/>
              <w:left w:w="40" w:type="dxa"/>
              <w:bottom w:w="40" w:type="dxa"/>
              <w:right w:w="40" w:type="dxa"/>
            </w:tcMar>
            <w:vAlign w:val="bottom"/>
          </w:tcPr>
          <w:p w14:paraId="598A206E" w14:textId="77777777" w:rsidR="001510DC" w:rsidRDefault="00000000">
            <w:pPr>
              <w:widowControl w:val="0"/>
              <w:jc w:val="center"/>
              <w:rPr>
                <w:sz w:val="20"/>
                <w:szCs w:val="20"/>
              </w:rPr>
            </w:pPr>
            <w:r>
              <w:rPr>
                <w:rFonts w:ascii="Times New Roman" w:eastAsia="Times New Roman" w:hAnsi="Times New Roman" w:cs="Times New Roman"/>
                <w:sz w:val="24"/>
                <w:szCs w:val="24"/>
              </w:rPr>
              <w:t>Midwest</w:t>
            </w:r>
          </w:p>
        </w:tc>
      </w:tr>
      <w:tr w:rsidR="001510DC" w14:paraId="1C39B2E1"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7AB1DB08" w14:textId="77777777" w:rsidR="001510DC" w:rsidRDefault="00000000">
            <w:pPr>
              <w:widowControl w:val="0"/>
              <w:jc w:val="center"/>
              <w:rPr>
                <w:sz w:val="20"/>
                <w:szCs w:val="20"/>
              </w:rPr>
            </w:pPr>
            <w:r>
              <w:rPr>
                <w:rFonts w:ascii="Times New Roman" w:eastAsia="Times New Roman" w:hAnsi="Times New Roman" w:cs="Times New Roman"/>
                <w:sz w:val="24"/>
                <w:szCs w:val="24"/>
              </w:rPr>
              <w:t>María</w:t>
            </w:r>
          </w:p>
        </w:tc>
        <w:tc>
          <w:tcPr>
            <w:tcW w:w="1752" w:type="pct"/>
            <w:tcBorders>
              <w:top w:val="single" w:sz="8" w:space="0" w:color="D9D9D9"/>
              <w:left w:val="single" w:sz="8" w:space="0" w:color="CCCCCC"/>
              <w:bottom w:val="single" w:sz="8" w:space="0" w:color="CCCCCC"/>
            </w:tcBorders>
            <w:tcMar>
              <w:top w:w="40" w:type="dxa"/>
              <w:left w:w="40" w:type="dxa"/>
              <w:bottom w:w="40" w:type="dxa"/>
              <w:right w:w="40" w:type="dxa"/>
            </w:tcMar>
            <w:vAlign w:val="bottom"/>
          </w:tcPr>
          <w:p w14:paraId="142CC329" w14:textId="77777777" w:rsidR="001510DC" w:rsidRDefault="00000000">
            <w:pPr>
              <w:widowControl w:val="0"/>
              <w:jc w:val="center"/>
              <w:rPr>
                <w:sz w:val="20"/>
                <w:szCs w:val="20"/>
              </w:rPr>
            </w:pPr>
            <w:r>
              <w:rPr>
                <w:rFonts w:ascii="Times New Roman" w:eastAsia="Times New Roman" w:hAnsi="Times New Roman" w:cs="Times New Roman"/>
                <w:sz w:val="24"/>
                <w:szCs w:val="24"/>
              </w:rPr>
              <w:t>Assistant Vice President and Dean of Students</w:t>
            </w:r>
          </w:p>
        </w:tc>
        <w:tc>
          <w:tcPr>
            <w:tcW w:w="1518" w:type="pct"/>
            <w:shd w:val="clear" w:color="auto" w:fill="FFFFFF"/>
            <w:tcMar>
              <w:top w:w="40" w:type="dxa"/>
              <w:left w:w="40" w:type="dxa"/>
              <w:bottom w:w="40" w:type="dxa"/>
              <w:right w:w="40" w:type="dxa"/>
            </w:tcMar>
            <w:vAlign w:val="bottom"/>
          </w:tcPr>
          <w:p w14:paraId="1447BC1C"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Mid-size, public, research</w:t>
            </w:r>
          </w:p>
        </w:tc>
        <w:tc>
          <w:tcPr>
            <w:tcW w:w="1182" w:type="pct"/>
            <w:tcBorders>
              <w:top w:val="single" w:sz="8" w:space="0" w:color="D9D9D9"/>
              <w:bottom w:val="single" w:sz="8" w:space="0" w:color="CCCCCC"/>
              <w:right w:val="nil"/>
            </w:tcBorders>
            <w:tcMar>
              <w:top w:w="40" w:type="dxa"/>
              <w:left w:w="40" w:type="dxa"/>
              <w:bottom w:w="40" w:type="dxa"/>
              <w:right w:w="40" w:type="dxa"/>
            </w:tcMar>
            <w:vAlign w:val="bottom"/>
          </w:tcPr>
          <w:p w14:paraId="1F084B33" w14:textId="77777777" w:rsidR="001510DC" w:rsidRDefault="00000000">
            <w:pPr>
              <w:widowControl w:val="0"/>
              <w:jc w:val="center"/>
              <w:rPr>
                <w:sz w:val="20"/>
                <w:szCs w:val="20"/>
              </w:rPr>
            </w:pPr>
            <w:r>
              <w:rPr>
                <w:rFonts w:ascii="Times New Roman" w:eastAsia="Times New Roman" w:hAnsi="Times New Roman" w:cs="Times New Roman"/>
                <w:sz w:val="24"/>
                <w:szCs w:val="24"/>
              </w:rPr>
              <w:t>Southern</w:t>
            </w:r>
          </w:p>
        </w:tc>
      </w:tr>
      <w:tr w:rsidR="001510DC" w14:paraId="5021FFE3" w14:textId="77777777" w:rsidTr="00A0345A">
        <w:trPr>
          <w:trHeight w:val="360"/>
        </w:trPr>
        <w:tc>
          <w:tcPr>
            <w:tcW w:w="547" w:type="pct"/>
            <w:tcBorders>
              <w:top w:val="nil"/>
              <w:left w:val="nil"/>
              <w:bottom w:val="nil"/>
              <w:right w:val="single" w:sz="8" w:space="0" w:color="000000"/>
            </w:tcBorders>
            <w:tcMar>
              <w:top w:w="40" w:type="dxa"/>
              <w:left w:w="40" w:type="dxa"/>
              <w:bottom w:w="40" w:type="dxa"/>
              <w:right w:w="40" w:type="dxa"/>
            </w:tcMar>
            <w:vAlign w:val="bottom"/>
          </w:tcPr>
          <w:p w14:paraId="6C9022EC" w14:textId="77777777" w:rsidR="001510DC" w:rsidRDefault="00000000">
            <w:pPr>
              <w:widowControl w:val="0"/>
              <w:jc w:val="center"/>
              <w:rPr>
                <w:sz w:val="20"/>
                <w:szCs w:val="20"/>
              </w:rPr>
            </w:pPr>
            <w:r>
              <w:rPr>
                <w:rFonts w:ascii="Times New Roman" w:eastAsia="Times New Roman" w:hAnsi="Times New Roman" w:cs="Times New Roman"/>
                <w:sz w:val="24"/>
                <w:szCs w:val="24"/>
              </w:rPr>
              <w:t>Phê-rô</w:t>
            </w:r>
          </w:p>
        </w:tc>
        <w:tc>
          <w:tcPr>
            <w:tcW w:w="1752" w:type="pct"/>
            <w:tcBorders>
              <w:top w:val="nil"/>
              <w:left w:val="single" w:sz="8" w:space="0" w:color="CCCCCC"/>
              <w:bottom w:val="nil"/>
            </w:tcBorders>
            <w:shd w:val="clear" w:color="auto" w:fill="D9D9D9"/>
            <w:tcMar>
              <w:top w:w="40" w:type="dxa"/>
              <w:left w:w="40" w:type="dxa"/>
              <w:bottom w:w="40" w:type="dxa"/>
              <w:right w:w="40" w:type="dxa"/>
            </w:tcMar>
            <w:vAlign w:val="bottom"/>
          </w:tcPr>
          <w:p w14:paraId="7098B8FC" w14:textId="77777777" w:rsidR="001510DC" w:rsidRDefault="00000000">
            <w:pPr>
              <w:widowControl w:val="0"/>
              <w:jc w:val="center"/>
              <w:rPr>
                <w:sz w:val="20"/>
                <w:szCs w:val="20"/>
              </w:rPr>
            </w:pPr>
            <w:r>
              <w:rPr>
                <w:rFonts w:ascii="Times New Roman" w:eastAsia="Times New Roman" w:hAnsi="Times New Roman" w:cs="Times New Roman"/>
                <w:sz w:val="24"/>
                <w:szCs w:val="24"/>
              </w:rPr>
              <w:t>Assistant Vice President for Student Affairs</w:t>
            </w:r>
          </w:p>
        </w:tc>
        <w:tc>
          <w:tcPr>
            <w:tcW w:w="1518" w:type="pct"/>
            <w:shd w:val="clear" w:color="auto" w:fill="D9D9D9"/>
            <w:tcMar>
              <w:top w:w="40" w:type="dxa"/>
              <w:left w:w="40" w:type="dxa"/>
              <w:bottom w:w="40" w:type="dxa"/>
              <w:right w:w="40" w:type="dxa"/>
            </w:tcMar>
            <w:vAlign w:val="bottom"/>
          </w:tcPr>
          <w:p w14:paraId="2DFD8220"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public, research intensive </w:t>
            </w:r>
          </w:p>
        </w:tc>
        <w:tc>
          <w:tcPr>
            <w:tcW w:w="1182" w:type="pct"/>
            <w:tcBorders>
              <w:top w:val="nil"/>
              <w:bottom w:val="nil"/>
              <w:right w:val="nil"/>
            </w:tcBorders>
            <w:shd w:val="clear" w:color="auto" w:fill="D9D9D9"/>
            <w:tcMar>
              <w:top w:w="40" w:type="dxa"/>
              <w:left w:w="40" w:type="dxa"/>
              <w:bottom w:w="40" w:type="dxa"/>
              <w:right w:w="40" w:type="dxa"/>
            </w:tcMar>
            <w:vAlign w:val="bottom"/>
          </w:tcPr>
          <w:p w14:paraId="7175D2B9" w14:textId="77777777" w:rsidR="001510DC" w:rsidRDefault="00000000">
            <w:pPr>
              <w:widowControl w:val="0"/>
              <w:jc w:val="center"/>
              <w:rPr>
                <w:sz w:val="20"/>
                <w:szCs w:val="20"/>
              </w:rPr>
            </w:pPr>
            <w:r>
              <w:rPr>
                <w:rFonts w:ascii="Times New Roman" w:eastAsia="Times New Roman" w:hAnsi="Times New Roman" w:cs="Times New Roman"/>
                <w:sz w:val="24"/>
                <w:szCs w:val="24"/>
              </w:rPr>
              <w:t>Southern</w:t>
            </w:r>
          </w:p>
        </w:tc>
      </w:tr>
      <w:tr w:rsidR="001510DC" w14:paraId="36F1F09C" w14:textId="77777777" w:rsidTr="00A0345A">
        <w:trPr>
          <w:trHeight w:val="392"/>
        </w:trPr>
        <w:tc>
          <w:tcPr>
            <w:tcW w:w="547" w:type="pct"/>
            <w:tcBorders>
              <w:top w:val="nil"/>
              <w:left w:val="nil"/>
              <w:bottom w:val="nil"/>
              <w:right w:val="single" w:sz="8" w:space="0" w:color="000000"/>
            </w:tcBorders>
            <w:tcMar>
              <w:top w:w="40" w:type="dxa"/>
              <w:left w:w="40" w:type="dxa"/>
              <w:bottom w:w="40" w:type="dxa"/>
              <w:right w:w="40" w:type="dxa"/>
            </w:tcMar>
            <w:vAlign w:val="bottom"/>
          </w:tcPr>
          <w:p w14:paraId="43628AE5" w14:textId="77777777" w:rsidR="001510DC" w:rsidRDefault="00000000">
            <w:pPr>
              <w:widowControl w:val="0"/>
              <w:jc w:val="center"/>
              <w:rPr>
                <w:sz w:val="20"/>
                <w:szCs w:val="20"/>
              </w:rPr>
            </w:pPr>
            <w:r>
              <w:rPr>
                <w:rFonts w:ascii="Times New Roman" w:eastAsia="Times New Roman" w:hAnsi="Times New Roman" w:cs="Times New Roman"/>
                <w:sz w:val="24"/>
                <w:szCs w:val="24"/>
              </w:rPr>
              <w:t>Sage</w:t>
            </w:r>
          </w:p>
        </w:tc>
        <w:tc>
          <w:tcPr>
            <w:tcW w:w="1752" w:type="pct"/>
            <w:tcBorders>
              <w:top w:val="nil"/>
              <w:left w:val="single" w:sz="8" w:space="0" w:color="CCCCCC"/>
              <w:bottom w:val="nil"/>
            </w:tcBorders>
            <w:tcMar>
              <w:top w:w="40" w:type="dxa"/>
              <w:left w:w="40" w:type="dxa"/>
              <w:bottom w:w="40" w:type="dxa"/>
              <w:right w:w="40" w:type="dxa"/>
            </w:tcMar>
            <w:vAlign w:val="bottom"/>
          </w:tcPr>
          <w:p w14:paraId="36774E74" w14:textId="77777777" w:rsidR="001510DC" w:rsidRDefault="00000000">
            <w:pPr>
              <w:widowControl w:val="0"/>
              <w:jc w:val="center"/>
              <w:rPr>
                <w:sz w:val="20"/>
                <w:szCs w:val="20"/>
              </w:rPr>
            </w:pPr>
            <w:r>
              <w:rPr>
                <w:rFonts w:ascii="Times New Roman" w:eastAsia="Times New Roman" w:hAnsi="Times New Roman" w:cs="Times New Roman"/>
                <w:sz w:val="24"/>
                <w:szCs w:val="24"/>
              </w:rPr>
              <w:t xml:space="preserve">Assistant Vice President of Equity, Identity, and Success </w:t>
            </w:r>
          </w:p>
        </w:tc>
        <w:tc>
          <w:tcPr>
            <w:tcW w:w="1518" w:type="pct"/>
            <w:shd w:val="clear" w:color="auto" w:fill="FFFFFF"/>
            <w:tcMar>
              <w:top w:w="40" w:type="dxa"/>
              <w:left w:w="40" w:type="dxa"/>
              <w:bottom w:w="40" w:type="dxa"/>
              <w:right w:w="40" w:type="dxa"/>
            </w:tcMar>
            <w:vAlign w:val="bottom"/>
          </w:tcPr>
          <w:p w14:paraId="1A099B20"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public, research intensive </w:t>
            </w:r>
          </w:p>
        </w:tc>
        <w:tc>
          <w:tcPr>
            <w:tcW w:w="1182" w:type="pct"/>
            <w:tcBorders>
              <w:top w:val="nil"/>
              <w:bottom w:val="nil"/>
              <w:right w:val="nil"/>
            </w:tcBorders>
            <w:tcMar>
              <w:top w:w="40" w:type="dxa"/>
              <w:left w:w="40" w:type="dxa"/>
              <w:bottom w:w="40" w:type="dxa"/>
              <w:right w:w="40" w:type="dxa"/>
            </w:tcMar>
            <w:vAlign w:val="bottom"/>
          </w:tcPr>
          <w:p w14:paraId="7D90CC13" w14:textId="77777777" w:rsidR="001510DC" w:rsidRDefault="00000000">
            <w:pPr>
              <w:widowControl w:val="0"/>
              <w:jc w:val="center"/>
              <w:rPr>
                <w:sz w:val="20"/>
                <w:szCs w:val="20"/>
              </w:rPr>
            </w:pPr>
            <w:r>
              <w:rPr>
                <w:rFonts w:ascii="Times New Roman" w:eastAsia="Times New Roman" w:hAnsi="Times New Roman" w:cs="Times New Roman"/>
                <w:sz w:val="24"/>
                <w:szCs w:val="24"/>
              </w:rPr>
              <w:t>Midwest</w:t>
            </w:r>
          </w:p>
        </w:tc>
      </w:tr>
    </w:tbl>
    <w:p w14:paraId="2969FC81" w14:textId="4752983C" w:rsidR="001510DC" w:rsidRDefault="001510DC">
      <w:pPr>
        <w:spacing w:line="480" w:lineRule="auto"/>
        <w:rPr>
          <w:rFonts w:ascii="Times New Roman" w:eastAsia="Times New Roman" w:hAnsi="Times New Roman" w:cs="Times New Roman"/>
          <w:sz w:val="24"/>
          <w:szCs w:val="24"/>
        </w:rPr>
      </w:pPr>
    </w:p>
    <w:p w14:paraId="6208BADA" w14:textId="79713C5D" w:rsidR="001510DC" w:rsidRDefault="00A0345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 List of Themes and Sub-Themes </w:t>
      </w:r>
    </w:p>
    <w:tbl>
      <w:tblPr>
        <w:tblStyle w:val="a1"/>
        <w:tblW w:w="9359" w:type="dxa"/>
        <w:tblBorders>
          <w:top w:val="nil"/>
          <w:left w:val="nil"/>
          <w:bottom w:val="nil"/>
          <w:right w:val="nil"/>
          <w:insideH w:val="nil"/>
          <w:insideV w:val="nil"/>
        </w:tblBorders>
        <w:tblLayout w:type="fixed"/>
        <w:tblLook w:val="0600" w:firstRow="0" w:lastRow="0" w:firstColumn="0" w:lastColumn="0" w:noHBand="1" w:noVBand="1"/>
      </w:tblPr>
      <w:tblGrid>
        <w:gridCol w:w="4679"/>
        <w:gridCol w:w="4680"/>
      </w:tblGrid>
      <w:tr w:rsidR="001510DC" w14:paraId="6D5EDBFB" w14:textId="77777777">
        <w:trPr>
          <w:trHeight w:val="360"/>
        </w:trPr>
        <w:tc>
          <w:tcPr>
            <w:tcW w:w="9358" w:type="dxa"/>
            <w:gridSpan w:val="2"/>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03F51CCF" w14:textId="77777777" w:rsidR="001510DC"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Phenomenological Analysis</w:t>
            </w:r>
          </w:p>
        </w:tc>
      </w:tr>
      <w:tr w:rsidR="001510DC" w14:paraId="33B18389" w14:textId="77777777">
        <w:trPr>
          <w:trHeight w:val="405"/>
        </w:trPr>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6B2A2185" w14:textId="77777777" w:rsidR="001510DC" w:rsidRDefault="0000000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Themes</w:t>
            </w:r>
          </w:p>
        </w:tc>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4A54D663" w14:textId="77777777" w:rsidR="001510DC" w:rsidRDefault="00000000">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Sub-themes </w:t>
            </w:r>
          </w:p>
        </w:tc>
      </w:tr>
      <w:tr w:rsidR="001510DC" w14:paraId="791DAF95" w14:textId="77777777">
        <w:trPr>
          <w:trHeight w:val="405"/>
        </w:trPr>
        <w:tc>
          <w:tcPr>
            <w:tcW w:w="4679" w:type="dxa"/>
            <w:vMerge w:val="restart"/>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3C0FE401"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Workplace Experiences</w:t>
            </w:r>
          </w:p>
          <w:p w14:paraId="48AACDE8" w14:textId="77777777" w:rsidR="001510DC" w:rsidRDefault="001510DC">
            <w:pPr>
              <w:widowControl w:val="0"/>
              <w:jc w:val="center"/>
              <w:rPr>
                <w:rFonts w:ascii="Times New Roman" w:eastAsia="Times New Roman" w:hAnsi="Times New Roman" w:cs="Times New Roman"/>
                <w:sz w:val="24"/>
                <w:szCs w:val="24"/>
              </w:rPr>
            </w:pPr>
          </w:p>
          <w:p w14:paraId="5BAA2B6D" w14:textId="77777777" w:rsidR="001510DC" w:rsidRDefault="001510DC">
            <w:pPr>
              <w:widowControl w:val="0"/>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2A50CEE3"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Encounters with Oppression </w:t>
            </w:r>
          </w:p>
        </w:tc>
      </w:tr>
      <w:tr w:rsidR="001510DC" w14:paraId="5D23D439" w14:textId="77777777">
        <w:trPr>
          <w:trHeight w:val="405"/>
        </w:trPr>
        <w:tc>
          <w:tcPr>
            <w:tcW w:w="4679" w:type="dxa"/>
            <w:vMerge/>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02E5CE29" w14:textId="77777777" w:rsidR="001510DC" w:rsidRDefault="001510DC">
            <w:pPr>
              <w:widowControl w:val="0"/>
              <w:spacing w:line="240" w:lineRule="auto"/>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4522A514"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Representation</w:t>
            </w:r>
          </w:p>
        </w:tc>
      </w:tr>
      <w:tr w:rsidR="001510DC" w14:paraId="71B58DEF" w14:textId="77777777">
        <w:trPr>
          <w:trHeight w:val="405"/>
        </w:trPr>
        <w:tc>
          <w:tcPr>
            <w:tcW w:w="4679" w:type="dxa"/>
            <w:vMerge/>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42916506" w14:textId="77777777" w:rsidR="001510DC" w:rsidRDefault="001510DC">
            <w:pPr>
              <w:widowControl w:val="0"/>
              <w:spacing w:line="240" w:lineRule="auto"/>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5EDD7A9C"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Internalized Oppression</w:t>
            </w:r>
          </w:p>
        </w:tc>
      </w:tr>
      <w:tr w:rsidR="001510DC" w14:paraId="172525E3" w14:textId="77777777">
        <w:trPr>
          <w:trHeight w:val="405"/>
        </w:trPr>
        <w:tc>
          <w:tcPr>
            <w:tcW w:w="4679" w:type="dxa"/>
            <w:vMerge/>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5D12ECCE" w14:textId="77777777" w:rsidR="001510DC" w:rsidRDefault="001510DC">
            <w:pPr>
              <w:widowControl w:val="0"/>
              <w:spacing w:line="240" w:lineRule="auto"/>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3A1372BA"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Identity and Cultural Influence</w:t>
            </w:r>
          </w:p>
        </w:tc>
      </w:tr>
      <w:tr w:rsidR="001510DC" w14:paraId="204B7920" w14:textId="77777777">
        <w:trPr>
          <w:trHeight w:val="287"/>
        </w:trPr>
        <w:tc>
          <w:tcPr>
            <w:tcW w:w="4679"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2B208D"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Persistence Pathways</w:t>
            </w:r>
          </w:p>
          <w:p w14:paraId="1C8C85B6" w14:textId="77777777" w:rsidR="001510DC" w:rsidRDefault="001510DC">
            <w:pPr>
              <w:widowControl w:val="0"/>
              <w:jc w:val="center"/>
              <w:rPr>
                <w:rFonts w:ascii="Times New Roman" w:eastAsia="Times New Roman" w:hAnsi="Times New Roman" w:cs="Times New Roman"/>
                <w:sz w:val="24"/>
                <w:szCs w:val="24"/>
              </w:rPr>
            </w:pPr>
          </w:p>
          <w:p w14:paraId="55F24B57" w14:textId="77777777" w:rsidR="001510DC" w:rsidRDefault="001510DC">
            <w:pPr>
              <w:widowControl w:val="0"/>
              <w:jc w:val="center"/>
              <w:rPr>
                <w:rFonts w:ascii="Times New Roman" w:eastAsia="Times New Roman" w:hAnsi="Times New Roman" w:cs="Times New Roman"/>
                <w:i/>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4B413999"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Challenging Oppression</w:t>
            </w:r>
          </w:p>
        </w:tc>
      </w:tr>
      <w:tr w:rsidR="001510DC" w14:paraId="7CC140C9" w14:textId="77777777">
        <w:trPr>
          <w:trHeight w:val="287"/>
        </w:trPr>
        <w:tc>
          <w:tcPr>
            <w:tcW w:w="4679"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A72929A" w14:textId="77777777" w:rsidR="001510DC" w:rsidRDefault="001510DC">
            <w:pPr>
              <w:widowControl w:val="0"/>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686EC67B"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Mentorship, and Relationships </w:t>
            </w:r>
          </w:p>
        </w:tc>
      </w:tr>
      <w:tr w:rsidR="001510DC" w14:paraId="34D7C7DE" w14:textId="77777777">
        <w:trPr>
          <w:trHeight w:val="360"/>
        </w:trPr>
        <w:tc>
          <w:tcPr>
            <w:tcW w:w="4679" w:type="dxa"/>
            <w:vMerge/>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1CDF52A3" w14:textId="77777777" w:rsidR="001510DC" w:rsidRDefault="001510DC">
            <w:pPr>
              <w:widowControl w:val="0"/>
              <w:spacing w:line="240" w:lineRule="auto"/>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3E71F52E"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Institutional Leadership and Supervision </w:t>
            </w:r>
          </w:p>
        </w:tc>
      </w:tr>
      <w:tr w:rsidR="001510DC" w14:paraId="5757E7DC" w14:textId="77777777">
        <w:trPr>
          <w:trHeight w:val="360"/>
        </w:trPr>
        <w:tc>
          <w:tcPr>
            <w:tcW w:w="4679" w:type="dxa"/>
            <w:vMerge/>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551B678A" w14:textId="77777777" w:rsidR="001510DC" w:rsidRDefault="001510DC">
            <w:pPr>
              <w:widowControl w:val="0"/>
              <w:spacing w:line="240" w:lineRule="auto"/>
              <w:jc w:val="center"/>
              <w:rPr>
                <w:rFonts w:ascii="Times New Roman" w:eastAsia="Times New Roman" w:hAnsi="Times New Roman" w:cs="Times New Roman"/>
                <w:sz w:val="24"/>
                <w:szCs w:val="24"/>
              </w:rPr>
            </w:pPr>
          </w:p>
        </w:tc>
        <w:tc>
          <w:tcPr>
            <w:tcW w:w="4679"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175FF573" w14:textId="77777777" w:rsidR="001510DC"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Knowing Yourself and Your Limits </w:t>
            </w:r>
          </w:p>
        </w:tc>
      </w:tr>
    </w:tbl>
    <w:p w14:paraId="1CF0D928" w14:textId="4D653E71" w:rsidR="001510DC" w:rsidRDefault="00000000" w:rsidP="002F6F5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Phenomenological Themes</w:t>
      </w:r>
    </w:p>
    <w:p w14:paraId="5EC79E29"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I present the two themes identified through phenomenological data analysis: </w:t>
      </w:r>
      <w:r>
        <w:rPr>
          <w:rFonts w:ascii="Times New Roman" w:eastAsia="Times New Roman" w:hAnsi="Times New Roman" w:cs="Times New Roman"/>
          <w:i/>
          <w:sz w:val="24"/>
          <w:szCs w:val="24"/>
        </w:rPr>
        <w:t xml:space="preserve">workplace experiences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persistence pathways</w:t>
      </w:r>
      <w:r>
        <w:rPr>
          <w:rFonts w:ascii="Times New Roman" w:eastAsia="Times New Roman" w:hAnsi="Times New Roman" w:cs="Times New Roman"/>
          <w:sz w:val="24"/>
          <w:szCs w:val="24"/>
        </w:rPr>
        <w:t xml:space="preserve">. Each theme is described and supported by recurring statements and quotes from participants about their experience as student affairs professionals with marginalized identities (the textural description) and the strategies and contexts that have supported their persistence (the structural description; Husserl, 1965; Leigh-Osroosh, 2021; Moustakas, 1994). The initial themes were further categorized into four sub-themes to better define the essence of participant shared experiences (Moustakas, 1994).  </w:t>
      </w:r>
    </w:p>
    <w:p w14:paraId="2B0B6170"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Experiences in the Workplace</w:t>
      </w:r>
    </w:p>
    <w:p w14:paraId="6EA5D7A8" w14:textId="37D865B9"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identified </w:t>
      </w:r>
      <w:r>
        <w:rPr>
          <w:rFonts w:ascii="Times New Roman" w:eastAsia="Times New Roman" w:hAnsi="Times New Roman" w:cs="Times New Roman"/>
          <w:i/>
          <w:sz w:val="24"/>
          <w:szCs w:val="24"/>
        </w:rPr>
        <w:t xml:space="preserve">experiences in the </w:t>
      </w:r>
      <w:r w:rsidR="00E02991">
        <w:rPr>
          <w:rFonts w:ascii="Times New Roman" w:eastAsia="Times New Roman" w:hAnsi="Times New Roman" w:cs="Times New Roman"/>
          <w:i/>
          <w:sz w:val="24"/>
          <w:szCs w:val="24"/>
        </w:rPr>
        <w:t xml:space="preserve">workplace </w:t>
      </w:r>
      <w:r w:rsidR="00E0299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the first theme through phenomenological analysis and included the following sub-themes: </w:t>
      </w:r>
      <w:r>
        <w:rPr>
          <w:rFonts w:ascii="Times New Roman" w:eastAsia="Times New Roman" w:hAnsi="Times New Roman" w:cs="Times New Roman"/>
          <w:i/>
          <w:sz w:val="24"/>
          <w:szCs w:val="24"/>
        </w:rPr>
        <w:t xml:space="preserve">encounters with oppression, representation, internalized oppression,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identity and cultural influence</w:t>
      </w:r>
      <w:r>
        <w:rPr>
          <w:rFonts w:ascii="Times New Roman" w:eastAsia="Times New Roman" w:hAnsi="Times New Roman" w:cs="Times New Roman"/>
          <w:sz w:val="24"/>
          <w:szCs w:val="24"/>
        </w:rPr>
        <w:t xml:space="preserve">. This theme and subsequent sub-themes illuminate the unique shared experience of being a senior student affairs professional with marginalized identities.   </w:t>
      </w:r>
    </w:p>
    <w:p w14:paraId="6B4F3D4B"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Encounters with Oppression</w:t>
      </w:r>
    </w:p>
    <w:p w14:paraId="59EF4A6D"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The first sub-theme identified from the data centered encounters with oppression. Though participants work at various institution types and hold multiple marginalized identities, each participant discussed experiences of oppression from supervisors, colleagues, or campus community members. These encounters ranged from supervisors engaged in inequitable treatment to a particular ‘feeling’ participants described having after engaging with someone. </w:t>
      </w:r>
    </w:p>
    <w:p w14:paraId="4C070BE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6010EE" w14:textId="77777777" w:rsidR="001510DC" w:rsidRDefault="001510DC">
      <w:pPr>
        <w:keepLines/>
        <w:spacing w:line="480" w:lineRule="auto"/>
        <w:ind w:firstLine="720"/>
        <w:rPr>
          <w:rFonts w:ascii="Times New Roman" w:eastAsia="Times New Roman" w:hAnsi="Times New Roman" w:cs="Times New Roman"/>
          <w:sz w:val="24"/>
          <w:szCs w:val="24"/>
        </w:rPr>
      </w:pPr>
    </w:p>
    <w:p w14:paraId="117651E8" w14:textId="77777777" w:rsidR="001510DC" w:rsidRDefault="00000000">
      <w:pPr>
        <w:keepLine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Grace, a multi-racial Asian American and White woman, has worked at the same large public polytechnic institution on the West Coast for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her career. She disclosed many experiences of inequitable payment when she was a new professional.</w:t>
      </w:r>
    </w:p>
    <w:p w14:paraId="0330E3C9" w14:textId="6C9B28EE" w:rsidR="001510DC" w:rsidRDefault="00000000">
      <w:pPr>
        <w:keepLine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Early on in my career, I approached my supervisor about my pay. I had a </w:t>
      </w:r>
      <w:r w:rsidR="00E02991">
        <w:rPr>
          <w:rFonts w:ascii="Times New Roman" w:eastAsia="Times New Roman" w:hAnsi="Times New Roman" w:cs="Times New Roman"/>
          <w:sz w:val="24"/>
          <w:szCs w:val="24"/>
        </w:rPr>
        <w:t>coworker,</w:t>
      </w:r>
      <w:r>
        <w:rPr>
          <w:rFonts w:ascii="Times New Roman" w:eastAsia="Times New Roman" w:hAnsi="Times New Roman" w:cs="Times New Roman"/>
          <w:sz w:val="24"/>
          <w:szCs w:val="24"/>
        </w:rPr>
        <w:t xml:space="preserve"> and we had essentially the same job. He had been there longer, but he was also married and had kids. And I was single and didn't have any children at the time. And when I went to ask her if we could be paid the same, my supervisor said, “well, he's the primary breadwinner in his family and that's why he needs to be paid more.”</w:t>
      </w:r>
    </w:p>
    <w:p w14:paraId="059F59D5" w14:textId="77777777" w:rsidR="001510DC" w:rsidRDefault="00000000">
      <w:pPr>
        <w:keepLine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 stressed how it is often challenging to “get a clear answer [in higher education] about how one does get promoted or paid equitably.” She also noted, “when I first started at this university, they had a list of people who made over a hundred thousand dollars and there was only one woman on that list. It was all men and mostly White men.”</w:t>
      </w:r>
    </w:p>
    <w:p w14:paraId="4D46029E" w14:textId="5EFD3A6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María, a Queer Latina, experienced oppression from supervisors in a different way. After her </w:t>
      </w:r>
      <w:r w:rsidR="00E02991">
        <w:rPr>
          <w:rFonts w:ascii="Times New Roman" w:eastAsia="Times New Roman" w:hAnsi="Times New Roman" w:cs="Times New Roman"/>
          <w:sz w:val="24"/>
          <w:szCs w:val="24"/>
        </w:rPr>
        <w:t>fiancé’s</w:t>
      </w:r>
      <w:r>
        <w:rPr>
          <w:rFonts w:ascii="Times New Roman" w:eastAsia="Times New Roman" w:hAnsi="Times New Roman" w:cs="Times New Roman"/>
          <w:sz w:val="24"/>
          <w:szCs w:val="24"/>
        </w:rPr>
        <w:t xml:space="preserve"> grandmother passed away, María encountered microaggressions targeting her Queer identity when asking her supervisor if she could take leave to attend the services. She did not think there would be pushback or questioning. </w:t>
      </w:r>
    </w:p>
    <w:p w14:paraId="11DF47C1"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didn't think he was going to care. But then he was like, “Well, I know that y'all are just engaged right now. How serious is this? Because the correct form of leave is bereavement leave. And so if this is serious, I'll push for that. But if it's not and you're not real serious, then I don't want to push for something.” And I was just like, “what?” Part of me was like, would you stop and ask my other colleague who's in a heterosexual relationship, the same question? If you're engaged to be married, the assumption is that this is something, you've made some decisions, it's going to be </w:t>
      </w:r>
      <w:proofErr w:type="gramStart"/>
      <w:r>
        <w:rPr>
          <w:rFonts w:ascii="Times New Roman" w:eastAsia="Times New Roman" w:hAnsi="Times New Roman" w:cs="Times New Roman"/>
          <w:sz w:val="24"/>
          <w:szCs w:val="24"/>
        </w:rPr>
        <w:t>pretty permanent</w:t>
      </w:r>
      <w:proofErr w:type="gramEnd"/>
      <w:r>
        <w:rPr>
          <w:rFonts w:ascii="Times New Roman" w:eastAsia="Times New Roman" w:hAnsi="Times New Roman" w:cs="Times New Roman"/>
          <w:sz w:val="24"/>
          <w:szCs w:val="24"/>
        </w:rPr>
        <w:t xml:space="preserve">. So that </w:t>
      </w:r>
      <w:r>
        <w:rPr>
          <w:rFonts w:ascii="Times New Roman" w:eastAsia="Times New Roman" w:hAnsi="Times New Roman" w:cs="Times New Roman"/>
          <w:sz w:val="24"/>
          <w:szCs w:val="24"/>
        </w:rPr>
        <w:lastRenderedPageBreak/>
        <w:t xml:space="preserve">caught me off guard and I reevaluated some things… I think that's the first time that I was like, oh, okay. </w:t>
      </w:r>
    </w:p>
    <w:p w14:paraId="3DD07993"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María, Phê-rô, a Vietnamese man currently serving as an assistant vice president for student affairs, also disclosed barriers related to identity. Phê-rô’s first name is a native Vietnamese name, but he chose to go by his ‘American’ middle name for the first 30 years of his life. He explained how this was easier for him growing up, but he also noticed negative responses when using his first name in professional settings.  </w:t>
      </w:r>
    </w:p>
    <w:p w14:paraId="01D4DAA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was applying for jobs, [I would] apply with my middle name or put my middle name in underlined quotations, because I realized that when I just did [my first name], I wouldn't get as many calls. And so it would be one of those situations where unless you knew me or unless we talked in person or you asked me about the job or whatnot, that's just what I felt like I had to do.</w:t>
      </w:r>
    </w:p>
    <w:p w14:paraId="5DD57290"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Phê-rô, who now proudly goes by his first name, further explained that the way people perceive his name influences assumptions and stereotypes made during phone calls, emails, and first-time meetings during his day-to-day work experiences.</w:t>
      </w:r>
    </w:p>
    <w:p w14:paraId="6098F11A" w14:textId="77777777" w:rsidR="001510DC" w:rsidRDefault="00000000">
      <w:pPr>
        <w:keepLine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Jerome, a Black Queer Man who serves as an assistant vice chancellor for student engagement of a small public institution in the Midwest, noted a ‘different pressure’ and ‘tax’ associated with having </w:t>
      </w:r>
      <w:proofErr w:type="gramStart"/>
      <w:r>
        <w:rPr>
          <w:rFonts w:ascii="Times New Roman" w:eastAsia="Times New Roman" w:hAnsi="Times New Roman" w:cs="Times New Roman"/>
          <w:sz w:val="24"/>
          <w:szCs w:val="24"/>
        </w:rPr>
        <w:t>particular marginalized</w:t>
      </w:r>
      <w:proofErr w:type="gramEnd"/>
      <w:r>
        <w:rPr>
          <w:rFonts w:ascii="Times New Roman" w:eastAsia="Times New Roman" w:hAnsi="Times New Roman" w:cs="Times New Roman"/>
          <w:sz w:val="24"/>
          <w:szCs w:val="24"/>
        </w:rPr>
        <w:t xml:space="preserve"> identities on a college campus. </w:t>
      </w:r>
    </w:p>
    <w:p w14:paraId="66666DC6" w14:textId="77777777" w:rsidR="001510DC" w:rsidRDefault="00000000">
      <w:pPr>
        <w:keepLine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expectation to show up in particular ways, the expectations around things that may not actually be part of my duties… I'll use Blackness as an example, as a Black person and a Black male in leadership. If there are issues surrounding race,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those issues happen within my shop or not, [there is] a responsibility or an expectation to lend support, to educate, to then respond to folks if harm was done. </w:t>
      </w:r>
    </w:p>
    <w:p w14:paraId="028E4463" w14:textId="77777777" w:rsidR="001510DC" w:rsidRDefault="00000000">
      <w:pPr>
        <w:keepLine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Jerome labeled this experience of increased expectations and labor as the “Black tax.” He elaborated on how colleagues with non-marginalized identities may not relate to this experience. </w:t>
      </w:r>
    </w:p>
    <w:p w14:paraId="26E23C52" w14:textId="77777777" w:rsidR="001510DC" w:rsidRDefault="00000000">
      <w:pPr>
        <w:keepLine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Black tax is a very real thing on campus, and that's with students and their expectations or with subordinates and their expectations… Same around Queerness, same around Disability… I think that my peers who have dominant identities do not have to worry about [that]. They get to come and they get to go to work, and then they get to go home and they get to unplug. But there is a different weight around being in the microscope of things or being in the fishbowl and then still having to maintain your role. </w:t>
      </w:r>
    </w:p>
    <w:p w14:paraId="5030CBA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María also discussed the ‘different pressure’ associated with having marginalized identities and holding a leadership position. There are differences in her experiences as a woman in leadership, as she explained wardrobe decisions, such as no longer wearing flat shoes or no longer having the option to not wear a jacket or blazer. She expanded on this idea of always being professional and prepared. </w:t>
      </w:r>
    </w:p>
    <w:p w14:paraId="7B021A3C"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My supervisor at the time, the dean of students and White male, could stroll into any meeting and no one was going to question why he needed to be there or what his role was. He didn't have to have the information. But when I walked into a space, well it’s, “What's your role? Why are you here? Why are you connected? Do you even know what we're talking about?” And so I was having to push and to learn and to do more background knowledge so that I knew and I was prepared, because I knew I was going to get those questions.</w:t>
      </w:r>
    </w:p>
    <w:p w14:paraId="1AB57C1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type of questioning from supervisors and colleagues about role, preparedness, or validity is a shared experience among participants. Brayden, a Black man currently serving as the vice </w:t>
      </w:r>
      <w:r>
        <w:rPr>
          <w:rFonts w:ascii="Times New Roman" w:eastAsia="Times New Roman" w:hAnsi="Times New Roman" w:cs="Times New Roman"/>
          <w:sz w:val="24"/>
          <w:szCs w:val="24"/>
        </w:rPr>
        <w:lastRenderedPageBreak/>
        <w:t xml:space="preserve">president for student affairs at a private, religious institution in the Northwest, expanded on this experience. </w:t>
      </w:r>
    </w:p>
    <w:p w14:paraId="3F654CDA"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been at this for over 25 years and the level of questioning that has occurred throughout my career, I've not seen that occur with my White colleagues in the same way. It's always, “Oh, why are we doing it this way? Why don't we consider it that way?” In instances where these folks have no experience, background, expertise in the areas that I have responsibility for. Those same kinds of questions continue to pop [up]. And again, that's the infrastructure, that's the system. </w:t>
      </w:r>
    </w:p>
    <w:p w14:paraId="2C421546"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Sage, a Black woman currently serving as an assistant vice president of equity, identity, and success within a student affairs division at a large public institution in the Midwest, talked about always feeling judged by misinformation or stereotypes, rather than her true character, especially as a young professional. </w:t>
      </w:r>
    </w:p>
    <w:p w14:paraId="7E36DC3E"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went to apply for a [different] position, my co-worker who was doing the same work as I was, [made] such a negative comment like, “What are you doing?” And this is what I heard: Who do you think you are?... I always felt that no matter what I did or how I operated, if there was an opportunity to second guess my character or my work ethic, it was always second guessed.</w:t>
      </w:r>
    </w:p>
    <w:p w14:paraId="19AC311C"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presumptions by colleagues can also be made about professionals who do not hold marginalized identities. Grace emphasized how positive assumptions are made and comments stated about colleagues with dominant identities. </w:t>
      </w:r>
    </w:p>
    <w:p w14:paraId="7DE4B8F0"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now, ironically, a male colleague that is my number two, and I adore him. He does a great job. I'm super grateful [that] can do anything that I can do. But I noticed when we walk into a room, that people refer to him when we leave. They're like, “oh my gosh, he's </w:t>
      </w:r>
      <w:r>
        <w:rPr>
          <w:rFonts w:ascii="Times New Roman" w:eastAsia="Times New Roman" w:hAnsi="Times New Roman" w:cs="Times New Roman"/>
          <w:sz w:val="24"/>
          <w:szCs w:val="24"/>
        </w:rPr>
        <w:lastRenderedPageBreak/>
        <w:t xml:space="preserve">so great. He's so amazing. He should be promoted. He needs to be elevated.” And not to say I don't agree, but it's just interesting. It's like, you've met him for 20 seconds. What is it about him that makes you think he's so wonderful that he needs to be promoted or put on a committee with the president? </w:t>
      </w:r>
    </w:p>
    <w:p w14:paraId="4A97D11D"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expressed how experiences with oppression can also be difficult to categorize. When discussing the added pressure he has experienced, Jerome stated “there are things I’ve had to navigate that sometimes it’s hard to name, but it’s there.” Sage also described this difficulty.</w:t>
      </w:r>
    </w:p>
    <w:p w14:paraId="3D3E1E07" w14:textId="366A69AB"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no proof that it's systemic racism or if there's systemic anything. I don't have proof of that. It's just the feeling that I experienced…. You don't ever really know. No one's ever going to admit it, right? </w:t>
      </w:r>
      <w:r w:rsidR="00E02991">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it's really about a feeling. </w:t>
      </w:r>
    </w:p>
    <w:p w14:paraId="1312B9E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a Gay Vietnamese Man, talked about how this feeling affects his regular work experiences as a professional with marginalized identities: </w:t>
      </w:r>
    </w:p>
    <w:p w14:paraId="50719D3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often have said the system wasn't created for me [or] parts of me… I certainly have a lot of privileged identities for sure. But when I think about marginalized identities, those are the ones I obviously think about a lot and influence how I feel like I show up day-to-day.</w:t>
      </w:r>
    </w:p>
    <w:p w14:paraId="31A934D4" w14:textId="4DF3D7E2"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shared collective experiences with oppressive systems and discussed how these encounters influenced their overall experience as a senior student affairs professional. </w:t>
      </w:r>
      <w:r w:rsidR="00E02991">
        <w:rPr>
          <w:rFonts w:ascii="Times New Roman" w:eastAsia="Times New Roman" w:hAnsi="Times New Roman" w:cs="Times New Roman"/>
          <w:sz w:val="24"/>
          <w:szCs w:val="24"/>
        </w:rPr>
        <w:t>Participants</w:t>
      </w:r>
      <w:r>
        <w:rPr>
          <w:rFonts w:ascii="Times New Roman" w:eastAsia="Times New Roman" w:hAnsi="Times New Roman" w:cs="Times New Roman"/>
          <w:sz w:val="24"/>
          <w:szCs w:val="24"/>
        </w:rPr>
        <w:t xml:space="preserve"> like Grace, Phê-rô, and María have experienced inequitable policies, practices, and hiring decisions which have influenced their livelihood and career satisfaction. Other participants expressed that assumptions, excessive expectations, or added pressure is placed on them by colleagues and supervisors. These encounters with oppression affect participants </w:t>
      </w:r>
      <w:proofErr w:type="gramStart"/>
      <w:r>
        <w:rPr>
          <w:rFonts w:ascii="Times New Roman" w:eastAsia="Times New Roman" w:hAnsi="Times New Roman" w:cs="Times New Roman"/>
          <w:sz w:val="24"/>
          <w:szCs w:val="24"/>
        </w:rPr>
        <w:t>on a daily basis</w:t>
      </w:r>
      <w:proofErr w:type="gramEnd"/>
      <w:r>
        <w:rPr>
          <w:rFonts w:ascii="Times New Roman" w:eastAsia="Times New Roman" w:hAnsi="Times New Roman" w:cs="Times New Roman"/>
          <w:sz w:val="24"/>
          <w:szCs w:val="24"/>
        </w:rPr>
        <w:t xml:space="preserve"> and influence their experiences as a senior student affairs professional with marginalized identities.  </w:t>
      </w:r>
    </w:p>
    <w:p w14:paraId="435C676E"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Representation </w:t>
      </w:r>
    </w:p>
    <w:p w14:paraId="4AF8CC90" w14:textId="36AA06CE"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sub-theme I identified within experiences in the </w:t>
      </w:r>
      <w:r w:rsidR="00E02991">
        <w:rPr>
          <w:rFonts w:ascii="Times New Roman" w:eastAsia="Times New Roman" w:hAnsi="Times New Roman" w:cs="Times New Roman"/>
          <w:sz w:val="24"/>
          <w:szCs w:val="24"/>
        </w:rPr>
        <w:t>workplace was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representation. </w:t>
      </w:r>
      <w:r>
        <w:rPr>
          <w:rFonts w:ascii="Times New Roman" w:eastAsia="Times New Roman" w:hAnsi="Times New Roman" w:cs="Times New Roman"/>
          <w:sz w:val="24"/>
          <w:szCs w:val="24"/>
        </w:rPr>
        <w:t xml:space="preserve">Representation refers to the deficiency in diverse staff within higher education student affairs and the influence that had on participants. Each participant shared experiences related to being the first or only (or both) person with marginalized identities at their institutions or in their departments, divisions, or certain leadership positions. The sub-theme of representation also illustrates the impact of seeing and connecting with professionals </w:t>
      </w:r>
      <w:r w:rsidR="00E02991">
        <w:rPr>
          <w:rFonts w:ascii="Times New Roman" w:eastAsia="Times New Roman" w:hAnsi="Times New Roman" w:cs="Times New Roman"/>
          <w:sz w:val="24"/>
          <w:szCs w:val="24"/>
        </w:rPr>
        <w:t>with marginalized</w:t>
      </w:r>
      <w:r>
        <w:rPr>
          <w:rFonts w:ascii="Times New Roman" w:eastAsia="Times New Roman" w:hAnsi="Times New Roman" w:cs="Times New Roman"/>
          <w:sz w:val="24"/>
          <w:szCs w:val="24"/>
        </w:rPr>
        <w:t xml:space="preserve"> identities in leadership positions, in addition to the experience of serving as representation for others upon obtaining a senior-leadership position. </w:t>
      </w:r>
    </w:p>
    <w:p w14:paraId="45CC95D7" w14:textId="5AD07055"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an </w:t>
      </w:r>
      <w:r w:rsidR="00E02991">
        <w:rPr>
          <w:rFonts w:ascii="Times New Roman" w:eastAsia="Times New Roman" w:hAnsi="Times New Roman" w:cs="Times New Roman"/>
          <w:sz w:val="24"/>
          <w:szCs w:val="24"/>
        </w:rPr>
        <w:t>African American</w:t>
      </w:r>
      <w:r>
        <w:rPr>
          <w:rFonts w:ascii="Times New Roman" w:eastAsia="Times New Roman" w:hAnsi="Times New Roman" w:cs="Times New Roman"/>
          <w:sz w:val="24"/>
          <w:szCs w:val="24"/>
        </w:rPr>
        <w:t xml:space="preserve"> Woman and the vice president for student services at a small, private religious institution in the South, has had a unique professional journey and experience. Starting her career in K-12 public schools, Coach experienced a professional shift in 2012 which led her to serving as an academic advisor for student-athletes at her current institution. During her time at her current institution, she has been promoted through the department of student </w:t>
      </w:r>
      <w:r w:rsidR="00E02991">
        <w:rPr>
          <w:rFonts w:ascii="Times New Roman" w:eastAsia="Times New Roman" w:hAnsi="Times New Roman" w:cs="Times New Roman"/>
          <w:sz w:val="24"/>
          <w:szCs w:val="24"/>
        </w:rPr>
        <w:t>success and</w:t>
      </w:r>
      <w:r>
        <w:rPr>
          <w:rFonts w:ascii="Times New Roman" w:eastAsia="Times New Roman" w:hAnsi="Times New Roman" w:cs="Times New Roman"/>
          <w:sz w:val="24"/>
          <w:szCs w:val="24"/>
        </w:rPr>
        <w:t xml:space="preserve"> asked to serve as the interim vice president for student services in 2020, which became permanent six months later. Her entire career in student affairs has been at her current institution  </w:t>
      </w:r>
    </w:p>
    <w:p w14:paraId="549D37AA"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I’m the first African American administrator [at] my current institution, which our institution is over 170 years old so the fact that I was appointed as the first African American [senior] administrator four years ago lends itself to, it's obvious that there were some barriers… I mean, I was here for 12 years and it took a while… I'm the only African American vice president of [now] eight vice presidents.</w:t>
      </w:r>
    </w:p>
    <w:p w14:paraId="2E6D577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demographics of Coach’s institution did not allow her to easily find community. She elaborated on her experience with representation. </w:t>
      </w:r>
    </w:p>
    <w:p w14:paraId="33C045FF"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came [here] in 2012, there were five other African American faculty and staff people. There was a grand total of six of us, which included some [athletic] coaches… I was on that island all by myself because I didn't know who I could confide in. I had no one other than [the person] who asked me to step into this role, and I felt like I could confide in him, but he didn't look like me. So I did feel like I was on the island by myself for a long time, and not because [he] didn't try to make me feel like I belonged, but for a long time I didn't feel like I belonged because there were not very many faces [like mine]. </w:t>
      </w:r>
    </w:p>
    <w:p w14:paraId="724A071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detailed experiences of not seeing their identities represented in leadership. Grace noted a “turning point” about 16 years ago at a conference for Asian and Pacific Islanders. </w:t>
      </w:r>
    </w:p>
    <w:p w14:paraId="1CFF4484"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w:t>
      </w:r>
      <w:proofErr w:type="gramStart"/>
      <w:r>
        <w:rPr>
          <w:rFonts w:ascii="Times New Roman" w:eastAsia="Times New Roman" w:hAnsi="Times New Roman" w:cs="Times New Roman"/>
          <w:sz w:val="24"/>
          <w:szCs w:val="24"/>
        </w:rPr>
        <w:t>really clear</w:t>
      </w:r>
      <w:proofErr w:type="gramEnd"/>
      <w:r>
        <w:rPr>
          <w:rFonts w:ascii="Times New Roman" w:eastAsia="Times New Roman" w:hAnsi="Times New Roman" w:cs="Times New Roman"/>
          <w:sz w:val="24"/>
          <w:szCs w:val="24"/>
        </w:rPr>
        <w:t xml:space="preserve"> that there are a lot of Asian Americans who have various roles in higher ed. So we're well represented in higher ed overall, but very few in the top levels of leadership. So like president, vice president, there aren't as many Asians. </w:t>
      </w:r>
    </w:p>
    <w:p w14:paraId="07F44E27"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sentiment of inadequate representation at the beginning of their career was common amongst participants. Sage, who was a new professional in the Midwest in the 1990s, shared about her time as an early professional at a community college: </w:t>
      </w:r>
    </w:p>
    <w:p w14:paraId="4266EB9C"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looked around [at] that institution, no, not a lot of People of Color. They had their one good guy that they really liked. They let him </w:t>
      </w:r>
      <w:proofErr w:type="gramStart"/>
      <w:r>
        <w:rPr>
          <w:rFonts w:ascii="Times New Roman" w:eastAsia="Times New Roman" w:hAnsi="Times New Roman" w:cs="Times New Roman"/>
          <w:sz w:val="24"/>
          <w:szCs w:val="24"/>
        </w:rPr>
        <w:t>rise up</w:t>
      </w:r>
      <w:proofErr w:type="gramEnd"/>
      <w:r>
        <w:rPr>
          <w:rFonts w:ascii="Times New Roman" w:eastAsia="Times New Roman" w:hAnsi="Times New Roman" w:cs="Times New Roman"/>
          <w:sz w:val="24"/>
          <w:szCs w:val="24"/>
        </w:rPr>
        <w:t xml:space="preserve"> the ranks. But everybody else really, there wasn't a lot of diversity. There wasn't a lot of diversity of women, of other ethnicities and nationalities in higher positions.</w:t>
      </w:r>
    </w:p>
    <w:p w14:paraId="0169976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Twenty years later, participants are now serving as the representation on their campuses. Jack, who was recently appointed dean of students at a small, liberal arts college on the west coast, shared his current experience with representation:</w:t>
      </w:r>
    </w:p>
    <w:p w14:paraId="4AE28BE2"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Right now, I am one of two People of Color on our senior leadership team. It's hard to not think about that. Every time I sit down for a meeting. I am [also] the only out person on our senior leadership team. </w:t>
      </w:r>
    </w:p>
    <w:p w14:paraId="701D36C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Brayden specified how the lack of representation can influence work relationships and produce challenges: </w:t>
      </w:r>
    </w:p>
    <w:p w14:paraId="2BCBD8F2"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also note that given the places that I've worked, in many instances, I might have been the first BIPOC person that they worked with and or were supervised by. And when you layer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those other factors, including my identity characteristics on top of that, it created some pretty significant barriers in a lot of ways.</w:t>
      </w:r>
    </w:p>
    <w:p w14:paraId="464E959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Brayden elaborated on how his identities have influenced </w:t>
      </w:r>
      <w:proofErr w:type="gramStart"/>
      <w:r>
        <w:rPr>
          <w:rFonts w:ascii="Times New Roman" w:eastAsia="Times New Roman" w:hAnsi="Times New Roman" w:cs="Times New Roman"/>
          <w:sz w:val="24"/>
          <w:szCs w:val="24"/>
        </w:rPr>
        <w:t>particular interactions</w:t>
      </w:r>
      <w:proofErr w:type="gramEnd"/>
      <w:r>
        <w:rPr>
          <w:rFonts w:ascii="Times New Roman" w:eastAsia="Times New Roman" w:hAnsi="Times New Roman" w:cs="Times New Roman"/>
          <w:sz w:val="24"/>
          <w:szCs w:val="24"/>
        </w:rPr>
        <w:t xml:space="preserve"> with or treatment from colleagues. </w:t>
      </w:r>
    </w:p>
    <w:p w14:paraId="4FCE1F0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[applying] at one institution and there had been an internal candidate for the same role who was a White woman who didn't get it. She was going to be, and was, my direct report. And she was older than me, she had a little bit more experience than me. We identified very differently from one another. And she made it her business to create roadblocks and problems for me, particularly in my first year.</w:t>
      </w:r>
    </w:p>
    <w:p w14:paraId="3189CAA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Jerome recalled similar experiences, “I do navigate being in these environments sometimes as the only or one of few, and there is a different pressure that’s associated with that.” He continued </w:t>
      </w:r>
    </w:p>
    <w:p w14:paraId="0E2F4FF8"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oftentimes we tell our students and we know ourselves that we are not the representatives for any group that we're a part of, sometimes the reality is people are </w:t>
      </w:r>
      <w:r>
        <w:rPr>
          <w:rFonts w:ascii="Times New Roman" w:eastAsia="Times New Roman" w:hAnsi="Times New Roman" w:cs="Times New Roman"/>
          <w:sz w:val="24"/>
          <w:szCs w:val="24"/>
        </w:rPr>
        <w:lastRenderedPageBreak/>
        <w:t xml:space="preserve">looking at you to represent your group. Whatever that group may be or whatever they may assign you to be based off of what they </w:t>
      </w:r>
      <w:proofErr w:type="gramStart"/>
      <w:r>
        <w:rPr>
          <w:rFonts w:ascii="Times New Roman" w:eastAsia="Times New Roman" w:hAnsi="Times New Roman" w:cs="Times New Roman"/>
          <w:sz w:val="24"/>
          <w:szCs w:val="24"/>
        </w:rPr>
        <w:t>perceive,</w:t>
      </w:r>
      <w:proofErr w:type="gramEnd"/>
      <w:r>
        <w:rPr>
          <w:rFonts w:ascii="Times New Roman" w:eastAsia="Times New Roman" w:hAnsi="Times New Roman" w:cs="Times New Roman"/>
          <w:sz w:val="24"/>
          <w:szCs w:val="24"/>
        </w:rPr>
        <w:t xml:space="preserve"> whether you've disclosed it or not. </w:t>
      </w:r>
    </w:p>
    <w:p w14:paraId="481B8987"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Conversely, Jerome noted the positive effect of seeing yourself represented and how that has influenced his leadership journey. He shared that at his previous institutions, the vice president or vice chancellor for student affairs has been a Black professional. Each of these administrators supported Jerome’s career needs and aspirations. </w:t>
      </w:r>
    </w:p>
    <w:p w14:paraId="6377CEDE"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things that I have been really, really thinking about, especially as a first-generation college student, is the impact that seeing professionals and experiencing professionals that had [an] identity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mine. How affirming those experiences were for me. And that continues to re-energize me in this work and help me to understand my purpose. Being able to mentor younger professionals who are aspiring for positions that I've been in and being able to see, again, folks that are in positions that I aspire to who have experiences like my lived experiences. </w:t>
      </w:r>
    </w:p>
    <w:p w14:paraId="0647F7C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emphasized the impact of visibly seeing leaders with marginalized identities,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being the one seen. María expressed the responsibility and honor she feels being the representation for others.</w:t>
      </w:r>
    </w:p>
    <w:p w14:paraId="11F9AB65"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want to make sure students know there is somebody who's done it, whether they want to go into this field or not. That someone can be out and Queer and Brown and speak Spanish. [They can] be a first-generation student, all those things, and hold these positions.  </w:t>
      </w:r>
    </w:p>
    <w:p w14:paraId="3230FF3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Phê-rô’s experiences converged with others’ experiences with visible representation. He highlighted the influence geography and region can have on this experience, “if you go out to California and New Mexico and all that, I see a lot more Asian Americans in senior-level </w:t>
      </w:r>
      <w:r>
        <w:rPr>
          <w:rFonts w:ascii="Times New Roman" w:eastAsia="Times New Roman" w:hAnsi="Times New Roman" w:cs="Times New Roman"/>
          <w:sz w:val="24"/>
          <w:szCs w:val="24"/>
        </w:rPr>
        <w:lastRenderedPageBreak/>
        <w:t xml:space="preserve">leadership out there, but they're not crossing over past the Mason Dixon.” He elaborated that choosing to live in the South motivates him to be the representation for others. </w:t>
      </w:r>
    </w:p>
    <w:p w14:paraId="1CBB72F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went to school, it was a PWI and I saw nobody, and I'm still seeing nobody. And so understanding the value in that even if people don't know me, or never heard of me or never talked to me, if they see that there is somebody there, I think it at least relieves a fear. They can say, “well, there is some way. There's some way to get there.” And I think for me, that was part of my persistence model, wanting to get there.</w:t>
      </w:r>
    </w:p>
    <w:p w14:paraId="5E3637F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Representation was a significant and recurring topic throughout participant interviews. The internal and external effects of being the only professional with marginalized identities on your campus, within your department or division, or in a leadership position are critical. Participants expressed feelings of insecurity or doubt in their ability to “make it” since they did not see themselves represented in leadership. Some also noted that connecting with leaders throughout their career who shared similar identities was invaluable to their experience and persistence. Now, participants are serving as the representation for young professionals and students on their campus since they have reached a senior-level administrative position. </w:t>
      </w:r>
    </w:p>
    <w:p w14:paraId="610E989C"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Internalized Oppression </w:t>
      </w:r>
    </w:p>
    <w:p w14:paraId="08017F4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participants described their experiences with oppression, they also highlighted how these experiences and other factors caused them to internalize the perception of and pressure from others. Jack mentioned experiencing a ‘different pressure’ at his current institution and expressed his struggle with the potential impact he could make on communities he is a part of: </w:t>
      </w:r>
    </w:p>
    <w:p w14:paraId="3C7B8747" w14:textId="77777777" w:rsidR="001510DC" w:rsidRDefault="00000000">
      <w:pPr>
        <w:keepLine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 the folks who the system is built for, they don't have to think about their words because there isn't as big of an impact if they screw up. If I screw up and I either make a bad call or </w:t>
      </w:r>
      <w:proofErr w:type="gramStart"/>
      <w:r>
        <w:rPr>
          <w:rFonts w:ascii="Times New Roman" w:eastAsia="Times New Roman" w:hAnsi="Times New Roman" w:cs="Times New Roman"/>
          <w:sz w:val="24"/>
          <w:szCs w:val="24"/>
        </w:rPr>
        <w:t>I say</w:t>
      </w:r>
      <w:proofErr w:type="gramEnd"/>
      <w:r>
        <w:rPr>
          <w:rFonts w:ascii="Times New Roman" w:eastAsia="Times New Roman" w:hAnsi="Times New Roman" w:cs="Times New Roman"/>
          <w:sz w:val="24"/>
          <w:szCs w:val="24"/>
        </w:rPr>
        <w:t xml:space="preserve"> the wrong thing, it's a reflection on those marginalized communities that I feel like I carry. So in some ways I could say that I worry about speaking on behalf of our students of color or that I worry when I [talk] about the LGBTQ+ student experience, that all eyes are on me. </w:t>
      </w:r>
    </w:p>
    <w:p w14:paraId="6A017E2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Phê-rô shared a similar sentiment, "if I go one way, it could be seen or viewed by a population as such. And if you don't go that way, then it can be viewed the same type of way by a different population." As mentioned earlier, Phê-rô previously went by his ‘American’ middle name. He further explained that during childhood and young adulthood, he did not identify much with his Asian culture outside of his household. This was due to growing up in a predominantly Black neighborhood and feeling a strong societal connection to the Black community. This led him to join a historically Black Greek lettered organization in college where he thrived, but continued to struggle with cultural disconnection. He recalled times in his early career of asking himself “Am I Asian enough? Am I not Asian enough? Am I doing this right?” </w:t>
      </w:r>
    </w:p>
    <w:p w14:paraId="565112A1"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internalized oppression related to identity validity is not an isolated experience. Grace, who identifies as multi-racial, stated, “even as a person who works in the diversity, equity and inclusion field, I sometimes don't feel like I am Asian enough or diverse enough to be considered credible.” </w:t>
      </w:r>
    </w:p>
    <w:p w14:paraId="7F44855F" w14:textId="075C27CB"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María defined her experience as an “internal battle.” Even while working at a Hispanic serving institution (HSI), she navigated various barriers due to her multiple marginalized identities. Though she was feeling supported in her Mexican identity, María experienced an internal conflict related to her Womanhood and Queer identity. Maria pondered, “I think it just </w:t>
      </w:r>
      <w:r>
        <w:rPr>
          <w:rFonts w:ascii="Times New Roman" w:eastAsia="Times New Roman" w:hAnsi="Times New Roman" w:cs="Times New Roman"/>
          <w:sz w:val="24"/>
          <w:szCs w:val="24"/>
        </w:rPr>
        <w:lastRenderedPageBreak/>
        <w:t xml:space="preserve">puts you in a place of like, am I legitimate? Will I ever be seen as legitimate?” This was around the same time she began making intentional wardrobe decisions such as no longer wearing flat shoes or consistently wearing a blazer or jacket. She </w:t>
      </w:r>
      <w:r w:rsidR="00E02991">
        <w:rPr>
          <w:rFonts w:ascii="Times New Roman" w:eastAsia="Times New Roman" w:hAnsi="Times New Roman" w:cs="Times New Roman"/>
          <w:sz w:val="24"/>
          <w:szCs w:val="24"/>
        </w:rPr>
        <w:t>concluded, “The</w:t>
      </w:r>
      <w:r>
        <w:rPr>
          <w:rFonts w:ascii="Times New Roman" w:eastAsia="Times New Roman" w:hAnsi="Times New Roman" w:cs="Times New Roman"/>
          <w:sz w:val="24"/>
          <w:szCs w:val="24"/>
        </w:rPr>
        <w:t xml:space="preserve"> emotional labor that causes internally for you is just very different.” </w:t>
      </w:r>
    </w:p>
    <w:p w14:paraId="02BD9A62"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Encounters with oppression and barriers led some participants to internalize the pressure, doubt, and identity conflicts experienced. Participants have second-guessed their decisions or identity validity due to internalized oppression. This internalization has caused emotional and mental distress for participants and influenced their career experiences.   </w:t>
      </w:r>
    </w:p>
    <w:p w14:paraId="3ED8414C"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Identity and Cultural Influence </w:t>
      </w:r>
    </w:p>
    <w:p w14:paraId="094DD416"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final sub-theme within experiences in the workplace encapsulates the special talents, characteristics, and perspectives professionals with marginalized identities bring to the field of student affairs, and how these attributes have influenced participants' career experiences. Jerome described this as an “incomparable element” that he brings to professional spaces. “There have been barriers, but there are also benefits to marginalized identities. I provide relatability, a unique perspective. I bring a flair to the workplace.” He further shared how this authenticity influences those around him. </w:t>
      </w:r>
    </w:p>
    <w:p w14:paraId="09CE0173"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been told that there is an energy that I bring to organizations that empower folks to exist in the fullness of their authenticity, to challenge norms. And I do that in a way that is real and authentic. I'm a disruptor, but in a way that really is authentic to me and in a way that also promotes education and learning and those sort of things. </w:t>
      </w:r>
    </w:p>
    <w:p w14:paraId="3F1A47C2"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discussed receiving these salient characteristics or foundational background experiences from family members. When asked what has contributed to her persistence, María highlighted her and her parents’ journey to the United States. </w:t>
      </w:r>
    </w:p>
    <w:p w14:paraId="6E3FB30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My mom literally put me to sleep in a tractor tire and swam me across the Rio Grande. And so I think on days where I'm just like, this is a lot, there's nothing that I can do. I think there wasn't a whole lot my parents could do, but my mother still risked her life and my life for a better life here. So that I could make choices and decisions different than what she did. And so far, I think I'm kicking ass on paving a different road for myself. But I’m always thinking about the sacrifices my grandparents made so that my parents could have a better life and the decisions my parents made, good or bad, so that I could be where I'm at. I think that keeps me rooted to my work ethic. </w:t>
      </w:r>
    </w:p>
    <w:p w14:paraId="1CC4977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Brayden also expressed gratitude for the opportunities he’s had due to the support of his family. He stated, “I’m living a life that is unfamiliar to them.” He explained how being the first in his immediate family to attend college and moving away from home allowed him to create a lifestyle that is different from older generations in his family. Still, they have remained a significant source of support for him.  </w:t>
      </w:r>
    </w:p>
    <w:p w14:paraId="3CF3B4C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referenced that my mom passed away when I was a senior in college, that's my paternal grandmother who assumed guardianship of me when I was born… [she was] always fully invested in me. I was always a good student, and she saw that really, </w:t>
      </w:r>
      <w:proofErr w:type="gramStart"/>
      <w:r>
        <w:rPr>
          <w:rFonts w:ascii="Times New Roman" w:eastAsia="Times New Roman" w:hAnsi="Times New Roman" w:cs="Times New Roman"/>
          <w:sz w:val="24"/>
          <w:szCs w:val="24"/>
        </w:rPr>
        <w:t>really early</w:t>
      </w:r>
      <w:proofErr w:type="gramEnd"/>
      <w:r>
        <w:rPr>
          <w:rFonts w:ascii="Times New Roman" w:eastAsia="Times New Roman" w:hAnsi="Times New Roman" w:cs="Times New Roman"/>
          <w:sz w:val="24"/>
          <w:szCs w:val="24"/>
        </w:rPr>
        <w:t xml:space="preserve"> on and really pushed me to pour into my books and my studies, and then the rest of my family saw it as well, and they always encouraged it. I was teased a lot as a kid. I was called a nerd and a whole range of other things growing up because where I grew up, being smart was not cool. And so having that support from my family has always been so important, and they've been with me every step along the way, every graduation, every milestone event… the younger cousins, they all look up to me in that regard. </w:t>
      </w:r>
    </w:p>
    <w:p w14:paraId="6C6B1C7E" w14:textId="1942860F"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Grace also mentioned cultural and familial influences that affected how she showed up professionally and her work experiences, “I definitely recognize that my persistence, especially at an early age, came from my family and the messages of what the next generation was expected to do for the family.” She shared that this influenced her competitive drive and motivation to achieve; however, she also disclosed cultural influences that negatively affected her professionally. She remembered a consistent message received growing up, “the nail that sticks up gets hammered down.” As a young professional, Grace viewed being vocal, complaining, or standing out as a negative. “We don't draw attention to ourselves. If anything bad happens to you, it's your fault. That's a very first-gen immigrant mentality, I think.” Her views changed when she witnessed other Asian Women enacting different leadership styles than her</w:t>
      </w:r>
      <w:r w:rsidR="00E02991">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643104AF"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a founding member of the Asian Pacific Islander faculty and staff association. Early on, after we formed, there were some women who were very outspoken and very loud and charismatic. Just so different than how I stereotyped or thought about, well, myself and other Asian women. And I thought, “well, gosh, if Lisa can embrace her voice and speak out and be angry about something, why shouldn't I do that?” </w:t>
      </w:r>
    </w:p>
    <w:p w14:paraId="478D919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as an administrator, Grace embraces her leadership style and views it as a strength.</w:t>
      </w:r>
    </w:p>
    <w:p w14:paraId="1D17AD98"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sometimes think about who would do it if I wasn't here. I mean, we're all replaceable. But when I think, “oh, I don't want to have that conversation anymore. I don't want to deal with this really heavy subject,” it's like, yeah, but I also feel like I am good at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and I have a gift to give people… I know I take a lot of care in the work that I do. So that also keeps me motivated to show up.</w:t>
      </w:r>
    </w:p>
    <w:p w14:paraId="306B623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professionals with marginalized identities experience oppression and barriers related to their identity, their presence and leadership bring invaluable elements of diversity and </w:t>
      </w:r>
      <w:r>
        <w:rPr>
          <w:rFonts w:ascii="Times New Roman" w:eastAsia="Times New Roman" w:hAnsi="Times New Roman" w:cs="Times New Roman"/>
          <w:sz w:val="24"/>
          <w:szCs w:val="24"/>
        </w:rPr>
        <w:lastRenderedPageBreak/>
        <w:t>perspective to the workplace. Throughout the interviews, participants revealed special talents, valued characteristics, and unique backgrounds that allow them to engage in student affairs work in creative and intentional ways. Participants also cited specific influences from their family or culture that shaped their career experiences.</w:t>
      </w:r>
    </w:p>
    <w:p w14:paraId="22A44C40"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Persistence Pathways </w:t>
      </w:r>
    </w:p>
    <w:p w14:paraId="140DEC6C"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 identified </w:t>
      </w:r>
      <w:r>
        <w:rPr>
          <w:rFonts w:ascii="Times New Roman" w:eastAsia="Times New Roman" w:hAnsi="Times New Roman" w:cs="Times New Roman"/>
          <w:i/>
          <w:sz w:val="24"/>
          <w:szCs w:val="24"/>
        </w:rPr>
        <w:t xml:space="preserve">persistence pathways </w:t>
      </w:r>
      <w:r>
        <w:rPr>
          <w:rFonts w:ascii="Times New Roman" w:eastAsia="Times New Roman" w:hAnsi="Times New Roman" w:cs="Times New Roman"/>
          <w:sz w:val="24"/>
          <w:szCs w:val="24"/>
        </w:rPr>
        <w:t xml:space="preserve">as the second theme through phenomenological analysis and further categorized this theme into the following sub-themes: </w:t>
      </w:r>
      <w:r>
        <w:rPr>
          <w:rFonts w:ascii="Times New Roman" w:eastAsia="Times New Roman" w:hAnsi="Times New Roman" w:cs="Times New Roman"/>
          <w:i/>
          <w:sz w:val="24"/>
          <w:szCs w:val="24"/>
        </w:rPr>
        <w:t xml:space="preserve">challenging oppression; community, mentorship, and relationships; institutional leadership and supervision;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knowing yourself and your limits</w:t>
      </w:r>
      <w:r>
        <w:rPr>
          <w:rFonts w:ascii="Times New Roman" w:eastAsia="Times New Roman" w:hAnsi="Times New Roman" w:cs="Times New Roman"/>
          <w:sz w:val="24"/>
          <w:szCs w:val="24"/>
        </w:rPr>
        <w:t xml:space="preserve">. This theme and the sub-themes illuminate the unique shared strategies and contexts that supported participants’ persistence through their student affairs career. </w:t>
      </w:r>
    </w:p>
    <w:p w14:paraId="7533B569"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Challenging Oppression</w:t>
      </w:r>
    </w:p>
    <w:p w14:paraId="5BC3769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participants disclosed encounters with oppression, they also cited instances of challenging the oppression and systems they were navigating. Some participants highlighted experiences of directly calling out oppressive or harmful comments and interactions. Other participants told of using their positionality and experiences to support others, effect change, or create environments where individuals with marginalized identities can thrive. </w:t>
      </w:r>
    </w:p>
    <w:p w14:paraId="74A9DCB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asked how they respond to oppression or barriers in the workplace, multiple participants described “naming it” and building confidence throughout their career to directly address what they were experiencing. Brayden shared his experience with naming and calling out harmful behavior, and how he chooses to approach these conversations. </w:t>
      </w:r>
    </w:p>
    <w:p w14:paraId="3385527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it needs to be in public because it happened in public and people are going to be left with this thing happened and no one said anything, and that cost is higher than not. </w:t>
      </w:r>
      <w:r>
        <w:rPr>
          <w:rFonts w:ascii="Times New Roman" w:eastAsia="Times New Roman" w:hAnsi="Times New Roman" w:cs="Times New Roman"/>
          <w:sz w:val="24"/>
          <w:szCs w:val="24"/>
        </w:rPr>
        <w:lastRenderedPageBreak/>
        <w:t xml:space="preserve">When I choose to address it in the moment, and it could be as benign as, ‘hey, let's take this offline. I want to talk with you a little bit more about this particular thing you </w:t>
      </w:r>
      <w:proofErr w:type="gramStart"/>
      <w:r>
        <w:rPr>
          <w:rFonts w:ascii="Times New Roman" w:eastAsia="Times New Roman" w:hAnsi="Times New Roman" w:cs="Times New Roman"/>
          <w:sz w:val="24"/>
          <w:szCs w:val="24"/>
        </w:rPr>
        <w:t>said</w:t>
      </w:r>
      <w:proofErr w:type="gramEnd"/>
      <w:r>
        <w:rPr>
          <w:rFonts w:ascii="Times New Roman" w:eastAsia="Times New Roman" w:hAnsi="Times New Roman" w:cs="Times New Roman"/>
          <w:sz w:val="24"/>
          <w:szCs w:val="24"/>
        </w:rPr>
        <w:t xml:space="preserve"> or you did” so that folks know that it's not just going to be left out there. And sometimes it’s just “that's racist and let me tell you why it's racist and why that won't work for this environment.” That fortunately has been rare that I've had to do it as directly as that, but it has happened on occasion.</w:t>
      </w:r>
    </w:p>
    <w:p w14:paraId="1CB96DFC"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Multiple participants explained how their confidence to directly address these concerns has developed during their career. Brayden referred to this as having a great sense of responsibility. </w:t>
      </w:r>
    </w:p>
    <w:p w14:paraId="10BD0C5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Now, I have not always had the confidence, particularly when I was a younger professional, to do it publicly. I would hold it and talk to my supervisors or others who I knew were safe for me to engage in most conversations with. But now as a senior leader on my campus and in this field, I feel more obligated and I have more of a voice. I can share things in ways that I couldn't when I was an entry or mid-level professional. </w:t>
      </w:r>
    </w:p>
    <w:p w14:paraId="3F8FAE30"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Grace said that she “calls a lot of things out on a daily basis.” She noted not feeling comfortable to directly confront these situations when she was a younger professional due to confidence or cultural influences. “Now that I'm a little more mature and have had more practice, I probably would actually say it in the moment.” Sage also discussed calling out problematic behavior and positionality affecting one’s ability to do so. As an administrator, she no longer tolerates the “nastiness” she experiences or witnesses. She shared an example regarding search committees and hiring. </w:t>
      </w:r>
    </w:p>
    <w:p w14:paraId="061A4AF2"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woman said to me, when we were trying to hire an assistant director under me, “I just can't see him in that role.” Well, what does that mean and why do you have to ‘see them’ in that role? It is a lot of that… Once I started noticing it, I'm like, if you put me on </w:t>
      </w:r>
      <w:r>
        <w:rPr>
          <w:rFonts w:ascii="Times New Roman" w:eastAsia="Times New Roman" w:hAnsi="Times New Roman" w:cs="Times New Roman"/>
          <w:sz w:val="24"/>
          <w:szCs w:val="24"/>
        </w:rPr>
        <w:lastRenderedPageBreak/>
        <w:t xml:space="preserve">the search committee, you're going to catch it. I'm going to ask you questions like, “why does that matter?” Any search committee that I am either on or I lead, I make sure that I [communicate] with HR. I make sure everybody takes the training. I make sure everybody understands what we're doing and what we're looking for, what we're going to do and what we're not going to do, what questions we're asking. And making sure that if we're going to ask that question here, we're going to ask it to everybody. Things of that nature to try to eliminate that foolishness that will go on in search committees. </w:t>
      </w:r>
    </w:p>
    <w:p w14:paraId="39B9E1C8"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Sage emphasized how this type of action can be challenging, especially when power dynamics are at play, “There's so many other spaces where most folks aren't brave enough to do that because of titles and positionalities.” Jerome also expressed how positionality has influenced his actions. Advancing in position has allowed him to understand the breadth of his influence. </w:t>
      </w:r>
    </w:p>
    <w:p w14:paraId="2B179484"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say I feel a greater sense of responsibility to my organization now with my reach and impact. I understand the weight and gravity of decisions that I make. I also understand the gravity of inaction and I understand how those things can over time create more harm if they're not addressed.  </w:t>
      </w:r>
    </w:p>
    <w:p w14:paraId="42A9642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participants move up in position, they have been able to influence the systems of which they are a part. María discussed feeling a sense of responsibility to her staff and the barriers she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remove or address. </w:t>
      </w:r>
    </w:p>
    <w:p w14:paraId="7773B143"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want you to have to struggle. Now that I'm at this stage in my career, I can take barriers away. I can use my connections. And so when we can, I will push for them and I will have my staff push for them knowing that they're supported by me because that's important. That's going to keep a student here. that's going to make an experience. That's </w:t>
      </w:r>
      <w:r>
        <w:rPr>
          <w:rFonts w:ascii="Times New Roman" w:eastAsia="Times New Roman" w:hAnsi="Times New Roman" w:cs="Times New Roman"/>
          <w:sz w:val="24"/>
          <w:szCs w:val="24"/>
        </w:rPr>
        <w:lastRenderedPageBreak/>
        <w:t xml:space="preserve">going to change someone's future and their family's future. So yeah, I think all that fuels the reasons why I continue to stay here and persist. </w:t>
      </w:r>
    </w:p>
    <w:p w14:paraId="2C643EAB"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María expressed how her sense of responsibility developed as she reached higher positions; her feelings also shifted when she moved to a new geographical location that made it hard for individuals with marginalized identities to find community. </w:t>
      </w:r>
    </w:p>
    <w:p w14:paraId="1CC4EC2E"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What's shifted even more so now is how I show up for colleagues, particularly women, Women of Color, Queer identified folks as well. Not just in the division and at my level, but just in general. Where are you finding community? How are you? Can I help provide that community? I think that's become more apparent to me here… I mean there's not a lot of places for you to find community. And so where are folks finding it? How can we get connected?</w:t>
      </w:r>
    </w:p>
    <w:p w14:paraId="49A5742E" w14:textId="165137A4"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experiences illustrate how participants challenge oppressive systems and create environments where others, especially those with marginalized identities, can thrive. This sub-theme also highlights how </w:t>
      </w:r>
      <w:r w:rsidR="00E02991">
        <w:rPr>
          <w:rFonts w:ascii="Times New Roman" w:eastAsia="Times New Roman" w:hAnsi="Times New Roman" w:cs="Times New Roman"/>
          <w:sz w:val="24"/>
          <w:szCs w:val="24"/>
        </w:rPr>
        <w:t>challenging oppression</w:t>
      </w:r>
      <w:r>
        <w:rPr>
          <w:rFonts w:ascii="Times New Roman" w:eastAsia="Times New Roman" w:hAnsi="Times New Roman" w:cs="Times New Roman"/>
          <w:sz w:val="24"/>
          <w:szCs w:val="24"/>
        </w:rPr>
        <w:t xml:space="preserve"> and transforming systems contributes to participants’ continued persistence in student affairs. </w:t>
      </w:r>
    </w:p>
    <w:p w14:paraId="6B66EFE3"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Community, Mentorship, and Relationships </w:t>
      </w:r>
    </w:p>
    <w:p w14:paraId="670DB5DF" w14:textId="0446877A"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sub-theme of community, mentorship, and relationships refers to the people who supported participants' career </w:t>
      </w:r>
      <w:r w:rsidR="00E02991">
        <w:rPr>
          <w:rFonts w:ascii="Times New Roman" w:eastAsia="Times New Roman" w:hAnsi="Times New Roman" w:cs="Times New Roman"/>
          <w:sz w:val="24"/>
          <w:szCs w:val="24"/>
        </w:rPr>
        <w:t>journeys</w:t>
      </w:r>
      <w:r>
        <w:rPr>
          <w:rFonts w:ascii="Times New Roman" w:eastAsia="Times New Roman" w:hAnsi="Times New Roman" w:cs="Times New Roman"/>
          <w:sz w:val="24"/>
          <w:szCs w:val="24"/>
        </w:rPr>
        <w:t xml:space="preserve"> or relational strategies that supported their persistence. Community encompasses the professionals on campus or in the field of student affairs who participants have connected with and leaned on because of shared identity and interest. Community can also be people participants are close to such as partners, family members, or friends. Mentorship is the formal or informal relationships participants have with older professionals, or the experience of serving as a mentor to younger professionals. Lastly, forming </w:t>
      </w:r>
      <w:r>
        <w:rPr>
          <w:rFonts w:ascii="Times New Roman" w:eastAsia="Times New Roman" w:hAnsi="Times New Roman" w:cs="Times New Roman"/>
          <w:sz w:val="24"/>
          <w:szCs w:val="24"/>
        </w:rPr>
        <w:lastRenderedPageBreak/>
        <w:t xml:space="preserve">intentional relationships is a common practice amongst participants to promote change and support their persistence. </w:t>
      </w:r>
    </w:p>
    <w:p w14:paraId="1407271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Sage acknowledged familial community as a source of support: “talking it through with my husband and telling him what's going on and what I noticed. Talking it through with my sister, who I talk to regularly. Just stuff to make sure this sounds crazy, right? Am I tripping? Or is this </w:t>
      </w:r>
      <w:proofErr w:type="gramStart"/>
      <w:r>
        <w:rPr>
          <w:rFonts w:ascii="Times New Roman" w:eastAsia="Times New Roman" w:hAnsi="Times New Roman" w:cs="Times New Roman"/>
          <w:sz w:val="24"/>
          <w:szCs w:val="24"/>
        </w:rPr>
        <w:t>really crazy</w:t>
      </w:r>
      <w:proofErr w:type="gramEnd"/>
      <w:r>
        <w:rPr>
          <w:rFonts w:ascii="Times New Roman" w:eastAsia="Times New Roman" w:hAnsi="Times New Roman" w:cs="Times New Roman"/>
          <w:sz w:val="24"/>
          <w:szCs w:val="24"/>
        </w:rPr>
        <w:t xml:space="preserve">?” </w:t>
      </w:r>
    </w:p>
    <w:p w14:paraId="71749472" w14:textId="3620E19E"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described challenges while working through the COVID-19 pandemic in addition to responding to concerns about the conflict </w:t>
      </w:r>
      <w:r w:rsidR="00E02991">
        <w:rPr>
          <w:rFonts w:ascii="Times New Roman" w:eastAsia="Times New Roman" w:hAnsi="Times New Roman" w:cs="Times New Roman"/>
          <w:sz w:val="24"/>
          <w:szCs w:val="24"/>
        </w:rPr>
        <w:t>Israeli</w:t>
      </w:r>
      <w:r>
        <w:rPr>
          <w:rFonts w:ascii="Times New Roman" w:eastAsia="Times New Roman" w:hAnsi="Times New Roman" w:cs="Times New Roman"/>
          <w:sz w:val="24"/>
          <w:szCs w:val="24"/>
        </w:rPr>
        <w:t xml:space="preserve">-Palestinian conflict Gaza in the fall of 2023. During those times, he said he confided in his husband, family members, and two close colleagues at his previous current institution. These people supported Jack through these stressful and intense periods. Jack also noted leaning on colleagues at different institutions and the importance of having different perspectives. </w:t>
      </w:r>
    </w:p>
    <w:p w14:paraId="206FBE7F"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at any school that you're at, you can easily find yourself in a bubble. Despite my two closest coworkers being amazing, they were part of the bubble. Everything that I was frustrated with, they were either frustrated with too or I couldn't talk with them about it. So I think it's always important to have people who get the work outside of the bubble to just do some gut checking. </w:t>
      </w:r>
    </w:p>
    <w:p w14:paraId="79EBC2F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Grace mentioned familial support, but differentiated between who she seeks out for specific concerns or topics. </w:t>
      </w:r>
    </w:p>
    <w:p w14:paraId="64A33361" w14:textId="275EA6BB"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a sister and we're </w:t>
      </w:r>
      <w:proofErr w:type="gramStart"/>
      <w:r>
        <w:rPr>
          <w:rFonts w:ascii="Times New Roman" w:eastAsia="Times New Roman" w:hAnsi="Times New Roman" w:cs="Times New Roman"/>
          <w:sz w:val="24"/>
          <w:szCs w:val="24"/>
        </w:rPr>
        <w:t>really close</w:t>
      </w:r>
      <w:proofErr w:type="gramEnd"/>
      <w:r>
        <w:rPr>
          <w:rFonts w:ascii="Times New Roman" w:eastAsia="Times New Roman" w:hAnsi="Times New Roman" w:cs="Times New Roman"/>
          <w:sz w:val="24"/>
          <w:szCs w:val="24"/>
        </w:rPr>
        <w:t xml:space="preserve">. And my entire career, I've always confided in her about all the things. But most of the people that I know who do my work, don't also share my identities. So sometimes I'll talk to someone like another dean about activism or free speech or student conduct or something. But I have some other Women of Color that I </w:t>
      </w:r>
      <w:r>
        <w:rPr>
          <w:rFonts w:ascii="Times New Roman" w:eastAsia="Times New Roman" w:hAnsi="Times New Roman" w:cs="Times New Roman"/>
          <w:sz w:val="24"/>
          <w:szCs w:val="24"/>
        </w:rPr>
        <w:lastRenderedPageBreak/>
        <w:t xml:space="preserve">talk to more about life and parenting and relationships. And sometimes we'll talk a little bit about a work dynamic. They're kind of separate worlds. </w:t>
      </w:r>
      <w:r w:rsidR="00300698">
        <w:rPr>
          <w:rFonts w:ascii="Times New Roman" w:eastAsia="Times New Roman" w:hAnsi="Times New Roman" w:cs="Times New Roman"/>
          <w:sz w:val="24"/>
          <w:szCs w:val="24"/>
        </w:rPr>
        <w:t>There are</w:t>
      </w:r>
      <w:r>
        <w:rPr>
          <w:rFonts w:ascii="Times New Roman" w:eastAsia="Times New Roman" w:hAnsi="Times New Roman" w:cs="Times New Roman"/>
          <w:sz w:val="24"/>
          <w:szCs w:val="24"/>
        </w:rPr>
        <w:t xml:space="preserve"> my Women of Color friends and then there's my higher ed friends. </w:t>
      </w:r>
    </w:p>
    <w:p w14:paraId="63F6EC2C"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Phê-rô also talked about different sources of support from his partner, close friend group, campus colleagues, and mentors.</w:t>
      </w:r>
    </w:p>
    <w:p w14:paraId="12CF4F52"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more of a collective piece for me, with the biggest support coming from my wife, and then everyone else just kind of fills in the gaps with what I need so I don't go to one person for everything. Because I know that as a person, I have multiple things going on. And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it is just the understanding of where I am and what part of my life they have been a part of to really understand what it is that I'm struggling with in order to help me through some of those pieces.</w:t>
      </w:r>
    </w:p>
    <w:p w14:paraId="3622AF8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Phê-rô highlighted the impact of mentorship. He was a part of an undergraduate mentorship program through a student affairs organization 22 years ago, and he is still connected to that mentor to this day. Phê-rô continues to give back through mentorship opportunities.</w:t>
      </w:r>
    </w:p>
    <w:p w14:paraId="6BB433AA"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do it because I think a big piece of that for me is I absolutely wouldn't be where I am if it wasn't for candid conversations that I had with people. And whether that's structured in a way of a mentor mentee relationship or not. We're in such a different world now, especially virtually. And the capabilities of communication and interaction now expand beyond a campus community.</w:t>
      </w:r>
    </w:p>
    <w:p w14:paraId="7B2F035B" w14:textId="3621C95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Mentorship was a significant part of many participant experiences. Brayden shares the sentiment of wanting to give back to those with similar identities. He stated, “I also feel a special responsibility and obligation to students who've historically been on the margins or who've [been] historically underrepresented in colleges and universities, and offer myself up to them in </w:t>
      </w:r>
      <w:r>
        <w:rPr>
          <w:rFonts w:ascii="Times New Roman" w:eastAsia="Times New Roman" w:hAnsi="Times New Roman" w:cs="Times New Roman"/>
          <w:sz w:val="24"/>
          <w:szCs w:val="24"/>
        </w:rPr>
        <w:lastRenderedPageBreak/>
        <w:t xml:space="preserve">ways that I don't to every student.” Additionally, he </w:t>
      </w:r>
      <w:r w:rsidR="00E02991">
        <w:rPr>
          <w:rFonts w:ascii="Times New Roman" w:eastAsia="Times New Roman" w:hAnsi="Times New Roman" w:cs="Times New Roman"/>
          <w:sz w:val="24"/>
          <w:szCs w:val="24"/>
        </w:rPr>
        <w:t>highlighted the</w:t>
      </w:r>
      <w:r>
        <w:rPr>
          <w:rFonts w:ascii="Times New Roman" w:eastAsia="Times New Roman" w:hAnsi="Times New Roman" w:cs="Times New Roman"/>
          <w:sz w:val="24"/>
          <w:szCs w:val="24"/>
        </w:rPr>
        <w:t xml:space="preserve"> unconditional support he received from Black men mentors and the impact it made. </w:t>
      </w:r>
    </w:p>
    <w:p w14:paraId="55A0AAF9"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just feet so incredibly supported and folks are constantly pouring into me. And that has made all the difference. And it's also why I pour into my people because again, I want them to have the same kind of experiences that I've had and to be able to build the same kinds of relationships with the senior-level folks that I was able to build.</w:t>
      </w:r>
    </w:p>
    <w:p w14:paraId="0FCC087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also recalled the influence professionals with similar identities had on his early career experiences. </w:t>
      </w:r>
    </w:p>
    <w:p w14:paraId="216DC0A8"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sought out other Asian male professionals. And there's certainly a handful that I remember drawing myself to and being like, “Oh, I want to learn about what they do, how they do it, or how they talk to their families about what they do?”</w:t>
      </w:r>
    </w:p>
    <w:p w14:paraId="0A84B77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Jerome gives credit to his community and mentors for “both my persistence in the field and my desire to stay in the field.” He shared how his mentors have been important as he navigates changes and challenges.</w:t>
      </w:r>
    </w:p>
    <w:p w14:paraId="207E0554"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feel like I am at moments where I'm experiencing burnout, I've had mentors that say, “maybe you should consider how you organize your time or how you communicate with your managers around your needs, how you have good workplace boundaries,” those sort of things. I've had folks that have invited me into experiences that have been rejuvenating. I think about my involvement in professional associations. I think about some of the training institutes that I've been able to do that give me new skill sets, that give me new perspective around what it means to do this work in the field. Those things and those people have really helped me to see my value in education. </w:t>
      </w:r>
    </w:p>
    <w:p w14:paraId="1D9F1F7D"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relationships helped participants persist through the highs and often lows of the profession. María recalled, “it always comes back to people. Leaning on folks that have been mentors for a really, </w:t>
      </w:r>
      <w:proofErr w:type="gramStart"/>
      <w:r>
        <w:rPr>
          <w:rFonts w:ascii="Times New Roman" w:eastAsia="Times New Roman" w:hAnsi="Times New Roman" w:cs="Times New Roman"/>
          <w:sz w:val="24"/>
          <w:szCs w:val="24"/>
        </w:rPr>
        <w:t>really long</w:t>
      </w:r>
      <w:proofErr w:type="gramEnd"/>
      <w:r>
        <w:rPr>
          <w:rFonts w:ascii="Times New Roman" w:eastAsia="Times New Roman" w:hAnsi="Times New Roman" w:cs="Times New Roman"/>
          <w:sz w:val="24"/>
          <w:szCs w:val="24"/>
        </w:rPr>
        <w:t xml:space="preserve"> time. And I still call them, I still reach out because it is hard doing this work.” </w:t>
      </w:r>
    </w:p>
    <w:p w14:paraId="7C87CC2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some participants did not resonate with having influential mentorship throughout their career. Given the demographics of Coach’s institution and her unique journey through higher education, she discussed her struggle with mentorship; “but I am that person for other people on campus, which is just as rewarding.” Grace also has a different perspective on mentorship and explained why she does not have a mentor </w:t>
      </w:r>
    </w:p>
    <w:p w14:paraId="00B115BF"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Yeah, so mentorship, I have kind of an interesting relationship with that term. I guess because I've been in a lot of programs in my life that have had mentorship as a component. When I first went to college, it was like, we're going to match you up with this big sister and she's going to be your mentor. And then I never heard from her again. And then when I went to a leadership education program. I had a mentor and I never heard from her again. </w:t>
      </w:r>
    </w:p>
    <w:p w14:paraId="249BFEC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experiences were disheartening for Grace and turned her away to the formalized process of mentorship.  </w:t>
      </w:r>
    </w:p>
    <w:p w14:paraId="0F8AE414"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know if it's me and I'm not good at being a mentee, but the whole artificial concept of matching someone and expecting them to be your mentor or even approaching people right after college. I approached some people and said, “would you be my mentor?” And it just never ended up really being very impactful. But I </w:t>
      </w:r>
      <w:proofErr w:type="gramStart"/>
      <w:r>
        <w:rPr>
          <w:rFonts w:ascii="Times New Roman" w:eastAsia="Times New Roman" w:hAnsi="Times New Roman" w:cs="Times New Roman"/>
          <w:sz w:val="24"/>
          <w:szCs w:val="24"/>
        </w:rPr>
        <w:t>definitely have</w:t>
      </w:r>
      <w:proofErr w:type="gramEnd"/>
      <w:r>
        <w:rPr>
          <w:rFonts w:ascii="Times New Roman" w:eastAsia="Times New Roman" w:hAnsi="Times New Roman" w:cs="Times New Roman"/>
          <w:sz w:val="24"/>
          <w:szCs w:val="24"/>
        </w:rPr>
        <w:t xml:space="preserve"> mentors, and I don't even know if they know that they're my mentors.</w:t>
      </w:r>
    </w:p>
    <w:p w14:paraId="5E5C9DEE" w14:textId="299AC90A"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Sage also expressed not having a true mentor throughout her professional life. She </w:t>
      </w:r>
      <w:r w:rsidR="00E02991">
        <w:rPr>
          <w:rFonts w:ascii="Times New Roman" w:eastAsia="Times New Roman" w:hAnsi="Times New Roman" w:cs="Times New Roman"/>
          <w:sz w:val="24"/>
          <w:szCs w:val="24"/>
        </w:rPr>
        <w:t>mentioned supervisors</w:t>
      </w:r>
      <w:r>
        <w:rPr>
          <w:rFonts w:ascii="Times New Roman" w:eastAsia="Times New Roman" w:hAnsi="Times New Roman" w:cs="Times New Roman"/>
          <w:sz w:val="24"/>
          <w:szCs w:val="24"/>
        </w:rPr>
        <w:t xml:space="preserve"> that have helped shape her along the way and inspiring colleagues or people in leadership roles, but there is no one she would </w:t>
      </w:r>
      <w:r w:rsidR="00300698">
        <w:rPr>
          <w:rFonts w:ascii="Times New Roman" w:eastAsia="Times New Roman" w:hAnsi="Times New Roman" w:cs="Times New Roman"/>
          <w:sz w:val="24"/>
          <w:szCs w:val="24"/>
        </w:rPr>
        <w:t>label as</w:t>
      </w:r>
      <w:r>
        <w:rPr>
          <w:rFonts w:ascii="Times New Roman" w:eastAsia="Times New Roman" w:hAnsi="Times New Roman" w:cs="Times New Roman"/>
          <w:sz w:val="24"/>
          <w:szCs w:val="24"/>
        </w:rPr>
        <w:t xml:space="preserve"> a mentor. Though she is open to the possibility of a mentor, Sage also prioritizes being a mentor herself. </w:t>
      </w:r>
    </w:p>
    <w:p w14:paraId="2223A0AC" w14:textId="779B3312"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not worked for me, but I can tell you I'm probably one of the best mentors out there. I take that role very seriously. And it's not that I strive for it, it's just that the experiences that I went through, I don't think people should have to go through everything I went through. I think that </w:t>
      </w:r>
      <w:r w:rsidR="00E02991">
        <w:rPr>
          <w:rFonts w:ascii="Times New Roman" w:eastAsia="Times New Roman" w:hAnsi="Times New Roman" w:cs="Times New Roman"/>
          <w:sz w:val="24"/>
          <w:szCs w:val="24"/>
        </w:rPr>
        <w:t>folks’</w:t>
      </w:r>
      <w:r>
        <w:rPr>
          <w:rFonts w:ascii="Times New Roman" w:eastAsia="Times New Roman" w:hAnsi="Times New Roman" w:cs="Times New Roman"/>
          <w:sz w:val="24"/>
          <w:szCs w:val="24"/>
        </w:rPr>
        <w:t xml:space="preserve"> experiences can be better, is the point I want to make. So I want to be a great supervisor. I want to be great! So I help those people who work next to me and work for me. </w:t>
      </w:r>
    </w:p>
    <w:p w14:paraId="4BD7A34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Relationships, the final aspect of this sub-theme, is a common strategy used by participants to improve their workplace experiences and foster change on their campuses. As discussed earlier, there are not many People of Color at Coach’s institution. She explained how building relationships across campus has been critical to her success. </w:t>
      </w:r>
    </w:p>
    <w:p w14:paraId="2A9EB401"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one thing that I felt like I had to do was to build relationships before I could really and truly do my job effectively… I went to the different departments, I ate in the cafeteria, and I went to faculty meetings. I got to know people because I could not effectively do my job and facilitate change unless I knew what the people around me and how they fit into the puzzle.</w:t>
      </w:r>
    </w:p>
    <w:p w14:paraId="256C5777"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said this strategy was not only helpful when she first started at her institution, but also when she became vice president. Building relationships is now a standard practice for her.    </w:t>
      </w:r>
    </w:p>
    <w:p w14:paraId="4864468C"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my road to getting to where I am is that I built relationships on the front end. From day one. I got to know my colleagues within the department, but I also made my way </w:t>
      </w:r>
      <w:r>
        <w:rPr>
          <w:rFonts w:ascii="Times New Roman" w:eastAsia="Times New Roman" w:hAnsi="Times New Roman" w:cs="Times New Roman"/>
          <w:sz w:val="24"/>
          <w:szCs w:val="24"/>
        </w:rPr>
        <w:lastRenderedPageBreak/>
        <w:t>around campus to get to know people around the institution. And that's true today, I'm probably one of the first people that if there's a new person who comes on board, I want to go meet 'em. I want to see how I can build a relationship with this person so that I can better serve my division and each individual department. So I'm always going to go and introduce myself.</w:t>
      </w:r>
    </w:p>
    <w:p w14:paraId="49F34C4A"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noted that developing relationships was an intentional decision made to ‘cushion’ themself from hurtful or oppressive interactions. Sage stated:</w:t>
      </w:r>
    </w:p>
    <w:p w14:paraId="15C28E26"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one of the tactics that has helped me when it comes to how I navigate in [these] spaces, I build relationships with folks… We don't have to be best friends, but there's a level of respect that I'm going to give you and I'm going to expect that in return.” </w:t>
      </w:r>
    </w:p>
    <w:p w14:paraId="63D4046B"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Phê-rô recalled putting differences aside to reach a common goal. Phê-rô suggested that due to his phenotype and identities, “individuals judge me at first glance.”. He explained that he tries to sit down and have a conversation with everyone he might work closely with so they can figure out who he really is. If that is not possible, he employs other relational strategies. He shared, “for me, it's about making a connection and understanding that at the end of the day, I can say, ‘what is it that you're trying to do? And is it aligned with what I'm trying to do? Let's put us aside and figure out what this looks like for who we're supposed to serve.’”</w:t>
      </w:r>
    </w:p>
    <w:p w14:paraId="57BA7B0D" w14:textId="4E2CE6CF"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sub-theme of </w:t>
      </w:r>
      <w:r>
        <w:rPr>
          <w:rFonts w:ascii="Times New Roman" w:eastAsia="Times New Roman" w:hAnsi="Times New Roman" w:cs="Times New Roman"/>
          <w:i/>
          <w:sz w:val="24"/>
          <w:szCs w:val="24"/>
        </w:rPr>
        <w:t>community, mentorship, and relationships</w:t>
      </w:r>
      <w:r>
        <w:rPr>
          <w:rFonts w:ascii="Times New Roman" w:eastAsia="Times New Roman" w:hAnsi="Times New Roman" w:cs="Times New Roman"/>
          <w:sz w:val="24"/>
          <w:szCs w:val="24"/>
        </w:rPr>
        <w:t xml:space="preserve"> illustrates how </w:t>
      </w:r>
      <w:r w:rsidR="00E02991">
        <w:rPr>
          <w:rFonts w:ascii="Times New Roman" w:eastAsia="Times New Roman" w:hAnsi="Times New Roman" w:cs="Times New Roman"/>
          <w:sz w:val="24"/>
          <w:szCs w:val="24"/>
        </w:rPr>
        <w:t>relational influences</w:t>
      </w:r>
      <w:r>
        <w:rPr>
          <w:rFonts w:ascii="Times New Roman" w:eastAsia="Times New Roman" w:hAnsi="Times New Roman" w:cs="Times New Roman"/>
          <w:sz w:val="24"/>
          <w:szCs w:val="24"/>
        </w:rPr>
        <w:t xml:space="preserve"> can impact a professionals’ career. Participants cited leaning on their family and close friends during times of distress; confiding in their community and mentors; and fostering relationships on their campus to effect change. These relationships provided invaluable support, development, and social capital (Bourdieu &amp; Passeron, 1990; Yosso, 2005) that contributed to participants’ persistence.  </w:t>
      </w:r>
    </w:p>
    <w:p w14:paraId="280F7711"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Institutional Leadership and Supervision</w:t>
      </w:r>
    </w:p>
    <w:p w14:paraId="74579CB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Participants emphasized the influence supervisors, leadership, and institutional culture had on their willingness to stay in or leave an environment, their job satisfaction and actualization, and their persistence. Various participants cited encounters with supervisors or administrative decisions and leadership as reasons for leaving or remaining in a certain position. Leadership and supervisory satisfaction influence the way participants make decisions about career moves or job transitions, respond to challenges, and advance through their career. </w:t>
      </w:r>
    </w:p>
    <w:p w14:paraId="60250F7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Brayden described it this way, “when places are good to me and allow me to do the work that I’ve been invited to do, I stay.” Brayden is loyal to his institutions, having been employed at his current campus for 15 years. However, he left his previous institution after only two years because he “didn’t buy what the president was doing or what [he was] selling with his leadership.” Grace, who is geographically bound for familial reasons, also voiced leaving spaces that did not serve her. Throughout her time at her current institution, Grace has made the choice to transition to different departments due to harmful treatment and lack of support from supervisors. After an “off putting” response from a supervisor about receiving equal pay, she noted, “I left [that] job shortly after because she basically said I was going to be paid what I was going to be paid, and there was no way to move up.” She emphasized how remaining at a singular institution can create barriers to promotion, “if you want to move up,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move around… Most people I've worked with have moved on and they've been able to promote a lot more quickly in the field than I have.”  </w:t>
      </w:r>
    </w:p>
    <w:p w14:paraId="08D0595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influence of institutional leadership is bi-directional. Sage, an assistant vice president at a large Midwest public institution, serves on a student affairs leadership team with professionals who all hold marginalized identities. She gives credit to her current president for </w:t>
      </w:r>
      <w:r>
        <w:rPr>
          <w:rFonts w:ascii="Times New Roman" w:eastAsia="Times New Roman" w:hAnsi="Times New Roman" w:cs="Times New Roman"/>
          <w:sz w:val="24"/>
          <w:szCs w:val="24"/>
        </w:rPr>
        <w:lastRenderedPageBreak/>
        <w:t xml:space="preserve">this representation, explaining that once he was appointed president, he committed to “enhanc[ing] the student experience by hiring and retaining more Faculty and Staff of Color.” Sage emphasized, “and the president did what he said he was going to do.” This started with more diversity on his cabinet and included administrators, other leadership positions, faculty, and staff. Sage has been employed at this institution for 20 years and disclosed that every person who has hired her for a new position has been a Person of Color.   </w:t>
      </w:r>
    </w:p>
    <w:p w14:paraId="3BFF84FE"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Jack admitted it was difficult to leave his previous institution after ten years because of supervisors and leadership who “</w:t>
      </w:r>
      <w:proofErr w:type="gramStart"/>
      <w:r>
        <w:rPr>
          <w:rFonts w:ascii="Times New Roman" w:eastAsia="Times New Roman" w:hAnsi="Times New Roman" w:cs="Times New Roman"/>
          <w:sz w:val="24"/>
          <w:szCs w:val="24"/>
        </w:rPr>
        <w:t>had an understanding of</w:t>
      </w:r>
      <w:proofErr w:type="gramEnd"/>
      <w:r>
        <w:rPr>
          <w:rFonts w:ascii="Times New Roman" w:eastAsia="Times New Roman" w:hAnsi="Times New Roman" w:cs="Times New Roman"/>
          <w:sz w:val="24"/>
          <w:szCs w:val="24"/>
        </w:rPr>
        <w:t xml:space="preserve"> who I was. They knew me as a person and my values and identities.” He also mentioned that when he experienced challenges, especially during the COVID-19 pandemic, the way his division and university’s mission and goals aligned with his values and purpose made it easier for him to persist. Jack started in an inaugural role, created practices and positions focused on student care and mental health, and developed a department for student wellbeing during the ten years at his previous institution. He credits this longevity to supervisory support, trust from administrators, and the institution’s commitment to student wellbeing.        </w:t>
      </w:r>
    </w:p>
    <w:p w14:paraId="549DD4D2"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also resonates with the mission of her institution and specified this as a reason for why she continues this work.  </w:t>
      </w:r>
    </w:p>
    <w:p w14:paraId="45FA603E"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institution is a Christian institution, and part of the reason why I've stayed in this role is because I believe in the mission and vision of the institution. But I also believe in the Christian environment. And what I see as my role is not just to be an administrator, but to use what I do as a ministry because my division </w:t>
      </w:r>
      <w:proofErr w:type="gramStart"/>
      <w:r>
        <w:rPr>
          <w:rFonts w:ascii="Times New Roman" w:eastAsia="Times New Roman" w:hAnsi="Times New Roman" w:cs="Times New Roman"/>
          <w:sz w:val="24"/>
          <w:szCs w:val="24"/>
        </w:rPr>
        <w:t>has the opportunity to</w:t>
      </w:r>
      <w:proofErr w:type="gramEnd"/>
      <w:r>
        <w:rPr>
          <w:rFonts w:ascii="Times New Roman" w:eastAsia="Times New Roman" w:hAnsi="Times New Roman" w:cs="Times New Roman"/>
          <w:sz w:val="24"/>
          <w:szCs w:val="24"/>
        </w:rPr>
        <w:t xml:space="preserve"> touch the life of every student on this campus… If I were doing it for the money, I wouldn't be doing it. I could move and do something else. I've had opportunities to go to state schools </w:t>
      </w:r>
      <w:r>
        <w:rPr>
          <w:rFonts w:ascii="Times New Roman" w:eastAsia="Times New Roman" w:hAnsi="Times New Roman" w:cs="Times New Roman"/>
          <w:sz w:val="24"/>
          <w:szCs w:val="24"/>
        </w:rPr>
        <w:lastRenderedPageBreak/>
        <w:t xml:space="preserve">and there's nothing against state schools, but I see what I do here as a ministry, and I feel like God planted me here. </w:t>
      </w:r>
    </w:p>
    <w:p w14:paraId="314B103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experiences highlight the influence supervisory treatment and leadership decisions have on participants' career experiences and advancement. Participants cited specific examples of leaving or remaining in an environment based on administrative decisions, alignment with the institution’s mission and values, and relationships with supervisors. This sub-theme illustrates how participants’ persistence is shaped by institutional leadership and supervision.  </w:t>
      </w:r>
    </w:p>
    <w:p w14:paraId="27B96106"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Knowing Yourself and Your Limits</w:t>
      </w:r>
    </w:p>
    <w:p w14:paraId="0DCBFD9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I identified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knowing yourself and your limits</w:t>
      </w:r>
      <w:r>
        <w:rPr>
          <w:rFonts w:ascii="Times New Roman" w:eastAsia="Times New Roman" w:hAnsi="Times New Roman" w:cs="Times New Roman"/>
          <w:sz w:val="24"/>
          <w:szCs w:val="24"/>
        </w:rPr>
        <w:t xml:space="preserve"> as the final sub-theme within persistence pathways. This sub-theme encompasses participants’ commitment to understand and accept what was in their control, learn their limits, and consistently strategize decisions. Persistence came in the form of understanding their own needs, setting boundaries, prioritizing wellbeing, strategizing career changes, and reflecting on their purpose. </w:t>
      </w:r>
    </w:p>
    <w:p w14:paraId="65CD797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Brayden discussed being deliberate and intentional throughout his career when considering opportunities or making decisions. He shared, "I'm very thoughtful and strategic when I think about my career, when I think about what I can contribute, where I should be contributing and who to share my talents with." This has led Brayden to be strategic about what he “says yes to” so he can prioritize what he needs inside and outside of work. He also acknowledged knowing his limits when it came to challenging oppression.</w:t>
      </w:r>
    </w:p>
    <w:p w14:paraId="16B935EE"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strategy for me is “it can't always be me.” There are times when it needs to be someone else, and so I need to call upon someone else to address an issue or a person or a community… Calling on my White colleagues to step into these spaces is </w:t>
      </w:r>
      <w:proofErr w:type="gramStart"/>
      <w:r>
        <w:rPr>
          <w:rFonts w:ascii="Times New Roman" w:eastAsia="Times New Roman" w:hAnsi="Times New Roman" w:cs="Times New Roman"/>
          <w:sz w:val="24"/>
          <w:szCs w:val="24"/>
        </w:rPr>
        <w:t>really important</w:t>
      </w:r>
      <w:proofErr w:type="gramEnd"/>
      <w:r>
        <w:rPr>
          <w:rFonts w:ascii="Times New Roman" w:eastAsia="Times New Roman" w:hAnsi="Times New Roman" w:cs="Times New Roman"/>
          <w:sz w:val="24"/>
          <w:szCs w:val="24"/>
        </w:rPr>
        <w:t xml:space="preserve">.  </w:t>
      </w:r>
    </w:p>
    <w:p w14:paraId="5A569652" w14:textId="1D8E9129"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Phê-rô had a pivotal experience which influenced his limits to accepting oppressive treatment or ways of thinking. He shared a conversation between him and a friend who also works in higher education and holds marginalized identities. The friend was discussing a situation with his son at school and after explaining what happened, Phê-rô said </w:t>
      </w:r>
      <w:r w:rsidR="00E0299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think we just need to give people grace.” Phê-rô explained his friend’s response. </w:t>
      </w:r>
    </w:p>
    <w:p w14:paraId="46D19DB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checked me </w:t>
      </w:r>
      <w:proofErr w:type="gramStart"/>
      <w:r>
        <w:rPr>
          <w:rFonts w:ascii="Times New Roman" w:eastAsia="Times New Roman" w:hAnsi="Times New Roman" w:cs="Times New Roman"/>
          <w:sz w:val="24"/>
          <w:szCs w:val="24"/>
        </w:rPr>
        <w:t>pretty hard</w:t>
      </w:r>
      <w:proofErr w:type="gramEnd"/>
      <w:r>
        <w:rPr>
          <w:rFonts w:ascii="Times New Roman" w:eastAsia="Times New Roman" w:hAnsi="Times New Roman" w:cs="Times New Roman"/>
          <w:sz w:val="24"/>
          <w:szCs w:val="24"/>
        </w:rPr>
        <w:t xml:space="preserve"> [during] that conversation… He asked me, “why do I have to be the person to give that person grace? Why can't that person understand what they did first? So it's always me as a marginalized person needing to give grace, needing to be the explanation, needing to be the person?” And he was like, “I'm tired of that. I don't want to give grace. They just need to understand that they messed up.” And I was like, “you know what? You're right. I'm so sorry.”</w:t>
      </w:r>
    </w:p>
    <w:p w14:paraId="729CF5E2"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Phê-rô is reminded of this story frequently, and has applied the lesson he learned in many ways. He stated, “strategically over the last few years, I’ve been prioritizing my health and my priorities over what it looks like to please others within the systems that we're a part of. You gotta do what you gotta do.” </w:t>
      </w:r>
    </w:p>
    <w:p w14:paraId="0A91CEF9"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doing what is needed, and understanding what you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do, is common among participants. When challenging oppression, Sage described how she accepts what is in her control and strategically moves forward.</w:t>
      </w:r>
    </w:p>
    <w:p w14:paraId="16BDE14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can't fix it for everybody. But in the spaces and places where I have an opportunity, or I have an influence, or I have a relationship, I will say something. And </w:t>
      </w:r>
      <w:proofErr w:type="gramStart"/>
      <w:r>
        <w:rPr>
          <w:rFonts w:ascii="Times New Roman" w:eastAsia="Times New Roman" w:hAnsi="Times New Roman" w:cs="Times New Roman"/>
          <w:sz w:val="24"/>
          <w:szCs w:val="24"/>
        </w:rPr>
        <w:t>more often than not</w:t>
      </w:r>
      <w:proofErr w:type="gramEnd"/>
      <w:r>
        <w:rPr>
          <w:rFonts w:ascii="Times New Roman" w:eastAsia="Times New Roman" w:hAnsi="Times New Roman" w:cs="Times New Roman"/>
          <w:sz w:val="24"/>
          <w:szCs w:val="24"/>
        </w:rPr>
        <w:t>, it's received much better than if I were to say something to a stranger. And sometimes strangers deserve it, too.</w:t>
      </w:r>
    </w:p>
    <w:p w14:paraId="0D782AD3"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Jack also stressed the importance of understanding what is in your control. He shared that he has been intentional to learn more about himself throughout his career. </w:t>
      </w:r>
    </w:p>
    <w:p w14:paraId="560FA5CF"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think I just have a deeper self-awareness of what works well for me in professional and personal environments. I have a deeper awareness of what this idea balance looks like. I have a deeper sense of what my purpose is, and that grounds me a lot more… I just know what my limit is now, right? I am never going to go on and say, “I'm going to change the world.” I'm going to change individual things. I'm going to change individual policies. I'm going to change individual systems."</w:t>
      </w:r>
    </w:p>
    <w:p w14:paraId="3158E92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Jack mentioned that he has engaged in more self-talk as he advances through his career. As a newly appointed dean of students, Jack described his first few months in the role. </w:t>
      </w:r>
    </w:p>
    <w:p w14:paraId="3AF4D5FB"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sounds silly, but I've had to do more self-talk in the past two months than I'm used to. I’m constantly like, “[Jack], calm it down, [Jack], relax, you're not going to F up, and if you do, it’s okay.” And I say it out loud, honestly, because I know that I need it.</w:t>
      </w:r>
    </w:p>
    <w:p w14:paraId="5DC1D819" w14:textId="7DA770AF"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also referenced self-talk and determination. When asked how she persisted with limited sources of community on campus, she responded “sheer determination that I was going to make myself relevant at this university and in this community.” She explained that she knows her purpose and has faith in what God has planned for her, and that understanding motivates her to continue this work, “Even on the hardest days, I tell myself the sun will come up tomorrow.”  She also stressed the importance of </w:t>
      </w:r>
      <w:r w:rsidR="00E02991">
        <w:rPr>
          <w:rFonts w:ascii="Times New Roman" w:eastAsia="Times New Roman" w:hAnsi="Times New Roman" w:cs="Times New Roman"/>
          <w:sz w:val="24"/>
          <w:szCs w:val="24"/>
        </w:rPr>
        <w:t>self-care</w:t>
      </w:r>
      <w:r>
        <w:rPr>
          <w:rFonts w:ascii="Times New Roman" w:eastAsia="Times New Roman" w:hAnsi="Times New Roman" w:cs="Times New Roman"/>
          <w:sz w:val="24"/>
          <w:szCs w:val="24"/>
        </w:rPr>
        <w:t xml:space="preserve">, “this position can consume you.” </w:t>
      </w:r>
      <w:r w:rsidR="00E02991">
        <w:rPr>
          <w:rFonts w:ascii="Times New Roman" w:eastAsia="Times New Roman" w:hAnsi="Times New Roman" w:cs="Times New Roman"/>
          <w:sz w:val="24"/>
          <w:szCs w:val="24"/>
        </w:rPr>
        <w:t>Coach prioritizes</w:t>
      </w:r>
      <w:r>
        <w:rPr>
          <w:rFonts w:ascii="Times New Roman" w:eastAsia="Times New Roman" w:hAnsi="Times New Roman" w:cs="Times New Roman"/>
          <w:sz w:val="24"/>
          <w:szCs w:val="24"/>
        </w:rPr>
        <w:t xml:space="preserve"> finding time to watch sports, engage with family and friends, and laugh at work as much as possible to balance the heaviness of her role. </w:t>
      </w:r>
    </w:p>
    <w:p w14:paraId="708C0FB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Knowing oneself has been important for Jerome as well. He noted self-awareness and boundaries as key strategies for persistence and voiced having “non-negotiables” that he </w:t>
      </w:r>
      <w:r>
        <w:rPr>
          <w:rFonts w:ascii="Times New Roman" w:eastAsia="Times New Roman" w:hAnsi="Times New Roman" w:cs="Times New Roman"/>
          <w:sz w:val="24"/>
          <w:szCs w:val="24"/>
        </w:rPr>
        <w:lastRenderedPageBreak/>
        <w:t xml:space="preserve">prioritizes and communicates to the people around him. These non-negotiables can be simple, such as prioritizing rest and sleeping well; but they can also involve setting clear boundaries and expectations with supervisors. </w:t>
      </w:r>
    </w:p>
    <w:p w14:paraId="4844017A" w14:textId="6D2C0352"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look at my schedule a month in advance and I start blocking off time for stuff. Whether it's, I know I need days off here, or I see that I have a longer day on a </w:t>
      </w:r>
      <w:r w:rsidR="00E02991">
        <w:rPr>
          <w:rFonts w:ascii="Times New Roman" w:eastAsia="Times New Roman" w:hAnsi="Times New Roman" w:cs="Times New Roman"/>
          <w:sz w:val="24"/>
          <w:szCs w:val="24"/>
        </w:rPr>
        <w:t>Tuesday,</w:t>
      </w:r>
      <w:r>
        <w:rPr>
          <w:rFonts w:ascii="Times New Roman" w:eastAsia="Times New Roman" w:hAnsi="Times New Roman" w:cs="Times New Roman"/>
          <w:sz w:val="24"/>
          <w:szCs w:val="24"/>
        </w:rPr>
        <w:t xml:space="preserve"> so I block off time on the Wednesday… And manage your expectations around me too, because I'm contracted to be here for this amount of time. And not that I don't care about my work, I do deeply care about my work. But some of it is really leaning into what does [Jerome], the person need, and communicating that when [Jerome], the person gets his needs met, he can come and he can deliver. But those needs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met first in order for me to come and be the professional that I need to be on this campus. </w:t>
      </w:r>
    </w:p>
    <w:p w14:paraId="73F973EB" w14:textId="54EC2CDA"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Brayden also discussed communicating your needs clearly and consistently, not just with supervisors, but for those you supervise as well. He highlighted </w:t>
      </w:r>
      <w:r w:rsidR="00E02991">
        <w:rPr>
          <w:rFonts w:ascii="Times New Roman" w:eastAsia="Times New Roman" w:hAnsi="Times New Roman" w:cs="Times New Roman"/>
          <w:sz w:val="24"/>
          <w:szCs w:val="24"/>
        </w:rPr>
        <w:t>those needs</w:t>
      </w:r>
      <w:r>
        <w:rPr>
          <w:rFonts w:ascii="Times New Roman" w:eastAsia="Times New Roman" w:hAnsi="Times New Roman" w:cs="Times New Roman"/>
          <w:sz w:val="24"/>
          <w:szCs w:val="24"/>
        </w:rPr>
        <w:t xml:space="preserve"> can change and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clear and communicative when they are not being met.   </w:t>
      </w:r>
    </w:p>
    <w:p w14:paraId="43E0ECF7"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a new supervisor here. In our first meeting I said, “Here's what I need from you as a supervisor, and here's what will not work for me.” And in the first few weeks, there've been some moves that don't work for me. And I talked with her about it. I am </w:t>
      </w:r>
      <w:proofErr w:type="gramStart"/>
      <w:r>
        <w:rPr>
          <w:rFonts w:ascii="Times New Roman" w:eastAsia="Times New Roman" w:hAnsi="Times New Roman" w:cs="Times New Roman"/>
          <w:sz w:val="24"/>
          <w:szCs w:val="24"/>
        </w:rPr>
        <w:t>really clear</w:t>
      </w:r>
      <w:proofErr w:type="gramEnd"/>
      <w:r>
        <w:rPr>
          <w:rFonts w:ascii="Times New Roman" w:eastAsia="Times New Roman" w:hAnsi="Times New Roman" w:cs="Times New Roman"/>
          <w:sz w:val="24"/>
          <w:szCs w:val="24"/>
        </w:rPr>
        <w:t xml:space="preserve"> about what my issue is. Being </w:t>
      </w:r>
      <w:proofErr w:type="gramStart"/>
      <w:r>
        <w:rPr>
          <w:rFonts w:ascii="Times New Roman" w:eastAsia="Times New Roman" w:hAnsi="Times New Roman" w:cs="Times New Roman"/>
          <w:sz w:val="24"/>
          <w:szCs w:val="24"/>
        </w:rPr>
        <w:t>real</w:t>
      </w:r>
      <w:proofErr w:type="gramEnd"/>
      <w:r>
        <w:rPr>
          <w:rFonts w:ascii="Times New Roman" w:eastAsia="Times New Roman" w:hAnsi="Times New Roman" w:cs="Times New Roman"/>
          <w:sz w:val="24"/>
          <w:szCs w:val="24"/>
        </w:rPr>
        <w:t xml:space="preserve"> concrete and being able to cite examples has been really helpful for me.</w:t>
      </w:r>
    </w:p>
    <w:p w14:paraId="26EF9D78" w14:textId="1B70BA3C"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Coach’s children are adults and out of the house, Grace, María, and Sage all have children at home. The three of them shared making decisions or setting expectations and boundaries about their time at work and ability to care for their children. Grace is a single mom and is geographically bound to her current institution to stay close to her parents and extended </w:t>
      </w:r>
      <w:r>
        <w:rPr>
          <w:rFonts w:ascii="Times New Roman" w:eastAsia="Times New Roman" w:hAnsi="Times New Roman" w:cs="Times New Roman"/>
          <w:sz w:val="24"/>
          <w:szCs w:val="24"/>
        </w:rPr>
        <w:lastRenderedPageBreak/>
        <w:t xml:space="preserve">family. She mentioned that this continues to be a difficult decision for her due </w:t>
      </w:r>
      <w:r w:rsidR="00E02991">
        <w:rPr>
          <w:rFonts w:ascii="Times New Roman" w:eastAsia="Times New Roman" w:hAnsi="Times New Roman" w:cs="Times New Roman"/>
          <w:sz w:val="24"/>
          <w:szCs w:val="24"/>
        </w:rPr>
        <w:t>to decreased</w:t>
      </w:r>
      <w:r>
        <w:rPr>
          <w:rFonts w:ascii="Times New Roman" w:eastAsia="Times New Roman" w:hAnsi="Times New Roman" w:cs="Times New Roman"/>
          <w:sz w:val="24"/>
          <w:szCs w:val="24"/>
        </w:rPr>
        <w:t xml:space="preserve"> career mobility, but she understands it is what she needs. </w:t>
      </w:r>
    </w:p>
    <w:p w14:paraId="5178C0F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María and Sage shared experiences of setting boundaries with supervisors who expected them to work atypical hours. Sage said that when her children were under a certain age, she had to be direct in these conversations. She recalled an interaction with a new supervisor. </w:t>
      </w:r>
    </w:p>
    <w:p w14:paraId="20906CD3" w14:textId="77777777"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the first thing I did was I had a conversation with her to say, “Hey, I don't know what expectations you have in terms of working and time. But I need to leave here and pick up my children before six o'clock. So I will be leaving at 5:00 p.m. because the aftercare only keeps them to 6:00 p.m. and my husband is away most of the time, so it's all on me. </w:t>
      </w:r>
    </w:p>
    <w:p w14:paraId="5FAB95F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expressed that it has taken years to not only understand their needs and boundaries, but also prioritize them. Many noted that as senior administrators, you cannot say ‘no’ to certain expectations, appearances, or on-call duties; however, knowing yourself and your limits allows you to prioritize the most important boundaries and practice the strategies that support persistence. Participants also shared how modeling these practices helps to foster healthy and empowering work environments for those around them, especially other professionals with marginalized identities. </w:t>
      </w:r>
    </w:p>
    <w:p w14:paraId="54A62C14"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Critical Praxis Analysis</w:t>
      </w:r>
    </w:p>
    <w:p w14:paraId="05F5F04F"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the phenomenological analysis, data were coded for elements of critical praxis to explore the ways in which conscientization, reflection, and action materialize in the experiences of persistence for student affairs professionals with marginalized identities. </w:t>
      </w:r>
      <w:r>
        <w:rPr>
          <w:rFonts w:ascii="Times New Roman" w:eastAsia="Times New Roman" w:hAnsi="Times New Roman" w:cs="Times New Roman"/>
          <w:sz w:val="24"/>
          <w:szCs w:val="24"/>
          <w:highlight w:val="white"/>
        </w:rPr>
        <w:t xml:space="preserve">Marine and Gilbert’s (2022) model for critical praxis in student affairs provides a framework for challenging systems of oppression in higher education. Critical praxis involves </w:t>
      </w:r>
      <w:r>
        <w:rPr>
          <w:rFonts w:ascii="Times New Roman" w:eastAsia="Times New Roman" w:hAnsi="Times New Roman" w:cs="Times New Roman"/>
          <w:i/>
          <w:sz w:val="24"/>
          <w:szCs w:val="24"/>
          <w:highlight w:val="white"/>
        </w:rPr>
        <w:t>conscientization</w:t>
      </w:r>
      <w:r>
        <w:rPr>
          <w:rFonts w:ascii="Times New Roman" w:eastAsia="Times New Roman" w:hAnsi="Times New Roman" w:cs="Times New Roman"/>
          <w:sz w:val="24"/>
          <w:szCs w:val="24"/>
          <w:highlight w:val="white"/>
        </w:rPr>
        <w:t xml:space="preserve">, the awareness of one’s position, power, and commitment to transformative change (Freire, 1970); reflection, the </w:t>
      </w:r>
      <w:r>
        <w:rPr>
          <w:rFonts w:ascii="Times New Roman" w:eastAsia="Times New Roman" w:hAnsi="Times New Roman" w:cs="Times New Roman"/>
          <w:sz w:val="24"/>
          <w:szCs w:val="24"/>
          <w:highlight w:val="white"/>
        </w:rPr>
        <w:lastRenderedPageBreak/>
        <w:t xml:space="preserve">process by which individuals acknowledge and contemplate their positionality in relation to others and the world; and intentional action which challenges and transforms systems (Marine &amp; Gilbert, 2022). As participants cited how they persisted as a student affairs professional with marginalized identities, the elements of critical praxis emerged in various ways. </w:t>
      </w:r>
    </w:p>
    <w:p w14:paraId="4710AF89"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Conscientization</w:t>
      </w:r>
    </w:p>
    <w:p w14:paraId="662AF462" w14:textId="77777777" w:rsidR="001510DC"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Conscientization typically develops through encounters with inequity, either personal or observed, and compels professionals to “revisit and reconsider long-held assumptions about the educational process, about rule making and rule following,” (Marine &amp; Gilbert, 2022, p. 188). Some encounters with inequity were discussed within the</w:t>
      </w:r>
      <w:r>
        <w:rPr>
          <w:rFonts w:ascii="Times New Roman" w:eastAsia="Times New Roman" w:hAnsi="Times New Roman" w:cs="Times New Roman"/>
          <w:i/>
          <w:sz w:val="24"/>
          <w:szCs w:val="24"/>
          <w:highlight w:val="white"/>
        </w:rPr>
        <w:t xml:space="preserve"> experiences in the workplace </w:t>
      </w:r>
      <w:r>
        <w:rPr>
          <w:rFonts w:ascii="Times New Roman" w:eastAsia="Times New Roman" w:hAnsi="Times New Roman" w:cs="Times New Roman"/>
          <w:sz w:val="24"/>
          <w:szCs w:val="24"/>
          <w:highlight w:val="white"/>
        </w:rPr>
        <w:t xml:space="preserve">theme, such as participants' experiences with supervisors, assumptions and stereotypes, representation, and internalized pressure. </w:t>
      </w:r>
    </w:p>
    <w:p w14:paraId="18EE36BC" w14:textId="3887FE45"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When Grace was navigating pay concerns early in her career, she quickly noticed this was not an isolated experience. She talked about the challenges to receiving equitable pay or promotions, but also concerns regarding the institutional normalization of this inequity. She also noted a “turning point” when she attended a conference for Asian and Pacific Islanders and was able to connect with higher education professionals with similar identities. Likewise, when </w:t>
      </w:r>
      <w:r>
        <w:rPr>
          <w:rFonts w:ascii="Times New Roman" w:eastAsia="Times New Roman" w:hAnsi="Times New Roman" w:cs="Times New Roman"/>
          <w:sz w:val="24"/>
          <w:szCs w:val="24"/>
        </w:rPr>
        <w:t xml:space="preserve">María was </w:t>
      </w:r>
      <w:r w:rsidR="00E02991">
        <w:rPr>
          <w:rFonts w:ascii="Times New Roman" w:eastAsia="Times New Roman" w:hAnsi="Times New Roman" w:cs="Times New Roman"/>
          <w:sz w:val="24"/>
          <w:szCs w:val="24"/>
        </w:rPr>
        <w:t>explaining her</w:t>
      </w:r>
      <w:r>
        <w:rPr>
          <w:rFonts w:ascii="Times New Roman" w:eastAsia="Times New Roman" w:hAnsi="Times New Roman" w:cs="Times New Roman"/>
          <w:sz w:val="24"/>
          <w:szCs w:val="24"/>
        </w:rPr>
        <w:t xml:space="preserve"> experience of differential treatment from her supervisor, she had a moment of pause, “And I think that's the first time that I was like, oh, okay.”. These experiences are examples of individuals becoming aware of oppression, how it manifests, and how it affects them (Freire, 1970; Freire et al., 2014; Gonzalez et al., 2020; Marine &amp; Gilbert, 2022; Torres, 2019). Though Grace and María had experienced oppressive interactions before, these moments highlight the development of critical consciousness (Freire, 1970; Marine &amp; Gilbert, 2022) and understanding of how identities influence workplace experiences.  </w:t>
      </w:r>
    </w:p>
    <w:p w14:paraId="05B689B1"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The process of conscientization involves recognizing injustices and their cause, questioning the status quo, and reconsidering beliefs and worldview </w:t>
      </w:r>
      <w:r>
        <w:rPr>
          <w:rFonts w:ascii="Times New Roman" w:eastAsia="Times New Roman" w:hAnsi="Times New Roman" w:cs="Times New Roman"/>
          <w:sz w:val="24"/>
          <w:szCs w:val="24"/>
        </w:rPr>
        <w:t xml:space="preserve">(Freire, 1970; Marine &amp; Gilbert, 2022). </w:t>
      </w:r>
      <w:r>
        <w:rPr>
          <w:rFonts w:ascii="Times New Roman" w:eastAsia="Times New Roman" w:hAnsi="Times New Roman" w:cs="Times New Roman"/>
          <w:sz w:val="24"/>
          <w:szCs w:val="24"/>
          <w:highlight w:val="white"/>
        </w:rPr>
        <w:t xml:space="preserve">Participants expressed specific components of conscientization while they were discussing encounters with oppression or difficult workplace experiences. Conscientization also occurred for participants throughout their career as they have been consistently reminded of their positionality and the need for transformative change. </w:t>
      </w:r>
    </w:p>
    <w:p w14:paraId="46CCF20A"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14:paraId="3F6E3FF3" w14:textId="77777777" w:rsidR="001510DC"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 xml:space="preserve">Reflection is the process by which individuals acknowledge and contemplate their positionality in relation to others and the world. The process requires honesty and vulnerability. Core components of reflection include asking critical questions, reframing assumptions, and envisioning a better world (Marine &amp; Gilbert, 2022). Participants engaged in reflection as they reacted to their workplace experiences. Responses to oppressive encounters, questions regarding lack of representation, and reflecting on and reimagining cultural or institutional norms are some of the ways participants engaged in reflection. As Coach’s interview was ending, she voiced, “I wish there was more of me… I hope that changes in my lifetime.” This was a moment of reflection for both of us as we envisioned the transformation within higher education as more diverse professionals attain leadership positions. </w:t>
      </w:r>
      <w:r>
        <w:rPr>
          <w:rFonts w:ascii="Times New Roman" w:eastAsia="Times New Roman" w:hAnsi="Times New Roman" w:cs="Times New Roman"/>
          <w:sz w:val="24"/>
          <w:szCs w:val="24"/>
        </w:rPr>
        <w:t xml:space="preserve">Phê-rô </w:t>
      </w:r>
      <w:r>
        <w:rPr>
          <w:rFonts w:ascii="Times New Roman" w:eastAsia="Times New Roman" w:hAnsi="Times New Roman" w:cs="Times New Roman"/>
          <w:sz w:val="24"/>
          <w:szCs w:val="24"/>
          <w:highlight w:val="white"/>
        </w:rPr>
        <w:t xml:space="preserve">and I also shared a moment of reflection as we were concluding our interview. </w:t>
      </w:r>
    </w:p>
    <w:p w14:paraId="039830B6" w14:textId="77777777" w:rsidR="001510DC"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think the value of higher education is being questioned. The value of grad school is being questioned. And then along with that, I think the value of a person is being questioned. And there are certain groups that have been privileged and will continue to be privileged. And there are the groups that now if we don't have the conversations like [we’re] having now, then there will be no one to speak up for us.</w:t>
      </w:r>
    </w:p>
    <w:p w14:paraId="00916B05" w14:textId="77777777" w:rsidR="001510DC"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We discussed that if barriers and systems continue to go unchallenged, higher education will continue to do a disservice to students and professionals.  </w:t>
      </w:r>
    </w:p>
    <w:p w14:paraId="65C35B6E" w14:textId="77777777" w:rsidR="001510DC"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Multiple participants cited moments of reflection as they strategized their “next move” when addressing barriers or challenges. Jack recalled, “I remember having to say to myself, “[Jack], you're either going to double down or you're going to give up.” Jerome shared an anecdote about supervising a person with similar marginalized identities who was struggling to actualize their job responsibilities. He recalled saying to himself, “Am I doing something to perpetuate systems of oppression with this management relationship? Should I be doing anything different?” These moments of self-talk are common among participants and illustrate the ways they question and reframe assumptions. </w:t>
      </w:r>
    </w:p>
    <w:p w14:paraId="12978925"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Action</w:t>
      </w:r>
    </w:p>
    <w:p w14:paraId="5A750AE2" w14:textId="2E78BA6C" w:rsidR="001510DC"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final element of critical praxis is intentional action which challenges and transforms systems. Action can occur interpersonally or institutionally, and focuses on challenging dominant narratives, disrupting power dynamics, and resisting neoliberal forces (Marine &amp; Gilbert, 2022). Participants have engaged in action throughout their professional journey, and some since childhood. Participants who identify as first-generation college students have been challenging norms and resisting neoliberal forces since they decided to go to college. As Jack stated, “I often have said the system wasn't created for me or parts of me.” Still, all participants have engaged in action by choosing to work in student affairs and transform the educational system that was not built with them in mind. More specifically, participants engaged in action by embracing their unique characteristics and leadership styles; calling out and naming oppressive </w:t>
      </w:r>
      <w:r w:rsidR="00E02991">
        <w:rPr>
          <w:rFonts w:ascii="Times New Roman" w:eastAsia="Times New Roman" w:hAnsi="Times New Roman" w:cs="Times New Roman"/>
          <w:sz w:val="24"/>
          <w:szCs w:val="24"/>
          <w:highlight w:val="white"/>
        </w:rPr>
        <w:t>experiences and</w:t>
      </w:r>
      <w:r>
        <w:rPr>
          <w:rFonts w:ascii="Times New Roman" w:eastAsia="Times New Roman" w:hAnsi="Times New Roman" w:cs="Times New Roman"/>
          <w:sz w:val="24"/>
          <w:szCs w:val="24"/>
          <w:highlight w:val="white"/>
        </w:rPr>
        <w:t xml:space="preserve"> educating others when they can; eliminating barriers and changing the systems within their control; and creating environments where individuals with marginalized identities </w:t>
      </w:r>
      <w:r>
        <w:rPr>
          <w:rFonts w:ascii="Times New Roman" w:eastAsia="Times New Roman" w:hAnsi="Times New Roman" w:cs="Times New Roman"/>
          <w:sz w:val="24"/>
          <w:szCs w:val="24"/>
          <w:highlight w:val="white"/>
        </w:rPr>
        <w:lastRenderedPageBreak/>
        <w:t xml:space="preserve">can thrive. This was seen in the ways participants embraced authenticity, directly addressed harmful interactions, set clear boundaries and expectations, and supported those with similar identities through mentorship or friendship. </w:t>
      </w:r>
    </w:p>
    <w:p w14:paraId="572F7404"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Participants cited increased action as they progressed through the profession. </w:t>
      </w:r>
      <w:r>
        <w:rPr>
          <w:rFonts w:ascii="Times New Roman" w:eastAsia="Times New Roman" w:hAnsi="Times New Roman" w:cs="Times New Roman"/>
          <w:sz w:val="24"/>
          <w:szCs w:val="24"/>
        </w:rPr>
        <w:t>María asserted,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Now that I'm at this stage in my career, I can take barriers away.” This sentiment is common among participants. Brayden recollected, “As a senior leader on my campus and in this field, I feel more obligated and I have more of a voice.” </w:t>
      </w:r>
      <w:r>
        <w:rPr>
          <w:rFonts w:ascii="Times New Roman" w:eastAsia="Times New Roman" w:hAnsi="Times New Roman" w:cs="Times New Roman"/>
          <w:sz w:val="24"/>
          <w:szCs w:val="24"/>
          <w:highlight w:val="white"/>
        </w:rPr>
        <w:t>Sage mentioned a specific example of how she actively engages in hiring processes. In her words, “</w:t>
      </w:r>
      <w:r>
        <w:rPr>
          <w:rFonts w:ascii="Times New Roman" w:eastAsia="Times New Roman" w:hAnsi="Times New Roman" w:cs="Times New Roman"/>
          <w:sz w:val="24"/>
          <w:szCs w:val="24"/>
        </w:rPr>
        <w:t>if you put me on the search committee, you're going to catch it.” She explained that she takes hiring seriously, especially after seeing “foolishness” on search committees. Now, she prioritizes human resource (HR) training and transparent communication, and does not tolerate biased or unfair questioning for all search committees of which she has hiring authority.</w:t>
      </w:r>
    </w:p>
    <w:p w14:paraId="5282973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also engage in action through their intentional care for others, especially students, colleagues, and mentors with marginalized identities. Whether through formal mentorship or informal support and guidance, participants recalled several instances of providing transformative care. When explaining why her answer is always ‘yes’ if a student or colleague asks to meet to discuss identity, the student affairs profession, or experiences on campus, Sage noted, “it's just that the experiences that I went through, I don't think people should have to go through everything I went through. I think that folks' experiences can be better.” Phê-rô shared a similar thought when reflecting on barriers he has experienced and why he makes a conscious effort to challenge them as a senior-level administrator, “I know what it was like [experiencing] some of those struggles, and I know that some of that has formed me into the person that I am today, but some of it was very unnecessary.” This commitment to others and challenging systems </w:t>
      </w:r>
      <w:r>
        <w:rPr>
          <w:rFonts w:ascii="Times New Roman" w:eastAsia="Times New Roman" w:hAnsi="Times New Roman" w:cs="Times New Roman"/>
          <w:sz w:val="24"/>
          <w:szCs w:val="24"/>
        </w:rPr>
        <w:lastRenderedPageBreak/>
        <w:t xml:space="preserve">is a regular practice for participants. They have only become more dedicated as they progress through their career. </w:t>
      </w:r>
    </w:p>
    <w:p w14:paraId="76F00A0B"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Essence of Career Persistence Amongst Student Affairs Professionals with Marginalized Identities</w:t>
      </w:r>
    </w:p>
    <w:p w14:paraId="71BE4BDE"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final step of phenomenological analysis is to coalesce participant experiences and the textural and structural descriptions to construct the essence of the phenomenon (Husserl, 1965; Leigh-Osroosh, 2021; Moustakas, 1994). I captured the essence of senior student affairs professionals with marginalized identities experience of persistence. The description of the essence includes language and words participants used to describe their experiences (Santos et al., 2015; Thomas &amp; Pollio, 2002). </w:t>
      </w:r>
    </w:p>
    <w:p w14:paraId="2C7177DD" w14:textId="01D79D2F" w:rsidR="001510DC"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essence derived from participants’ experiences illuminated the challenging environments senior student affairs professionals with marginalized identities navigate. Participants encountered barriers related to assumptions and stereotypes, inequitable or unfair treatment, and an overall lack of representation of marginalized identities at their institutions. Simultaneously, participants highlighted the unique talents and perspectives they bring to their campuses; and how they influence future generations of professionals with marginalized identities through eliminating barriers, changing systems and cultures, and mentorship. Participants currently serve as senior student affairs administrators on their campuses and attribute their persistence to relationships, institutional leadership, the growing ability to call out oppression when it happens, and understanding themselves and their limits. Relationships with family and friends, campus colleagues, individuals with shared identities, and mentors have been crucial sources of support for participants throughout their career. Institutional leadership and treatment from supervisors significantly influenced participants’ career journeys and persistence. </w:t>
      </w:r>
      <w:r>
        <w:rPr>
          <w:rFonts w:ascii="Times New Roman" w:eastAsia="Times New Roman" w:hAnsi="Times New Roman" w:cs="Times New Roman"/>
          <w:sz w:val="24"/>
          <w:szCs w:val="24"/>
        </w:rPr>
        <w:lastRenderedPageBreak/>
        <w:t xml:space="preserve">As participants have advanced in their careers, they have developed the confidence to ‘name’ oppression when it happens and change systems to create environments that help professionals with marginalized identities thrive. Throughout their career, participants have practiced intentional reflection to know their limits, create and prioritize boundaries, and understand what is within their control. Through strategic decisions and actions, participants persisted through systemic and contextual barriers to reach their current position. </w:t>
      </w:r>
    </w:p>
    <w:p w14:paraId="181028A3"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w:t>
      </w:r>
    </w:p>
    <w:p w14:paraId="3EF3B667"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 this chapter, I presented the findings from eight phenomenological interviews and reflexive participant collaboration (Motulsky, 2021) follow up conversations with senior student affairs professionals with marginalized identities. I surmised the two themes that emerged from a phenomenological analysis of the data: </w:t>
      </w:r>
      <w:r>
        <w:rPr>
          <w:rFonts w:ascii="Times New Roman" w:eastAsia="Times New Roman" w:hAnsi="Times New Roman" w:cs="Times New Roman"/>
          <w:i/>
          <w:sz w:val="24"/>
          <w:szCs w:val="24"/>
        </w:rPr>
        <w:t xml:space="preserve">workplace experiences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persistence pathways</w:t>
      </w:r>
      <w:r>
        <w:rPr>
          <w:rFonts w:ascii="Times New Roman" w:eastAsia="Times New Roman" w:hAnsi="Times New Roman" w:cs="Times New Roman"/>
          <w:sz w:val="24"/>
          <w:szCs w:val="24"/>
        </w:rPr>
        <w:t xml:space="preserve">. The first theme encompasses the barriers and unique experiences of professionals with marginalized identities who reach senior-level positions including the following sub-themes: </w:t>
      </w:r>
      <w:r>
        <w:rPr>
          <w:rFonts w:ascii="Times New Roman" w:eastAsia="Times New Roman" w:hAnsi="Times New Roman" w:cs="Times New Roman"/>
          <w:i/>
          <w:sz w:val="24"/>
          <w:szCs w:val="24"/>
        </w:rPr>
        <w:t xml:space="preserve">encounters with oppression, representation, internalized oppression,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identity and cultural influence</w:t>
      </w:r>
      <w:r>
        <w:rPr>
          <w:rFonts w:ascii="Times New Roman" w:eastAsia="Times New Roman" w:hAnsi="Times New Roman" w:cs="Times New Roman"/>
          <w:sz w:val="24"/>
          <w:szCs w:val="24"/>
        </w:rPr>
        <w:t xml:space="preserve">. The second theme relates to the shared strategies and contexts that supported participants’ persistence through their career. I identified four sub-themes: </w:t>
      </w:r>
      <w:r>
        <w:rPr>
          <w:rFonts w:ascii="Times New Roman" w:eastAsia="Times New Roman" w:hAnsi="Times New Roman" w:cs="Times New Roman"/>
          <w:i/>
          <w:sz w:val="24"/>
          <w:szCs w:val="24"/>
        </w:rPr>
        <w:t xml:space="preserve">challenging oppression; community, mentorship, and relationships; institutional leadership and supervision;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knowing yourself and your limits</w:t>
      </w:r>
      <w:r>
        <w:rPr>
          <w:rFonts w:ascii="Times New Roman" w:eastAsia="Times New Roman" w:hAnsi="Times New Roman" w:cs="Times New Roman"/>
          <w:sz w:val="24"/>
          <w:szCs w:val="24"/>
        </w:rPr>
        <w:t xml:space="preserve">. I also provided a conceptual analysis of the data using Marine and Gilbert’s (2022) model for critical praxis in student affairs and illustrated the ways conscientization, reflection, and action appeared in participants’ experiences. Finally, I concluded with a description of the essence of persistence for student affairs professionals with marginalized identities. In Chapter 5, I connect the study findings to the literature, discuss implications for </w:t>
      </w:r>
      <w:r>
        <w:rPr>
          <w:rFonts w:ascii="Times New Roman" w:eastAsia="Times New Roman" w:hAnsi="Times New Roman" w:cs="Times New Roman"/>
          <w:sz w:val="24"/>
          <w:szCs w:val="24"/>
        </w:rPr>
        <w:lastRenderedPageBreak/>
        <w:t xml:space="preserve">higher education practitioners and administrators, and present recommendations for future research.   </w:t>
      </w:r>
    </w:p>
    <w:p w14:paraId="26A9684F" w14:textId="77777777" w:rsidR="001510DC" w:rsidRDefault="00000000">
      <w:pPr>
        <w:spacing w:line="480" w:lineRule="auto"/>
        <w:rPr>
          <w:rFonts w:ascii="Times New Roman" w:eastAsia="Times New Roman" w:hAnsi="Times New Roman" w:cs="Times New Roman"/>
          <w:sz w:val="24"/>
          <w:szCs w:val="24"/>
        </w:rPr>
      </w:pPr>
      <w:r>
        <w:br w:type="page"/>
      </w:r>
    </w:p>
    <w:p w14:paraId="4C135ED6"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Chapter 5 </w:t>
      </w:r>
    </w:p>
    <w:p w14:paraId="1E2A242A"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Implications, and Conclusion </w:t>
      </w:r>
    </w:p>
    <w:p w14:paraId="51BA32B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study was to explore the experiences of senior student affairs professionals with marginalized identities. More specifically, this study sought to understand how these professionals perceive their career persistence. </w:t>
      </w:r>
      <w:r>
        <w:rPr>
          <w:rFonts w:ascii="Times New Roman" w:eastAsia="Times New Roman" w:hAnsi="Times New Roman" w:cs="Times New Roman"/>
          <w:sz w:val="24"/>
          <w:szCs w:val="24"/>
          <w:highlight w:val="white"/>
        </w:rPr>
        <w:t xml:space="preserve">When researchers are interested in a specific shared experience, or phenomenon, they employ phenomenological research methods </w:t>
      </w:r>
      <w:r>
        <w:rPr>
          <w:rFonts w:ascii="Times New Roman" w:eastAsia="Times New Roman" w:hAnsi="Times New Roman" w:cs="Times New Roman"/>
          <w:sz w:val="24"/>
          <w:szCs w:val="24"/>
        </w:rPr>
        <w:t xml:space="preserve">(Hayes &amp; Graham, 2022; Husserl, 1965; </w:t>
      </w:r>
      <w:r>
        <w:rPr>
          <w:rFonts w:ascii="Times New Roman" w:eastAsia="Times New Roman" w:hAnsi="Times New Roman" w:cs="Times New Roman"/>
          <w:sz w:val="24"/>
          <w:szCs w:val="24"/>
          <w:highlight w:val="white"/>
        </w:rPr>
        <w:t xml:space="preserve">Merriam &amp; Tisdell, 2016; Moustakas, 1994; </w:t>
      </w:r>
      <w:r>
        <w:rPr>
          <w:rFonts w:ascii="Times New Roman" w:eastAsia="Times New Roman" w:hAnsi="Times New Roman" w:cs="Times New Roman"/>
          <w:sz w:val="24"/>
          <w:szCs w:val="24"/>
        </w:rPr>
        <w:t xml:space="preserve">Weiss et al., 2020). A critical, qualitative, phenomenological design was used to uncover the essence of persistence among student affairs professionals with marginalized identities. Critical phenomenology goes beyond typical phenomenological methods by </w:t>
      </w:r>
      <w:proofErr w:type="gramStart"/>
      <w:r>
        <w:rPr>
          <w:rFonts w:ascii="Times New Roman" w:eastAsia="Times New Roman" w:hAnsi="Times New Roman" w:cs="Times New Roman"/>
          <w:sz w:val="24"/>
          <w:szCs w:val="24"/>
        </w:rPr>
        <w:t>giving purposeful consideration to</w:t>
      </w:r>
      <w:proofErr w:type="gramEnd"/>
      <w:r>
        <w:rPr>
          <w:rFonts w:ascii="Times New Roman" w:eastAsia="Times New Roman" w:hAnsi="Times New Roman" w:cs="Times New Roman"/>
          <w:sz w:val="24"/>
          <w:szCs w:val="24"/>
        </w:rPr>
        <w:t xml:space="preserve"> the historical and societal structures that shape experiences through the research process (Weiss et al., 2020). This research methodology provides opportunities to describe experiences of oppression,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develop strategies for dismantling oppressive structures. Weiss and colleagues (2020) assert the aim of critical phenomenology is “not just to interpret the world, but also to change it” (p. 24).  </w:t>
      </w:r>
    </w:p>
    <w:p w14:paraId="6F38F0BE"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was guided by the following research question: “What are the experiences of student affairs professionals with marginalized identities who are able to persist through systemic and contextual barriers and reach senior-level roles?” Eight senior student affairs professionals with marginalized identities participated in an interview and reflexive participant collaboration (Motulsky, 2021) follow up conversation. Data were analyzed through a phenomenological and critical praxis framework, which resulted in two themes and eight sub-themes. In this chapter, I provide a summary of the study’s findings (presented in Chapter 4) and discuss the findings in </w:t>
      </w:r>
      <w:r>
        <w:rPr>
          <w:rFonts w:ascii="Times New Roman" w:eastAsia="Times New Roman" w:hAnsi="Times New Roman" w:cs="Times New Roman"/>
          <w:sz w:val="24"/>
          <w:szCs w:val="24"/>
        </w:rPr>
        <w:lastRenderedPageBreak/>
        <w:t xml:space="preserve">relation to the literature review and the conceptual framework. I also present implications for higher education practice and provide recommendations for future research. </w:t>
      </w:r>
    </w:p>
    <w:p w14:paraId="7678ADCB"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Findings</w:t>
      </w:r>
    </w:p>
    <w:p w14:paraId="0EB03FDB" w14:textId="5650AF1D"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 a phenomenological analysis, I identified two overarching themes and eight sub-themes from the data. </w:t>
      </w:r>
      <w:r w:rsidR="00A0345A" w:rsidRPr="00A0345A">
        <w:rPr>
          <w:rFonts w:ascii="Times New Roman" w:eastAsia="Times New Roman" w:hAnsi="Times New Roman" w:cs="Times New Roman"/>
          <w:b/>
          <w:bCs/>
          <w:sz w:val="24"/>
          <w:szCs w:val="24"/>
        </w:rPr>
        <w:t>Table</w:t>
      </w:r>
      <w:r w:rsidRPr="00A0345A">
        <w:rPr>
          <w:rFonts w:ascii="Times New Roman" w:eastAsia="Times New Roman" w:hAnsi="Times New Roman" w:cs="Times New Roman"/>
          <w:b/>
          <w:bCs/>
          <w:sz w:val="24"/>
          <w:szCs w:val="24"/>
        </w:rPr>
        <w:t xml:space="preserve"> </w:t>
      </w:r>
      <w:r w:rsidR="00A0345A">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provides a summary of the findings. I also coded data for elements of Marine and Gilbert’s (2022) model for critical praxis in student affairs, which are further discussed later in this chapter.  </w:t>
      </w:r>
    </w:p>
    <w:p w14:paraId="5751A0AC" w14:textId="77777777" w:rsidR="00DE0865" w:rsidRDefault="00DE0865">
      <w:pPr>
        <w:spacing w:line="480" w:lineRule="auto"/>
        <w:rPr>
          <w:rFonts w:ascii="Times New Roman" w:eastAsia="Times New Roman" w:hAnsi="Times New Roman" w:cs="Times New Roman"/>
          <w:b/>
          <w:sz w:val="24"/>
          <w:szCs w:val="24"/>
        </w:rPr>
      </w:pPr>
    </w:p>
    <w:p w14:paraId="6998D979" w14:textId="77777777" w:rsidR="00DE0865" w:rsidRDefault="00DE0865">
      <w:pPr>
        <w:spacing w:line="480" w:lineRule="auto"/>
        <w:rPr>
          <w:rFonts w:ascii="Times New Roman" w:eastAsia="Times New Roman" w:hAnsi="Times New Roman" w:cs="Times New Roman"/>
          <w:b/>
          <w:sz w:val="24"/>
          <w:szCs w:val="24"/>
        </w:rPr>
      </w:pPr>
    </w:p>
    <w:p w14:paraId="399D947C" w14:textId="77777777" w:rsidR="00DE0865" w:rsidRDefault="00DE0865">
      <w:pPr>
        <w:spacing w:line="480" w:lineRule="auto"/>
        <w:rPr>
          <w:rFonts w:ascii="Times New Roman" w:eastAsia="Times New Roman" w:hAnsi="Times New Roman" w:cs="Times New Roman"/>
          <w:b/>
          <w:sz w:val="24"/>
          <w:szCs w:val="24"/>
        </w:rPr>
      </w:pPr>
    </w:p>
    <w:p w14:paraId="1EDF80A8" w14:textId="77777777" w:rsidR="00DE0865" w:rsidRDefault="00DE0865">
      <w:pPr>
        <w:spacing w:line="480" w:lineRule="auto"/>
        <w:rPr>
          <w:rFonts w:ascii="Times New Roman" w:eastAsia="Times New Roman" w:hAnsi="Times New Roman" w:cs="Times New Roman"/>
          <w:b/>
          <w:sz w:val="24"/>
          <w:szCs w:val="24"/>
        </w:rPr>
      </w:pPr>
    </w:p>
    <w:p w14:paraId="58855139" w14:textId="77777777" w:rsidR="00DE0865" w:rsidRDefault="00DE0865">
      <w:pPr>
        <w:spacing w:line="480" w:lineRule="auto"/>
        <w:rPr>
          <w:rFonts w:ascii="Times New Roman" w:eastAsia="Times New Roman" w:hAnsi="Times New Roman" w:cs="Times New Roman"/>
          <w:b/>
          <w:sz w:val="24"/>
          <w:szCs w:val="24"/>
        </w:rPr>
      </w:pPr>
    </w:p>
    <w:p w14:paraId="7B38B987" w14:textId="77777777" w:rsidR="00DE0865" w:rsidRDefault="00DE0865">
      <w:pPr>
        <w:spacing w:line="480" w:lineRule="auto"/>
        <w:rPr>
          <w:rFonts w:ascii="Times New Roman" w:eastAsia="Times New Roman" w:hAnsi="Times New Roman" w:cs="Times New Roman"/>
          <w:b/>
          <w:sz w:val="24"/>
          <w:szCs w:val="24"/>
        </w:rPr>
      </w:pPr>
    </w:p>
    <w:p w14:paraId="0BF7B36A" w14:textId="77777777" w:rsidR="00DE0865" w:rsidRDefault="00DE0865">
      <w:pPr>
        <w:spacing w:line="480" w:lineRule="auto"/>
        <w:rPr>
          <w:rFonts w:ascii="Times New Roman" w:eastAsia="Times New Roman" w:hAnsi="Times New Roman" w:cs="Times New Roman"/>
          <w:b/>
          <w:sz w:val="24"/>
          <w:szCs w:val="24"/>
        </w:rPr>
      </w:pPr>
    </w:p>
    <w:p w14:paraId="03442D82" w14:textId="77777777" w:rsidR="00DE0865" w:rsidRDefault="00DE0865">
      <w:pPr>
        <w:spacing w:line="480" w:lineRule="auto"/>
        <w:rPr>
          <w:rFonts w:ascii="Times New Roman" w:eastAsia="Times New Roman" w:hAnsi="Times New Roman" w:cs="Times New Roman"/>
          <w:b/>
          <w:sz w:val="24"/>
          <w:szCs w:val="24"/>
        </w:rPr>
      </w:pPr>
    </w:p>
    <w:p w14:paraId="36896943" w14:textId="77777777" w:rsidR="00DE0865" w:rsidRDefault="00DE0865">
      <w:pPr>
        <w:spacing w:line="480" w:lineRule="auto"/>
        <w:rPr>
          <w:rFonts w:ascii="Times New Roman" w:eastAsia="Times New Roman" w:hAnsi="Times New Roman" w:cs="Times New Roman"/>
          <w:b/>
          <w:sz w:val="24"/>
          <w:szCs w:val="24"/>
        </w:rPr>
      </w:pPr>
    </w:p>
    <w:p w14:paraId="735FFE7C" w14:textId="77777777" w:rsidR="00DE0865" w:rsidRDefault="00DE0865">
      <w:pPr>
        <w:spacing w:line="480" w:lineRule="auto"/>
        <w:rPr>
          <w:rFonts w:ascii="Times New Roman" w:eastAsia="Times New Roman" w:hAnsi="Times New Roman" w:cs="Times New Roman"/>
          <w:b/>
          <w:sz w:val="24"/>
          <w:szCs w:val="24"/>
        </w:rPr>
      </w:pPr>
    </w:p>
    <w:p w14:paraId="1A13D4B6" w14:textId="77777777" w:rsidR="00DE0865" w:rsidRDefault="00DE0865">
      <w:pPr>
        <w:spacing w:line="480" w:lineRule="auto"/>
        <w:rPr>
          <w:rFonts w:ascii="Times New Roman" w:eastAsia="Times New Roman" w:hAnsi="Times New Roman" w:cs="Times New Roman"/>
          <w:b/>
          <w:sz w:val="24"/>
          <w:szCs w:val="24"/>
        </w:rPr>
      </w:pPr>
    </w:p>
    <w:p w14:paraId="30CE60BA" w14:textId="77777777" w:rsidR="00DE0865" w:rsidRDefault="00DE0865">
      <w:pPr>
        <w:spacing w:line="480" w:lineRule="auto"/>
        <w:rPr>
          <w:rFonts w:ascii="Times New Roman" w:eastAsia="Times New Roman" w:hAnsi="Times New Roman" w:cs="Times New Roman"/>
          <w:b/>
          <w:sz w:val="24"/>
          <w:szCs w:val="24"/>
        </w:rPr>
      </w:pPr>
    </w:p>
    <w:p w14:paraId="5366C165" w14:textId="77777777" w:rsidR="00DE0865" w:rsidRDefault="00DE0865">
      <w:pPr>
        <w:spacing w:line="480" w:lineRule="auto"/>
        <w:rPr>
          <w:rFonts w:ascii="Times New Roman" w:eastAsia="Times New Roman" w:hAnsi="Times New Roman" w:cs="Times New Roman"/>
          <w:b/>
          <w:sz w:val="24"/>
          <w:szCs w:val="24"/>
        </w:rPr>
      </w:pPr>
    </w:p>
    <w:p w14:paraId="71C494C0" w14:textId="77777777" w:rsidR="00DE0865" w:rsidRDefault="00DE0865">
      <w:pPr>
        <w:spacing w:line="480" w:lineRule="auto"/>
        <w:rPr>
          <w:rFonts w:ascii="Times New Roman" w:eastAsia="Times New Roman" w:hAnsi="Times New Roman" w:cs="Times New Roman"/>
          <w:b/>
          <w:sz w:val="24"/>
          <w:szCs w:val="24"/>
        </w:rPr>
      </w:pPr>
    </w:p>
    <w:p w14:paraId="0A6F4777" w14:textId="77777777" w:rsidR="00DE0865" w:rsidRDefault="00DE0865">
      <w:pPr>
        <w:spacing w:line="480" w:lineRule="auto"/>
        <w:rPr>
          <w:rFonts w:ascii="Times New Roman" w:eastAsia="Times New Roman" w:hAnsi="Times New Roman" w:cs="Times New Roman"/>
          <w:b/>
          <w:sz w:val="24"/>
          <w:szCs w:val="24"/>
        </w:rPr>
      </w:pPr>
    </w:p>
    <w:p w14:paraId="4E2244F8" w14:textId="77777777" w:rsidR="00DE0865" w:rsidRDefault="00DE0865">
      <w:pPr>
        <w:spacing w:line="480" w:lineRule="auto"/>
        <w:rPr>
          <w:rFonts w:ascii="Times New Roman" w:eastAsia="Times New Roman" w:hAnsi="Times New Roman" w:cs="Times New Roman"/>
          <w:b/>
          <w:sz w:val="24"/>
          <w:szCs w:val="24"/>
        </w:rPr>
      </w:pPr>
    </w:p>
    <w:p w14:paraId="66BDD5F8" w14:textId="65A918AB" w:rsidR="001510DC" w:rsidRPr="00A0345A" w:rsidRDefault="00A0345A">
      <w:pPr>
        <w:spacing w:line="480" w:lineRule="auto"/>
        <w:rPr>
          <w:rFonts w:ascii="Times New Roman" w:eastAsia="Times New Roman" w:hAnsi="Times New Roman" w:cs="Times New Roman"/>
          <w:bCs/>
          <w:sz w:val="24"/>
          <w:szCs w:val="24"/>
        </w:rPr>
      </w:pPr>
      <w:r w:rsidRPr="00A0345A">
        <w:rPr>
          <w:rFonts w:ascii="Times New Roman" w:eastAsia="Times New Roman" w:hAnsi="Times New Roman" w:cs="Times New Roman"/>
          <w:bCs/>
          <w:sz w:val="24"/>
          <w:szCs w:val="24"/>
        </w:rPr>
        <w:lastRenderedPageBreak/>
        <w:t xml:space="preserve">Table </w:t>
      </w:r>
      <w:r>
        <w:rPr>
          <w:rFonts w:ascii="Times New Roman" w:eastAsia="Times New Roman" w:hAnsi="Times New Roman" w:cs="Times New Roman"/>
          <w:bCs/>
          <w:sz w:val="24"/>
          <w:szCs w:val="24"/>
        </w:rPr>
        <w:t>4:</w:t>
      </w:r>
      <w:r w:rsidRPr="00A0345A">
        <w:rPr>
          <w:rFonts w:ascii="Times New Roman" w:eastAsia="Times New Roman" w:hAnsi="Times New Roman" w:cs="Times New Roman"/>
          <w:bCs/>
          <w:sz w:val="24"/>
          <w:szCs w:val="24"/>
        </w:rPr>
        <w:t xml:space="preserve"> Summary of Findings </w:t>
      </w:r>
    </w:p>
    <w:tbl>
      <w:tblPr>
        <w:tblStyle w:val="a2"/>
        <w:tblpPr w:leftFromText="180" w:rightFromText="180" w:topFromText="180" w:bottomFromText="180" w:vertAnchor="text"/>
        <w:tblW w:w="9315" w:type="dxa"/>
        <w:tblBorders>
          <w:top w:val="nil"/>
          <w:left w:val="nil"/>
          <w:bottom w:val="nil"/>
          <w:right w:val="nil"/>
          <w:insideH w:val="nil"/>
          <w:insideV w:val="nil"/>
        </w:tblBorders>
        <w:tblLayout w:type="fixed"/>
        <w:tblLook w:val="0600" w:firstRow="0" w:lastRow="0" w:firstColumn="0" w:lastColumn="0" w:noHBand="1" w:noVBand="1"/>
      </w:tblPr>
      <w:tblGrid>
        <w:gridCol w:w="1605"/>
        <w:gridCol w:w="1590"/>
        <w:gridCol w:w="6120"/>
      </w:tblGrid>
      <w:tr w:rsidR="001510DC" w14:paraId="60316C61" w14:textId="77777777">
        <w:trPr>
          <w:trHeight w:val="345"/>
        </w:trPr>
        <w:tc>
          <w:tcPr>
            <w:tcW w:w="1605" w:type="dxa"/>
            <w:tcBorders>
              <w:top w:val="single" w:sz="3" w:space="0" w:color="000000"/>
              <w:left w:val="nil"/>
              <w:bottom w:val="single" w:sz="3" w:space="0" w:color="000000"/>
              <w:right w:val="nil"/>
            </w:tcBorders>
            <w:tcMar>
              <w:top w:w="40" w:type="dxa"/>
              <w:left w:w="40" w:type="dxa"/>
              <w:bottom w:w="40" w:type="dxa"/>
              <w:right w:w="40" w:type="dxa"/>
            </w:tcMar>
            <w:vAlign w:val="bottom"/>
          </w:tcPr>
          <w:p w14:paraId="1BC68874" w14:textId="77777777" w:rsidR="001510DC" w:rsidRDefault="00000000">
            <w:pPr>
              <w:widowControl w:val="0"/>
              <w:rPr>
                <w:sz w:val="20"/>
                <w:szCs w:val="20"/>
              </w:rPr>
            </w:pPr>
            <w:r>
              <w:rPr>
                <w:rFonts w:ascii="Times New Roman" w:eastAsia="Times New Roman" w:hAnsi="Times New Roman" w:cs="Times New Roman"/>
                <w:b/>
                <w:sz w:val="24"/>
                <w:szCs w:val="24"/>
              </w:rPr>
              <w:t>Theme</w:t>
            </w:r>
          </w:p>
        </w:tc>
        <w:tc>
          <w:tcPr>
            <w:tcW w:w="1590" w:type="dxa"/>
            <w:tcBorders>
              <w:top w:val="single" w:sz="3" w:space="0" w:color="000000"/>
              <w:left w:val="nil"/>
              <w:bottom w:val="single" w:sz="3" w:space="0" w:color="000000"/>
              <w:right w:val="nil"/>
            </w:tcBorders>
            <w:tcMar>
              <w:top w:w="40" w:type="dxa"/>
              <w:left w:w="40" w:type="dxa"/>
              <w:bottom w:w="40" w:type="dxa"/>
              <w:right w:w="40" w:type="dxa"/>
            </w:tcMar>
            <w:vAlign w:val="bottom"/>
          </w:tcPr>
          <w:p w14:paraId="2A6D7932" w14:textId="77777777" w:rsidR="001510DC" w:rsidRDefault="00000000">
            <w:pPr>
              <w:widowControl w:val="0"/>
              <w:rPr>
                <w:sz w:val="20"/>
                <w:szCs w:val="20"/>
              </w:rPr>
            </w:pPr>
            <w:r>
              <w:rPr>
                <w:rFonts w:ascii="Times New Roman" w:eastAsia="Times New Roman" w:hAnsi="Times New Roman" w:cs="Times New Roman"/>
                <w:b/>
                <w:sz w:val="24"/>
                <w:szCs w:val="24"/>
              </w:rPr>
              <w:t>Sub-theme</w:t>
            </w:r>
          </w:p>
        </w:tc>
        <w:tc>
          <w:tcPr>
            <w:tcW w:w="6120" w:type="dxa"/>
            <w:tcBorders>
              <w:top w:val="single" w:sz="3" w:space="0" w:color="000000"/>
              <w:left w:val="nil"/>
              <w:bottom w:val="single" w:sz="3" w:space="0" w:color="000000"/>
              <w:right w:val="nil"/>
            </w:tcBorders>
            <w:tcMar>
              <w:top w:w="40" w:type="dxa"/>
              <w:left w:w="40" w:type="dxa"/>
              <w:bottom w:w="40" w:type="dxa"/>
              <w:right w:w="40" w:type="dxa"/>
            </w:tcMar>
            <w:vAlign w:val="bottom"/>
          </w:tcPr>
          <w:p w14:paraId="44CF4FB3" w14:textId="77777777" w:rsidR="001510DC" w:rsidRDefault="00000000">
            <w:pPr>
              <w:widowControl w:val="0"/>
              <w:rPr>
                <w:sz w:val="20"/>
                <w:szCs w:val="20"/>
              </w:rPr>
            </w:pPr>
            <w:r>
              <w:rPr>
                <w:rFonts w:ascii="Times New Roman" w:eastAsia="Times New Roman" w:hAnsi="Times New Roman" w:cs="Times New Roman"/>
                <w:b/>
                <w:sz w:val="24"/>
                <w:szCs w:val="24"/>
              </w:rPr>
              <w:t>Summary of Findings</w:t>
            </w:r>
          </w:p>
        </w:tc>
      </w:tr>
      <w:tr w:rsidR="001510DC" w14:paraId="4E925778" w14:textId="77777777">
        <w:trPr>
          <w:trHeight w:val="1694"/>
        </w:trPr>
        <w:tc>
          <w:tcPr>
            <w:tcW w:w="1605" w:type="dxa"/>
            <w:tcBorders>
              <w:top w:val="single" w:sz="3" w:space="0" w:color="000000"/>
              <w:left w:val="nil"/>
              <w:bottom w:val="nil"/>
              <w:right w:val="nil"/>
            </w:tcBorders>
            <w:tcMar>
              <w:top w:w="40" w:type="dxa"/>
              <w:left w:w="40" w:type="dxa"/>
              <w:bottom w:w="40" w:type="dxa"/>
              <w:right w:w="40" w:type="dxa"/>
            </w:tcMar>
            <w:vAlign w:val="bottom"/>
          </w:tcPr>
          <w:p w14:paraId="6317A3B9"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Workplace Experiences</w:t>
            </w:r>
          </w:p>
          <w:p w14:paraId="1CF0CBEC" w14:textId="77777777" w:rsidR="001510DC" w:rsidRDefault="001510DC">
            <w:pPr>
              <w:widowControl w:val="0"/>
              <w:rPr>
                <w:rFonts w:ascii="Times New Roman" w:eastAsia="Times New Roman" w:hAnsi="Times New Roman" w:cs="Times New Roman"/>
                <w:sz w:val="24"/>
                <w:szCs w:val="24"/>
              </w:rPr>
            </w:pPr>
          </w:p>
          <w:p w14:paraId="5CCBDCCC" w14:textId="77777777" w:rsidR="001510DC" w:rsidRDefault="001510DC">
            <w:pPr>
              <w:widowControl w:val="0"/>
              <w:rPr>
                <w:rFonts w:ascii="Times New Roman" w:eastAsia="Times New Roman" w:hAnsi="Times New Roman" w:cs="Times New Roman"/>
                <w:sz w:val="24"/>
                <w:szCs w:val="24"/>
              </w:rPr>
            </w:pPr>
          </w:p>
          <w:p w14:paraId="13E26391" w14:textId="77777777" w:rsidR="001510DC" w:rsidRDefault="001510DC">
            <w:pPr>
              <w:widowControl w:val="0"/>
              <w:rPr>
                <w:rFonts w:ascii="Times New Roman" w:eastAsia="Times New Roman" w:hAnsi="Times New Roman" w:cs="Times New Roman"/>
                <w:sz w:val="24"/>
                <w:szCs w:val="24"/>
              </w:rPr>
            </w:pPr>
          </w:p>
        </w:tc>
        <w:tc>
          <w:tcPr>
            <w:tcW w:w="1590" w:type="dxa"/>
            <w:tcBorders>
              <w:top w:val="single" w:sz="3" w:space="0" w:color="000000"/>
              <w:left w:val="nil"/>
              <w:bottom w:val="nil"/>
              <w:right w:val="nil"/>
            </w:tcBorders>
            <w:tcMar>
              <w:top w:w="40" w:type="dxa"/>
              <w:left w:w="40" w:type="dxa"/>
              <w:bottom w:w="40" w:type="dxa"/>
              <w:right w:w="40" w:type="dxa"/>
            </w:tcMar>
            <w:vAlign w:val="bottom"/>
          </w:tcPr>
          <w:p w14:paraId="6F1262E7"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Encounters with Oppression</w:t>
            </w:r>
          </w:p>
          <w:p w14:paraId="2F691EB9" w14:textId="77777777" w:rsidR="001510DC" w:rsidRDefault="001510DC">
            <w:pPr>
              <w:widowControl w:val="0"/>
              <w:rPr>
                <w:rFonts w:ascii="Times New Roman" w:eastAsia="Times New Roman" w:hAnsi="Times New Roman" w:cs="Times New Roman"/>
                <w:sz w:val="24"/>
                <w:szCs w:val="24"/>
              </w:rPr>
            </w:pPr>
          </w:p>
          <w:p w14:paraId="6ECC5AC6" w14:textId="77777777" w:rsidR="001510DC" w:rsidRDefault="001510DC">
            <w:pPr>
              <w:widowControl w:val="0"/>
              <w:rPr>
                <w:rFonts w:ascii="Times New Roman" w:eastAsia="Times New Roman" w:hAnsi="Times New Roman" w:cs="Times New Roman"/>
                <w:sz w:val="24"/>
                <w:szCs w:val="24"/>
              </w:rPr>
            </w:pPr>
          </w:p>
        </w:tc>
        <w:tc>
          <w:tcPr>
            <w:tcW w:w="6120" w:type="dxa"/>
            <w:tcBorders>
              <w:top w:val="single" w:sz="3" w:space="0" w:color="000000"/>
              <w:left w:val="nil"/>
              <w:bottom w:val="nil"/>
              <w:right w:val="nil"/>
            </w:tcBorders>
            <w:tcMar>
              <w:top w:w="40" w:type="dxa"/>
              <w:left w:w="40" w:type="dxa"/>
              <w:bottom w:w="40" w:type="dxa"/>
              <w:right w:w="40" w:type="dxa"/>
            </w:tcMar>
            <w:vAlign w:val="bottom"/>
          </w:tcPr>
          <w:p w14:paraId="30C34748" w14:textId="77777777" w:rsidR="001510DC" w:rsidRDefault="00000000">
            <w:pPr>
              <w:widowControl w:val="0"/>
              <w:rPr>
                <w:rFonts w:ascii="Times New Roman" w:eastAsia="Times New Roman" w:hAnsi="Times New Roman" w:cs="Times New Roman"/>
                <w:sz w:val="8"/>
                <w:szCs w:val="8"/>
              </w:rPr>
            </w:pPr>
            <w:r>
              <w:rPr>
                <w:rFonts w:ascii="Times New Roman" w:eastAsia="Times New Roman" w:hAnsi="Times New Roman" w:cs="Times New Roman"/>
                <w:sz w:val="24"/>
                <w:szCs w:val="24"/>
              </w:rPr>
              <w:t>Participants revealed instances of oppressive treatment or environments throughout their career; encounters ranged from experiences with inequitable pay to assumptions, excessive expectations, or added pressure placed on participants by colleagues and supervisors.</w:t>
            </w:r>
          </w:p>
        </w:tc>
      </w:tr>
      <w:tr w:rsidR="001510DC" w14:paraId="4D2221E8" w14:textId="77777777">
        <w:trPr>
          <w:trHeight w:val="2115"/>
        </w:trPr>
        <w:tc>
          <w:tcPr>
            <w:tcW w:w="1605" w:type="dxa"/>
            <w:tcBorders>
              <w:top w:val="nil"/>
              <w:left w:val="nil"/>
              <w:bottom w:val="nil"/>
              <w:right w:val="nil"/>
            </w:tcBorders>
            <w:tcMar>
              <w:top w:w="40" w:type="dxa"/>
              <w:left w:w="40" w:type="dxa"/>
              <w:bottom w:w="40" w:type="dxa"/>
              <w:right w:w="40" w:type="dxa"/>
            </w:tcMar>
            <w:vAlign w:val="bottom"/>
          </w:tcPr>
          <w:p w14:paraId="5F3266EA" w14:textId="77777777" w:rsidR="001510DC" w:rsidRDefault="001510DC">
            <w:pPr>
              <w:widowControl w:val="0"/>
              <w:rPr>
                <w:sz w:val="20"/>
                <w:szCs w:val="20"/>
              </w:rPr>
            </w:pPr>
          </w:p>
        </w:tc>
        <w:tc>
          <w:tcPr>
            <w:tcW w:w="1590" w:type="dxa"/>
            <w:tcBorders>
              <w:top w:val="nil"/>
              <w:left w:val="nil"/>
              <w:bottom w:val="nil"/>
              <w:right w:val="nil"/>
            </w:tcBorders>
            <w:tcMar>
              <w:top w:w="40" w:type="dxa"/>
              <w:left w:w="40" w:type="dxa"/>
              <w:bottom w:w="40" w:type="dxa"/>
              <w:right w:w="40" w:type="dxa"/>
            </w:tcMar>
            <w:vAlign w:val="bottom"/>
          </w:tcPr>
          <w:p w14:paraId="2BA3146C"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Representation</w:t>
            </w:r>
          </w:p>
          <w:p w14:paraId="2A533EEA" w14:textId="77777777" w:rsidR="001510DC" w:rsidRDefault="001510DC">
            <w:pPr>
              <w:widowControl w:val="0"/>
              <w:rPr>
                <w:rFonts w:ascii="Times New Roman" w:eastAsia="Times New Roman" w:hAnsi="Times New Roman" w:cs="Times New Roman"/>
                <w:sz w:val="24"/>
                <w:szCs w:val="24"/>
              </w:rPr>
            </w:pPr>
          </w:p>
          <w:p w14:paraId="56A15C04" w14:textId="77777777" w:rsidR="001510DC" w:rsidRDefault="001510DC">
            <w:pPr>
              <w:widowControl w:val="0"/>
              <w:rPr>
                <w:rFonts w:ascii="Times New Roman" w:eastAsia="Times New Roman" w:hAnsi="Times New Roman" w:cs="Times New Roman"/>
                <w:sz w:val="24"/>
                <w:szCs w:val="24"/>
              </w:rPr>
            </w:pPr>
          </w:p>
          <w:p w14:paraId="0753EA76" w14:textId="77777777" w:rsidR="001510DC" w:rsidRDefault="001510DC">
            <w:pPr>
              <w:widowControl w:val="0"/>
              <w:rPr>
                <w:rFonts w:ascii="Times New Roman" w:eastAsia="Times New Roman" w:hAnsi="Times New Roman" w:cs="Times New Roman"/>
                <w:sz w:val="24"/>
                <w:szCs w:val="24"/>
              </w:rPr>
            </w:pPr>
          </w:p>
          <w:p w14:paraId="39565EA6" w14:textId="77777777" w:rsidR="001510DC" w:rsidRDefault="001510DC">
            <w:pPr>
              <w:widowControl w:val="0"/>
              <w:rPr>
                <w:rFonts w:ascii="Times New Roman" w:eastAsia="Times New Roman" w:hAnsi="Times New Roman" w:cs="Times New Roman"/>
                <w:sz w:val="24"/>
                <w:szCs w:val="24"/>
              </w:rPr>
            </w:pPr>
          </w:p>
          <w:p w14:paraId="4179DF78"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7B7EDE46"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Representation refers to the deficiency in diverse staff within higher education student affairs and the influence that had on participants, the impact of seeing and connecting with professionals with marginalized identities in leadership positions, and the experience of serving as representation for others upon obtaining a senior-leadership position.</w:t>
            </w:r>
          </w:p>
        </w:tc>
      </w:tr>
      <w:tr w:rsidR="001510DC" w14:paraId="3E9FDEAB" w14:textId="77777777">
        <w:trPr>
          <w:trHeight w:val="1860"/>
        </w:trPr>
        <w:tc>
          <w:tcPr>
            <w:tcW w:w="1605" w:type="dxa"/>
            <w:tcBorders>
              <w:top w:val="nil"/>
              <w:left w:val="nil"/>
              <w:bottom w:val="nil"/>
              <w:right w:val="nil"/>
            </w:tcBorders>
            <w:tcMar>
              <w:top w:w="40" w:type="dxa"/>
              <w:left w:w="40" w:type="dxa"/>
              <w:bottom w:w="40" w:type="dxa"/>
              <w:right w:w="40" w:type="dxa"/>
            </w:tcMar>
            <w:vAlign w:val="bottom"/>
          </w:tcPr>
          <w:p w14:paraId="317BB280" w14:textId="77777777" w:rsidR="001510DC" w:rsidRDefault="001510DC">
            <w:pPr>
              <w:widowControl w:val="0"/>
              <w:rPr>
                <w:sz w:val="20"/>
                <w:szCs w:val="20"/>
              </w:rPr>
            </w:pPr>
          </w:p>
        </w:tc>
        <w:tc>
          <w:tcPr>
            <w:tcW w:w="1590" w:type="dxa"/>
            <w:tcBorders>
              <w:top w:val="nil"/>
              <w:left w:val="nil"/>
              <w:bottom w:val="nil"/>
              <w:right w:val="nil"/>
            </w:tcBorders>
            <w:tcMar>
              <w:top w:w="40" w:type="dxa"/>
              <w:left w:w="40" w:type="dxa"/>
              <w:bottom w:w="40" w:type="dxa"/>
              <w:right w:w="40" w:type="dxa"/>
            </w:tcMar>
            <w:vAlign w:val="bottom"/>
          </w:tcPr>
          <w:p w14:paraId="717B9D95"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Internalized Oppression</w:t>
            </w:r>
          </w:p>
          <w:p w14:paraId="2E59491A" w14:textId="77777777" w:rsidR="001510DC" w:rsidRDefault="001510DC">
            <w:pPr>
              <w:widowControl w:val="0"/>
              <w:rPr>
                <w:rFonts w:ascii="Times New Roman" w:eastAsia="Times New Roman" w:hAnsi="Times New Roman" w:cs="Times New Roman"/>
                <w:sz w:val="24"/>
                <w:szCs w:val="24"/>
              </w:rPr>
            </w:pPr>
          </w:p>
          <w:p w14:paraId="32563A8B" w14:textId="77777777" w:rsidR="001510DC" w:rsidRDefault="001510DC">
            <w:pPr>
              <w:widowControl w:val="0"/>
              <w:rPr>
                <w:rFonts w:ascii="Times New Roman" w:eastAsia="Times New Roman" w:hAnsi="Times New Roman" w:cs="Times New Roman"/>
                <w:sz w:val="24"/>
                <w:szCs w:val="24"/>
              </w:rPr>
            </w:pPr>
          </w:p>
          <w:p w14:paraId="3110C701"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6BAF4967"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of encounters with oppression, participants expressed internalizing the perception and pressure from others. Participants have second-guessed their decisions or identity validity, and experienced emotional and mental distress due to internalized oppression.</w:t>
            </w:r>
          </w:p>
        </w:tc>
      </w:tr>
      <w:tr w:rsidR="001510DC" w14:paraId="2E1956FB" w14:textId="77777777">
        <w:trPr>
          <w:trHeight w:val="1826"/>
        </w:trPr>
        <w:tc>
          <w:tcPr>
            <w:tcW w:w="1605" w:type="dxa"/>
            <w:tcBorders>
              <w:top w:val="nil"/>
              <w:left w:val="nil"/>
              <w:right w:val="nil"/>
            </w:tcBorders>
            <w:tcMar>
              <w:top w:w="40" w:type="dxa"/>
              <w:left w:w="40" w:type="dxa"/>
              <w:bottom w:w="40" w:type="dxa"/>
              <w:right w:w="40" w:type="dxa"/>
            </w:tcMar>
            <w:vAlign w:val="bottom"/>
          </w:tcPr>
          <w:p w14:paraId="162E0F54" w14:textId="77777777" w:rsidR="001510DC" w:rsidRDefault="001510DC">
            <w:pPr>
              <w:widowControl w:val="0"/>
              <w:rPr>
                <w:sz w:val="20"/>
                <w:szCs w:val="20"/>
              </w:rPr>
            </w:pPr>
          </w:p>
        </w:tc>
        <w:tc>
          <w:tcPr>
            <w:tcW w:w="1590" w:type="dxa"/>
            <w:tcBorders>
              <w:top w:val="nil"/>
              <w:left w:val="nil"/>
              <w:right w:val="nil"/>
            </w:tcBorders>
            <w:tcMar>
              <w:top w:w="40" w:type="dxa"/>
              <w:left w:w="40" w:type="dxa"/>
              <w:bottom w:w="40" w:type="dxa"/>
              <w:right w:w="40" w:type="dxa"/>
            </w:tcMar>
            <w:vAlign w:val="bottom"/>
          </w:tcPr>
          <w:p w14:paraId="000ECEC1"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Identity and Cultural Influence</w:t>
            </w:r>
          </w:p>
          <w:p w14:paraId="531E6F4B" w14:textId="77777777" w:rsidR="001510DC" w:rsidRDefault="001510DC">
            <w:pPr>
              <w:widowControl w:val="0"/>
              <w:rPr>
                <w:rFonts w:ascii="Times New Roman" w:eastAsia="Times New Roman" w:hAnsi="Times New Roman" w:cs="Times New Roman"/>
                <w:sz w:val="24"/>
                <w:szCs w:val="24"/>
              </w:rPr>
            </w:pPr>
          </w:p>
          <w:p w14:paraId="51A07E64"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right w:val="nil"/>
            </w:tcBorders>
            <w:tcMar>
              <w:top w:w="40" w:type="dxa"/>
              <w:left w:w="40" w:type="dxa"/>
              <w:bottom w:w="40" w:type="dxa"/>
              <w:right w:w="40" w:type="dxa"/>
            </w:tcMar>
            <w:vAlign w:val="bottom"/>
          </w:tcPr>
          <w:p w14:paraId="151DAA42"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described special talents, valued characteristics, and unique backgrounds that allow them to engage in student affairs work in creative and intentional ways. Participants also cited specific influences from their family or culture that shaped their career experiences.</w:t>
            </w:r>
          </w:p>
        </w:tc>
      </w:tr>
    </w:tbl>
    <w:p w14:paraId="43EB9A50" w14:textId="77777777" w:rsidR="00DE0865" w:rsidRDefault="00DE0865">
      <w:pPr>
        <w:spacing w:line="480" w:lineRule="auto"/>
        <w:rPr>
          <w:rFonts w:ascii="Times New Roman" w:eastAsia="Times New Roman" w:hAnsi="Times New Roman" w:cs="Times New Roman"/>
          <w:b/>
          <w:sz w:val="24"/>
          <w:szCs w:val="24"/>
        </w:rPr>
      </w:pPr>
    </w:p>
    <w:p w14:paraId="4C092A36" w14:textId="77777777" w:rsidR="00DE0865" w:rsidRDefault="00DE0865">
      <w:pPr>
        <w:spacing w:line="480" w:lineRule="auto"/>
        <w:rPr>
          <w:rFonts w:ascii="Times New Roman" w:eastAsia="Times New Roman" w:hAnsi="Times New Roman" w:cs="Times New Roman"/>
          <w:b/>
          <w:sz w:val="24"/>
          <w:szCs w:val="24"/>
        </w:rPr>
      </w:pPr>
    </w:p>
    <w:p w14:paraId="5D5482E9" w14:textId="77777777" w:rsidR="00DE0865" w:rsidRDefault="00DE0865">
      <w:pPr>
        <w:spacing w:line="480" w:lineRule="auto"/>
        <w:rPr>
          <w:rFonts w:ascii="Times New Roman" w:eastAsia="Times New Roman" w:hAnsi="Times New Roman" w:cs="Times New Roman"/>
          <w:b/>
          <w:sz w:val="24"/>
          <w:szCs w:val="24"/>
        </w:rPr>
      </w:pPr>
    </w:p>
    <w:p w14:paraId="40CAF455" w14:textId="77777777" w:rsidR="00DE0865" w:rsidRDefault="00DE0865">
      <w:pPr>
        <w:spacing w:line="480" w:lineRule="auto"/>
        <w:rPr>
          <w:rFonts w:ascii="Times New Roman" w:eastAsia="Times New Roman" w:hAnsi="Times New Roman" w:cs="Times New Roman"/>
          <w:b/>
          <w:sz w:val="24"/>
          <w:szCs w:val="24"/>
        </w:rPr>
      </w:pPr>
    </w:p>
    <w:p w14:paraId="0215AC6F" w14:textId="77777777" w:rsidR="00DE0865" w:rsidRDefault="00DE0865">
      <w:pPr>
        <w:spacing w:line="480" w:lineRule="auto"/>
        <w:rPr>
          <w:rFonts w:ascii="Times New Roman" w:eastAsia="Times New Roman" w:hAnsi="Times New Roman" w:cs="Times New Roman"/>
          <w:b/>
          <w:sz w:val="24"/>
          <w:szCs w:val="24"/>
        </w:rPr>
      </w:pPr>
    </w:p>
    <w:p w14:paraId="4C41E277" w14:textId="77777777" w:rsidR="00DE0865" w:rsidRDefault="00DE0865">
      <w:pPr>
        <w:spacing w:line="480" w:lineRule="auto"/>
        <w:rPr>
          <w:rFonts w:ascii="Times New Roman" w:eastAsia="Times New Roman" w:hAnsi="Times New Roman" w:cs="Times New Roman"/>
          <w:b/>
          <w:sz w:val="24"/>
          <w:szCs w:val="24"/>
        </w:rPr>
      </w:pPr>
    </w:p>
    <w:p w14:paraId="07BD8DF1" w14:textId="77777777" w:rsidR="00A0345A" w:rsidRDefault="00A0345A">
      <w:pPr>
        <w:spacing w:line="480" w:lineRule="auto"/>
        <w:rPr>
          <w:rFonts w:ascii="Times New Roman" w:eastAsia="Times New Roman" w:hAnsi="Times New Roman" w:cs="Times New Roman"/>
          <w:b/>
          <w:sz w:val="24"/>
          <w:szCs w:val="24"/>
        </w:rPr>
      </w:pPr>
    </w:p>
    <w:p w14:paraId="093EC690" w14:textId="41AB58DD" w:rsidR="001510DC" w:rsidRPr="00A0345A" w:rsidRDefault="00A0345A">
      <w:pPr>
        <w:spacing w:line="480" w:lineRule="auto"/>
        <w:rPr>
          <w:rFonts w:ascii="Times New Roman" w:eastAsia="Times New Roman" w:hAnsi="Times New Roman" w:cs="Times New Roman"/>
          <w:bCs/>
          <w:sz w:val="24"/>
          <w:szCs w:val="24"/>
        </w:rPr>
      </w:pPr>
      <w:r w:rsidRPr="00A0345A">
        <w:rPr>
          <w:rFonts w:ascii="Times New Roman" w:eastAsia="Times New Roman" w:hAnsi="Times New Roman" w:cs="Times New Roman"/>
          <w:bCs/>
          <w:sz w:val="24"/>
          <w:szCs w:val="24"/>
        </w:rPr>
        <w:lastRenderedPageBreak/>
        <w:t xml:space="preserve">Table </w:t>
      </w:r>
      <w:r>
        <w:rPr>
          <w:rFonts w:ascii="Times New Roman" w:eastAsia="Times New Roman" w:hAnsi="Times New Roman" w:cs="Times New Roman"/>
          <w:bCs/>
          <w:sz w:val="24"/>
          <w:szCs w:val="24"/>
        </w:rPr>
        <w:t>4</w:t>
      </w:r>
      <w:r w:rsidRPr="00A0345A">
        <w:rPr>
          <w:rFonts w:ascii="Times New Roman" w:eastAsia="Times New Roman" w:hAnsi="Times New Roman" w:cs="Times New Roman"/>
          <w:bCs/>
          <w:sz w:val="24"/>
          <w:szCs w:val="24"/>
        </w:rPr>
        <w:t>: Continued</w:t>
      </w:r>
    </w:p>
    <w:tbl>
      <w:tblPr>
        <w:tblStyle w:val="a3"/>
        <w:tblpPr w:leftFromText="180" w:rightFromText="180" w:topFromText="180" w:bottomFromText="180" w:vertAnchor="text"/>
        <w:tblW w:w="9315" w:type="dxa"/>
        <w:tblBorders>
          <w:top w:val="nil"/>
          <w:left w:val="nil"/>
          <w:bottom w:val="nil"/>
          <w:right w:val="nil"/>
          <w:insideH w:val="nil"/>
          <w:insideV w:val="nil"/>
        </w:tblBorders>
        <w:tblLayout w:type="fixed"/>
        <w:tblLook w:val="0600" w:firstRow="0" w:lastRow="0" w:firstColumn="0" w:lastColumn="0" w:noHBand="1" w:noVBand="1"/>
      </w:tblPr>
      <w:tblGrid>
        <w:gridCol w:w="1605"/>
        <w:gridCol w:w="1590"/>
        <w:gridCol w:w="6120"/>
      </w:tblGrid>
      <w:tr w:rsidR="001510DC" w14:paraId="50923F7A" w14:textId="77777777">
        <w:trPr>
          <w:trHeight w:val="450"/>
        </w:trPr>
        <w:tc>
          <w:tcPr>
            <w:tcW w:w="1605" w:type="dxa"/>
            <w:tcBorders>
              <w:top w:val="single" w:sz="6" w:space="0" w:color="000000"/>
              <w:left w:val="nil"/>
              <w:bottom w:val="single" w:sz="3" w:space="0" w:color="000000"/>
              <w:right w:val="nil"/>
            </w:tcBorders>
            <w:tcMar>
              <w:top w:w="40" w:type="dxa"/>
              <w:left w:w="40" w:type="dxa"/>
              <w:bottom w:w="40" w:type="dxa"/>
              <w:right w:w="40" w:type="dxa"/>
            </w:tcMar>
            <w:vAlign w:val="bottom"/>
          </w:tcPr>
          <w:p w14:paraId="4854442D" w14:textId="77777777" w:rsidR="001510DC" w:rsidRDefault="00000000">
            <w:pPr>
              <w:widowControl w:val="0"/>
              <w:rPr>
                <w:sz w:val="20"/>
                <w:szCs w:val="20"/>
              </w:rPr>
            </w:pPr>
            <w:r>
              <w:rPr>
                <w:rFonts w:ascii="Times New Roman" w:eastAsia="Times New Roman" w:hAnsi="Times New Roman" w:cs="Times New Roman"/>
                <w:b/>
                <w:sz w:val="24"/>
                <w:szCs w:val="24"/>
              </w:rPr>
              <w:t>Theme</w:t>
            </w:r>
          </w:p>
        </w:tc>
        <w:tc>
          <w:tcPr>
            <w:tcW w:w="1590" w:type="dxa"/>
            <w:tcBorders>
              <w:top w:val="single" w:sz="6" w:space="0" w:color="000000"/>
              <w:left w:val="nil"/>
              <w:bottom w:val="single" w:sz="3" w:space="0" w:color="000000"/>
              <w:right w:val="nil"/>
            </w:tcBorders>
            <w:tcMar>
              <w:top w:w="40" w:type="dxa"/>
              <w:left w:w="40" w:type="dxa"/>
              <w:bottom w:w="40" w:type="dxa"/>
              <w:right w:w="40" w:type="dxa"/>
            </w:tcMar>
            <w:vAlign w:val="bottom"/>
          </w:tcPr>
          <w:p w14:paraId="63C83F39" w14:textId="77777777" w:rsidR="001510DC" w:rsidRDefault="00000000">
            <w:pPr>
              <w:widowControl w:val="0"/>
              <w:rPr>
                <w:sz w:val="20"/>
                <w:szCs w:val="20"/>
              </w:rPr>
            </w:pPr>
            <w:r>
              <w:rPr>
                <w:rFonts w:ascii="Times New Roman" w:eastAsia="Times New Roman" w:hAnsi="Times New Roman" w:cs="Times New Roman"/>
                <w:b/>
                <w:sz w:val="24"/>
                <w:szCs w:val="24"/>
              </w:rPr>
              <w:t>Sub-theme</w:t>
            </w:r>
          </w:p>
        </w:tc>
        <w:tc>
          <w:tcPr>
            <w:tcW w:w="6120" w:type="dxa"/>
            <w:tcBorders>
              <w:top w:val="single" w:sz="6" w:space="0" w:color="000000"/>
              <w:left w:val="nil"/>
              <w:bottom w:val="single" w:sz="3" w:space="0" w:color="000000"/>
              <w:right w:val="nil"/>
            </w:tcBorders>
            <w:tcMar>
              <w:top w:w="40" w:type="dxa"/>
              <w:left w:w="40" w:type="dxa"/>
              <w:bottom w:w="40" w:type="dxa"/>
              <w:right w:w="40" w:type="dxa"/>
            </w:tcMar>
            <w:vAlign w:val="bottom"/>
          </w:tcPr>
          <w:p w14:paraId="142E557C" w14:textId="77777777" w:rsidR="001510DC" w:rsidRDefault="00000000">
            <w:pPr>
              <w:widowControl w:val="0"/>
              <w:rPr>
                <w:sz w:val="20"/>
                <w:szCs w:val="20"/>
              </w:rPr>
            </w:pPr>
            <w:r>
              <w:rPr>
                <w:rFonts w:ascii="Times New Roman" w:eastAsia="Times New Roman" w:hAnsi="Times New Roman" w:cs="Times New Roman"/>
                <w:b/>
                <w:sz w:val="24"/>
                <w:szCs w:val="24"/>
              </w:rPr>
              <w:t>Summary of Findings</w:t>
            </w:r>
          </w:p>
        </w:tc>
      </w:tr>
      <w:tr w:rsidR="001510DC" w14:paraId="3B0BBC70" w14:textId="77777777">
        <w:trPr>
          <w:trHeight w:val="2011"/>
        </w:trPr>
        <w:tc>
          <w:tcPr>
            <w:tcW w:w="1605" w:type="dxa"/>
            <w:tcBorders>
              <w:top w:val="nil"/>
              <w:left w:val="nil"/>
              <w:bottom w:val="nil"/>
              <w:right w:val="nil"/>
            </w:tcBorders>
            <w:tcMar>
              <w:top w:w="40" w:type="dxa"/>
              <w:left w:w="40" w:type="dxa"/>
              <w:bottom w:w="40" w:type="dxa"/>
              <w:right w:w="40" w:type="dxa"/>
            </w:tcMar>
            <w:vAlign w:val="bottom"/>
          </w:tcPr>
          <w:p w14:paraId="159A0576"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Persistence Pathways</w:t>
            </w:r>
          </w:p>
          <w:p w14:paraId="50D0470C" w14:textId="77777777" w:rsidR="001510DC" w:rsidRDefault="001510DC">
            <w:pPr>
              <w:widowControl w:val="0"/>
              <w:rPr>
                <w:rFonts w:ascii="Times New Roman" w:eastAsia="Times New Roman" w:hAnsi="Times New Roman" w:cs="Times New Roman"/>
                <w:sz w:val="24"/>
                <w:szCs w:val="24"/>
              </w:rPr>
            </w:pPr>
          </w:p>
          <w:p w14:paraId="614286A0" w14:textId="77777777" w:rsidR="001510DC" w:rsidRDefault="001510DC">
            <w:pPr>
              <w:widowControl w:val="0"/>
              <w:rPr>
                <w:rFonts w:ascii="Times New Roman" w:eastAsia="Times New Roman" w:hAnsi="Times New Roman" w:cs="Times New Roman"/>
                <w:sz w:val="24"/>
                <w:szCs w:val="24"/>
              </w:rPr>
            </w:pPr>
          </w:p>
          <w:p w14:paraId="50339E36" w14:textId="77777777" w:rsidR="001510DC" w:rsidRDefault="001510DC">
            <w:pPr>
              <w:widowControl w:val="0"/>
              <w:rPr>
                <w:rFonts w:ascii="Times New Roman" w:eastAsia="Times New Roman" w:hAnsi="Times New Roman" w:cs="Times New Roman"/>
                <w:sz w:val="24"/>
                <w:szCs w:val="24"/>
              </w:rPr>
            </w:pPr>
          </w:p>
          <w:p w14:paraId="674961A5" w14:textId="77777777" w:rsidR="001510DC" w:rsidRDefault="001510DC">
            <w:pPr>
              <w:widowControl w:val="0"/>
              <w:rPr>
                <w:rFonts w:ascii="Times New Roman" w:eastAsia="Times New Roman" w:hAnsi="Times New Roman" w:cs="Times New Roman"/>
                <w:sz w:val="24"/>
                <w:szCs w:val="24"/>
              </w:rPr>
            </w:pPr>
          </w:p>
        </w:tc>
        <w:tc>
          <w:tcPr>
            <w:tcW w:w="1590" w:type="dxa"/>
            <w:tcBorders>
              <w:top w:val="nil"/>
              <w:left w:val="nil"/>
              <w:bottom w:val="nil"/>
              <w:right w:val="nil"/>
            </w:tcBorders>
            <w:tcMar>
              <w:top w:w="40" w:type="dxa"/>
              <w:left w:w="40" w:type="dxa"/>
              <w:bottom w:w="40" w:type="dxa"/>
              <w:right w:w="40" w:type="dxa"/>
            </w:tcMar>
            <w:vAlign w:val="bottom"/>
          </w:tcPr>
          <w:p w14:paraId="0533E397"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Challenging Oppression</w:t>
            </w:r>
          </w:p>
          <w:p w14:paraId="32AED9DE" w14:textId="77777777" w:rsidR="001510DC" w:rsidRDefault="001510DC">
            <w:pPr>
              <w:widowControl w:val="0"/>
              <w:rPr>
                <w:rFonts w:ascii="Times New Roman" w:eastAsia="Times New Roman" w:hAnsi="Times New Roman" w:cs="Times New Roman"/>
                <w:sz w:val="24"/>
                <w:szCs w:val="24"/>
              </w:rPr>
            </w:pPr>
          </w:p>
          <w:p w14:paraId="78E8F475" w14:textId="77777777" w:rsidR="001510DC" w:rsidRDefault="001510DC">
            <w:pPr>
              <w:widowControl w:val="0"/>
              <w:rPr>
                <w:rFonts w:ascii="Times New Roman" w:eastAsia="Times New Roman" w:hAnsi="Times New Roman" w:cs="Times New Roman"/>
                <w:sz w:val="24"/>
                <w:szCs w:val="24"/>
              </w:rPr>
            </w:pPr>
          </w:p>
          <w:p w14:paraId="1BF73267" w14:textId="77777777" w:rsidR="001510DC" w:rsidRDefault="001510DC">
            <w:pPr>
              <w:widowControl w:val="0"/>
              <w:rPr>
                <w:rFonts w:ascii="Times New Roman" w:eastAsia="Times New Roman" w:hAnsi="Times New Roman" w:cs="Times New Roman"/>
                <w:sz w:val="24"/>
                <w:szCs w:val="24"/>
              </w:rPr>
            </w:pPr>
          </w:p>
          <w:p w14:paraId="755563AB"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67DD978C"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emphasized how they challenge oppressive systems and create environments where others, especially those with marginalized identities, can thrive. They do this through directly calling out oppressive or harmful comments and using their positionality to support others, eliminate barriers, and effect change.</w:t>
            </w:r>
          </w:p>
        </w:tc>
      </w:tr>
      <w:tr w:rsidR="001510DC" w14:paraId="52D2D13B" w14:textId="77777777">
        <w:trPr>
          <w:trHeight w:val="3480"/>
        </w:trPr>
        <w:tc>
          <w:tcPr>
            <w:tcW w:w="1605" w:type="dxa"/>
            <w:tcBorders>
              <w:top w:val="nil"/>
              <w:left w:val="nil"/>
              <w:bottom w:val="nil"/>
              <w:right w:val="nil"/>
            </w:tcBorders>
            <w:tcMar>
              <w:top w:w="40" w:type="dxa"/>
              <w:left w:w="40" w:type="dxa"/>
              <w:bottom w:w="40" w:type="dxa"/>
              <w:right w:w="40" w:type="dxa"/>
            </w:tcMar>
            <w:vAlign w:val="bottom"/>
          </w:tcPr>
          <w:p w14:paraId="4C48E1B7" w14:textId="77777777" w:rsidR="001510DC" w:rsidRDefault="001510DC">
            <w:pPr>
              <w:widowControl w:val="0"/>
              <w:rPr>
                <w:sz w:val="20"/>
                <w:szCs w:val="20"/>
              </w:rPr>
            </w:pPr>
          </w:p>
        </w:tc>
        <w:tc>
          <w:tcPr>
            <w:tcW w:w="1590" w:type="dxa"/>
            <w:tcBorders>
              <w:top w:val="nil"/>
              <w:left w:val="nil"/>
              <w:bottom w:val="nil"/>
              <w:right w:val="nil"/>
            </w:tcBorders>
            <w:tcMar>
              <w:top w:w="40" w:type="dxa"/>
              <w:left w:w="40" w:type="dxa"/>
              <w:bottom w:w="40" w:type="dxa"/>
              <w:right w:w="40" w:type="dxa"/>
            </w:tcMar>
            <w:vAlign w:val="bottom"/>
          </w:tcPr>
          <w:p w14:paraId="2307F8D5"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Mentorship, </w:t>
            </w:r>
          </w:p>
          <w:p w14:paraId="03E1C492"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and Relationships</w:t>
            </w:r>
          </w:p>
          <w:p w14:paraId="073EC991" w14:textId="77777777" w:rsidR="001510DC" w:rsidRDefault="001510DC">
            <w:pPr>
              <w:widowControl w:val="0"/>
              <w:rPr>
                <w:rFonts w:ascii="Times New Roman" w:eastAsia="Times New Roman" w:hAnsi="Times New Roman" w:cs="Times New Roman"/>
                <w:sz w:val="24"/>
                <w:szCs w:val="24"/>
              </w:rPr>
            </w:pPr>
          </w:p>
          <w:p w14:paraId="0EC77FD1" w14:textId="77777777" w:rsidR="001510DC" w:rsidRDefault="001510DC">
            <w:pPr>
              <w:widowControl w:val="0"/>
              <w:rPr>
                <w:rFonts w:ascii="Times New Roman" w:eastAsia="Times New Roman" w:hAnsi="Times New Roman" w:cs="Times New Roman"/>
                <w:sz w:val="24"/>
                <w:szCs w:val="24"/>
              </w:rPr>
            </w:pPr>
          </w:p>
          <w:p w14:paraId="167F3AFD" w14:textId="77777777" w:rsidR="001510DC" w:rsidRDefault="001510DC">
            <w:pPr>
              <w:widowControl w:val="0"/>
              <w:rPr>
                <w:rFonts w:ascii="Times New Roman" w:eastAsia="Times New Roman" w:hAnsi="Times New Roman" w:cs="Times New Roman"/>
                <w:sz w:val="24"/>
                <w:szCs w:val="24"/>
              </w:rPr>
            </w:pPr>
          </w:p>
          <w:p w14:paraId="2A06A905" w14:textId="77777777" w:rsidR="001510DC" w:rsidRDefault="001510DC">
            <w:pPr>
              <w:widowControl w:val="0"/>
              <w:rPr>
                <w:rFonts w:ascii="Times New Roman" w:eastAsia="Times New Roman" w:hAnsi="Times New Roman" w:cs="Times New Roman"/>
                <w:sz w:val="24"/>
                <w:szCs w:val="24"/>
              </w:rPr>
            </w:pPr>
          </w:p>
          <w:p w14:paraId="5C8EE5A1" w14:textId="77777777" w:rsidR="001510DC" w:rsidRDefault="001510DC">
            <w:pPr>
              <w:widowControl w:val="0"/>
              <w:rPr>
                <w:rFonts w:ascii="Times New Roman" w:eastAsia="Times New Roman" w:hAnsi="Times New Roman" w:cs="Times New Roman"/>
                <w:sz w:val="24"/>
                <w:szCs w:val="24"/>
              </w:rPr>
            </w:pPr>
          </w:p>
          <w:p w14:paraId="710C2FE5"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7B965F4C"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cited multiple people who supported their career journey or relational strategies that supported their persistence. Community encompasses the family, friends, and close colleagues participants confide in; mentorship is the formal or informal relationships participants have with older professionals, or the experience of serving as a mentor to younger professionals; and relationships refer to the intentional relationship building that is a common practice among participants to promote change and support their persistence.</w:t>
            </w:r>
          </w:p>
        </w:tc>
      </w:tr>
      <w:tr w:rsidR="001510DC" w14:paraId="7BE982C4" w14:textId="77777777">
        <w:trPr>
          <w:trHeight w:val="2505"/>
        </w:trPr>
        <w:tc>
          <w:tcPr>
            <w:tcW w:w="1605" w:type="dxa"/>
            <w:tcBorders>
              <w:top w:val="nil"/>
              <w:left w:val="nil"/>
              <w:bottom w:val="nil"/>
              <w:right w:val="nil"/>
            </w:tcBorders>
            <w:tcMar>
              <w:top w:w="40" w:type="dxa"/>
              <w:left w:w="40" w:type="dxa"/>
              <w:bottom w:w="40" w:type="dxa"/>
              <w:right w:w="40" w:type="dxa"/>
            </w:tcMar>
            <w:vAlign w:val="bottom"/>
          </w:tcPr>
          <w:p w14:paraId="7CB1B08D" w14:textId="77777777" w:rsidR="001510DC" w:rsidRDefault="001510DC">
            <w:pPr>
              <w:widowControl w:val="0"/>
              <w:rPr>
                <w:sz w:val="20"/>
                <w:szCs w:val="20"/>
              </w:rPr>
            </w:pPr>
          </w:p>
        </w:tc>
        <w:tc>
          <w:tcPr>
            <w:tcW w:w="1590" w:type="dxa"/>
            <w:tcBorders>
              <w:top w:val="nil"/>
              <w:left w:val="nil"/>
              <w:bottom w:val="nil"/>
              <w:right w:val="nil"/>
            </w:tcBorders>
            <w:tcMar>
              <w:top w:w="40" w:type="dxa"/>
              <w:left w:w="40" w:type="dxa"/>
              <w:bottom w:w="40" w:type="dxa"/>
              <w:right w:w="40" w:type="dxa"/>
            </w:tcMar>
            <w:vAlign w:val="bottom"/>
          </w:tcPr>
          <w:p w14:paraId="47CF158C"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Institutional Leadership and Supervision </w:t>
            </w:r>
          </w:p>
          <w:p w14:paraId="6E7A6D27" w14:textId="77777777" w:rsidR="001510DC" w:rsidRDefault="001510DC">
            <w:pPr>
              <w:widowControl w:val="0"/>
              <w:rPr>
                <w:rFonts w:ascii="Times New Roman" w:eastAsia="Times New Roman" w:hAnsi="Times New Roman" w:cs="Times New Roman"/>
                <w:sz w:val="24"/>
                <w:szCs w:val="24"/>
              </w:rPr>
            </w:pPr>
          </w:p>
          <w:p w14:paraId="69BA7471" w14:textId="77777777" w:rsidR="001510DC" w:rsidRDefault="001510DC">
            <w:pPr>
              <w:widowControl w:val="0"/>
              <w:rPr>
                <w:rFonts w:ascii="Times New Roman" w:eastAsia="Times New Roman" w:hAnsi="Times New Roman" w:cs="Times New Roman"/>
                <w:sz w:val="24"/>
                <w:szCs w:val="24"/>
              </w:rPr>
            </w:pPr>
          </w:p>
          <w:p w14:paraId="3111F5E2"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1912A8FC"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noted the influence supervisors, leadership, and institutional culture had on their willingness to remain in or leave a certain position or environment. Supervisory satisfaction and institutional leadership influenced the way participants make decisions about career moves or job transitions, responded to challenges, and advanced through their career.</w:t>
            </w:r>
          </w:p>
        </w:tc>
      </w:tr>
      <w:tr w:rsidR="001510DC" w14:paraId="345A390E" w14:textId="77777777">
        <w:trPr>
          <w:trHeight w:val="2220"/>
        </w:trPr>
        <w:tc>
          <w:tcPr>
            <w:tcW w:w="1605" w:type="dxa"/>
            <w:tcBorders>
              <w:top w:val="nil"/>
              <w:left w:val="nil"/>
              <w:bottom w:val="nil"/>
              <w:right w:val="nil"/>
            </w:tcBorders>
            <w:tcMar>
              <w:top w:w="40" w:type="dxa"/>
              <w:left w:w="40" w:type="dxa"/>
              <w:bottom w:w="40" w:type="dxa"/>
              <w:right w:w="40" w:type="dxa"/>
            </w:tcMar>
            <w:vAlign w:val="bottom"/>
          </w:tcPr>
          <w:p w14:paraId="484A9463" w14:textId="77777777" w:rsidR="001510DC" w:rsidRDefault="001510DC">
            <w:pPr>
              <w:widowControl w:val="0"/>
              <w:rPr>
                <w:sz w:val="20"/>
                <w:szCs w:val="20"/>
              </w:rPr>
            </w:pPr>
          </w:p>
        </w:tc>
        <w:tc>
          <w:tcPr>
            <w:tcW w:w="1590" w:type="dxa"/>
            <w:tcBorders>
              <w:top w:val="nil"/>
              <w:left w:val="nil"/>
              <w:bottom w:val="nil"/>
              <w:right w:val="nil"/>
            </w:tcBorders>
            <w:tcMar>
              <w:top w:w="40" w:type="dxa"/>
              <w:left w:w="40" w:type="dxa"/>
              <w:bottom w:w="40" w:type="dxa"/>
              <w:right w:w="40" w:type="dxa"/>
            </w:tcMar>
            <w:vAlign w:val="bottom"/>
          </w:tcPr>
          <w:p w14:paraId="702B651E" w14:textId="77777777" w:rsidR="001510DC"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Knowing Yourself and Your Limits</w:t>
            </w:r>
          </w:p>
          <w:p w14:paraId="4BD310DB" w14:textId="77777777" w:rsidR="001510DC" w:rsidRDefault="001510DC">
            <w:pPr>
              <w:widowControl w:val="0"/>
              <w:rPr>
                <w:rFonts w:ascii="Times New Roman" w:eastAsia="Times New Roman" w:hAnsi="Times New Roman" w:cs="Times New Roman"/>
                <w:sz w:val="24"/>
                <w:szCs w:val="24"/>
              </w:rPr>
            </w:pPr>
          </w:p>
          <w:p w14:paraId="7B3A7D0B" w14:textId="77777777" w:rsidR="001510DC" w:rsidRDefault="001510DC">
            <w:pPr>
              <w:widowControl w:val="0"/>
              <w:rPr>
                <w:rFonts w:ascii="Times New Roman" w:eastAsia="Times New Roman" w:hAnsi="Times New Roman" w:cs="Times New Roman"/>
                <w:sz w:val="24"/>
                <w:szCs w:val="24"/>
              </w:rPr>
            </w:pPr>
          </w:p>
          <w:p w14:paraId="0DDC06E2" w14:textId="77777777" w:rsidR="001510DC" w:rsidRDefault="001510DC">
            <w:pPr>
              <w:widowControl w:val="0"/>
              <w:rPr>
                <w:rFonts w:ascii="Times New Roman" w:eastAsia="Times New Roman" w:hAnsi="Times New Roman" w:cs="Times New Roman"/>
                <w:sz w:val="24"/>
                <w:szCs w:val="24"/>
              </w:rPr>
            </w:pPr>
          </w:p>
        </w:tc>
        <w:tc>
          <w:tcPr>
            <w:tcW w:w="6120" w:type="dxa"/>
            <w:tcBorders>
              <w:top w:val="nil"/>
              <w:left w:val="nil"/>
              <w:bottom w:val="nil"/>
              <w:right w:val="nil"/>
            </w:tcBorders>
            <w:tcMar>
              <w:top w:w="40" w:type="dxa"/>
              <w:left w:w="40" w:type="dxa"/>
              <w:bottom w:w="40" w:type="dxa"/>
              <w:right w:w="40" w:type="dxa"/>
            </w:tcMar>
            <w:vAlign w:val="bottom"/>
          </w:tcPr>
          <w:p w14:paraId="4D00D78E" w14:textId="77777777" w:rsidR="001510DC" w:rsidRDefault="00000000">
            <w:pPr>
              <w:widowControl w:val="0"/>
              <w:rPr>
                <w:sz w:val="20"/>
                <w:szCs w:val="20"/>
              </w:rPr>
            </w:pPr>
            <w:r>
              <w:rPr>
                <w:rFonts w:ascii="Times New Roman" w:eastAsia="Times New Roman" w:hAnsi="Times New Roman" w:cs="Times New Roman"/>
                <w:sz w:val="24"/>
                <w:szCs w:val="24"/>
              </w:rPr>
              <w:t>Participants stressed the need to understand and accept what was in their control, learn their limits, and consistently strategize decisions. Persistence came in the form of understanding their own needs, setting boundaries, prioritizing wellbeing, strategizing career changes, and reflecting on their purpose.</w:t>
            </w:r>
          </w:p>
        </w:tc>
      </w:tr>
    </w:tbl>
    <w:p w14:paraId="044B9918" w14:textId="77777777" w:rsidR="001510DC" w:rsidRDefault="001510DC">
      <w:pPr>
        <w:spacing w:line="480" w:lineRule="auto"/>
        <w:rPr>
          <w:rFonts w:ascii="Times New Roman" w:eastAsia="Times New Roman" w:hAnsi="Times New Roman" w:cs="Times New Roman"/>
          <w:b/>
          <w:sz w:val="24"/>
          <w:szCs w:val="24"/>
        </w:rPr>
      </w:pPr>
    </w:p>
    <w:p w14:paraId="37DD50ED" w14:textId="77777777" w:rsidR="00A0345A" w:rsidRDefault="00A0345A">
      <w:pPr>
        <w:spacing w:line="480" w:lineRule="auto"/>
        <w:rPr>
          <w:rFonts w:ascii="Times New Roman" w:eastAsia="Times New Roman" w:hAnsi="Times New Roman" w:cs="Times New Roman"/>
          <w:b/>
          <w:sz w:val="24"/>
          <w:szCs w:val="24"/>
        </w:rPr>
      </w:pPr>
    </w:p>
    <w:p w14:paraId="3092789B" w14:textId="721775F0"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Discussion</w:t>
      </w:r>
    </w:p>
    <w:p w14:paraId="7E29A314"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Connection to Foundational Theories and Concepts  </w:t>
      </w:r>
    </w:p>
    <w:p w14:paraId="1E622F21"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 individual becomes aware of oppression, how it manifests, and how it affects them, they embark on the process of conscientization (Freire, 1970; Freire et al., 2014; Gonzalez et al., 2020; Marine &amp; Gilbert, 2022; Torres, 2019). </w:t>
      </w:r>
      <w:r>
        <w:rPr>
          <w:rFonts w:ascii="Times New Roman" w:eastAsia="Times New Roman" w:hAnsi="Times New Roman" w:cs="Times New Roman"/>
          <w:sz w:val="24"/>
          <w:szCs w:val="24"/>
        </w:rPr>
        <w:tab/>
        <w:t xml:space="preserve">Conceptualized by Freire (1970), conscientization describes the continual process of critical consciousness, when an individual begins to recognize injustices and their cause, question the status quo, and reconsider beliefs and worldview. Freire (1970) also conceptualized the term praxis, the combination of reflection and action which challenges oppression and transforms society. The findings of this study illustrate that as participants navigated workplace experiences as professionals with marginalized identities and persisted through systemic and contextual barriers, they engaged in conscientization and praxis. The sub-theme descriptions and participant narratives highlight specific moments of critical consciousness and examples of professionals challenging transforming oppressive environments. </w:t>
      </w:r>
    </w:p>
    <w:p w14:paraId="37B6B804"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Chapter 4, I discussed how Grace and María experienced conscientization when confronted with inequitable and unfair treatment from supervisors. Though Grace and María had experienced oppressive interactions before, these moments highlight the development of critical consciousness (Freire, 1970; Marine &amp; Gilbert, 2022) and understanding of how identities and oppressive systems influence workplace experiences in higher education (Kanagala &amp; Oliver, 2019; Kortegast, 2021; Pease, 2021; Rodgers et al., 2020; </w:t>
      </w:r>
      <w:r>
        <w:rPr>
          <w:rFonts w:ascii="Times New Roman" w:eastAsia="Times New Roman" w:hAnsi="Times New Roman" w:cs="Times New Roman"/>
          <w:sz w:val="24"/>
          <w:szCs w:val="24"/>
          <w:highlight w:val="white"/>
        </w:rPr>
        <w:t>Trejo, 2020</w:t>
      </w:r>
      <w:r>
        <w:rPr>
          <w:rFonts w:ascii="Times New Roman" w:eastAsia="Times New Roman" w:hAnsi="Times New Roman" w:cs="Times New Roman"/>
          <w:sz w:val="24"/>
          <w:szCs w:val="24"/>
        </w:rPr>
        <w:t xml:space="preserve">). Coach grew up in a diverse community and interacted with many people with similar identities. She began working in higher education later in her career, and when she started at her current institution, she had a moment of realization that she might not see “a ton of people who look like [her].” Although </w:t>
      </w:r>
      <w:r>
        <w:rPr>
          <w:rFonts w:ascii="Times New Roman" w:eastAsia="Times New Roman" w:hAnsi="Times New Roman" w:cs="Times New Roman"/>
          <w:sz w:val="24"/>
          <w:szCs w:val="24"/>
        </w:rPr>
        <w:lastRenderedPageBreak/>
        <w:t xml:space="preserve">Coach has been serving at her current institution for 12 years, this encounter with conscientization is a consistent experience for her.     </w:t>
      </w:r>
    </w:p>
    <w:p w14:paraId="77BE3FAD"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also described how their consciousness has developed throughout their career and the ways they engage in praxis to transform the oppressive systems or environments on their campus. Brayden, Grace, Jerome, María, and Sage emphasized their willingness to “call out” problematic and oppressive comments, behavior, and decisions. This praxis is intentional. Jerome stated, “I also understand the gravity of inaction and I understand how those things can over time create more harm if they're not addressed.” Study findings include several examples of praxis and the ways participants work to transform oppressive systems.  </w:t>
      </w:r>
    </w:p>
    <w:p w14:paraId="589DC1F6"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Harro (2000a, 2000b) conceptualized the cycle of socialization and cycle of liberation as the processes one goes through when they learn about socialized identities, how the world treats certain identities, and the path for creating change in their society. Harro’s (2000a) cycle of socialization begins with the understanding that everyone is born into a society in which oppression exists (Nam et al., 2022; Rodgers et al., 2020). As individuals mature and experience the world, they are socialized by adults and institutions to follow certain rules and norms to maintain this oppression. These societal norms and rules are constantly reinforced, and often lead to negative outcomes for those with and without power. When an individual, regardless of identity or group, begins to engage in social change that challenges oppression, the cycle of liberation is placed into motion (Harro, 2000b). The cycle of liberation illustrates the process of gaining new understanding, a shift in worldview, engagement in social change, and challenging systems of oppression (Harro, 2000b). As participants shared about their career in student affairs, encounters with oppression, challenging systems, and strategies of persistence, they </w:t>
      </w:r>
      <w:r>
        <w:rPr>
          <w:rFonts w:ascii="Times New Roman" w:eastAsia="Times New Roman" w:hAnsi="Times New Roman" w:cs="Times New Roman"/>
          <w:sz w:val="24"/>
          <w:szCs w:val="24"/>
        </w:rPr>
        <w:lastRenderedPageBreak/>
        <w:t xml:space="preserve">demonstrated experiencing Harro’s (2000a, 2000b) interconnected cycles of socialization and liberation. </w:t>
      </w:r>
    </w:p>
    <w:p w14:paraId="3726ECC9"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Study findings cite multiple examples of Harro’s (2000a, 2000b) cycles. Phê-rô shared that his first name is a native Vietnamese name, but he chose to go by his ‘American’ middle name for the first 30 years of his life. He explained how he was socialized to suppress his Vietnamese culture from a young age by neighborhood peers, and this continued into college. He said that using his middle name seemed “easier,” especially as the socialization was reinforced when he received negative responses from using his first name in professional settings. Phê-rô was empowered by his wife and family, and now proudly goes by his first name; but he further explained how people perceive his name influences assumptions and stereotypes made during phone calls, emails, and first-time meetings during his daily work experiences. Commitment to cultural identity expression despite barriers illustrates Phê-rô’s engagement in the cycles of socialization and liberation (Harro, 2000a, 2000b) and a strategy of persistence. </w:t>
      </w:r>
    </w:p>
    <w:p w14:paraId="6B569C81" w14:textId="1CABAE30"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her interview, María shared her story of </w:t>
      </w:r>
      <w:r w:rsidR="00E02991">
        <w:rPr>
          <w:rFonts w:ascii="Times New Roman" w:eastAsia="Times New Roman" w:hAnsi="Times New Roman" w:cs="Times New Roman"/>
          <w:sz w:val="24"/>
          <w:szCs w:val="24"/>
        </w:rPr>
        <w:t>self-discovery</w:t>
      </w:r>
      <w:r>
        <w:rPr>
          <w:rFonts w:ascii="Times New Roman" w:eastAsia="Times New Roman" w:hAnsi="Times New Roman" w:cs="Times New Roman"/>
          <w:sz w:val="24"/>
          <w:szCs w:val="24"/>
        </w:rPr>
        <w:t xml:space="preserve"> and the process of coming out as Bisexual during graduate school. She disclosed receiving negative comments from friends and family during this time such as, “You’re fence sitting, </w:t>
      </w:r>
      <w:r w:rsidR="00E02991">
        <w:rPr>
          <w:rFonts w:ascii="Times New Roman" w:eastAsia="Times New Roman" w:hAnsi="Times New Roman" w:cs="Times New Roman"/>
          <w:sz w:val="24"/>
          <w:szCs w:val="24"/>
        </w:rPr>
        <w:t>you</w:t>
      </w:r>
      <w:r>
        <w:rPr>
          <w:rFonts w:ascii="Times New Roman" w:eastAsia="Times New Roman" w:hAnsi="Times New Roman" w:cs="Times New Roman"/>
          <w:sz w:val="24"/>
          <w:szCs w:val="24"/>
        </w:rPr>
        <w:t xml:space="preserve"> need to pick a side.” This was difficult for María as she was still exploring her sexuality and felt as if she was doing something ‘wrong.’ Her story developed as she learned of her Queer identity:</w:t>
      </w:r>
    </w:p>
    <w:p w14:paraId="74BEF79F" w14:textId="32114C79" w:rsidR="001510DC"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encountered the word </w:t>
      </w:r>
      <w:r w:rsidR="00E02991">
        <w:rPr>
          <w:rFonts w:ascii="Times New Roman" w:eastAsia="Times New Roman" w:hAnsi="Times New Roman" w:cs="Times New Roman"/>
          <w:sz w:val="24"/>
          <w:szCs w:val="24"/>
        </w:rPr>
        <w:t>Queer,</w:t>
      </w:r>
      <w:r>
        <w:rPr>
          <w:rFonts w:ascii="Times New Roman" w:eastAsia="Times New Roman" w:hAnsi="Times New Roman" w:cs="Times New Roman"/>
          <w:sz w:val="24"/>
          <w:szCs w:val="24"/>
        </w:rPr>
        <w:t xml:space="preserve"> and it was being taken back by the community as a prideful term. And so I was like, I feel like this fits because I don't know that Bisexuality fits either. That one just felt good to me. And so I was like, this is great. Okay, this is who I am. </w:t>
      </w:r>
    </w:p>
    <w:p w14:paraId="5D2E8B37" w14:textId="77777777" w:rsidR="001510DC" w:rsidRDefault="00000000">
      <w:pPr>
        <w:spacing w:line="480" w:lineRule="auto"/>
        <w:rPr>
          <w:rFonts w:ascii="Times New Roman" w:eastAsia="Times New Roman" w:hAnsi="Times New Roman" w:cs="Times New Roman"/>
          <w:sz w:val="24"/>
          <w:szCs w:val="24"/>
          <w:shd w:val="clear" w:color="auto" w:fill="D5A6BD"/>
        </w:rPr>
      </w:pPr>
      <w:r>
        <w:rPr>
          <w:rFonts w:ascii="Times New Roman" w:eastAsia="Times New Roman" w:hAnsi="Times New Roman" w:cs="Times New Roman"/>
          <w:sz w:val="24"/>
          <w:szCs w:val="24"/>
        </w:rPr>
        <w:lastRenderedPageBreak/>
        <w:t xml:space="preserve">Though she experienced barriers due to socialization and further challenges with family after coming out, María said she is now proudly Queer and open about her wife and adopted daughter. However, she continues to navigate socialized assumptions; “folks still assume since I wear wedding rings, I’m married to a man or I gave birth to my child. And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 have to correct them.” These experiences highlight an aspect of María’s development through the cycle of socialization and liberation (Harro, 2000a, 2000b).    </w:t>
      </w:r>
    </w:p>
    <w:p w14:paraId="5D9FB1F1" w14:textId="4584A16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more marginalized groups are mistreated, the more they may begin to believe the misinformation about themselves; this is internalized oppression. Individuals may participate in reinforcing stereotypes about their own group or perceive the identities and characteristics of their group as having lesser value than dominant groups, thereby perpetuating the system of oppression (Brookfield, 2019; </w:t>
      </w:r>
      <w:r w:rsidR="00300698">
        <w:rPr>
          <w:rFonts w:ascii="Times New Roman" w:eastAsia="Times New Roman" w:hAnsi="Times New Roman" w:cs="Times New Roman"/>
          <w:sz w:val="24"/>
          <w:szCs w:val="24"/>
        </w:rPr>
        <w:t>DiAngelo</w:t>
      </w:r>
      <w:r>
        <w:rPr>
          <w:rFonts w:ascii="Times New Roman" w:eastAsia="Times New Roman" w:hAnsi="Times New Roman" w:cs="Times New Roman"/>
          <w:sz w:val="24"/>
          <w:szCs w:val="24"/>
        </w:rPr>
        <w:t xml:space="preserve">, 2016; Harro, 2000a, 2000b; Pease, 2021; Rodgers et al., 2020). Study findings highlight several experiences with internalized oppression. Jack emphasized how he feels as if any potential mistake he could make is a reflection on the identities he holds.  </w:t>
      </w:r>
    </w:p>
    <w:p w14:paraId="527A5925" w14:textId="77777777" w:rsidR="001510DC" w:rsidRDefault="00000000">
      <w:pPr>
        <w:spacing w:line="480" w:lineRule="auto"/>
        <w:ind w:left="720"/>
        <w:rPr>
          <w:rFonts w:ascii="Times New Roman" w:eastAsia="Times New Roman" w:hAnsi="Times New Roman" w:cs="Times New Roman"/>
          <w:sz w:val="24"/>
          <w:szCs w:val="24"/>
          <w:shd w:val="clear" w:color="auto" w:fill="D5A6BD"/>
        </w:rPr>
      </w:pPr>
      <w:r>
        <w:rPr>
          <w:rFonts w:ascii="Times New Roman" w:eastAsia="Times New Roman" w:hAnsi="Times New Roman" w:cs="Times New Roman"/>
          <w:sz w:val="24"/>
          <w:szCs w:val="24"/>
        </w:rPr>
        <w:t xml:space="preserve">For the folks who the system is built for, they don't have to think about their words because there isn't as big of an impact if they screw up. If I screw up and I either make a bad call or </w:t>
      </w:r>
      <w:proofErr w:type="gramStart"/>
      <w:r>
        <w:rPr>
          <w:rFonts w:ascii="Times New Roman" w:eastAsia="Times New Roman" w:hAnsi="Times New Roman" w:cs="Times New Roman"/>
          <w:sz w:val="24"/>
          <w:szCs w:val="24"/>
        </w:rPr>
        <w:t>I say</w:t>
      </w:r>
      <w:proofErr w:type="gramEnd"/>
      <w:r>
        <w:rPr>
          <w:rFonts w:ascii="Times New Roman" w:eastAsia="Times New Roman" w:hAnsi="Times New Roman" w:cs="Times New Roman"/>
          <w:sz w:val="24"/>
          <w:szCs w:val="24"/>
        </w:rPr>
        <w:t xml:space="preserve"> the wrong thing, it's a reflection on those marginalized communities that I feel like I carry. </w:t>
      </w:r>
    </w:p>
    <w:p w14:paraId="3ABABE2D" w14:textId="653B8E85"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Grace and Phê-rô, internalized oppression and socialization caused them to question if they were “Asian enough.” María expressed fighting an “internal battle” and asking herself, “will I ever be seen as legitimate?” These narratives illuminate the ways participants experienced conscientization and engaged in praxis (Freire, 1970), moved through the cycles of socialization </w:t>
      </w:r>
      <w:r>
        <w:rPr>
          <w:rFonts w:ascii="Times New Roman" w:eastAsia="Times New Roman" w:hAnsi="Times New Roman" w:cs="Times New Roman"/>
          <w:sz w:val="24"/>
          <w:szCs w:val="24"/>
        </w:rPr>
        <w:lastRenderedPageBreak/>
        <w:t xml:space="preserve">and liberation (Harro, 2000a, 2000b), and navigated internalized </w:t>
      </w:r>
      <w:r w:rsidR="00300698">
        <w:rPr>
          <w:rFonts w:ascii="Times New Roman" w:eastAsia="Times New Roman" w:hAnsi="Times New Roman" w:cs="Times New Roman"/>
          <w:sz w:val="24"/>
          <w:szCs w:val="24"/>
        </w:rPr>
        <w:t>oppression (</w:t>
      </w:r>
      <w:r>
        <w:rPr>
          <w:rFonts w:ascii="Times New Roman" w:eastAsia="Times New Roman" w:hAnsi="Times New Roman" w:cs="Times New Roman"/>
          <w:sz w:val="24"/>
          <w:szCs w:val="24"/>
        </w:rPr>
        <w:t xml:space="preserve">Brookfield, 2019; </w:t>
      </w:r>
      <w:r w:rsidR="00300698">
        <w:rPr>
          <w:rFonts w:ascii="Times New Roman" w:eastAsia="Times New Roman" w:hAnsi="Times New Roman" w:cs="Times New Roman"/>
          <w:sz w:val="24"/>
          <w:szCs w:val="24"/>
        </w:rPr>
        <w:t>DiAngelo</w:t>
      </w:r>
      <w:r>
        <w:rPr>
          <w:rFonts w:ascii="Times New Roman" w:eastAsia="Times New Roman" w:hAnsi="Times New Roman" w:cs="Times New Roman"/>
          <w:sz w:val="24"/>
          <w:szCs w:val="24"/>
        </w:rPr>
        <w:t xml:space="preserve">, 2016; Harro, 2000a, 2000b; Hornak et al., 2016; Pease, 2021; Rodgers et al., 2020). </w:t>
      </w:r>
    </w:p>
    <w:p w14:paraId="291EA71B" w14:textId="77777777" w:rsidR="001510DC" w:rsidRDefault="00000000">
      <w:pPr>
        <w:spacing w:line="480" w:lineRule="auto"/>
        <w:rPr>
          <w:rFonts w:ascii="Times New Roman" w:eastAsia="Times New Roman" w:hAnsi="Times New Roman" w:cs="Times New Roman"/>
          <w:sz w:val="24"/>
          <w:szCs w:val="24"/>
          <w:shd w:val="clear" w:color="auto" w:fill="D5A6BD"/>
        </w:rPr>
      </w:pPr>
      <w:r>
        <w:rPr>
          <w:rFonts w:ascii="Times New Roman" w:eastAsia="Times New Roman" w:hAnsi="Times New Roman" w:cs="Times New Roman"/>
          <w:b/>
          <w:i/>
          <w:sz w:val="24"/>
          <w:szCs w:val="24"/>
        </w:rPr>
        <w:t xml:space="preserve">Connection to Existing Higher Education Research </w:t>
      </w:r>
    </w:p>
    <w:p w14:paraId="17FD79B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findings from this study highlighted the workplace experiences of student affairs professionals with marginalized identities. These experiences centered themes of oppression, representation, and identity and cultural influence. The study findings also illustrate the contexts and strategies that have contributed to participants’ persistence. The sub-themes related to persistence pathways are challenging oppression; community, mentorship, and relationships; institutional leadership and supervision; and knowing yourself and your limits. Findings from the study are consistent with existing research regarding the representation of professionals with marginalized identities in higher education, their experiences, and how they overcome challenges in the workplace. </w:t>
      </w:r>
    </w:p>
    <w:p w14:paraId="7233698C"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Participants described various experiences with oppression throughout their career. These encounters ranged from supervisors engaged in inequitable treatment to unfair assumptions or expectations placed on participants by colleagues. Participants’ experiences are congruent with previous research on professionals with marginalized identities in student affairs (Bazner, 2022; Boss &amp; Bravo, 2021; DeCuir-Gunby et al., 2020; Duran et al., 2022; Espino &amp; Ariza, 2022; </w:t>
      </w:r>
      <w:r>
        <w:rPr>
          <w:rFonts w:ascii="Times New Roman" w:eastAsia="Times New Roman" w:hAnsi="Times New Roman" w:cs="Times New Roman"/>
          <w:sz w:val="24"/>
          <w:szCs w:val="24"/>
          <w:highlight w:val="white"/>
        </w:rPr>
        <w:t xml:space="preserve">Garland-Thomson, 2017; Garland-Thomas et al. 2022; Kanagala &amp; Oliver, 2019; </w:t>
      </w:r>
      <w:r>
        <w:rPr>
          <w:rFonts w:ascii="Times New Roman" w:eastAsia="Times New Roman" w:hAnsi="Times New Roman" w:cs="Times New Roman"/>
          <w:sz w:val="24"/>
          <w:szCs w:val="24"/>
        </w:rPr>
        <w:t xml:space="preserve">Kortegast, 2021; </w:t>
      </w:r>
      <w:r>
        <w:rPr>
          <w:rFonts w:ascii="Times New Roman" w:eastAsia="Times New Roman" w:hAnsi="Times New Roman" w:cs="Times New Roman"/>
          <w:sz w:val="24"/>
          <w:szCs w:val="24"/>
          <w:highlight w:val="white"/>
        </w:rPr>
        <w:t>Wesley, 2018</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Sage stated, “</w:t>
      </w:r>
      <w:r>
        <w:rPr>
          <w:rFonts w:ascii="Times New Roman" w:eastAsia="Times New Roman" w:hAnsi="Times New Roman" w:cs="Times New Roman"/>
          <w:sz w:val="24"/>
          <w:szCs w:val="24"/>
        </w:rPr>
        <w:t xml:space="preserve">I always felt that no matter what I did or how I operated, if there was an opportunity to second guess my character or my work ethic, it was always second guessed.” She along with </w:t>
      </w:r>
      <w:r>
        <w:rPr>
          <w:rFonts w:ascii="Times New Roman" w:eastAsia="Times New Roman" w:hAnsi="Times New Roman" w:cs="Times New Roman"/>
          <w:sz w:val="24"/>
          <w:szCs w:val="24"/>
          <w:highlight w:val="white"/>
        </w:rPr>
        <w:t xml:space="preserve">Brayden, Grace, Jerome, and </w:t>
      </w:r>
      <w:r>
        <w:rPr>
          <w:rFonts w:ascii="Times New Roman" w:eastAsia="Times New Roman" w:hAnsi="Times New Roman" w:cs="Times New Roman"/>
          <w:sz w:val="24"/>
          <w:szCs w:val="24"/>
        </w:rPr>
        <w:t xml:space="preserve">María described being questioned about skill or decisions, given additional expectations, or assumed incapable or unprepared. This finding is consistent with existing research that indicates student affairs professionals with </w:t>
      </w:r>
      <w:r>
        <w:rPr>
          <w:rFonts w:ascii="Times New Roman" w:eastAsia="Times New Roman" w:hAnsi="Times New Roman" w:cs="Times New Roman"/>
          <w:sz w:val="24"/>
          <w:szCs w:val="24"/>
        </w:rPr>
        <w:lastRenderedPageBreak/>
        <w:t>marginalized identities often feel as if they need to work harder (than their non-marginalized colleagues) and be overly prepared while also managing excessive expectations (Gardner et al., 2014; Hylton, 2012; Kanagala &amp; Oliver, 2019; Moore, 2016; Pertuz, 2017; Wesley, 2018).</w:t>
      </w:r>
      <w:r>
        <w:rPr>
          <w:rFonts w:ascii="Times New Roman" w:eastAsia="Times New Roman" w:hAnsi="Times New Roman" w:cs="Times New Roman"/>
          <w:b/>
          <w:sz w:val="24"/>
          <w:szCs w:val="24"/>
        </w:rPr>
        <w:t xml:space="preserve"> </w:t>
      </w:r>
    </w:p>
    <w:p w14:paraId="39651AAB" w14:textId="3A9A06D0" w:rsidR="001510DC"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Jerome, who identifies as a Black, Queer man, described experiencing a “Black tax” in relation to additional or excessive expectations. He said that he is often called on to respond, support, or educate when an issue surrounding race, or another of his marginalized identities, happens on his campus. So often in student affairs, those with the most marginalized intersecting identities are called on to engage in intersectionality focused work or tasks </w:t>
      </w:r>
      <w:r w:rsidR="00300698">
        <w:rPr>
          <w:rFonts w:ascii="Times New Roman" w:eastAsia="Times New Roman" w:hAnsi="Times New Roman" w:cs="Times New Roman"/>
          <w:sz w:val="24"/>
          <w:szCs w:val="24"/>
        </w:rPr>
        <w:t>(Kanagala</w:t>
      </w:r>
      <w:r>
        <w:rPr>
          <w:rFonts w:ascii="Times New Roman" w:eastAsia="Times New Roman" w:hAnsi="Times New Roman" w:cs="Times New Roman"/>
          <w:sz w:val="24"/>
          <w:szCs w:val="24"/>
        </w:rPr>
        <w:t xml:space="preserve"> &amp; Oliver, 2019). Intersectionality work on campuses requires the professional to exert mental and emotional labor to meet additional expectations, typically without recognition or compensation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Kanagala &amp; Oliver, 2019; Moore, 2008; Pierce, 1996; </w:t>
      </w:r>
      <w:r>
        <w:rPr>
          <w:rFonts w:ascii="Times New Roman" w:eastAsia="Times New Roman" w:hAnsi="Times New Roman" w:cs="Times New Roman"/>
          <w:sz w:val="24"/>
          <w:szCs w:val="24"/>
          <w:highlight w:val="white"/>
        </w:rPr>
        <w:t>Rodríguez et al., 2015; Trejo, 2020)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This experience is referred to as the “minority tax,” (Trejo, 2020, p. 2753), or the uncompensated additional responsibilities, expectations, or burdens placed on underrepresented professionals to meet the needs of marginalized constituents or achieve diversity efforts at their institution (Rodríguez et al., 2015). Padilla (1994) named this “cultural taxation,” (p. 26) the exhaustion professionals from marginalized groups experience when expected to educate on diversity issues, regardless of content expertise or interest. Several participants noted experiencing increased expectations or burdens as a senior student affairs professional with marginalized identities. </w:t>
      </w:r>
    </w:p>
    <w:p w14:paraId="76BCE0DE" w14:textId="77777777" w:rsidR="001510DC"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influence of representation was a significant and recurring sentiment among participants. This finding reflects current research which cites that cisgender, straight, White women and men comprise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student affairs and higher education professionals, advance at higher rates than Professionals of Color, and hold the majority of university presidencies (</w:t>
      </w:r>
      <w:r>
        <w:rPr>
          <w:rFonts w:ascii="Times New Roman" w:eastAsia="Times New Roman" w:hAnsi="Times New Roman" w:cs="Times New Roman"/>
          <w:sz w:val="24"/>
          <w:szCs w:val="24"/>
        </w:rPr>
        <w:t xml:space="preserve">American Council on Education, 2023; National Center for Education Statistics, </w:t>
      </w:r>
      <w:r>
        <w:rPr>
          <w:rFonts w:ascii="Times New Roman" w:eastAsia="Times New Roman" w:hAnsi="Times New Roman" w:cs="Times New Roman"/>
          <w:sz w:val="24"/>
          <w:szCs w:val="24"/>
        </w:rPr>
        <w:lastRenderedPageBreak/>
        <w:t>2023; Pritchard &amp; McChesney, 2018;</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Each participant shared experiences of being the first or only (or both) person with marginalized identities at their institutions or in their departments, divisions, or certain leadership positions. </w:t>
      </w:r>
      <w:r>
        <w:rPr>
          <w:rFonts w:ascii="Times New Roman" w:eastAsia="Times New Roman" w:hAnsi="Times New Roman" w:cs="Times New Roman"/>
          <w:sz w:val="24"/>
          <w:szCs w:val="24"/>
          <w:highlight w:val="white"/>
        </w:rPr>
        <w:t>Coach serves as the vice president for student services at a small, private religious institution in the Southern region of the United States. She is the first African American professional hired as a senior administrator at her institution and is currently the only Vice President of Color on a presidential cabinet of eight. She concluded her interview by asserting, “I wish there was more of me.”</w:t>
      </w:r>
      <w:r>
        <w:rPr>
          <w:rFonts w:ascii="Times New Roman" w:eastAsia="Times New Roman" w:hAnsi="Times New Roman" w:cs="Times New Roman"/>
          <w:sz w:val="24"/>
          <w:szCs w:val="24"/>
        </w:rPr>
        <w:t xml:space="preserve"> This further highlights how</w:t>
      </w:r>
      <w:r>
        <w:rPr>
          <w:rFonts w:ascii="Times New Roman" w:eastAsia="Times New Roman" w:hAnsi="Times New Roman" w:cs="Times New Roman"/>
          <w:sz w:val="24"/>
          <w:szCs w:val="24"/>
          <w:highlight w:val="white"/>
        </w:rPr>
        <w:t xml:space="preserve"> Women of Color, non-Christian, people with disabilities, and professionals with ethnic, gender, or sexually diverse identities are continually underrepresented in institutional leadership (American Council on Education, 2023; Gasman &amp; Travers, 2015; </w:t>
      </w:r>
      <w:r>
        <w:rPr>
          <w:rFonts w:ascii="Times New Roman" w:eastAsia="Times New Roman" w:hAnsi="Times New Roman" w:cs="Times New Roman"/>
          <w:sz w:val="24"/>
          <w:szCs w:val="24"/>
        </w:rPr>
        <w:t>National Center for Education Statistics, 2023</w:t>
      </w:r>
      <w:r>
        <w:rPr>
          <w:rFonts w:ascii="Times New Roman" w:eastAsia="Times New Roman" w:hAnsi="Times New Roman" w:cs="Times New Roman"/>
          <w:sz w:val="24"/>
          <w:szCs w:val="24"/>
          <w:highlight w:val="white"/>
        </w:rPr>
        <w:t xml:space="preserve">). </w:t>
      </w:r>
    </w:p>
    <w:p w14:paraId="470BA12E"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combination of encounters with oppression and lack of representation resulted in identity conflicts and feelings of internalized pressure and emotional labor for some participants. Student affairs professionals with marginalized identities often report how navigating the intersections of their identities is emotionally taxing (Gardner et al., 2014; Smith, 2013; Wesley, 2018). The everyday experiences of navigating between dominant and marginalized cultures is referred to as living a bicultural existence, and can be incredibly stressful (Gardner et al., 2014). Professionals must make decisions on whether to engage or disengage from challenging oppression and discrimination within an institution and organization founded on exclusionary principles. This constant and draining decision process is referred to as emotional labor (Moore, 2008). </w:t>
      </w:r>
      <w:r>
        <w:rPr>
          <w:rFonts w:ascii="Times New Roman" w:eastAsia="Times New Roman" w:hAnsi="Times New Roman" w:cs="Times New Roman"/>
          <w:sz w:val="24"/>
          <w:szCs w:val="24"/>
        </w:rPr>
        <w:t>María</w:t>
      </w:r>
      <w:r>
        <w:rPr>
          <w:rFonts w:ascii="Times New Roman" w:eastAsia="Times New Roman" w:hAnsi="Times New Roman" w:cs="Times New Roman"/>
          <w:sz w:val="24"/>
          <w:szCs w:val="24"/>
          <w:highlight w:val="white"/>
        </w:rPr>
        <w:t xml:space="preserve"> cited emotional labor in her interview and how it influences decisions she makes, from what she wears to how she should confront assumptions or problematic comments. Jack stated, “</w:t>
      </w:r>
      <w:r>
        <w:rPr>
          <w:rFonts w:ascii="Times New Roman" w:eastAsia="Times New Roman" w:hAnsi="Times New Roman" w:cs="Times New Roman"/>
          <w:sz w:val="24"/>
          <w:szCs w:val="24"/>
        </w:rPr>
        <w:t xml:space="preserve">when I think about marginalized identities, those are the ones I obviously think about a lot and influence how I feel like I show up day-to-day.” These experiences illustrate the </w:t>
      </w:r>
      <w:r>
        <w:rPr>
          <w:rFonts w:ascii="Times New Roman" w:eastAsia="Times New Roman" w:hAnsi="Times New Roman" w:cs="Times New Roman"/>
          <w:sz w:val="24"/>
          <w:szCs w:val="24"/>
        </w:rPr>
        <w:lastRenderedPageBreak/>
        <w:t xml:space="preserve">emotional burdens and subsequent effects of oppressive environments that professionals with marginalized identities experience in higher education </w:t>
      </w:r>
      <w:r>
        <w:rPr>
          <w:rFonts w:ascii="Times New Roman" w:eastAsia="Times New Roman" w:hAnsi="Times New Roman" w:cs="Times New Roman"/>
          <w:sz w:val="24"/>
          <w:szCs w:val="24"/>
          <w:highlight w:val="white"/>
        </w:rPr>
        <w:t>(Gardner et al., 2014; Hornak et al., 2016</w:t>
      </w:r>
      <w:r>
        <w:rPr>
          <w:rFonts w:ascii="Times New Roman" w:eastAsia="Times New Roman" w:hAnsi="Times New Roman" w:cs="Times New Roman"/>
          <w:sz w:val="24"/>
          <w:szCs w:val="24"/>
        </w:rPr>
        <w:t xml:space="preserve">; Kanagala &amp; Oliver, 2019; </w:t>
      </w:r>
      <w:r>
        <w:rPr>
          <w:rFonts w:ascii="Times New Roman" w:eastAsia="Times New Roman" w:hAnsi="Times New Roman" w:cs="Times New Roman"/>
          <w:sz w:val="24"/>
          <w:szCs w:val="24"/>
          <w:highlight w:val="white"/>
        </w:rPr>
        <w:t xml:space="preserve">Smith, 2013; Wesley, 2018). </w:t>
      </w:r>
      <w:r>
        <w:rPr>
          <w:rFonts w:ascii="Times New Roman" w:eastAsia="Times New Roman" w:hAnsi="Times New Roman" w:cs="Times New Roman"/>
          <w:sz w:val="24"/>
          <w:szCs w:val="24"/>
        </w:rPr>
        <w:t xml:space="preserve"> </w:t>
      </w:r>
    </w:p>
    <w:p w14:paraId="24333735"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persistence pathways also parallel documented strategies employed by diverse higher education professionals. DeCuir-Gunby and colleagues (2020) explored the ways African American professionals in higher education experience and cope with racial microaggressions. They noted adaptive coping strategies such as confronting racism, forming professional networks, seeking mentorship, turning to religion or spirituality, setting boundaries, and engaging in self-care as ways African American professionals address stress and racism in the workplace (DeCuir-Gunby et al., 2020). Latinx/a/o student affairs professionals at private institutions engage in resistance to improve the experiences and environments for younger Students of Color at elite universities (Espino &amp; Ariza, 2022). Women of Color holding chief diversity officer positions develop strategies to “navigate, resist, and shift structures that oppress and marginalize” (Nixon, 2017, p. 308). The findings of this study are consistent with existing research on persistence strategies for professionals with marginalized identities.</w:t>
      </w:r>
    </w:p>
    <w:p w14:paraId="5BD9A965" w14:textId="77777777" w:rsidR="001510D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Critical Praxis in Student Affairs</w:t>
      </w:r>
      <w:r>
        <w:rPr>
          <w:rFonts w:ascii="Times New Roman" w:eastAsia="Times New Roman" w:hAnsi="Times New Roman" w:cs="Times New Roman"/>
          <w:b/>
          <w:sz w:val="24"/>
          <w:szCs w:val="24"/>
        </w:rPr>
        <w:t xml:space="preserve"> </w:t>
      </w:r>
    </w:p>
    <w:p w14:paraId="484469E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themes of </w:t>
      </w:r>
      <w:r>
        <w:rPr>
          <w:rFonts w:ascii="Times New Roman" w:eastAsia="Times New Roman" w:hAnsi="Times New Roman" w:cs="Times New Roman"/>
          <w:i/>
          <w:sz w:val="24"/>
          <w:szCs w:val="24"/>
        </w:rPr>
        <w:t>workplace experiences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persistence pathways </w:t>
      </w:r>
      <w:r>
        <w:rPr>
          <w:rFonts w:ascii="Times New Roman" w:eastAsia="Times New Roman" w:hAnsi="Times New Roman" w:cs="Times New Roman"/>
          <w:sz w:val="24"/>
          <w:szCs w:val="24"/>
        </w:rPr>
        <w:t xml:space="preserve">describe the shared experience of participants as it relates to oppression and challenging oppression, representation, identity and cultural influences, supervision and institutional culture, and knowing yourself and your limits. Participants noted specific examples of inequitable treatment, navigating assumptions and stereotypes, lack of representation, supportive or inadequate supervision or institutional leadership, and added pressure or expectations as influences on their persistence. </w:t>
      </w:r>
      <w:r>
        <w:rPr>
          <w:rFonts w:ascii="Times New Roman" w:eastAsia="Times New Roman" w:hAnsi="Times New Roman" w:cs="Times New Roman"/>
          <w:sz w:val="24"/>
          <w:szCs w:val="24"/>
        </w:rPr>
        <w:lastRenderedPageBreak/>
        <w:t xml:space="preserve">These examples have connections to the strategies for critical praxis Marine and Gilbert (2022) provide in their edited text. </w:t>
      </w:r>
    </w:p>
    <w:p w14:paraId="03A06199"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(1970) defined praxis as the combination of reflection and action which challenges oppression and transforms society. Marine and Gilbert’s (2022) model for critical praxis in student affairs provides a framework for challenging systems of oppression in higher education. Critical praxis involves </w:t>
      </w:r>
      <w:r>
        <w:rPr>
          <w:rFonts w:ascii="Times New Roman" w:eastAsia="Times New Roman" w:hAnsi="Times New Roman" w:cs="Times New Roman"/>
          <w:i/>
          <w:sz w:val="24"/>
          <w:szCs w:val="24"/>
        </w:rPr>
        <w:t>conscientization</w:t>
      </w:r>
      <w:r>
        <w:rPr>
          <w:rFonts w:ascii="Times New Roman" w:eastAsia="Times New Roman" w:hAnsi="Times New Roman" w:cs="Times New Roman"/>
          <w:sz w:val="24"/>
          <w:szCs w:val="24"/>
        </w:rPr>
        <w:t xml:space="preserve">, the awareness of one’s position, power, and commitment to transformative change (Freire, 1970); reflection, the process by which individuals acknowledge and contemplate their positionality in relation to others and the world; and intentional action which challenges and transforms systems (Marine &amp; Gilbert, 2022). I presented the ways participants engaged in conscientization, reflection, and action in chapter 4. Marine and Gilbert (2022) provide examples of practitioners and scholars enacting critical praxis as a framework for creating transformation at their institutions. Analyzing the content provided by Marine and Gilbert (2022) in relation to the study’s findings offers specific insight into how a critical praxis framework can transform the experiences of professionals with marginalized identities in student affairs. </w:t>
      </w:r>
    </w:p>
    <w:p w14:paraId="3ACCDC69" w14:textId="37629A83"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Critical praxis can be operationalized interpersonally or institutionally, with the action centering challenging dominant narratives, disrupting power dynamics, and resisting neoliberal forces (Marine &amp; Gilbert, 2022). Challenging dominant narratives involves expressing your questions about the status quo, pushing back, and encouraging a shift. This can expand to resisting neoliberal forces such as commodification of knowledge, hierarchy and resource allocation norms, and capitalistic </w:t>
      </w:r>
      <w:r w:rsidR="00300698">
        <w:rPr>
          <w:rFonts w:ascii="Times New Roman" w:eastAsia="Times New Roman" w:hAnsi="Times New Roman" w:cs="Times New Roman"/>
          <w:sz w:val="24"/>
          <w:szCs w:val="24"/>
          <w:highlight w:val="white"/>
        </w:rPr>
        <w:t>ideals,</w:t>
      </w:r>
      <w:r>
        <w:rPr>
          <w:rFonts w:ascii="Times New Roman" w:eastAsia="Times New Roman" w:hAnsi="Times New Roman" w:cs="Times New Roman"/>
          <w:sz w:val="24"/>
          <w:szCs w:val="24"/>
          <w:highlight w:val="white"/>
        </w:rPr>
        <w:t xml:space="preserve"> which inevitably reveals and disrupts power dynamics (Marine &amp; Gilbert, 2022). The study findings include themes related to challenging dominant narratives, disrupting power dynamics, and resisting neoliberal forces by participants. </w:t>
      </w:r>
      <w:r>
        <w:rPr>
          <w:rFonts w:ascii="Times New Roman" w:eastAsia="Times New Roman" w:hAnsi="Times New Roman" w:cs="Times New Roman"/>
          <w:sz w:val="24"/>
          <w:szCs w:val="24"/>
        </w:rPr>
        <w:t xml:space="preserve">Some </w:t>
      </w:r>
      <w:r>
        <w:rPr>
          <w:rFonts w:ascii="Times New Roman" w:eastAsia="Times New Roman" w:hAnsi="Times New Roman" w:cs="Times New Roman"/>
          <w:sz w:val="24"/>
          <w:szCs w:val="24"/>
        </w:rPr>
        <w:lastRenderedPageBreak/>
        <w:t xml:space="preserve">participants highlighted experiences of directly calling out oppressive or harmful comments and interactions. Other participants told of using their positionality and experiences to support others, effect change, or create environments where individuals with marginalized identities can thrive. Brayden said that he directly “names it” when he hears or experiences oppressive behavior or comments, Sage emphasized that she does not tolerate “nastiness” on search committees that can lead to inequitable outcomes, and María discussed feeling a sense of responsibility to her staff to eliminate barriers. Coach is challenging dominant narratives as the only professionals with marginalized identities on her campus to hold an administrative position. Jerome resists neoliberal forces and disrupts power dynamics within his departments by “empower[ing] folks to exist in the fullness of their authenticity, to challenge norms.”  </w:t>
      </w:r>
      <w:r>
        <w:rPr>
          <w:rFonts w:ascii="Times New Roman" w:eastAsia="Times New Roman" w:hAnsi="Times New Roman" w:cs="Times New Roman"/>
          <w:sz w:val="24"/>
          <w:szCs w:val="24"/>
          <w:highlight w:val="white"/>
        </w:rPr>
        <w:t xml:space="preserve"> </w:t>
      </w:r>
    </w:p>
    <w:p w14:paraId="603079F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Participants also described witnessing critical praxis in action by institutional leaders, mentors, and supervisors. Sage gave credit to her current president for the increased representation at their institution. Once appointed, he</w:t>
      </w:r>
      <w:r>
        <w:rPr>
          <w:rFonts w:ascii="Times New Roman" w:eastAsia="Times New Roman" w:hAnsi="Times New Roman" w:cs="Times New Roman"/>
          <w:sz w:val="24"/>
          <w:szCs w:val="24"/>
        </w:rPr>
        <w:t xml:space="preserve"> committed to “enhanc[ing] the student experience by hiring and retaining more Faculty and Staff of Color;” and he has followed through on that commitment. Jack expressed gratitude for the supervisors and administrators at his previous institution who supported him holistically and created opportunities for career advancement. His supervisors and administrators challenged dominant narratives and resisted neoliberal forces by providing him with adequate resources to establish and staff a new department, promoting his role, and supporting students’ needs alongside Jack’s advancement. Brayden, Jerome and Phê-rô cited mentors’ guidance and encouragement to continue challenging dominant narratives as a contributing factor of persistence.     </w:t>
      </w:r>
      <w:r>
        <w:rPr>
          <w:rFonts w:ascii="Times New Roman" w:eastAsia="Times New Roman" w:hAnsi="Times New Roman" w:cs="Times New Roman"/>
          <w:sz w:val="24"/>
          <w:szCs w:val="24"/>
          <w:highlight w:val="white"/>
        </w:rPr>
        <w:t xml:space="preserve">     </w:t>
      </w:r>
    </w:p>
    <w:p w14:paraId="3EC3E00F"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Marine and Gilbert’s (2022) edited text also provides two specific strategies that, if employed by supervisors and colleagues, could have eliminated certain challenges and barriers </w:t>
      </w:r>
      <w:r>
        <w:rPr>
          <w:rFonts w:ascii="Times New Roman" w:eastAsia="Times New Roman" w:hAnsi="Times New Roman" w:cs="Times New Roman"/>
          <w:sz w:val="24"/>
          <w:szCs w:val="24"/>
        </w:rPr>
        <w:lastRenderedPageBreak/>
        <w:t xml:space="preserve">experienced by participants. Gilbert (2022) illustrates a critical praxis approach to supervision that incorporates a Black feminist theory and trauma-informed lens. Gilbert’s (2022) approach expands on the insights from Quiros and Berger’s (2013) five assumptions of trauma-informed practice and Quaye and colleagues’ (2018) Strategic Imperative for Racial Justice and Decolonization framework, and involves elements of safety, trust, choice, empowerment, and collaboration in the supervisory relationship. Gilbert (2022) describes how these elements can be operationalized through reimagining the performance evaluation process, leveraging professional development, and advocating for policy change. She emphasized that interrogating policy is a significant form of advocacy and critical praxis for supervisors. Professionals who wish to holistically support their staff and disrupt oppressive norms can ensure parental leave, family medical leave, disability accommodations, and other human resource policies are equitable and do not create barriers for certain populations (Gilbert, 2022). In considering the study findings, especially the experiences of Grace and María, this type of critical trauma-informed supervision could have created different circumstances for participants. </w:t>
      </w:r>
    </w:p>
    <w:p w14:paraId="7B77656E"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Ashlee and Ashlee (2022) applied a critical praxis framework to their social justice and coalition building efforts at their institution. Through conscientization and reflection (Freire, 1970; Marie &amp; Gilbert, 2022), the authors realized the most meaningful way to engage in social justice change was to change themselves. Ashlee and Ashlee (2022) noticed that merely insisting or encouraging others to change their ways to reduce oppression was not always effective or sustainable; instead, they realized there was tangible action that could be taken to “reduce [our] complicity in the harm done to others” (p. 90). Grounded in an interconnectivity (Keating, 2013) model, Ashlee and Ashlee (2022) began practicing an ethic of interrelatedness, connecting through difference, and listening with raw intention in their everyday interactions with others, </w:t>
      </w:r>
      <w:r>
        <w:rPr>
          <w:rFonts w:ascii="Times New Roman" w:eastAsia="Times New Roman" w:hAnsi="Times New Roman" w:cs="Times New Roman"/>
          <w:sz w:val="24"/>
          <w:szCs w:val="24"/>
        </w:rPr>
        <w:lastRenderedPageBreak/>
        <w:t xml:space="preserve">especially those with marginalized identities. An ethic of interrelatedness is the idea that every life is intricately connected to the life of everyone else (Moraga &amp; Anzaldúa, 2015). Rather than viewing differences as fixed, unchanging barriers between individuals, interconnectivity suggests connecting through differences can encourage transformation and coalition building (Ashlee &amp; Ashlee, 2022). Listening with raw openness is an active form of interconnectivity engagement which requires intention, vulnerability, and a willingness to change (Ashlee &amp; Ashlee, 2022; Moraga &amp; Anzaldúa, 2015). Multiple instances of oppressive encounters are included in the findings. If an interconnectivity (Keating, 2013), or similar, approach was applied by more student affairs professionals, participants and professionals with marginalized identities might experience less oppressive interactions. </w:t>
      </w:r>
    </w:p>
    <w:p w14:paraId="2E7B1FD4"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Implications for Higher Education </w:t>
      </w:r>
    </w:p>
    <w:p w14:paraId="4480CD06" w14:textId="749C99E6"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purpose of this study was to explore the experiences of senior student affairs professionals with marginalized identities. More specifically, this study sought to understand how these professionals perceive their persistence and the contexts and strategies that supported their career advancement. I explored the experiences of eight senior student affairs professionals through a critical phenomenological </w:t>
      </w:r>
      <w:r w:rsidR="00300698">
        <w:rPr>
          <w:rFonts w:ascii="Times New Roman" w:eastAsia="Times New Roman" w:hAnsi="Times New Roman" w:cs="Times New Roman"/>
          <w:sz w:val="24"/>
          <w:szCs w:val="24"/>
        </w:rPr>
        <w:t>approach and</w:t>
      </w:r>
      <w:r>
        <w:rPr>
          <w:rFonts w:ascii="Times New Roman" w:eastAsia="Times New Roman" w:hAnsi="Times New Roman" w:cs="Times New Roman"/>
          <w:sz w:val="24"/>
          <w:szCs w:val="24"/>
        </w:rPr>
        <w:t xml:space="preserve"> identified eight sub-themes from the data. I also analyzed data for elements of critical praxis (Marine &amp; Gilbert, 2022). The study findings have implications for non-marginalized administrators, supervisors, and professionals in student affairs, as well as professionals with marginalized identities.</w:t>
      </w:r>
    </w:p>
    <w:p w14:paraId="1C46442F"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Implications for Non-Marginalized Supervisors, Colleagues, and Administrators</w:t>
      </w:r>
    </w:p>
    <w:p w14:paraId="4EB29338"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I identified the following implications for non-marginalized supervisors, colleagues, and administrators: 1) invest in the recruitment and retention of more diverse professionals; 2) educate yourself and reflect on how you uphold systems of oppression; and 3) engage in critical </w:t>
      </w:r>
      <w:r>
        <w:rPr>
          <w:rFonts w:ascii="Times New Roman" w:eastAsia="Times New Roman" w:hAnsi="Times New Roman" w:cs="Times New Roman"/>
          <w:sz w:val="24"/>
          <w:szCs w:val="24"/>
        </w:rPr>
        <w:lastRenderedPageBreak/>
        <w:t xml:space="preserve">praxis to challenge and transform oppressive systems. This study </w:t>
      </w:r>
      <w:proofErr w:type="gramStart"/>
      <w:r>
        <w:rPr>
          <w:rFonts w:ascii="Times New Roman" w:eastAsia="Times New Roman" w:hAnsi="Times New Roman" w:cs="Times New Roman"/>
          <w:sz w:val="24"/>
          <w:szCs w:val="24"/>
        </w:rPr>
        <w:t>gave intentional consideration to</w:t>
      </w:r>
      <w:proofErr w:type="gramEnd"/>
      <w:r>
        <w:rPr>
          <w:rFonts w:ascii="Times New Roman" w:eastAsia="Times New Roman" w:hAnsi="Times New Roman" w:cs="Times New Roman"/>
          <w:sz w:val="24"/>
          <w:szCs w:val="24"/>
        </w:rPr>
        <w:t xml:space="preserve"> how traditional education systems have been used by dominant groups to maintain their power and perpetuate oppression (Freire et al., 2014); therefore, I identified implications specifically for non-marginalized professionals in higher education.  </w:t>
      </w:r>
    </w:p>
    <w:p w14:paraId="33C6A482"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Findings from this study emphasized the lack of representation of professionals with marginalized identities in higher education and within leadership positions, and its effect on participants. Numerous studies highlight the need for greater representation within higher education (Brooms, 2020; Brooms &amp; Davis, 2017; </w:t>
      </w:r>
      <w:r>
        <w:rPr>
          <w:rFonts w:ascii="Times New Roman" w:eastAsia="Times New Roman" w:hAnsi="Times New Roman" w:cs="Times New Roman"/>
          <w:sz w:val="24"/>
          <w:szCs w:val="24"/>
          <w:highlight w:val="white"/>
        </w:rPr>
        <w:t xml:space="preserve">Gasman &amp; Travers, 2015; </w:t>
      </w:r>
      <w:r>
        <w:rPr>
          <w:rFonts w:ascii="Times New Roman" w:eastAsia="Times New Roman" w:hAnsi="Times New Roman" w:cs="Times New Roman"/>
          <w:sz w:val="24"/>
          <w:szCs w:val="24"/>
        </w:rPr>
        <w:t xml:space="preserve">Luedke, 2017; Museus et al., 2017). Administrators and supervisors must begin to prioritize recruiting, hiring, and retaining professionals with marginalized identities at all levels of the institution. Ensuring position announcements reach diverse networks, prioritizing equitable hiring and search committee standards, and improving onboarding practices can support the recruitment, employment, and retention of professionals with marginalized identities on college campuses (Gardener et al., 2014; Gause, 2021; Robbins et al., 2019). Greater representation will create increased opportunities for connection and community between other professionals with marginalized identities or students from diverse backgrounds, and provide more diverse perspectives for decision making and practice.   </w:t>
      </w:r>
    </w:p>
    <w:p w14:paraId="66A1EEE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more professionals with marginalized identities are employed at higher education institutions, professionals with non-marginalized identities must interrogate the rules, roles, and assumptions they have been socialized to believe about themselves and individuals from non-dominant groups (Bañales et al., 2020; Harro, 2000a; Kanagala &amp; Oliver, 2019; Pease, 2021; Rodgers et al., 2020). “Presence on campus neither guarantees integration into campus life nor does it lead to realization of the pedagogic benefits of diversity,” (Tienda, 2013, p. 473). </w:t>
      </w:r>
      <w:r>
        <w:rPr>
          <w:rFonts w:ascii="Times New Roman" w:eastAsia="Times New Roman" w:hAnsi="Times New Roman" w:cs="Times New Roman"/>
          <w:sz w:val="24"/>
          <w:szCs w:val="24"/>
        </w:rPr>
        <w:lastRenderedPageBreak/>
        <w:t>Engaging in critical reflection and identity education is essential to minimizing oppression and fostering affirming work environments in student affairs (Robbins et al., 2019). </w:t>
      </w:r>
    </w:p>
    <w:p w14:paraId="6D5738C2" w14:textId="0C131AC9"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 institutions wish to retain diverse professionals, they need to deconstruct oppressive campus structures. This begins with acknowledging existing barriers or challenges for marginalized professionals and uncovering the factors that contribute to or sustain these barriers or challenges. Institutions can examine employee hiring and retention trends to better understand which populations or identities struggle to thrive on their respective campuses, then employ strategies to better connect with, support, and retain these professionals (Gardener et al., 2021; Gause, 2021; Trejo, 2020). Human resource departments and administrators can conduct policy reviews to ensure professionals with marginalized identities are not unfairly treated due to inequitable practices (Kortegast, 2021; Robbins et al., 2019). Campus accessibility audits can help administrators determine existing barriers and where to prioritize resources and universal design (Evans et al., 2017). As professionals with non-marginalized identities understand their role in perpetuating or dismantling oppressive systems, they should begin to engage in critical praxis and transformative change. Marine and Gilbert’s (2022) critical praxis in student affairs model provides a framework for challenging structures of oppression and supporting the aspiration of equity within higher education. Critical praxis involves </w:t>
      </w:r>
      <w:r>
        <w:rPr>
          <w:rFonts w:ascii="Times New Roman" w:eastAsia="Times New Roman" w:hAnsi="Times New Roman" w:cs="Times New Roman"/>
          <w:i/>
          <w:sz w:val="24"/>
          <w:szCs w:val="24"/>
        </w:rPr>
        <w:t xml:space="preserve">conscientization </w:t>
      </w:r>
      <w:r>
        <w:rPr>
          <w:rFonts w:ascii="Times New Roman" w:eastAsia="Times New Roman" w:hAnsi="Times New Roman" w:cs="Times New Roman"/>
          <w:sz w:val="24"/>
          <w:szCs w:val="24"/>
        </w:rPr>
        <w:t>(Freire, 1970</w:t>
      </w:r>
      <w:r w:rsidR="00300698">
        <w:rPr>
          <w:rFonts w:ascii="Times New Roman" w:eastAsia="Times New Roman" w:hAnsi="Times New Roman" w:cs="Times New Roman"/>
          <w:sz w:val="24"/>
          <w:szCs w:val="24"/>
        </w:rPr>
        <w:t>),</w:t>
      </w:r>
      <w:r w:rsidR="00300698">
        <w:rPr>
          <w:rFonts w:ascii="Times New Roman" w:eastAsia="Times New Roman" w:hAnsi="Times New Roman" w:cs="Times New Roman"/>
          <w:i/>
          <w:sz w:val="24"/>
          <w:szCs w:val="24"/>
        </w:rPr>
        <w:t xml:space="preserve"> </w:t>
      </w:r>
      <w:r w:rsidR="00300698">
        <w:rPr>
          <w:rFonts w:ascii="Times New Roman" w:eastAsia="Times New Roman" w:hAnsi="Times New Roman" w:cs="Times New Roman"/>
          <w:sz w:val="24"/>
          <w:szCs w:val="24"/>
        </w:rPr>
        <w:t>reflection</w:t>
      </w:r>
      <w:r>
        <w:rPr>
          <w:rFonts w:ascii="Times New Roman" w:eastAsia="Times New Roman" w:hAnsi="Times New Roman" w:cs="Times New Roman"/>
          <w:sz w:val="24"/>
          <w:szCs w:val="24"/>
        </w:rPr>
        <w:t xml:space="preserve">, and action (Marine &amp; Gilbert, 2022). Supervisors can engage in critical trauma-informed supervision and colleagues can incorporate an interconnectivity (Keating, 2013) model to their work to disrupt oppressive systems and holistically support their staff and peers (Marine &amp; Gilbert, 2022). Higher education administrators, colleagues, and supervisors can confront their personal biases and how they may show up in individual interactions; continue to educate themselves and accept critical feedback from others; reimagine policies and practices </w:t>
      </w:r>
      <w:r>
        <w:rPr>
          <w:rFonts w:ascii="Times New Roman" w:eastAsia="Times New Roman" w:hAnsi="Times New Roman" w:cs="Times New Roman"/>
          <w:sz w:val="24"/>
          <w:szCs w:val="24"/>
        </w:rPr>
        <w:lastRenderedPageBreak/>
        <w:t xml:space="preserve">to consider the needs or experiences of professionals with marginalized identities; directly challenge oppressive behavior or comments; and foster empowering campus environments where individuals with marginalized identities can thrive (Espino &amp; Ariza, 2022; Gause, 2021; Karunaratne et al., 2016; Moriña, 2017). Ensuring professionals with marginalized identities can persist through student affairs begins by working to eliminate the barriers and challenges they might encounter.     </w:t>
      </w:r>
    </w:p>
    <w:p w14:paraId="46295BB1" w14:textId="77777777" w:rsidR="001510DC"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Implications for Professionals with Marginalized Identities </w:t>
      </w:r>
    </w:p>
    <w:p w14:paraId="3BAF80D3"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identified the following implications for professionals with marginalized identities: 1) embrace who you are; 2) find and confide in your community; 3) identify your limits; and 4) engage in critical praxis to challenge and transform oppressive systems. This study sought to understand how professionals with marginalized identities perceive their persistence and the contexts and strategies that supported their career advancement. The study’s findings cite specific approaches and circumstances which supported participants’ persistence in student affairs. </w:t>
      </w:r>
    </w:p>
    <w:p w14:paraId="56EDEB3A"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highlighted special talents, valued characteristics, unique backgrounds, and specific influences from their family or culture that shaped their career experiences and allowed them to engage in student affairs work in creative and intentional ways. The presence and leadership style of professionals with marginalized identities provide invaluable elements of diversity and perspective to the workplace. Though institutions can benefit from the unique identity characteristics and perspectives professionals with marginalized identities bring to campus, </w:t>
      </w:r>
      <w:r>
        <w:rPr>
          <w:rFonts w:ascii="Times New Roman" w:eastAsia="Times New Roman" w:hAnsi="Times New Roman" w:cs="Times New Roman"/>
          <w:sz w:val="24"/>
          <w:szCs w:val="24"/>
          <w:highlight w:val="white"/>
        </w:rPr>
        <w:t xml:space="preserve">the field of student affairs continues to do harm by centering White, cisgender, masculine, heterosexual, able-bodied, nonindigenous, Western, and Christian perspectives in research and practice (Duran et al., 2022; Garland-Thomson, 2017; Kanagala &amp; Oliver, 2019; </w:t>
      </w:r>
      <w:r>
        <w:rPr>
          <w:rFonts w:ascii="Times New Roman" w:eastAsia="Times New Roman" w:hAnsi="Times New Roman" w:cs="Times New Roman"/>
          <w:sz w:val="24"/>
          <w:szCs w:val="24"/>
          <w:highlight w:val="white"/>
        </w:rPr>
        <w:lastRenderedPageBreak/>
        <w:t xml:space="preserve">Kortegast, 2021; Robbins, 2019; Singer &amp; Bacon, 2020). </w:t>
      </w:r>
      <w:r>
        <w:rPr>
          <w:rFonts w:ascii="Times New Roman" w:eastAsia="Times New Roman" w:hAnsi="Times New Roman" w:cs="Times New Roman"/>
          <w:sz w:val="24"/>
          <w:szCs w:val="24"/>
        </w:rPr>
        <w:t xml:space="preserve">Professionals with marginalized identities can disrupt this narrative by embracing their identity and cultural characteristics, questioning the norms within the student affairs profession, and challenging oppressive structures in higher education. </w:t>
      </w:r>
    </w:p>
    <w:p w14:paraId="0066025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influence of community and mentorship on participants’ experiences and persistence was significant. To find support and respite amid oppressive environments in higher education, practitioners with marginalized identities can identify colleagues with similar identities or those they trust on their campus. Developing relationships with these colleagues and leaning on them for support and guidance are key strategies to support persistence. Furthermore, connecting with professionals with similar identities and interests outside of one’s institution can also be beneficial. Jack explained how colleagues at other institutions can offer a varying perspective because they are “outside of the bubble.” This expansive network can also connect professionals with transformative mentorship. Unconditional support and thoughtful advice from various types of mentors can provide invaluable guidance for professionals with marginalized identities (Bazner, 2022; Blackshear &amp; Hollis, 2021; Boss &amp; Bravo, 2021; Gause, 2021).  </w:t>
      </w:r>
    </w:p>
    <w:p w14:paraId="64747727"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student affairs professionals with marginalized identities advance through their career, they must ensure they know themselves and their limitations. Identifying needs, setting boundaries, prioritizing wellbeing, strategizing career changes, and reflecting on purpose are ways participants supported their own persistence. Professionals with similar identities must reflect on what they need in terms of supervision, scheduling, and boundaries to support their job actualization and career success (DeCuir-Gunby et al., 2020; Marshall et al., 2016).  </w:t>
      </w:r>
    </w:p>
    <w:p w14:paraId="630C122C"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Professionals with marginalized identities can also engage in critical praxis to challenge and transform oppressive systems within student affairs and higher education. Some individuals </w:t>
      </w:r>
      <w:r>
        <w:rPr>
          <w:rFonts w:ascii="Times New Roman" w:eastAsia="Times New Roman" w:hAnsi="Times New Roman" w:cs="Times New Roman"/>
          <w:sz w:val="24"/>
          <w:szCs w:val="24"/>
        </w:rPr>
        <w:lastRenderedPageBreak/>
        <w:t xml:space="preserve">with marginalized identities have not yet recognized certain injustices and their cause, began to question the status quo, reconsidered their beliefs and worldview, and experienced true conscientization (Freire, 1970; 2014). When professionals with marginalized identities lack this level of critical consciousness, they can perpetuate oppressive systems and cause harm to those individuals with whom they work and supervise. Professionals with marginalized identities are encouraged to regularly reflect on their positionality and engage in critical praxis. </w:t>
      </w:r>
      <w:r>
        <w:rPr>
          <w:rFonts w:ascii="Times New Roman" w:eastAsia="Times New Roman" w:hAnsi="Times New Roman" w:cs="Times New Roman"/>
          <w:sz w:val="24"/>
          <w:szCs w:val="24"/>
          <w:highlight w:val="white"/>
        </w:rPr>
        <w:t xml:space="preserve">Critical praxis can involve confronting dominant narratives, disrupting power dynamics, resisting neoliberal forces, and employing the multiple examples of critical praxis cited in chapters four and five. </w:t>
      </w:r>
      <w:r>
        <w:rPr>
          <w:rFonts w:ascii="Times New Roman" w:eastAsia="Times New Roman" w:hAnsi="Times New Roman" w:cs="Times New Roman"/>
          <w:sz w:val="24"/>
          <w:szCs w:val="24"/>
        </w:rPr>
        <w:t xml:space="preserve">Some participants highlighted experiences of directly calling out oppressive or harmful comments and interactions. Other participants told of using their positionality and experiences to support others, effect change, or create environments where individuals with marginalized identities can thrive. </w:t>
      </w:r>
    </w:p>
    <w:p w14:paraId="612205A3"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Recommendations for Future Research</w:t>
      </w:r>
    </w:p>
    <w:p w14:paraId="713F2E61"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studies (Bazner; 2022; Boss &amp; Bravo, 2021; DeCuir-Gunby et al., 2020; Duran et al, 2022; Espino &amp; Ariza, 2022; </w:t>
      </w:r>
      <w:r>
        <w:rPr>
          <w:rFonts w:ascii="Times New Roman" w:eastAsia="Times New Roman" w:hAnsi="Times New Roman" w:cs="Times New Roman"/>
          <w:sz w:val="24"/>
          <w:szCs w:val="24"/>
          <w:highlight w:val="white"/>
        </w:rPr>
        <w:t xml:space="preserve">Gunzburger, 2017; </w:t>
      </w:r>
      <w:r>
        <w:rPr>
          <w:rFonts w:ascii="Times New Roman" w:eastAsia="Times New Roman" w:hAnsi="Times New Roman" w:cs="Times New Roman"/>
          <w:sz w:val="24"/>
          <w:szCs w:val="24"/>
        </w:rPr>
        <w:t xml:space="preserve">Jourian et al., 2015; </w:t>
      </w:r>
      <w:r>
        <w:rPr>
          <w:rFonts w:ascii="Times New Roman" w:eastAsia="Times New Roman" w:hAnsi="Times New Roman" w:cs="Times New Roman"/>
          <w:sz w:val="24"/>
          <w:szCs w:val="24"/>
          <w:highlight w:val="white"/>
        </w:rPr>
        <w:t xml:space="preserve">Kanagala &amp; Oliver, 2019; </w:t>
      </w:r>
      <w:r>
        <w:rPr>
          <w:rFonts w:ascii="Times New Roman" w:eastAsia="Times New Roman" w:hAnsi="Times New Roman" w:cs="Times New Roman"/>
          <w:sz w:val="24"/>
          <w:szCs w:val="24"/>
        </w:rPr>
        <w:t xml:space="preserve">Kortegast, 2021; Pertuz, 2017; </w:t>
      </w:r>
      <w:r>
        <w:rPr>
          <w:rFonts w:ascii="Times New Roman" w:eastAsia="Times New Roman" w:hAnsi="Times New Roman" w:cs="Times New Roman"/>
          <w:sz w:val="24"/>
          <w:szCs w:val="24"/>
          <w:highlight w:val="white"/>
        </w:rPr>
        <w:t>Wesley, 2018</w:t>
      </w:r>
      <w:r>
        <w:rPr>
          <w:rFonts w:ascii="Times New Roman" w:eastAsia="Times New Roman" w:hAnsi="Times New Roman" w:cs="Times New Roman"/>
          <w:sz w:val="24"/>
          <w:szCs w:val="24"/>
        </w:rPr>
        <w:t>) have explored the experiences of student affairs professionals with marginalized identities and their treatment, minimal research exists on the experiences of professionals with marginalized identities who persist and reach senior-level roles and the contexts and strategies that supported their career advancement. To fill this gap in the research, I sought to understand the ways in which senior student affairs professionals with marginalized identities perceive their career persistence. I offer several recommendations for future research that could complement or expand this study.</w:t>
      </w:r>
    </w:p>
    <w:p w14:paraId="1FE33C39"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This study was intentionally designed to explore the experiences of those who have been historically marginalized within Western society and education. Study participants hold a variety of backgrounds and various gender, racial, and sexual orientation identities; however, not all marginalized identities are represented in this study, nor do this study’s participants speak for every member of the marginalized communities in which they exist. Additionally, though participants work at varying institutions, hold distinct positions, and reside in different geographical regions, not all higher education settings and structures were represented. This study could be replicated to include additional, yet diverse perspectives, from professionals whose identities were represented, along with professionals from different institution types, geographic locations, or marginalized communities not previously represented. This may yield different or additional findings, or increase the credibility of the study findings. The study could also be replicated as a longitudinal, quantitative or mixed-methods study to better understand how experiences of student affairs professionals with marginalized identities and their persistence influences overall retention and career progression.     </w:t>
      </w:r>
    </w:p>
    <w:p w14:paraId="6B8A094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better understand the specific experiences of a particular marginalized group, the study could also be replicated and the population narrowed to a certain identity or community. As mentioned previously, the women who participated in this study had distinct career experiences specifically related to motherhood or gender. Further exploration of the experiences of women with compounding marginalized identities is needed. Additionally, a comparative study could be designed to focus on specific geographic regions or institution types to better understand how these settings and contexts influence the experiences and persistence of student affairs professionals with marginalized identities. Lastly, while this study focused on current senior student affairs professionals, future research should consider engaging retired </w:t>
      </w:r>
      <w:r>
        <w:rPr>
          <w:rFonts w:ascii="Times New Roman" w:eastAsia="Times New Roman" w:hAnsi="Times New Roman" w:cs="Times New Roman"/>
          <w:sz w:val="24"/>
          <w:szCs w:val="24"/>
        </w:rPr>
        <w:lastRenderedPageBreak/>
        <w:t xml:space="preserve">professionals to increase the understanding of how professionals with marginalized identities experience and persist through student affairs. Since student affairs is one of many functional areas in higher education, a comparative study focusing on institutional presidents and chancellors with marginalized identities could provide more expansive perspectives on how diverse professionals persist and reach pinnacle positions within higher education.  </w:t>
      </w:r>
    </w:p>
    <w:p w14:paraId="2993004D"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077F4818"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chapter, I provided a summary of the findings and discussed how they connect to the literature review and the conceptual framework, critical praxis in student affairs. The study findings are consistent with existing research on the experiences of professionals with marginalized identities in higher education. Participants have been the first or only (or both) person with marginalized identities at their institutions or in their departments, divisions, or certain leadership positions. They have encountered oppression, internalized oppression, and identity and cultural conflicts. Participants have also determined the strategies and contexts that support their career persistence. They emphasized their need to challenge oppression, rely on their community, strategize their role and decision making, and prioritize boundaries to reach their current position. Findings from this study provide implications for student affairs professionals with marginalized identities who wish to persist through their career and attain a senior-level position. Study findings also provide implications for non-marginalized administrators, colleagues, and supervisors who can assist in dismantling oppressive structures within higher education.  </w:t>
      </w:r>
    </w:p>
    <w:p w14:paraId="38FD6416"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and professionals with marginalized identities are reimagining student affairs and what it means to succeed in higher education. They are breaking institutional glass ceilings and serving as representation and inspiration for students and fellow professionals from diverse </w:t>
      </w:r>
      <w:r>
        <w:rPr>
          <w:rFonts w:ascii="Times New Roman" w:eastAsia="Times New Roman" w:hAnsi="Times New Roman" w:cs="Times New Roman"/>
          <w:sz w:val="24"/>
          <w:szCs w:val="24"/>
        </w:rPr>
        <w:lastRenderedPageBreak/>
        <w:t xml:space="preserve">or underrepresented backgrounds. Through their authenticity, boundary-settings, care for others, and willingness to challenge oppression, professionals with marginalized identities are revolutionizing workplace environments, student experiences, and higher education institutions.     </w:t>
      </w:r>
    </w:p>
    <w:p w14:paraId="6BF56FA3" w14:textId="77777777" w:rsidR="001510DC"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Moving forward, institutional leaders and student affairs professionals must acknowledge that professionals with marginalized identities cannot transform campuses on their own. While personal support strategies related to boundaries and relationships can be implemented, the future success of professionals (and students) with marginalized identities within higher education relies on faculty, staff, and administrators engaging in critical praxis at all levels. With more professionals intentionally engaging in critical praxis and challenging systems of oppression at their institution, professionals with marginalized identities should have more opportunities to thrive and advance within student affairs.</w:t>
      </w:r>
    </w:p>
    <w:p w14:paraId="41C8C3A4" w14:textId="77777777" w:rsidR="001510DC" w:rsidRDefault="001510DC">
      <w:pPr>
        <w:spacing w:line="480" w:lineRule="auto"/>
        <w:rPr>
          <w:rFonts w:ascii="Times New Roman" w:eastAsia="Times New Roman" w:hAnsi="Times New Roman" w:cs="Times New Roman"/>
          <w:sz w:val="24"/>
          <w:szCs w:val="24"/>
        </w:rPr>
      </w:pPr>
    </w:p>
    <w:p w14:paraId="4E0634FB" w14:textId="77777777" w:rsidR="001510DC" w:rsidRDefault="001510DC">
      <w:pPr>
        <w:spacing w:after="160" w:line="259" w:lineRule="auto"/>
        <w:rPr>
          <w:rFonts w:ascii="Times New Roman" w:eastAsia="Times New Roman" w:hAnsi="Times New Roman" w:cs="Times New Roman"/>
          <w:sz w:val="24"/>
          <w:szCs w:val="24"/>
        </w:rPr>
      </w:pPr>
    </w:p>
    <w:p w14:paraId="5F2B692F" w14:textId="77777777" w:rsidR="001510DC" w:rsidRDefault="001510DC">
      <w:pPr>
        <w:spacing w:after="160" w:line="259" w:lineRule="auto"/>
        <w:rPr>
          <w:rFonts w:ascii="Times New Roman" w:eastAsia="Times New Roman" w:hAnsi="Times New Roman" w:cs="Times New Roman"/>
          <w:sz w:val="24"/>
          <w:szCs w:val="24"/>
        </w:rPr>
      </w:pPr>
    </w:p>
    <w:p w14:paraId="1F6F0E69" w14:textId="77777777" w:rsidR="001510DC" w:rsidRDefault="00000000">
      <w:pPr>
        <w:spacing w:line="480" w:lineRule="auto"/>
        <w:jc w:val="center"/>
        <w:rPr>
          <w:rFonts w:ascii="Times New Roman" w:eastAsia="Times New Roman" w:hAnsi="Times New Roman" w:cs="Times New Roman"/>
          <w:b/>
          <w:sz w:val="24"/>
          <w:szCs w:val="24"/>
        </w:rPr>
      </w:pPr>
      <w:r>
        <w:br w:type="page"/>
      </w:r>
    </w:p>
    <w:p w14:paraId="02889FED" w14:textId="77777777" w:rsidR="001510D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References</w:t>
      </w:r>
    </w:p>
    <w:p w14:paraId="4E6BE90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Ahmed, S. K. (2024). The pillars of trustworthiness in qualitative research. </w:t>
      </w:r>
      <w:r w:rsidRPr="00A0345A">
        <w:rPr>
          <w:rFonts w:ascii="Times New Roman" w:eastAsia="Times New Roman" w:hAnsi="Times New Roman" w:cs="Times New Roman"/>
          <w:i/>
          <w:sz w:val="24"/>
          <w:szCs w:val="24"/>
        </w:rPr>
        <w:t>Journal of Medicine, </w:t>
      </w:r>
    </w:p>
    <w:p w14:paraId="1CD8095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Surgery, and Public Health,</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w:t>
      </w:r>
      <w:r w:rsidRPr="00A0345A">
        <w:rPr>
          <w:rFonts w:ascii="Times New Roman" w:eastAsia="Times New Roman" w:hAnsi="Times New Roman" w:cs="Times New Roman"/>
          <w:sz w:val="24"/>
          <w:szCs w:val="24"/>
        </w:rPr>
        <w:t xml:space="preserve">, 100051-. </w:t>
      </w:r>
      <w:hyperlink r:id="rId19">
        <w:r w:rsidR="001510DC" w:rsidRPr="00A0345A">
          <w:rPr>
            <w:rFonts w:ascii="Times New Roman" w:eastAsia="Times New Roman" w:hAnsi="Times New Roman" w:cs="Times New Roman"/>
            <w:sz w:val="24"/>
            <w:szCs w:val="24"/>
            <w:u w:val="single"/>
          </w:rPr>
          <w:t>https://doi.org/10.1016/j.glmedi.2024.100051</w:t>
        </w:r>
      </w:hyperlink>
      <w:r w:rsidRPr="00A0345A">
        <w:rPr>
          <w:rFonts w:ascii="Times New Roman" w:eastAsia="Times New Roman" w:hAnsi="Times New Roman" w:cs="Times New Roman"/>
          <w:sz w:val="24"/>
          <w:szCs w:val="24"/>
        </w:rPr>
        <w:t xml:space="preserve">  </w:t>
      </w:r>
    </w:p>
    <w:p w14:paraId="26EB1DE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Alase, A. (2017). The interpretative phenomenological analysis (IPA): A guide to a good </w:t>
      </w:r>
    </w:p>
    <w:p w14:paraId="24E62153"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qualitative research approach.</w:t>
      </w:r>
      <w:r w:rsidRPr="00A0345A">
        <w:rPr>
          <w:rFonts w:ascii="Times New Roman" w:eastAsia="Times New Roman" w:hAnsi="Times New Roman" w:cs="Times New Roman"/>
          <w:i/>
          <w:sz w:val="24"/>
          <w:szCs w:val="24"/>
        </w:rPr>
        <w:t xml:space="preserve"> International Journal of Education and Literacy Studies,</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5</w:t>
      </w:r>
      <w:r w:rsidRPr="00A0345A">
        <w:rPr>
          <w:rFonts w:ascii="Times New Roman" w:eastAsia="Times New Roman" w:hAnsi="Times New Roman" w:cs="Times New Roman"/>
          <w:sz w:val="24"/>
          <w:szCs w:val="24"/>
        </w:rPr>
        <w:t xml:space="preserve">(2), 9–19. </w:t>
      </w:r>
      <w:hyperlink r:id="rId20">
        <w:proofErr w:type="gramStart"/>
        <w:r w:rsidR="001510DC" w:rsidRPr="00A0345A">
          <w:rPr>
            <w:rFonts w:ascii="Times New Roman" w:eastAsia="Times New Roman" w:hAnsi="Times New Roman" w:cs="Times New Roman"/>
            <w:sz w:val="24"/>
            <w:szCs w:val="24"/>
            <w:u w:val="single"/>
          </w:rPr>
          <w:t>doi:10.7575/aiac.ijels</w:t>
        </w:r>
        <w:proofErr w:type="gramEnd"/>
        <w:r w:rsidR="001510DC" w:rsidRPr="00A0345A">
          <w:rPr>
            <w:rFonts w:ascii="Times New Roman" w:eastAsia="Times New Roman" w:hAnsi="Times New Roman" w:cs="Times New Roman"/>
            <w:sz w:val="24"/>
            <w:szCs w:val="24"/>
            <w:u w:val="single"/>
          </w:rPr>
          <w:t xml:space="preserve">.v.5n.2p.9 </w:t>
        </w:r>
      </w:hyperlink>
    </w:p>
    <w:p w14:paraId="2B9925C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American Association of Community Colleges. (2020).</w:t>
      </w:r>
      <w:r w:rsidRPr="00A0345A">
        <w:rPr>
          <w:rFonts w:ascii="Times New Roman" w:eastAsia="Times New Roman" w:hAnsi="Times New Roman" w:cs="Times New Roman"/>
          <w:i/>
          <w:sz w:val="24"/>
          <w:szCs w:val="24"/>
        </w:rPr>
        <w:t xml:space="preserve"> Fast facts</w:t>
      </w:r>
      <w:r w:rsidRPr="00A0345A">
        <w:rPr>
          <w:rFonts w:ascii="Times New Roman" w:eastAsia="Times New Roman" w:hAnsi="Times New Roman" w:cs="Times New Roman"/>
          <w:sz w:val="24"/>
          <w:szCs w:val="24"/>
        </w:rPr>
        <w:t>. https://www.aacc. </w:t>
      </w:r>
    </w:p>
    <w:p w14:paraId="2D4BE93D" w14:textId="77777777" w:rsidR="001510DC" w:rsidRPr="00A0345A" w:rsidRDefault="00000000">
      <w:pPr>
        <w:spacing w:line="480" w:lineRule="auto"/>
        <w:ind w:firstLine="720"/>
        <w:rPr>
          <w:rFonts w:ascii="Times New Roman" w:eastAsia="Times New Roman" w:hAnsi="Times New Roman" w:cs="Times New Roman"/>
          <w:sz w:val="24"/>
          <w:szCs w:val="24"/>
        </w:rPr>
      </w:pPr>
      <w:hyperlink r:id="rId21">
        <w:r w:rsidR="001510DC" w:rsidRPr="00A0345A">
          <w:rPr>
            <w:rFonts w:ascii="Times New Roman" w:eastAsia="Times New Roman" w:hAnsi="Times New Roman" w:cs="Times New Roman"/>
            <w:sz w:val="24"/>
            <w:szCs w:val="24"/>
            <w:u w:val="single"/>
          </w:rPr>
          <w:t>nche.edu/wp-content/uploads/2020/03/AACC_Fast_Facts_2020_Final.</w:t>
        </w:r>
      </w:hyperlink>
      <w:hyperlink r:id="rId22">
        <w:r w:rsidR="001510DC" w:rsidRPr="00A0345A">
          <w:rPr>
            <w:rFonts w:ascii="Times New Roman" w:eastAsia="Times New Roman" w:hAnsi="Times New Roman" w:cs="Times New Roman"/>
            <w:sz w:val="24"/>
            <w:szCs w:val="24"/>
            <w:u w:val="single"/>
          </w:rPr>
          <w:t>pdf</w:t>
        </w:r>
      </w:hyperlink>
      <w:r w:rsidR="001510DC" w:rsidRPr="00A0345A">
        <w:rPr>
          <w:rFonts w:ascii="Times New Roman" w:eastAsia="Times New Roman" w:hAnsi="Times New Roman" w:cs="Times New Roman"/>
          <w:sz w:val="24"/>
          <w:szCs w:val="24"/>
        </w:rPr>
        <w:t xml:space="preserve"> </w:t>
      </w:r>
    </w:p>
    <w:p w14:paraId="543F92B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American Council on Education. (2023). </w:t>
      </w:r>
      <w:r w:rsidRPr="00A0345A">
        <w:rPr>
          <w:rFonts w:ascii="Times New Roman" w:eastAsia="Times New Roman" w:hAnsi="Times New Roman" w:cs="Times New Roman"/>
          <w:i/>
          <w:sz w:val="24"/>
          <w:szCs w:val="24"/>
        </w:rPr>
        <w:t>The American college president: 2023 edition. </w:t>
      </w:r>
    </w:p>
    <w:p w14:paraId="25ED44BD"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https://www.acenet.edu/Documents/American-College-President-IX-2023.pdf </w:t>
      </w:r>
    </w:p>
    <w:p w14:paraId="1A72C59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Anzaldúa, G., &amp; Keating, A. (Eds.). (2002). </w:t>
      </w:r>
      <w:r w:rsidRPr="00A0345A">
        <w:rPr>
          <w:rFonts w:ascii="Times New Roman" w:eastAsia="Times New Roman" w:hAnsi="Times New Roman" w:cs="Times New Roman"/>
          <w:i/>
          <w:sz w:val="24"/>
          <w:szCs w:val="24"/>
        </w:rPr>
        <w:t>This bridge we call home: Radical visions for </w:t>
      </w:r>
    </w:p>
    <w:p w14:paraId="40136E9A"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transformation.</w:t>
      </w:r>
      <w:r w:rsidRPr="00A0345A">
        <w:rPr>
          <w:rFonts w:ascii="Times New Roman" w:eastAsia="Times New Roman" w:hAnsi="Times New Roman" w:cs="Times New Roman"/>
          <w:sz w:val="24"/>
          <w:szCs w:val="24"/>
        </w:rPr>
        <w:t xml:space="preserve"> Routledge.</w:t>
      </w:r>
    </w:p>
    <w:p w14:paraId="4486D2A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Bañales, J., Marchand, A. D., Skinner, O. D., Anyiwo, N., Rowley, S. J., &amp; Kurtz-Costes, B. </w:t>
      </w:r>
    </w:p>
    <w:p w14:paraId="034B2550"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(2020). Black adolescents’ critical reflection development: Parents’ racial socialization and attributions about race achievement gaps. </w:t>
      </w:r>
      <w:r w:rsidRPr="00A0345A">
        <w:rPr>
          <w:rFonts w:ascii="Times New Roman" w:eastAsia="Times New Roman" w:hAnsi="Times New Roman" w:cs="Times New Roman"/>
          <w:i/>
          <w:sz w:val="24"/>
          <w:szCs w:val="24"/>
        </w:rPr>
        <w:t>Journal of Research on Adolescence</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30,</w:t>
      </w:r>
      <w:r w:rsidRPr="00A0345A">
        <w:rPr>
          <w:rFonts w:ascii="Times New Roman" w:eastAsia="Times New Roman" w:hAnsi="Times New Roman" w:cs="Times New Roman"/>
          <w:sz w:val="24"/>
          <w:szCs w:val="24"/>
        </w:rPr>
        <w:t xml:space="preserve"> 403–417</w:t>
      </w:r>
    </w:p>
    <w:p w14:paraId="74E311B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Bazner, K. J. (2022). Views from the middle: Racialized experiences of mid level student affairs </w:t>
      </w:r>
    </w:p>
    <w:p w14:paraId="462BF818"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administrators. </w:t>
      </w:r>
      <w:r w:rsidRPr="00A0345A">
        <w:rPr>
          <w:rFonts w:ascii="Times New Roman" w:eastAsia="Times New Roman" w:hAnsi="Times New Roman" w:cs="Times New Roman"/>
          <w:i/>
          <w:sz w:val="24"/>
          <w:szCs w:val="24"/>
        </w:rPr>
        <w:t>Journal of Diversity in Higher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15</w:t>
      </w:r>
      <w:r w:rsidRPr="00A0345A">
        <w:rPr>
          <w:rFonts w:ascii="Times New Roman" w:eastAsia="Times New Roman" w:hAnsi="Times New Roman" w:cs="Times New Roman"/>
          <w:sz w:val="24"/>
          <w:szCs w:val="24"/>
        </w:rPr>
        <w:t xml:space="preserve">(5), 572–582. </w:t>
      </w:r>
      <w:hyperlink r:id="rId23">
        <w:r w:rsidR="001510DC" w:rsidRPr="00A0345A">
          <w:rPr>
            <w:rFonts w:ascii="Times New Roman" w:eastAsia="Times New Roman" w:hAnsi="Times New Roman" w:cs="Times New Roman"/>
            <w:sz w:val="24"/>
            <w:szCs w:val="24"/>
            <w:u w:val="single"/>
          </w:rPr>
          <w:t>https://doi.org/10.1037/dhe0000384</w:t>
        </w:r>
      </w:hyperlink>
    </w:p>
    <w:p w14:paraId="1FD9944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Bell, L. A. (2016). Theoretical foundations for social justice education. In M. Adams &amp; L. A. </w:t>
      </w:r>
    </w:p>
    <w:p w14:paraId="791B10CE"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Bell (Eds.), </w:t>
      </w:r>
      <w:r w:rsidRPr="00A0345A">
        <w:rPr>
          <w:rFonts w:ascii="Times New Roman" w:eastAsia="Times New Roman" w:hAnsi="Times New Roman" w:cs="Times New Roman"/>
          <w:i/>
          <w:sz w:val="24"/>
          <w:szCs w:val="24"/>
          <w:highlight w:val="white"/>
        </w:rPr>
        <w:t>Teaching for diversity &amp; social justice</w:t>
      </w:r>
      <w:r w:rsidRPr="00A0345A">
        <w:rPr>
          <w:rFonts w:ascii="Times New Roman" w:eastAsia="Times New Roman" w:hAnsi="Times New Roman" w:cs="Times New Roman"/>
          <w:sz w:val="24"/>
          <w:szCs w:val="24"/>
          <w:highlight w:val="white"/>
        </w:rPr>
        <w:t xml:space="preserve"> (3rd ed., pp. 3– 26). Routledge.</w:t>
      </w:r>
    </w:p>
    <w:p w14:paraId="1E60AFF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Bevan, M. T. (2014). A method of phenomenological interviewing. </w:t>
      </w:r>
      <w:r w:rsidRPr="00A0345A">
        <w:rPr>
          <w:rFonts w:ascii="Times New Roman" w:eastAsia="Times New Roman" w:hAnsi="Times New Roman" w:cs="Times New Roman"/>
          <w:i/>
          <w:sz w:val="24"/>
          <w:szCs w:val="24"/>
        </w:rPr>
        <w:t>Qualitative health research, </w:t>
      </w:r>
    </w:p>
    <w:p w14:paraId="7E4A62D3"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24</w:t>
      </w:r>
      <w:r w:rsidRPr="00A0345A">
        <w:rPr>
          <w:rFonts w:ascii="Times New Roman" w:eastAsia="Times New Roman" w:hAnsi="Times New Roman" w:cs="Times New Roman"/>
          <w:sz w:val="24"/>
          <w:szCs w:val="24"/>
        </w:rPr>
        <w:t>(1), 136-144.</w:t>
      </w:r>
    </w:p>
    <w:p w14:paraId="06BE344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 xml:space="preserve">Birt, L., Scott, S., Cavers, D., Campbell, C., &amp; Walter, F. (2016). Member checking: A tool to  </w:t>
      </w:r>
    </w:p>
    <w:p w14:paraId="49E8A31E"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enhance trustworthiness or merely a nod to validation? </w:t>
      </w:r>
      <w:r w:rsidRPr="00A0345A">
        <w:rPr>
          <w:rFonts w:ascii="Times New Roman" w:eastAsia="Times New Roman" w:hAnsi="Times New Roman" w:cs="Times New Roman"/>
          <w:i/>
          <w:sz w:val="24"/>
          <w:szCs w:val="24"/>
        </w:rPr>
        <w:t>Qualitative Health Research, 26</w:t>
      </w:r>
      <w:r w:rsidRPr="00A0345A">
        <w:rPr>
          <w:rFonts w:ascii="Times New Roman" w:eastAsia="Times New Roman" w:hAnsi="Times New Roman" w:cs="Times New Roman"/>
          <w:sz w:val="24"/>
          <w:szCs w:val="24"/>
        </w:rPr>
        <w:t xml:space="preserve">(13), 1802–1811. </w:t>
      </w:r>
      <w:hyperlink r:id="rId24">
        <w:r w:rsidR="001510DC" w:rsidRPr="00A0345A">
          <w:rPr>
            <w:rFonts w:ascii="Times New Roman" w:eastAsia="Times New Roman" w:hAnsi="Times New Roman" w:cs="Times New Roman"/>
            <w:sz w:val="24"/>
            <w:szCs w:val="24"/>
            <w:u w:val="single"/>
          </w:rPr>
          <w:t>https://doi.org/10.1177/1049732316654870</w:t>
        </w:r>
      </w:hyperlink>
    </w:p>
    <w:p w14:paraId="7CC6A47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Blackshear, T., &amp; Hollis, L. P. (2021). Despite the place, can’t escape gender and race: Black </w:t>
      </w:r>
    </w:p>
    <w:p w14:paraId="6BA15382"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women’s faculty experiences at PWIs and HBCUs. </w:t>
      </w:r>
      <w:r w:rsidRPr="00A0345A">
        <w:rPr>
          <w:rFonts w:ascii="Times New Roman" w:eastAsia="Times New Roman" w:hAnsi="Times New Roman" w:cs="Times New Roman"/>
          <w:i/>
          <w:sz w:val="24"/>
          <w:szCs w:val="24"/>
          <w:highlight w:val="white"/>
        </w:rPr>
        <w:t>The Journal of Culture and Education, 20</w:t>
      </w:r>
      <w:r w:rsidRPr="00A0345A">
        <w:rPr>
          <w:rFonts w:ascii="Times New Roman" w:eastAsia="Times New Roman" w:hAnsi="Times New Roman" w:cs="Times New Roman"/>
          <w:sz w:val="24"/>
          <w:szCs w:val="24"/>
          <w:highlight w:val="white"/>
        </w:rPr>
        <w:t>(1), 3.</w:t>
      </w:r>
    </w:p>
    <w:p w14:paraId="270D850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Bondestam, F., &amp; Lundqvist, M. (2020). Sexual harassment in higher education–a systematic </w:t>
      </w:r>
    </w:p>
    <w:p w14:paraId="4CB65A6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review. </w:t>
      </w:r>
      <w:r w:rsidRPr="00A0345A">
        <w:rPr>
          <w:rFonts w:ascii="Times New Roman" w:eastAsia="Times New Roman" w:hAnsi="Times New Roman" w:cs="Times New Roman"/>
          <w:i/>
          <w:sz w:val="24"/>
          <w:szCs w:val="24"/>
          <w:highlight w:val="white"/>
        </w:rPr>
        <w:t>European Journal of Higher Education</w:t>
      </w:r>
      <w:r w:rsidRPr="00A0345A">
        <w:rPr>
          <w:rFonts w:ascii="Times New Roman" w:eastAsia="Times New Roman" w:hAnsi="Times New Roman" w:cs="Times New Roman"/>
          <w:sz w:val="24"/>
          <w:szCs w:val="24"/>
          <w:highlight w:val="white"/>
        </w:rPr>
        <w:t>, </w:t>
      </w:r>
      <w:r w:rsidRPr="00A0345A">
        <w:rPr>
          <w:rFonts w:ascii="Times New Roman" w:eastAsia="Times New Roman" w:hAnsi="Times New Roman" w:cs="Times New Roman"/>
          <w:i/>
          <w:sz w:val="24"/>
          <w:szCs w:val="24"/>
          <w:highlight w:val="white"/>
        </w:rPr>
        <w:t>10</w:t>
      </w:r>
      <w:r w:rsidRPr="00A0345A">
        <w:rPr>
          <w:rFonts w:ascii="Times New Roman" w:eastAsia="Times New Roman" w:hAnsi="Times New Roman" w:cs="Times New Roman"/>
          <w:sz w:val="24"/>
          <w:szCs w:val="24"/>
          <w:highlight w:val="white"/>
        </w:rPr>
        <w:t>(4), 397-419.</w:t>
      </w:r>
    </w:p>
    <w:p w14:paraId="0AB705F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Boss, G. J., &amp; Bravo, N. (2021). (EN)counterspaces: An analysis of working conditions for </w:t>
      </w:r>
    </w:p>
    <w:p w14:paraId="2A6CF22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student affairs Professionals of Color in an un-ideal world. In</w:t>
      </w:r>
      <w:r w:rsidRPr="00A0345A">
        <w:rPr>
          <w:rFonts w:ascii="Times New Roman" w:eastAsia="Times New Roman" w:hAnsi="Times New Roman" w:cs="Times New Roman"/>
          <w:i/>
          <w:sz w:val="24"/>
          <w:szCs w:val="24"/>
          <w:highlight w:val="white"/>
        </w:rPr>
        <w:t xml:space="preserve"> Creating Sustainable </w:t>
      </w:r>
    </w:p>
    <w:p w14:paraId="3092B40F"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t xml:space="preserve">Careers in Student Affairs </w:t>
      </w:r>
      <w:r w:rsidRPr="00A0345A">
        <w:rPr>
          <w:rFonts w:ascii="Times New Roman" w:eastAsia="Times New Roman" w:hAnsi="Times New Roman" w:cs="Times New Roman"/>
          <w:sz w:val="24"/>
          <w:szCs w:val="24"/>
          <w:highlight w:val="white"/>
        </w:rPr>
        <w:t>(1st ed., pp. 201–217). Routledge. </w:t>
      </w:r>
    </w:p>
    <w:p w14:paraId="071280E3" w14:textId="77777777" w:rsidR="001510DC" w:rsidRPr="00A0345A" w:rsidRDefault="00000000">
      <w:pPr>
        <w:spacing w:line="480" w:lineRule="auto"/>
        <w:ind w:firstLine="720"/>
        <w:rPr>
          <w:rFonts w:ascii="Times New Roman" w:eastAsia="Times New Roman" w:hAnsi="Times New Roman" w:cs="Times New Roman"/>
          <w:sz w:val="24"/>
          <w:szCs w:val="24"/>
        </w:rPr>
      </w:pPr>
      <w:hyperlink r:id="rId25">
        <w:r w:rsidR="001510DC" w:rsidRPr="00A0345A">
          <w:rPr>
            <w:rFonts w:ascii="Times New Roman" w:eastAsia="Times New Roman" w:hAnsi="Times New Roman" w:cs="Times New Roman"/>
            <w:sz w:val="24"/>
            <w:szCs w:val="24"/>
            <w:highlight w:val="white"/>
            <w:u w:val="single"/>
          </w:rPr>
          <w:t>https://doi.org/10.4324/9781003443834-14</w:t>
        </w:r>
      </w:hyperlink>
    </w:p>
    <w:p w14:paraId="6BE74B5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Bourdieu, P., &amp; Passeron, J. C. (1990). Reproduction in education, society and culture (Vol. 4). </w:t>
      </w:r>
    </w:p>
    <w:p w14:paraId="234268BB" w14:textId="77777777" w:rsidR="001510DC" w:rsidRPr="00A0345A" w:rsidRDefault="00000000">
      <w:pPr>
        <w:spacing w:line="480" w:lineRule="auto"/>
        <w:ind w:firstLine="720"/>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rPr>
        <w:t xml:space="preserve">Sage.  </w:t>
      </w:r>
    </w:p>
    <w:p w14:paraId="45B887D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Brookfield, S. D. (2019).</w:t>
      </w:r>
      <w:r w:rsidRPr="00A0345A">
        <w:rPr>
          <w:rFonts w:ascii="Times New Roman" w:eastAsia="Times New Roman" w:hAnsi="Times New Roman" w:cs="Times New Roman"/>
          <w:i/>
          <w:sz w:val="24"/>
          <w:szCs w:val="24"/>
          <w:highlight w:val="white"/>
        </w:rPr>
        <w:t xml:space="preserve"> Teaching race: How to help students unmask and challenge racism. </w:t>
      </w:r>
    </w:p>
    <w:p w14:paraId="53409FB2"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Jossey-Bass.</w:t>
      </w:r>
    </w:p>
    <w:p w14:paraId="713B3FE9" w14:textId="77777777" w:rsidR="001510DC" w:rsidRPr="00A0345A" w:rsidRDefault="00000000">
      <w:pPr>
        <w:spacing w:line="480" w:lineRule="auto"/>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 xml:space="preserve">Brooms, D. (2020). It’s the person, but then the environment, too: Black and Latino males’ </w:t>
      </w:r>
    </w:p>
    <w:p w14:paraId="090FBC18" w14:textId="77777777" w:rsidR="001510DC" w:rsidRPr="00A0345A" w:rsidRDefault="00000000">
      <w:pPr>
        <w:spacing w:line="480" w:lineRule="auto"/>
        <w:ind w:left="720"/>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narrative about their college success. Sociology of Race and Ethnicity,</w:t>
      </w:r>
      <w:r w:rsidRPr="00A0345A">
        <w:rPr>
          <w:rFonts w:ascii="Times New Roman" w:eastAsia="Times New Roman" w:hAnsi="Times New Roman" w:cs="Times New Roman"/>
          <w:i/>
          <w:sz w:val="24"/>
          <w:szCs w:val="24"/>
          <w:highlight w:val="white"/>
        </w:rPr>
        <w:t xml:space="preserve"> 6</w:t>
      </w:r>
      <w:r w:rsidRPr="00A0345A">
        <w:rPr>
          <w:rFonts w:ascii="Times New Roman" w:eastAsia="Times New Roman" w:hAnsi="Times New Roman" w:cs="Times New Roman"/>
          <w:sz w:val="24"/>
          <w:szCs w:val="24"/>
          <w:highlight w:val="white"/>
        </w:rPr>
        <w:t xml:space="preserve">(2), 195-208. </w:t>
      </w:r>
      <w:hyperlink r:id="rId26">
        <w:r w:rsidR="001510DC" w:rsidRPr="00A0345A">
          <w:rPr>
            <w:rFonts w:ascii="Times New Roman" w:eastAsia="Times New Roman" w:hAnsi="Times New Roman" w:cs="Times New Roman"/>
            <w:sz w:val="24"/>
            <w:szCs w:val="24"/>
            <w:highlight w:val="white"/>
            <w:u w:val="single"/>
          </w:rPr>
          <w:t>https://doi.org/10.1177/2332649219884339</w:t>
        </w:r>
      </w:hyperlink>
      <w:r w:rsidRPr="00A0345A">
        <w:rPr>
          <w:rFonts w:ascii="Times New Roman" w:eastAsia="Times New Roman" w:hAnsi="Times New Roman" w:cs="Times New Roman"/>
          <w:sz w:val="24"/>
          <w:szCs w:val="24"/>
          <w:highlight w:val="white"/>
        </w:rPr>
        <w:t xml:space="preserve"> </w:t>
      </w:r>
    </w:p>
    <w:p w14:paraId="3BAF8E28" w14:textId="77777777" w:rsidR="001510DC" w:rsidRPr="00A0345A" w:rsidRDefault="00000000">
      <w:pPr>
        <w:spacing w:line="480" w:lineRule="auto"/>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 xml:space="preserve">Brooms, D. R., &amp; Davis, A. R. (2017). Staying focused on the goal: Peer bonding and faculty </w:t>
      </w:r>
    </w:p>
    <w:p w14:paraId="58ED592A" w14:textId="77777777" w:rsidR="001510DC" w:rsidRPr="00A0345A" w:rsidRDefault="00000000">
      <w:pPr>
        <w:spacing w:line="480" w:lineRule="auto"/>
        <w:ind w:left="720"/>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 xml:space="preserve">mentors supporting Black males’ persistence in college. Journal of Black Studies, </w:t>
      </w:r>
      <w:r w:rsidRPr="00A0345A">
        <w:rPr>
          <w:rFonts w:ascii="Times New Roman" w:eastAsia="Times New Roman" w:hAnsi="Times New Roman" w:cs="Times New Roman"/>
          <w:i/>
          <w:sz w:val="24"/>
          <w:szCs w:val="24"/>
          <w:highlight w:val="white"/>
        </w:rPr>
        <w:t>48</w:t>
      </w:r>
      <w:r w:rsidRPr="00A0345A">
        <w:rPr>
          <w:rFonts w:ascii="Times New Roman" w:eastAsia="Times New Roman" w:hAnsi="Times New Roman" w:cs="Times New Roman"/>
          <w:sz w:val="24"/>
          <w:szCs w:val="24"/>
          <w:highlight w:val="white"/>
        </w:rPr>
        <w:t xml:space="preserve">(3), 305-326. </w:t>
      </w:r>
      <w:hyperlink r:id="rId27">
        <w:r w:rsidR="001510DC" w:rsidRPr="00A0345A">
          <w:rPr>
            <w:rFonts w:ascii="Times New Roman" w:eastAsia="Times New Roman" w:hAnsi="Times New Roman" w:cs="Times New Roman"/>
            <w:sz w:val="24"/>
            <w:szCs w:val="24"/>
            <w:highlight w:val="white"/>
            <w:u w:val="single"/>
          </w:rPr>
          <w:t>https://doi.org/10.1177/0021934717692520</w:t>
        </w:r>
      </w:hyperlink>
      <w:r w:rsidRPr="00A0345A">
        <w:rPr>
          <w:rFonts w:ascii="Times New Roman" w:eastAsia="Times New Roman" w:hAnsi="Times New Roman" w:cs="Times New Roman"/>
          <w:sz w:val="24"/>
          <w:szCs w:val="24"/>
          <w:highlight w:val="white"/>
        </w:rPr>
        <w:t xml:space="preserve"> </w:t>
      </w:r>
    </w:p>
    <w:p w14:paraId="248288C9"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Bryan, N. (2017). White teachers’ role in sustaining the school-to-prison pipeline: </w:t>
      </w:r>
    </w:p>
    <w:p w14:paraId="3EC6496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lastRenderedPageBreak/>
        <w:t xml:space="preserve">Recommendations for teacher education. </w:t>
      </w:r>
      <w:r w:rsidRPr="00A0345A">
        <w:rPr>
          <w:rFonts w:ascii="Times New Roman" w:eastAsia="Times New Roman" w:hAnsi="Times New Roman" w:cs="Times New Roman"/>
          <w:i/>
          <w:sz w:val="24"/>
          <w:szCs w:val="24"/>
          <w:highlight w:val="white"/>
        </w:rPr>
        <w:t>The Urban Review</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49</w:t>
      </w:r>
      <w:r w:rsidRPr="00A0345A">
        <w:rPr>
          <w:rFonts w:ascii="Times New Roman" w:eastAsia="Times New Roman" w:hAnsi="Times New Roman" w:cs="Times New Roman"/>
          <w:sz w:val="24"/>
          <w:szCs w:val="24"/>
          <w:highlight w:val="white"/>
        </w:rPr>
        <w:t>, 326-345.</w:t>
      </w:r>
    </w:p>
    <w:p w14:paraId="57FAF21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Cole, E. R. (2020). </w:t>
      </w:r>
      <w:r w:rsidRPr="00A0345A">
        <w:rPr>
          <w:rFonts w:ascii="Times New Roman" w:eastAsia="Times New Roman" w:hAnsi="Times New Roman" w:cs="Times New Roman"/>
          <w:i/>
          <w:sz w:val="24"/>
          <w:szCs w:val="24"/>
          <w:highlight w:val="white"/>
        </w:rPr>
        <w:t>The Campus Color Line: College Presidents and the Struggle for Black </w:t>
      </w:r>
    </w:p>
    <w:p w14:paraId="51258DD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t xml:space="preserve">Freedom. </w:t>
      </w:r>
      <w:r w:rsidRPr="00A0345A">
        <w:rPr>
          <w:rFonts w:ascii="Times New Roman" w:eastAsia="Times New Roman" w:hAnsi="Times New Roman" w:cs="Times New Roman"/>
          <w:sz w:val="24"/>
          <w:szCs w:val="24"/>
          <w:highlight w:val="white"/>
        </w:rPr>
        <w:t>Princeton University Press.</w:t>
      </w:r>
    </w:p>
    <w:p w14:paraId="28BEF06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College Student Educator International (ACPA). (2020). </w:t>
      </w:r>
      <w:r w:rsidRPr="00A0345A">
        <w:rPr>
          <w:rFonts w:ascii="Times New Roman" w:eastAsia="Times New Roman" w:hAnsi="Times New Roman" w:cs="Times New Roman"/>
          <w:i/>
          <w:sz w:val="24"/>
          <w:szCs w:val="24"/>
        </w:rPr>
        <w:t>Statement of Ethical Principles &amp; </w:t>
      </w:r>
    </w:p>
    <w:p w14:paraId="401A93D0"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Standards.</w:t>
      </w:r>
    </w:p>
    <w:p w14:paraId="56A562F6" w14:textId="77777777" w:rsidR="001510DC" w:rsidRPr="00A0345A" w:rsidRDefault="00000000">
      <w:pPr>
        <w:spacing w:line="480" w:lineRule="auto"/>
        <w:ind w:left="720"/>
        <w:rPr>
          <w:rFonts w:ascii="Times New Roman" w:eastAsia="Times New Roman" w:hAnsi="Times New Roman" w:cs="Times New Roman"/>
          <w:sz w:val="24"/>
          <w:szCs w:val="24"/>
        </w:rPr>
      </w:pPr>
      <w:hyperlink r:id="rId28">
        <w:r w:rsidR="001510DC" w:rsidRPr="00A0345A">
          <w:rPr>
            <w:rFonts w:ascii="Times New Roman" w:eastAsia="Times New Roman" w:hAnsi="Times New Roman" w:cs="Times New Roman"/>
            <w:sz w:val="24"/>
            <w:szCs w:val="24"/>
            <w:u w:val="single"/>
          </w:rPr>
          <w:t>https://myacpa.org/wp-content/uploads/2020/12/Ethical_Principles_Standards.pdf</w:t>
        </w:r>
      </w:hyperlink>
      <w:r w:rsidR="001510DC" w:rsidRPr="00A0345A">
        <w:rPr>
          <w:rFonts w:ascii="Times New Roman" w:eastAsia="Times New Roman" w:hAnsi="Times New Roman" w:cs="Times New Roman"/>
          <w:sz w:val="24"/>
          <w:szCs w:val="24"/>
        </w:rPr>
        <w:t xml:space="preserve"> </w:t>
      </w:r>
    </w:p>
    <w:p w14:paraId="21D24D6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Collins, P. H. (2019). </w:t>
      </w:r>
      <w:r w:rsidRPr="00A0345A">
        <w:rPr>
          <w:rFonts w:ascii="Times New Roman" w:eastAsia="Times New Roman" w:hAnsi="Times New Roman" w:cs="Times New Roman"/>
          <w:i/>
          <w:sz w:val="24"/>
          <w:szCs w:val="24"/>
        </w:rPr>
        <w:t xml:space="preserve">Intersectionality as critical social theory. </w:t>
      </w:r>
      <w:r w:rsidRPr="00A0345A">
        <w:rPr>
          <w:rFonts w:ascii="Times New Roman" w:eastAsia="Times New Roman" w:hAnsi="Times New Roman" w:cs="Times New Roman"/>
          <w:sz w:val="24"/>
          <w:szCs w:val="24"/>
        </w:rPr>
        <w:t>Duke University Press.</w:t>
      </w:r>
    </w:p>
    <w:p w14:paraId="1BEF9686"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Crenshaw, K. (1989). Demarginalizing the intersection of race and sex: A Black feminist </w:t>
      </w:r>
    </w:p>
    <w:p w14:paraId="516E5810"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critique of antidiscrimination doctrine, feminist theory and antiracist politics. </w:t>
      </w:r>
      <w:r w:rsidRPr="00A0345A">
        <w:rPr>
          <w:rFonts w:ascii="Times New Roman" w:eastAsia="Times New Roman" w:hAnsi="Times New Roman" w:cs="Times New Roman"/>
          <w:i/>
          <w:sz w:val="24"/>
          <w:szCs w:val="24"/>
        </w:rPr>
        <w:t>University</w:t>
      </w:r>
      <w:r w:rsidRPr="00A0345A">
        <w:rPr>
          <w:rFonts w:ascii="Times New Roman" w:eastAsia="Times New Roman" w:hAnsi="Times New Roman" w:cs="Times New Roman"/>
          <w:i/>
          <w:sz w:val="24"/>
          <w:szCs w:val="24"/>
        </w:rPr>
        <w:tab/>
        <w:t xml:space="preserve"> of Chicago Legal Forum</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1989</w:t>
      </w:r>
      <w:r w:rsidRPr="00A0345A">
        <w:rPr>
          <w:rFonts w:ascii="Times New Roman" w:eastAsia="Times New Roman" w:hAnsi="Times New Roman" w:cs="Times New Roman"/>
          <w:sz w:val="24"/>
          <w:szCs w:val="24"/>
        </w:rPr>
        <w:t>(1), 139-167.</w:t>
      </w:r>
    </w:p>
    <w:p w14:paraId="11353F4C"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Council for the Advancement of Standards in Higher Education (CAS). (2023) </w:t>
      </w:r>
      <w:r w:rsidRPr="00A0345A">
        <w:rPr>
          <w:rFonts w:ascii="Times New Roman" w:eastAsia="Times New Roman" w:hAnsi="Times New Roman" w:cs="Times New Roman"/>
          <w:i/>
          <w:sz w:val="24"/>
          <w:szCs w:val="24"/>
        </w:rPr>
        <w:t>General </w:t>
      </w:r>
    </w:p>
    <w:p w14:paraId="42CA0626"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Standards. </w:t>
      </w:r>
      <w:hyperlink r:id="rId29">
        <w:r w:rsidR="001510DC" w:rsidRPr="00A0345A">
          <w:rPr>
            <w:rFonts w:ascii="Times New Roman" w:eastAsia="Times New Roman" w:hAnsi="Times New Roman" w:cs="Times New Roman"/>
            <w:sz w:val="24"/>
            <w:szCs w:val="24"/>
            <w:u w:val="single"/>
          </w:rPr>
          <w:t>https://www.cas.edu/generalstandards</w:t>
        </w:r>
      </w:hyperlink>
    </w:p>
    <w:p w14:paraId="5B5ABAD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Crenshaw, K. (1989). Demarginalizing the intersection of race and sex: A Black feminist </w:t>
      </w:r>
    </w:p>
    <w:p w14:paraId="42BEBE8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critique of antidiscrimination doctrine, feminist theory and antiracist politics. </w:t>
      </w:r>
      <w:r w:rsidRPr="00A0345A">
        <w:rPr>
          <w:rFonts w:ascii="Times New Roman" w:eastAsia="Times New Roman" w:hAnsi="Times New Roman" w:cs="Times New Roman"/>
          <w:i/>
          <w:sz w:val="24"/>
          <w:szCs w:val="24"/>
        </w:rPr>
        <w:t>University </w:t>
      </w:r>
    </w:p>
    <w:p w14:paraId="2AA0BEAD"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of Chicago Legal Forum</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1989</w:t>
      </w:r>
      <w:r w:rsidRPr="00A0345A">
        <w:rPr>
          <w:rFonts w:ascii="Times New Roman" w:eastAsia="Times New Roman" w:hAnsi="Times New Roman" w:cs="Times New Roman"/>
          <w:sz w:val="24"/>
          <w:szCs w:val="24"/>
        </w:rPr>
        <w:t>(1), 139-167.</w:t>
      </w:r>
    </w:p>
    <w:p w14:paraId="73BFC71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Crenshaw, K. (2019). The marginalization of Harriet’s daughters: Perpetual crisis, misdirected </w:t>
      </w:r>
    </w:p>
    <w:p w14:paraId="1F44B750"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blame, and the enduring urgency of intersectionality. </w:t>
      </w:r>
      <w:r w:rsidRPr="00A0345A">
        <w:rPr>
          <w:rFonts w:ascii="Times New Roman" w:eastAsia="Times New Roman" w:hAnsi="Times New Roman" w:cs="Times New Roman"/>
          <w:i/>
          <w:sz w:val="24"/>
          <w:szCs w:val="24"/>
        </w:rPr>
        <w:t>Kalfou, 6</w:t>
      </w:r>
      <w:r w:rsidRPr="00A0345A">
        <w:rPr>
          <w:rFonts w:ascii="Times New Roman" w:eastAsia="Times New Roman" w:hAnsi="Times New Roman" w:cs="Times New Roman"/>
          <w:sz w:val="24"/>
          <w:szCs w:val="24"/>
        </w:rPr>
        <w:t xml:space="preserve">(1), 7–23. </w:t>
      </w:r>
      <w:hyperlink r:id="rId30">
        <w:r w:rsidR="001510DC" w:rsidRPr="00A0345A">
          <w:rPr>
            <w:rFonts w:ascii="Times New Roman" w:eastAsia="Times New Roman" w:hAnsi="Times New Roman" w:cs="Times New Roman"/>
            <w:sz w:val="24"/>
            <w:szCs w:val="24"/>
            <w:u w:val="single"/>
          </w:rPr>
          <w:t>https://doi.org/10.15367/kf.v6i1.226</w:t>
        </w:r>
      </w:hyperlink>
    </w:p>
    <w:p w14:paraId="2A392D5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Creswell, J. W. (2009). </w:t>
      </w:r>
      <w:r w:rsidRPr="00A0345A">
        <w:rPr>
          <w:rFonts w:ascii="Times New Roman" w:eastAsia="Times New Roman" w:hAnsi="Times New Roman" w:cs="Times New Roman"/>
          <w:i/>
          <w:sz w:val="24"/>
          <w:szCs w:val="24"/>
          <w:highlight w:val="white"/>
        </w:rPr>
        <w:t>Research design: Qualitative, quantitative, and mixed methods </w:t>
      </w:r>
    </w:p>
    <w:p w14:paraId="6E8D1BB3"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t xml:space="preserve">approaches </w:t>
      </w:r>
      <w:r w:rsidRPr="00A0345A">
        <w:rPr>
          <w:rFonts w:ascii="Times New Roman" w:eastAsia="Times New Roman" w:hAnsi="Times New Roman" w:cs="Times New Roman"/>
          <w:sz w:val="24"/>
          <w:szCs w:val="24"/>
          <w:highlight w:val="white"/>
        </w:rPr>
        <w:t>(3rd ed.). Sage.</w:t>
      </w:r>
    </w:p>
    <w:p w14:paraId="366C8B9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Croteau, J., &amp; Lark, J. (2009). On being lesbian, gay or bisexual in student affairs: </w:t>
      </w:r>
    </w:p>
    <w:p w14:paraId="7D346A3C"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national survey of experiences on the job. </w:t>
      </w:r>
      <w:r w:rsidRPr="00A0345A">
        <w:rPr>
          <w:rFonts w:ascii="Times New Roman" w:eastAsia="Times New Roman" w:hAnsi="Times New Roman" w:cs="Times New Roman"/>
          <w:i/>
          <w:sz w:val="24"/>
          <w:szCs w:val="24"/>
          <w:highlight w:val="white"/>
        </w:rPr>
        <w:t>NASPA Journal, 46</w:t>
      </w:r>
      <w:r w:rsidRPr="00A0345A">
        <w:rPr>
          <w:rFonts w:ascii="Times New Roman" w:eastAsia="Times New Roman" w:hAnsi="Times New Roman" w:cs="Times New Roman"/>
          <w:sz w:val="24"/>
          <w:szCs w:val="24"/>
          <w:highlight w:val="white"/>
        </w:rPr>
        <w:t>(3), 382–394. </w:t>
      </w:r>
    </w:p>
    <w:p w14:paraId="5EDC7116" w14:textId="77777777" w:rsidR="001510DC" w:rsidRPr="00A0345A" w:rsidRDefault="00000000">
      <w:pPr>
        <w:spacing w:line="480" w:lineRule="auto"/>
        <w:ind w:firstLine="720"/>
        <w:rPr>
          <w:rFonts w:ascii="Times New Roman" w:eastAsia="Times New Roman" w:hAnsi="Times New Roman" w:cs="Times New Roman"/>
          <w:sz w:val="24"/>
          <w:szCs w:val="24"/>
        </w:rPr>
      </w:pPr>
      <w:hyperlink r:id="rId31">
        <w:r w:rsidR="001510DC" w:rsidRPr="00A0345A">
          <w:rPr>
            <w:rFonts w:ascii="Times New Roman" w:eastAsia="Times New Roman" w:hAnsi="Times New Roman" w:cs="Times New Roman"/>
            <w:sz w:val="24"/>
            <w:szCs w:val="24"/>
            <w:highlight w:val="white"/>
            <w:u w:val="single"/>
          </w:rPr>
          <w:t>https://doi.org/10.2202/1949-6605.5016</w:t>
        </w:r>
      </w:hyperlink>
    </w:p>
    <w:p w14:paraId="49EB4B6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DeCuir-Gunby, J. T., Johnson, O. T., Womble Edwards, C., McCoy, W. N., &amp; White, A. M. </w:t>
      </w:r>
    </w:p>
    <w:p w14:paraId="62B8BCA1"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(2020). African American professionals in higher education: experiencing and coping </w:t>
      </w:r>
    </w:p>
    <w:p w14:paraId="6429633F"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with racial microaggressions. </w:t>
      </w:r>
      <w:r w:rsidRPr="00A0345A">
        <w:rPr>
          <w:rFonts w:ascii="Times New Roman" w:eastAsia="Times New Roman" w:hAnsi="Times New Roman" w:cs="Times New Roman"/>
          <w:i/>
          <w:sz w:val="24"/>
          <w:szCs w:val="24"/>
        </w:rPr>
        <w:t>Race, Ethnicity and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23</w:t>
      </w:r>
      <w:r w:rsidRPr="00A0345A">
        <w:rPr>
          <w:rFonts w:ascii="Times New Roman" w:eastAsia="Times New Roman" w:hAnsi="Times New Roman" w:cs="Times New Roman"/>
          <w:sz w:val="24"/>
          <w:szCs w:val="24"/>
        </w:rPr>
        <w:t xml:space="preserve">(4), 492–508. </w:t>
      </w:r>
      <w:hyperlink r:id="rId32">
        <w:r w:rsidR="001510DC" w:rsidRPr="00A0345A">
          <w:rPr>
            <w:rFonts w:ascii="Times New Roman" w:eastAsia="Times New Roman" w:hAnsi="Times New Roman" w:cs="Times New Roman"/>
            <w:sz w:val="24"/>
            <w:szCs w:val="24"/>
            <w:u w:val="single"/>
          </w:rPr>
          <w:t>https://doi.org/10.1080/13613324.2019.1579706</w:t>
        </w:r>
      </w:hyperlink>
    </w:p>
    <w:p w14:paraId="22D1644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DiAngelo, R. (2016). The Cycle of Oppression. </w:t>
      </w:r>
      <w:r w:rsidRPr="00A0345A">
        <w:rPr>
          <w:rFonts w:ascii="Times New Roman" w:eastAsia="Times New Roman" w:hAnsi="Times New Roman" w:cs="Times New Roman"/>
          <w:i/>
          <w:sz w:val="24"/>
          <w:szCs w:val="24"/>
          <w:highlight w:val="white"/>
        </w:rPr>
        <w:t>Counterpoints</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497</w:t>
      </w:r>
      <w:r w:rsidRPr="00A0345A">
        <w:rPr>
          <w:rFonts w:ascii="Times New Roman" w:eastAsia="Times New Roman" w:hAnsi="Times New Roman" w:cs="Times New Roman"/>
          <w:sz w:val="24"/>
          <w:szCs w:val="24"/>
          <w:highlight w:val="white"/>
        </w:rPr>
        <w:t>, 83-95.</w:t>
      </w:r>
    </w:p>
    <w:p w14:paraId="5600729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Dictionary.com. (n.d.). </w:t>
      </w:r>
      <w:r w:rsidRPr="00A0345A">
        <w:rPr>
          <w:rFonts w:ascii="Times New Roman" w:eastAsia="Times New Roman" w:hAnsi="Times New Roman" w:cs="Times New Roman"/>
          <w:i/>
          <w:sz w:val="24"/>
          <w:szCs w:val="24"/>
        </w:rPr>
        <w:t>Oppression definition &amp; meaning</w:t>
      </w:r>
      <w:r w:rsidRPr="00A0345A">
        <w:rPr>
          <w:rFonts w:ascii="Times New Roman" w:eastAsia="Times New Roman" w:hAnsi="Times New Roman" w:cs="Times New Roman"/>
          <w:sz w:val="24"/>
          <w:szCs w:val="24"/>
        </w:rPr>
        <w:t xml:space="preserve">. Dictionary.com. </w:t>
      </w:r>
    </w:p>
    <w:p w14:paraId="6A3A2982" w14:textId="77777777" w:rsidR="001510DC" w:rsidRPr="00A0345A" w:rsidRDefault="00000000">
      <w:pPr>
        <w:spacing w:line="480" w:lineRule="auto"/>
        <w:ind w:firstLine="720"/>
        <w:rPr>
          <w:rFonts w:ascii="Times New Roman" w:eastAsia="Times New Roman" w:hAnsi="Times New Roman" w:cs="Times New Roman"/>
          <w:sz w:val="24"/>
          <w:szCs w:val="24"/>
        </w:rPr>
      </w:pPr>
      <w:hyperlink r:id="rId33">
        <w:r w:rsidR="001510DC" w:rsidRPr="00A0345A">
          <w:rPr>
            <w:rFonts w:ascii="Times New Roman" w:eastAsia="Times New Roman" w:hAnsi="Times New Roman" w:cs="Times New Roman"/>
            <w:sz w:val="24"/>
            <w:szCs w:val="24"/>
            <w:u w:val="single"/>
          </w:rPr>
          <w:t xml:space="preserve">https://www.dictionary.com/browse/oppression </w:t>
        </w:r>
      </w:hyperlink>
    </w:p>
    <w:p w14:paraId="545741B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Duran, A., Miller, R.A., Jourian, T.J., &amp; Cisneros, J. (2022). </w:t>
      </w:r>
      <w:r w:rsidRPr="00A0345A">
        <w:rPr>
          <w:rFonts w:ascii="Times New Roman" w:eastAsia="Times New Roman" w:hAnsi="Times New Roman" w:cs="Times New Roman"/>
          <w:i/>
          <w:sz w:val="24"/>
          <w:szCs w:val="24"/>
        </w:rPr>
        <w:t>Queerness as Being in </w:t>
      </w:r>
    </w:p>
    <w:p w14:paraId="3280A2A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Higher Education: Narrating the Insider/Outsider Paradox as LGBTQ+ Scholars and </w:t>
      </w:r>
    </w:p>
    <w:p w14:paraId="0BECE213"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Practitioners </w:t>
      </w:r>
      <w:r w:rsidRPr="00A0345A">
        <w:rPr>
          <w:rFonts w:ascii="Times New Roman" w:eastAsia="Times New Roman" w:hAnsi="Times New Roman" w:cs="Times New Roman"/>
          <w:sz w:val="24"/>
          <w:szCs w:val="24"/>
        </w:rPr>
        <w:t xml:space="preserve">(1st ed.). Routledge. </w:t>
      </w:r>
      <w:hyperlink r:id="rId34">
        <w:r w:rsidR="001510DC" w:rsidRPr="00A0345A">
          <w:rPr>
            <w:rFonts w:ascii="Times New Roman" w:eastAsia="Times New Roman" w:hAnsi="Times New Roman" w:cs="Times New Roman"/>
            <w:sz w:val="24"/>
            <w:szCs w:val="24"/>
            <w:u w:val="single"/>
          </w:rPr>
          <w:t>https://doi-org.utk.idm.oclc.org/10.4324/9781003255253</w:t>
        </w:r>
      </w:hyperlink>
    </w:p>
    <w:p w14:paraId="19A99A9E"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Espino, M. M., &amp; Ariza, J. (2022). “We’re not going to overcome institutional bias by doing </w:t>
      </w:r>
    </w:p>
    <w:p w14:paraId="1A9D5D38"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nothing”: Latinx/a/o student affairs professionals as advocates for equity. </w:t>
      </w:r>
      <w:r w:rsidRPr="00A0345A">
        <w:rPr>
          <w:rFonts w:ascii="Times New Roman" w:eastAsia="Times New Roman" w:hAnsi="Times New Roman" w:cs="Times New Roman"/>
          <w:i/>
          <w:sz w:val="24"/>
          <w:szCs w:val="24"/>
        </w:rPr>
        <w:t>Education Sciences</w:t>
      </w:r>
      <w:r w:rsidRPr="00A0345A">
        <w:rPr>
          <w:rFonts w:ascii="Times New Roman" w:eastAsia="Times New Roman" w:hAnsi="Times New Roman" w:cs="Times New Roman"/>
          <w:sz w:val="24"/>
          <w:szCs w:val="24"/>
        </w:rPr>
        <w:t>, 1</w:t>
      </w:r>
      <w:r w:rsidRPr="00A0345A">
        <w:rPr>
          <w:rFonts w:ascii="Times New Roman" w:eastAsia="Times New Roman" w:hAnsi="Times New Roman" w:cs="Times New Roman"/>
          <w:i/>
          <w:sz w:val="24"/>
          <w:szCs w:val="24"/>
        </w:rPr>
        <w:t>2</w:t>
      </w:r>
      <w:r w:rsidRPr="00A0345A">
        <w:rPr>
          <w:rFonts w:ascii="Times New Roman" w:eastAsia="Times New Roman" w:hAnsi="Times New Roman" w:cs="Times New Roman"/>
          <w:sz w:val="24"/>
          <w:szCs w:val="24"/>
        </w:rPr>
        <w:t xml:space="preserve">(10), 716-737. </w:t>
      </w:r>
      <w:hyperlink r:id="rId35">
        <w:r w:rsidR="001510DC" w:rsidRPr="00A0345A">
          <w:rPr>
            <w:rFonts w:ascii="Times New Roman" w:eastAsia="Times New Roman" w:hAnsi="Times New Roman" w:cs="Times New Roman"/>
            <w:sz w:val="24"/>
            <w:szCs w:val="24"/>
            <w:u w:val="single"/>
          </w:rPr>
          <w:t>https://doi.org/10.3390/educsci12100716</w:t>
        </w:r>
      </w:hyperlink>
      <w:r w:rsidRPr="00A0345A">
        <w:rPr>
          <w:rFonts w:ascii="Times New Roman" w:eastAsia="Times New Roman" w:hAnsi="Times New Roman" w:cs="Times New Roman"/>
          <w:sz w:val="24"/>
          <w:szCs w:val="24"/>
        </w:rPr>
        <w:t xml:space="preserve">  </w:t>
      </w:r>
    </w:p>
    <w:p w14:paraId="220DDB34"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Evans, N. J., Broido, E. M., Brown, K. R., &amp; Wilke, A. K. (2017). </w:t>
      </w:r>
      <w:r w:rsidRPr="00A0345A">
        <w:rPr>
          <w:rFonts w:ascii="Times New Roman" w:eastAsia="Times New Roman" w:hAnsi="Times New Roman" w:cs="Times New Roman"/>
          <w:i/>
          <w:sz w:val="24"/>
          <w:szCs w:val="24"/>
        </w:rPr>
        <w:t>Disability in higher</w:t>
      </w:r>
    </w:p>
    <w:p w14:paraId="089F13AA"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education: A social justice approach. </w:t>
      </w:r>
      <w:r w:rsidRPr="00A0345A">
        <w:rPr>
          <w:rFonts w:ascii="Times New Roman" w:eastAsia="Times New Roman" w:hAnsi="Times New Roman" w:cs="Times New Roman"/>
          <w:sz w:val="24"/>
          <w:szCs w:val="24"/>
        </w:rPr>
        <w:t>John Wiley &amp; Sons.</w:t>
      </w:r>
    </w:p>
    <w:p w14:paraId="59C215F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Fish, S. (2009, March 8). Neoliberalism and higher education. </w:t>
      </w:r>
      <w:r w:rsidRPr="00A0345A">
        <w:rPr>
          <w:rFonts w:ascii="Times New Roman" w:eastAsia="Times New Roman" w:hAnsi="Times New Roman" w:cs="Times New Roman"/>
          <w:i/>
          <w:sz w:val="24"/>
          <w:szCs w:val="24"/>
          <w:highlight w:val="white"/>
        </w:rPr>
        <w:t>The New York Times</w:t>
      </w:r>
      <w:r w:rsidRPr="00A0345A">
        <w:rPr>
          <w:rFonts w:ascii="Times New Roman" w:eastAsia="Times New Roman" w:hAnsi="Times New Roman" w:cs="Times New Roman"/>
          <w:sz w:val="24"/>
          <w:szCs w:val="24"/>
          <w:highlight w:val="white"/>
        </w:rPr>
        <w:t>. </w:t>
      </w:r>
    </w:p>
    <w:p w14:paraId="05D13080"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https://opinionator.blogs.nytimes.com/2009/03/08/neoliberalism-and-highereducation/</w:t>
      </w:r>
    </w:p>
    <w:p w14:paraId="453E3F7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Freire, P. (1970). </w:t>
      </w:r>
      <w:r w:rsidRPr="00A0345A">
        <w:rPr>
          <w:rFonts w:ascii="Times New Roman" w:eastAsia="Times New Roman" w:hAnsi="Times New Roman" w:cs="Times New Roman"/>
          <w:i/>
          <w:sz w:val="24"/>
          <w:szCs w:val="24"/>
          <w:highlight w:val="white"/>
        </w:rPr>
        <w:t xml:space="preserve">Pedagogy of the oppressed. </w:t>
      </w:r>
      <w:r w:rsidRPr="00A0345A">
        <w:rPr>
          <w:rFonts w:ascii="Times New Roman" w:eastAsia="Times New Roman" w:hAnsi="Times New Roman" w:cs="Times New Roman"/>
          <w:sz w:val="24"/>
          <w:szCs w:val="24"/>
          <w:highlight w:val="white"/>
        </w:rPr>
        <w:t>Continuum</w:t>
      </w:r>
    </w:p>
    <w:p w14:paraId="0015B57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Freire, P., Bergman Ramos, M., &amp; Ramos, B. (2014). </w:t>
      </w:r>
      <w:r w:rsidRPr="00A0345A">
        <w:rPr>
          <w:rFonts w:ascii="Times New Roman" w:eastAsia="Times New Roman" w:hAnsi="Times New Roman" w:cs="Times New Roman"/>
          <w:i/>
          <w:sz w:val="24"/>
          <w:szCs w:val="24"/>
          <w:highlight w:val="white"/>
        </w:rPr>
        <w:t>Pedagogy of the Oppressed: 30th </w:t>
      </w:r>
    </w:p>
    <w:p w14:paraId="5BDE512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t>Anniversary Edition</w:t>
      </w:r>
      <w:r w:rsidRPr="00A0345A">
        <w:rPr>
          <w:rFonts w:ascii="Times New Roman" w:eastAsia="Times New Roman" w:hAnsi="Times New Roman" w:cs="Times New Roman"/>
          <w:sz w:val="24"/>
          <w:szCs w:val="24"/>
          <w:highlight w:val="white"/>
        </w:rPr>
        <w:t>. (3rd ed.). Bloomsbury Academic &amp; Professional.</w:t>
      </w:r>
    </w:p>
    <w:p w14:paraId="7ADCC366" w14:textId="77777777" w:rsidR="001510DC" w:rsidRPr="00A0345A" w:rsidRDefault="00000000">
      <w:pPr>
        <w:spacing w:line="480" w:lineRule="auto"/>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 xml:space="preserve">Gairín, J., &amp; Suárez, C. I. (2014). Clarifying and identifying vulnerable groups. In Gairin (Ed.), </w:t>
      </w:r>
    </w:p>
    <w:p w14:paraId="0241134C"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lastRenderedPageBreak/>
        <w:t>Vulnerable collectives in the university. Reflections and proposals for intervention</w:t>
      </w:r>
      <w:r w:rsidRPr="00A0345A">
        <w:rPr>
          <w:rFonts w:ascii="Times New Roman" w:eastAsia="Times New Roman" w:hAnsi="Times New Roman" w:cs="Times New Roman"/>
          <w:sz w:val="24"/>
          <w:szCs w:val="24"/>
          <w:highlight w:val="white"/>
        </w:rPr>
        <w:t xml:space="preserve"> (pp. 35–61).</w:t>
      </w:r>
    </w:p>
    <w:p w14:paraId="158E0C06"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Gardner, L., Barrett, T., &amp; Pearson, L. (2014). African American administrators at PWIs: </w:t>
      </w:r>
    </w:p>
    <w:p w14:paraId="05700B9E"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Enablers of and barriers to career success. </w:t>
      </w:r>
      <w:r w:rsidRPr="00A0345A">
        <w:rPr>
          <w:rFonts w:ascii="Times New Roman" w:eastAsia="Times New Roman" w:hAnsi="Times New Roman" w:cs="Times New Roman"/>
          <w:i/>
          <w:sz w:val="24"/>
          <w:szCs w:val="24"/>
          <w:highlight w:val="white"/>
        </w:rPr>
        <w:t>Journal of Diversity in Higher Education, 7</w:t>
      </w:r>
      <w:r w:rsidRPr="00A0345A">
        <w:rPr>
          <w:rFonts w:ascii="Times New Roman" w:eastAsia="Times New Roman" w:hAnsi="Times New Roman" w:cs="Times New Roman"/>
          <w:sz w:val="24"/>
          <w:szCs w:val="24"/>
          <w:highlight w:val="white"/>
        </w:rPr>
        <w:t xml:space="preserve">(4), 235–251. </w:t>
      </w:r>
      <w:hyperlink r:id="rId36">
        <w:r w:rsidR="001510DC" w:rsidRPr="00A0345A">
          <w:rPr>
            <w:rFonts w:ascii="Times New Roman" w:eastAsia="Times New Roman" w:hAnsi="Times New Roman" w:cs="Times New Roman"/>
            <w:sz w:val="24"/>
            <w:szCs w:val="24"/>
            <w:highlight w:val="white"/>
            <w:u w:val="single"/>
          </w:rPr>
          <w:t>https://doi.org/10.1037/a0038317</w:t>
        </w:r>
      </w:hyperlink>
      <w:r w:rsidRPr="00A0345A">
        <w:rPr>
          <w:rFonts w:ascii="Times New Roman" w:eastAsia="Times New Roman" w:hAnsi="Times New Roman" w:cs="Times New Roman"/>
          <w:sz w:val="24"/>
          <w:szCs w:val="24"/>
          <w:highlight w:val="white"/>
        </w:rPr>
        <w:t xml:space="preserve"> </w:t>
      </w:r>
    </w:p>
    <w:p w14:paraId="367A50D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Garland-Thomson, R. (2017). </w:t>
      </w:r>
      <w:r w:rsidRPr="00A0345A">
        <w:rPr>
          <w:rFonts w:ascii="Times New Roman" w:eastAsia="Times New Roman" w:hAnsi="Times New Roman" w:cs="Times New Roman"/>
          <w:i/>
          <w:sz w:val="24"/>
          <w:szCs w:val="24"/>
        </w:rPr>
        <w:t>Extraordinary bodies: Figuring physical disability in American </w:t>
      </w:r>
    </w:p>
    <w:p w14:paraId="0D7B200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culture and literature.</w:t>
      </w:r>
      <w:r w:rsidRPr="00A0345A">
        <w:rPr>
          <w:rFonts w:ascii="Times New Roman" w:eastAsia="Times New Roman" w:hAnsi="Times New Roman" w:cs="Times New Roman"/>
          <w:sz w:val="24"/>
          <w:szCs w:val="24"/>
        </w:rPr>
        <w:t xml:space="preserve"> Columbia University Press.</w:t>
      </w:r>
    </w:p>
    <w:p w14:paraId="47890FB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Garland-Thomson, R., Wieseler, C., &amp; Reynolds, J. M. (2022). Disability Bioethics: From </w:t>
      </w:r>
    </w:p>
    <w:p w14:paraId="702D2237"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Theory to Practice. In </w:t>
      </w:r>
      <w:r w:rsidRPr="00A0345A">
        <w:rPr>
          <w:rFonts w:ascii="Times New Roman" w:eastAsia="Times New Roman" w:hAnsi="Times New Roman" w:cs="Times New Roman"/>
          <w:i/>
          <w:sz w:val="24"/>
          <w:szCs w:val="24"/>
        </w:rPr>
        <w:t>The Disability Bioethics Reader</w:t>
      </w:r>
      <w:r w:rsidRPr="00A0345A">
        <w:rPr>
          <w:rFonts w:ascii="Times New Roman" w:eastAsia="Times New Roman" w:hAnsi="Times New Roman" w:cs="Times New Roman"/>
          <w:sz w:val="24"/>
          <w:szCs w:val="24"/>
        </w:rPr>
        <w:t xml:space="preserve"> (1st ed., pp. 61–69). Routledge. </w:t>
      </w:r>
      <w:hyperlink r:id="rId37">
        <w:r w:rsidR="001510DC" w:rsidRPr="00A0345A">
          <w:rPr>
            <w:rFonts w:ascii="Times New Roman" w:eastAsia="Times New Roman" w:hAnsi="Times New Roman" w:cs="Times New Roman"/>
            <w:sz w:val="24"/>
            <w:szCs w:val="24"/>
            <w:u w:val="single"/>
          </w:rPr>
          <w:t>https://doi.org/10.4324/9781003289487-9</w:t>
        </w:r>
      </w:hyperlink>
      <w:r w:rsidRPr="00A0345A">
        <w:rPr>
          <w:rFonts w:ascii="Times New Roman" w:eastAsia="Times New Roman" w:hAnsi="Times New Roman" w:cs="Times New Roman"/>
          <w:sz w:val="24"/>
          <w:szCs w:val="24"/>
        </w:rPr>
        <w:t xml:space="preserve"> </w:t>
      </w:r>
    </w:p>
    <w:p w14:paraId="0E869B6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Gasman, A.U., &amp; Travers, C. (2015). Diversity and senior leadership at elite institutions </w:t>
      </w:r>
    </w:p>
    <w:p w14:paraId="5D04AF2F"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of higher education. </w:t>
      </w:r>
      <w:r w:rsidRPr="00A0345A">
        <w:rPr>
          <w:rFonts w:ascii="Times New Roman" w:eastAsia="Times New Roman" w:hAnsi="Times New Roman" w:cs="Times New Roman"/>
          <w:i/>
          <w:sz w:val="24"/>
          <w:szCs w:val="24"/>
          <w:highlight w:val="white"/>
        </w:rPr>
        <w:t>Journal of Diversity in Higher Education, 8</w:t>
      </w:r>
      <w:r w:rsidRPr="00A0345A">
        <w:rPr>
          <w:rFonts w:ascii="Times New Roman" w:eastAsia="Times New Roman" w:hAnsi="Times New Roman" w:cs="Times New Roman"/>
          <w:sz w:val="24"/>
          <w:szCs w:val="24"/>
          <w:highlight w:val="white"/>
        </w:rPr>
        <w:t xml:space="preserve">(1), 1–14. </w:t>
      </w:r>
      <w:hyperlink r:id="rId38">
        <w:r w:rsidR="001510DC" w:rsidRPr="00A0345A">
          <w:rPr>
            <w:rFonts w:ascii="Times New Roman" w:eastAsia="Times New Roman" w:hAnsi="Times New Roman" w:cs="Times New Roman"/>
            <w:sz w:val="24"/>
            <w:szCs w:val="24"/>
            <w:highlight w:val="white"/>
            <w:u w:val="single"/>
          </w:rPr>
          <w:t>https://doi.org/10.1037/a0038872</w:t>
        </w:r>
      </w:hyperlink>
    </w:p>
    <w:p w14:paraId="17C18614"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Gause, S. A. (2021). White privilege, Black resilience: Women of color leading the academy. </w:t>
      </w:r>
    </w:p>
    <w:p w14:paraId="7641653C"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Leadership, 17</w:t>
      </w:r>
      <w:r w:rsidRPr="00A0345A">
        <w:rPr>
          <w:rFonts w:ascii="Times New Roman" w:eastAsia="Times New Roman" w:hAnsi="Times New Roman" w:cs="Times New Roman"/>
          <w:sz w:val="24"/>
          <w:szCs w:val="24"/>
        </w:rPr>
        <w:t>(1), 74-80.</w:t>
      </w:r>
    </w:p>
    <w:p w14:paraId="45D5A2F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Gill. (2014). The Possibilities of Phenomenology for Organizational Research.</w:t>
      </w:r>
      <w:r w:rsidRPr="00A0345A">
        <w:rPr>
          <w:rFonts w:ascii="Times New Roman" w:eastAsia="Times New Roman" w:hAnsi="Times New Roman" w:cs="Times New Roman"/>
          <w:i/>
          <w:sz w:val="24"/>
          <w:szCs w:val="24"/>
        </w:rPr>
        <w:t xml:space="preserve"> Organizational </w:t>
      </w:r>
    </w:p>
    <w:p w14:paraId="2FD8997F"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Research Methods</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17</w:t>
      </w:r>
      <w:r w:rsidRPr="00A0345A">
        <w:rPr>
          <w:rFonts w:ascii="Times New Roman" w:eastAsia="Times New Roman" w:hAnsi="Times New Roman" w:cs="Times New Roman"/>
          <w:sz w:val="24"/>
          <w:szCs w:val="24"/>
        </w:rPr>
        <w:t xml:space="preserve">(2), 118–137. </w:t>
      </w:r>
      <w:hyperlink r:id="rId39">
        <w:r w:rsidR="001510DC" w:rsidRPr="00A0345A">
          <w:rPr>
            <w:rFonts w:ascii="Times New Roman" w:eastAsia="Times New Roman" w:hAnsi="Times New Roman" w:cs="Times New Roman"/>
            <w:sz w:val="24"/>
            <w:szCs w:val="24"/>
            <w:u w:val="single"/>
          </w:rPr>
          <w:t>https://doi.org/10.1177/1094428113518348</w:t>
        </w:r>
      </w:hyperlink>
    </w:p>
    <w:p w14:paraId="23855B7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Given, L. M. (2008). Pseudonym. In </w:t>
      </w:r>
      <w:r w:rsidRPr="00A0345A">
        <w:rPr>
          <w:rFonts w:ascii="Times New Roman" w:eastAsia="Times New Roman" w:hAnsi="Times New Roman" w:cs="Times New Roman"/>
          <w:i/>
          <w:sz w:val="24"/>
          <w:szCs w:val="24"/>
        </w:rPr>
        <w:t>The SAGE encyclopedia of qualitative research methods</w:t>
      </w:r>
      <w:r w:rsidRPr="00A0345A">
        <w:rPr>
          <w:rFonts w:ascii="Times New Roman" w:eastAsia="Times New Roman" w:hAnsi="Times New Roman" w:cs="Times New Roman"/>
          <w:sz w:val="24"/>
          <w:szCs w:val="24"/>
        </w:rPr>
        <w:t xml:space="preserve"> (p.</w:t>
      </w:r>
    </w:p>
    <w:p w14:paraId="4E1335F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693). SAGE. https://dx.doi.org/10.4135/9781412963909.n345</w:t>
      </w:r>
    </w:p>
    <w:p w14:paraId="5209BB4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Glass, R. D. (2001). On Paolo Freire’s philosophy of praxis and the foundations of liberation </w:t>
      </w:r>
    </w:p>
    <w:p w14:paraId="5A62E411"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education. </w:t>
      </w:r>
      <w:r w:rsidRPr="00A0345A">
        <w:rPr>
          <w:rFonts w:ascii="Times New Roman" w:eastAsia="Times New Roman" w:hAnsi="Times New Roman" w:cs="Times New Roman"/>
          <w:i/>
          <w:sz w:val="24"/>
          <w:szCs w:val="24"/>
          <w:highlight w:val="white"/>
        </w:rPr>
        <w:t>Educational Researcher</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30</w:t>
      </w:r>
      <w:r w:rsidRPr="00A0345A">
        <w:rPr>
          <w:rFonts w:ascii="Times New Roman" w:eastAsia="Times New Roman" w:hAnsi="Times New Roman" w:cs="Times New Roman"/>
          <w:sz w:val="24"/>
          <w:szCs w:val="24"/>
          <w:highlight w:val="white"/>
        </w:rPr>
        <w:t xml:space="preserve"> (2), 15– 25. </w:t>
      </w:r>
      <w:hyperlink r:id="rId40">
        <w:r w:rsidR="001510DC" w:rsidRPr="00A0345A">
          <w:rPr>
            <w:rFonts w:ascii="Times New Roman" w:eastAsia="Times New Roman" w:hAnsi="Times New Roman" w:cs="Times New Roman"/>
            <w:sz w:val="24"/>
            <w:szCs w:val="24"/>
            <w:highlight w:val="white"/>
            <w:u w:val="single"/>
          </w:rPr>
          <w:t>https://doi.org/10.3102/0013189x030002015</w:t>
        </w:r>
      </w:hyperlink>
    </w:p>
    <w:p w14:paraId="1ED4466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Goodwin, D., Mays, N., &amp; Pope, C. (2020). Ethical issues in qualitative research. In </w:t>
      </w:r>
      <w:r w:rsidRPr="00A0345A">
        <w:rPr>
          <w:rFonts w:ascii="Times New Roman" w:eastAsia="Times New Roman" w:hAnsi="Times New Roman" w:cs="Times New Roman"/>
          <w:i/>
          <w:sz w:val="24"/>
          <w:szCs w:val="24"/>
        </w:rPr>
        <w:t>Qualitative </w:t>
      </w:r>
    </w:p>
    <w:p w14:paraId="509CC7C9"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lastRenderedPageBreak/>
        <w:t xml:space="preserve">Research in Health Care </w:t>
      </w:r>
      <w:r w:rsidRPr="00A0345A">
        <w:rPr>
          <w:rFonts w:ascii="Times New Roman" w:eastAsia="Times New Roman" w:hAnsi="Times New Roman" w:cs="Times New Roman"/>
          <w:sz w:val="24"/>
          <w:szCs w:val="24"/>
        </w:rPr>
        <w:t>(pp. 27–41).</w:t>
      </w:r>
      <w:hyperlink r:id="rId41">
        <w:r w:rsidR="001510DC" w:rsidRPr="00A0345A">
          <w:rPr>
            <w:rFonts w:ascii="Times New Roman" w:eastAsia="Times New Roman" w:hAnsi="Times New Roman" w:cs="Times New Roman"/>
            <w:sz w:val="24"/>
            <w:szCs w:val="24"/>
            <w:u w:val="single"/>
          </w:rPr>
          <w:t xml:space="preserve"> https://doi.org/10.1002/9781119410867.ch3</w:t>
        </w:r>
      </w:hyperlink>
    </w:p>
    <w:p w14:paraId="29A94DF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Gunzburger, J. (2017). “Get it together, damn it!”: Racism in student affairs supervision. </w:t>
      </w:r>
    </w:p>
    <w:p w14:paraId="5F212F22"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ProQuest Dissertations Publishing.</w:t>
      </w:r>
    </w:p>
    <w:p w14:paraId="171A17D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Gonzalez, M., Kokozos, M., Byrd, C. M., &amp; McKee, K. E. (2020). Critical positive youth </w:t>
      </w:r>
    </w:p>
    <w:p w14:paraId="5F11BA45"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development: A framework for centering critical consciousness. </w:t>
      </w:r>
      <w:r w:rsidRPr="00A0345A">
        <w:rPr>
          <w:rFonts w:ascii="Times New Roman" w:eastAsia="Times New Roman" w:hAnsi="Times New Roman" w:cs="Times New Roman"/>
          <w:i/>
          <w:sz w:val="24"/>
          <w:szCs w:val="24"/>
          <w:highlight w:val="white"/>
        </w:rPr>
        <w:t>Journal of Youth Development, 15</w:t>
      </w:r>
      <w:r w:rsidRPr="00A0345A">
        <w:rPr>
          <w:rFonts w:ascii="Times New Roman" w:eastAsia="Times New Roman" w:hAnsi="Times New Roman" w:cs="Times New Roman"/>
          <w:sz w:val="24"/>
          <w:szCs w:val="24"/>
          <w:highlight w:val="white"/>
        </w:rPr>
        <w:t>(6), 24-43.</w:t>
      </w:r>
    </w:p>
    <w:p w14:paraId="4623CC1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Harro, B. (2000a). The cycle of liberation. </w:t>
      </w:r>
      <w:r w:rsidRPr="00A0345A">
        <w:rPr>
          <w:rFonts w:ascii="Times New Roman" w:eastAsia="Times New Roman" w:hAnsi="Times New Roman" w:cs="Times New Roman"/>
          <w:i/>
          <w:sz w:val="24"/>
          <w:szCs w:val="24"/>
          <w:highlight w:val="white"/>
        </w:rPr>
        <w:t>Readings for diversity and social justice,</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2</w:t>
      </w:r>
      <w:r w:rsidRPr="00A0345A">
        <w:rPr>
          <w:rFonts w:ascii="Times New Roman" w:eastAsia="Times New Roman" w:hAnsi="Times New Roman" w:cs="Times New Roman"/>
          <w:sz w:val="24"/>
          <w:szCs w:val="24"/>
          <w:highlight w:val="white"/>
        </w:rPr>
        <w:t>, 52-58.</w:t>
      </w:r>
    </w:p>
    <w:p w14:paraId="665AA00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Harro, B. (2000b). The cycle of socialization. </w:t>
      </w:r>
      <w:r w:rsidRPr="00A0345A">
        <w:rPr>
          <w:rFonts w:ascii="Times New Roman" w:eastAsia="Times New Roman" w:hAnsi="Times New Roman" w:cs="Times New Roman"/>
          <w:i/>
          <w:sz w:val="24"/>
          <w:szCs w:val="24"/>
          <w:highlight w:val="white"/>
        </w:rPr>
        <w:t>Readings for diversity and social justice,</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2</w:t>
      </w:r>
      <w:r w:rsidRPr="00A0345A">
        <w:rPr>
          <w:rFonts w:ascii="Times New Roman" w:eastAsia="Times New Roman" w:hAnsi="Times New Roman" w:cs="Times New Roman"/>
          <w:sz w:val="24"/>
          <w:szCs w:val="24"/>
          <w:highlight w:val="white"/>
        </w:rPr>
        <w:t>, 45-52. </w:t>
      </w:r>
    </w:p>
    <w:p w14:paraId="3DBABD9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Hayes, C. &amp; Graham, Y. N. (2022). Phenomenology: Conceptually framing phenomenological </w:t>
      </w:r>
    </w:p>
    <w:p w14:paraId="4007D312"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research design and methodology. In S. Watson, S. Austin, &amp; J. Bell (Eds.), </w:t>
      </w:r>
      <w:r w:rsidRPr="00A0345A">
        <w:rPr>
          <w:rFonts w:ascii="Times New Roman" w:eastAsia="Times New Roman" w:hAnsi="Times New Roman" w:cs="Times New Roman"/>
          <w:i/>
          <w:sz w:val="24"/>
          <w:szCs w:val="24"/>
        </w:rPr>
        <w:t xml:space="preserve">Conceptual Analyses of Curriculum Inquiry Methodologies </w:t>
      </w:r>
      <w:r w:rsidRPr="00A0345A">
        <w:rPr>
          <w:rFonts w:ascii="Times New Roman" w:eastAsia="Times New Roman" w:hAnsi="Times New Roman" w:cs="Times New Roman"/>
          <w:sz w:val="24"/>
          <w:szCs w:val="24"/>
        </w:rPr>
        <w:t xml:space="preserve">(pp. 28-50). IGI Global. </w:t>
      </w:r>
      <w:hyperlink r:id="rId42">
        <w:r w:rsidR="001510DC" w:rsidRPr="00A0345A">
          <w:rPr>
            <w:rFonts w:ascii="Times New Roman" w:eastAsia="Times New Roman" w:hAnsi="Times New Roman" w:cs="Times New Roman"/>
            <w:sz w:val="24"/>
            <w:szCs w:val="24"/>
            <w:u w:val="single"/>
          </w:rPr>
          <w:t>https://doi-org.utk.idm.oclc.org/10.4018/978-1-7998-8848-2.ch002</w:t>
        </w:r>
      </w:hyperlink>
    </w:p>
    <w:p w14:paraId="0739407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Holder, A. M. B., Jackson, M. A., &amp; Ponterotto, J. G. (2015). Racial microaggression </w:t>
      </w:r>
    </w:p>
    <w:p w14:paraId="3A6BEB47"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experiences and coping strategies of Black women in corporate leadership. </w:t>
      </w:r>
      <w:r w:rsidRPr="00A0345A">
        <w:rPr>
          <w:rFonts w:ascii="Times New Roman" w:eastAsia="Times New Roman" w:hAnsi="Times New Roman" w:cs="Times New Roman"/>
          <w:i/>
          <w:sz w:val="24"/>
          <w:szCs w:val="24"/>
          <w:highlight w:val="white"/>
        </w:rPr>
        <w:t>Qualitative Psychology, 2</w:t>
      </w:r>
      <w:r w:rsidRPr="00A0345A">
        <w:rPr>
          <w:rFonts w:ascii="Times New Roman" w:eastAsia="Times New Roman" w:hAnsi="Times New Roman" w:cs="Times New Roman"/>
          <w:sz w:val="24"/>
          <w:szCs w:val="24"/>
          <w:highlight w:val="white"/>
        </w:rPr>
        <w:t xml:space="preserve">(2), 164–180. </w:t>
      </w:r>
      <w:hyperlink r:id="rId43">
        <w:r w:rsidR="001510DC" w:rsidRPr="00A0345A">
          <w:rPr>
            <w:rFonts w:ascii="Times New Roman" w:eastAsia="Times New Roman" w:hAnsi="Times New Roman" w:cs="Times New Roman"/>
            <w:sz w:val="24"/>
            <w:szCs w:val="24"/>
            <w:highlight w:val="white"/>
            <w:u w:val="single"/>
          </w:rPr>
          <w:t>https://doi.org/10.1037/qup0000024</w:t>
        </w:r>
      </w:hyperlink>
    </w:p>
    <w:p w14:paraId="592DE3E6"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Hornak, A. M., Ozaki, C. C., &amp; Lunceford, C. (2016). Socialization for new and mid-level </w:t>
      </w:r>
    </w:p>
    <w:p w14:paraId="508CD7FA"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community college student affairs professionals.</w:t>
      </w:r>
      <w:r w:rsidRPr="00A0345A">
        <w:rPr>
          <w:rFonts w:ascii="Times New Roman" w:eastAsia="Times New Roman" w:hAnsi="Times New Roman" w:cs="Times New Roman"/>
          <w:i/>
          <w:sz w:val="24"/>
          <w:szCs w:val="24"/>
        </w:rPr>
        <w:t xml:space="preserve"> Journal of Student Affairs Research and Practice</w:t>
      </w:r>
      <w:r w:rsidRPr="00A0345A">
        <w:rPr>
          <w:rFonts w:ascii="Times New Roman" w:eastAsia="Times New Roman" w:hAnsi="Times New Roman" w:cs="Times New Roman"/>
          <w:sz w:val="24"/>
          <w:szCs w:val="24"/>
        </w:rPr>
        <w:t>,</w:t>
      </w:r>
      <w:r w:rsidRPr="00A0345A">
        <w:rPr>
          <w:rFonts w:ascii="Times New Roman" w:eastAsia="Times New Roman" w:hAnsi="Times New Roman" w:cs="Times New Roman"/>
          <w:i/>
          <w:sz w:val="24"/>
          <w:szCs w:val="24"/>
        </w:rPr>
        <w:t xml:space="preserve"> 53</w:t>
      </w:r>
      <w:r w:rsidRPr="00A0345A">
        <w:rPr>
          <w:rFonts w:ascii="Times New Roman" w:eastAsia="Times New Roman" w:hAnsi="Times New Roman" w:cs="Times New Roman"/>
          <w:sz w:val="24"/>
          <w:szCs w:val="24"/>
        </w:rPr>
        <w:t xml:space="preserve"> (2), 118– 130. </w:t>
      </w:r>
      <w:hyperlink r:id="rId44">
        <w:r w:rsidR="001510DC" w:rsidRPr="00A0345A">
          <w:rPr>
            <w:rFonts w:ascii="Times New Roman" w:eastAsia="Times New Roman" w:hAnsi="Times New Roman" w:cs="Times New Roman"/>
            <w:sz w:val="24"/>
            <w:szCs w:val="24"/>
            <w:u w:val="single"/>
          </w:rPr>
          <w:t>https://doi.org/10.1080/194965 91.2016.1143833</w:t>
        </w:r>
      </w:hyperlink>
    </w:p>
    <w:p w14:paraId="4646817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Hussain, M., &amp; Jones, J. M. (2019). Discrimination, diversity, and sense of belonging: </w:t>
      </w:r>
    </w:p>
    <w:p w14:paraId="19E17E6F"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Experiences of students of color.</w:t>
      </w:r>
      <w:r w:rsidRPr="00A0345A">
        <w:rPr>
          <w:rFonts w:ascii="Times New Roman" w:eastAsia="Times New Roman" w:hAnsi="Times New Roman" w:cs="Times New Roman"/>
          <w:i/>
          <w:sz w:val="24"/>
          <w:szCs w:val="24"/>
          <w:highlight w:val="white"/>
        </w:rPr>
        <w:t xml:space="preserve"> Journal of Diversity in Higher Education,</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14</w:t>
      </w:r>
      <w:r w:rsidRPr="00A0345A">
        <w:rPr>
          <w:rFonts w:ascii="Times New Roman" w:eastAsia="Times New Roman" w:hAnsi="Times New Roman" w:cs="Times New Roman"/>
          <w:sz w:val="24"/>
          <w:szCs w:val="24"/>
          <w:highlight w:val="white"/>
        </w:rPr>
        <w:t>(1), 63–71. https://doi.org/10.1037/dhe0000117</w:t>
      </w:r>
    </w:p>
    <w:p w14:paraId="7ABC37B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Husserl, E. (1965). </w:t>
      </w:r>
      <w:r w:rsidRPr="00A0345A">
        <w:rPr>
          <w:rFonts w:ascii="Times New Roman" w:eastAsia="Times New Roman" w:hAnsi="Times New Roman" w:cs="Times New Roman"/>
          <w:i/>
          <w:sz w:val="24"/>
          <w:szCs w:val="24"/>
        </w:rPr>
        <w:t>Phenomenology and the crisis of philosophy</w:t>
      </w:r>
      <w:r w:rsidRPr="00A0345A">
        <w:rPr>
          <w:rFonts w:ascii="Times New Roman" w:eastAsia="Times New Roman" w:hAnsi="Times New Roman" w:cs="Times New Roman"/>
          <w:sz w:val="24"/>
          <w:szCs w:val="24"/>
        </w:rPr>
        <w:t xml:space="preserve"> (Q. Lauer, Trans.).</w:t>
      </w:r>
    </w:p>
    <w:p w14:paraId="21B388E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Harper &amp; Row.</w:t>
      </w:r>
    </w:p>
    <w:p w14:paraId="7F98031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Jourian, T. J., Simmons, S. L., &amp; Devaney, K. C. (2015). We are not expected: Trans educators </w:t>
      </w:r>
    </w:p>
    <w:p w14:paraId="05BCAA1C"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(re)claiming space and voice in higher education and student affairs. TSQ: </w:t>
      </w:r>
      <w:r w:rsidRPr="00A0345A">
        <w:rPr>
          <w:rFonts w:ascii="Times New Roman" w:eastAsia="Times New Roman" w:hAnsi="Times New Roman" w:cs="Times New Roman"/>
          <w:i/>
          <w:sz w:val="24"/>
          <w:szCs w:val="24"/>
        </w:rPr>
        <w:t>Transgender Studies Quarterly,</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w:t>
      </w:r>
      <w:r w:rsidRPr="00A0345A">
        <w:rPr>
          <w:rFonts w:ascii="Times New Roman" w:eastAsia="Times New Roman" w:hAnsi="Times New Roman" w:cs="Times New Roman"/>
          <w:sz w:val="24"/>
          <w:szCs w:val="24"/>
        </w:rPr>
        <w:t xml:space="preserve">(3), 431–446. </w:t>
      </w:r>
      <w:hyperlink r:id="rId45">
        <w:r w:rsidR="001510DC" w:rsidRPr="00A0345A">
          <w:rPr>
            <w:rFonts w:ascii="Times New Roman" w:eastAsia="Times New Roman" w:hAnsi="Times New Roman" w:cs="Times New Roman"/>
            <w:sz w:val="24"/>
            <w:szCs w:val="24"/>
            <w:u w:val="single"/>
          </w:rPr>
          <w:t>https://doi.org/10.1215/23289252-2926410</w:t>
        </w:r>
      </w:hyperlink>
    </w:p>
    <w:p w14:paraId="31D6B29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Kallio, H., Pietilä, A. M., Johnson, M., &amp; Kangasniemi, M. (2016). Systematic methodological </w:t>
      </w:r>
    </w:p>
    <w:p w14:paraId="148E0A19"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review: developing a framework for a qualitative semi‐structured interview guide. </w:t>
      </w:r>
      <w:r w:rsidRPr="00A0345A">
        <w:rPr>
          <w:rFonts w:ascii="Times New Roman" w:eastAsia="Times New Roman" w:hAnsi="Times New Roman" w:cs="Times New Roman"/>
          <w:i/>
          <w:sz w:val="24"/>
          <w:szCs w:val="24"/>
        </w:rPr>
        <w:t>Journal of Advanced Nursing,</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72</w:t>
      </w:r>
      <w:r w:rsidRPr="00A0345A">
        <w:rPr>
          <w:rFonts w:ascii="Times New Roman" w:eastAsia="Times New Roman" w:hAnsi="Times New Roman" w:cs="Times New Roman"/>
          <w:sz w:val="24"/>
          <w:szCs w:val="24"/>
        </w:rPr>
        <w:t>(12), 2954-2965.</w:t>
      </w:r>
    </w:p>
    <w:p w14:paraId="2826204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Kanagala, V., &amp; Oliver, S. T. (2019). Our younger selves: QPOC student affairs professionals </w:t>
      </w:r>
    </w:p>
    <w:p w14:paraId="59AFEF72"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supporting QPOC students. </w:t>
      </w:r>
      <w:r w:rsidRPr="00A0345A">
        <w:rPr>
          <w:rFonts w:ascii="Times New Roman" w:eastAsia="Times New Roman" w:hAnsi="Times New Roman" w:cs="Times New Roman"/>
          <w:i/>
          <w:sz w:val="24"/>
          <w:szCs w:val="24"/>
          <w:highlight w:val="white"/>
        </w:rPr>
        <w:t>Equity &amp; Excellence in Education, 52</w:t>
      </w:r>
      <w:r w:rsidRPr="00A0345A">
        <w:rPr>
          <w:rFonts w:ascii="Times New Roman" w:eastAsia="Times New Roman" w:hAnsi="Times New Roman" w:cs="Times New Roman"/>
          <w:sz w:val="24"/>
          <w:szCs w:val="24"/>
          <w:highlight w:val="white"/>
        </w:rPr>
        <w:t>(4), 409-423.</w:t>
      </w:r>
    </w:p>
    <w:p w14:paraId="4D81CB1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Karunaratne, N. D., Koppel, L. M., &amp; yang, c. i. (2016). Navigating a social justice motivation </w:t>
      </w:r>
    </w:p>
    <w:p w14:paraId="07593A07"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and praxis as student affairs professionals. </w:t>
      </w:r>
      <w:r w:rsidRPr="00A0345A">
        <w:rPr>
          <w:rFonts w:ascii="Times New Roman" w:eastAsia="Times New Roman" w:hAnsi="Times New Roman" w:cs="Times New Roman"/>
          <w:i/>
          <w:sz w:val="24"/>
          <w:szCs w:val="24"/>
        </w:rPr>
        <w:t>Journal of Critical Scholarship on Higher Education and Student Affairs, 3</w:t>
      </w:r>
      <w:r w:rsidRPr="00A0345A">
        <w:rPr>
          <w:rFonts w:ascii="Times New Roman" w:eastAsia="Times New Roman" w:hAnsi="Times New Roman" w:cs="Times New Roman"/>
          <w:sz w:val="24"/>
          <w:szCs w:val="24"/>
        </w:rPr>
        <w:t>(1), 45-50.</w:t>
      </w:r>
    </w:p>
    <w:p w14:paraId="0513DE0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Keating, A. (2013). </w:t>
      </w:r>
      <w:r w:rsidRPr="00A0345A">
        <w:rPr>
          <w:rFonts w:ascii="Times New Roman" w:eastAsia="Times New Roman" w:hAnsi="Times New Roman" w:cs="Times New Roman"/>
          <w:i/>
          <w:sz w:val="24"/>
          <w:szCs w:val="24"/>
        </w:rPr>
        <w:t>Transformation now! Toward a post-oppositional politics of change. </w:t>
      </w:r>
    </w:p>
    <w:p w14:paraId="6638C6C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University of Illinois Press.</w:t>
      </w:r>
    </w:p>
    <w:p w14:paraId="2B2F524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Kortegast, C. (2021). Disclosure, inclusion, and consequences for LGBTQ student affairs </w:t>
      </w:r>
    </w:p>
    <w:p w14:paraId="51755E2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professionals. In</w:t>
      </w:r>
      <w:r w:rsidRPr="00A0345A">
        <w:rPr>
          <w:rFonts w:ascii="Times New Roman" w:eastAsia="Times New Roman" w:hAnsi="Times New Roman" w:cs="Times New Roman"/>
          <w:i/>
          <w:sz w:val="24"/>
          <w:szCs w:val="24"/>
          <w:highlight w:val="white"/>
        </w:rPr>
        <w:t xml:space="preserve"> Creating Sustainable Careers in Student Affairs </w:t>
      </w:r>
      <w:r w:rsidRPr="00A0345A">
        <w:rPr>
          <w:rFonts w:ascii="Times New Roman" w:eastAsia="Times New Roman" w:hAnsi="Times New Roman" w:cs="Times New Roman"/>
          <w:sz w:val="24"/>
          <w:szCs w:val="24"/>
          <w:highlight w:val="white"/>
        </w:rPr>
        <w:t>(1st ed., pp. 179–200). </w:t>
      </w:r>
    </w:p>
    <w:p w14:paraId="1EA962D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Larsen, H. G., &amp; Adu, P. (2022). </w:t>
      </w:r>
      <w:r w:rsidRPr="00A0345A">
        <w:rPr>
          <w:rFonts w:ascii="Times New Roman" w:eastAsia="Times New Roman" w:hAnsi="Times New Roman" w:cs="Times New Roman"/>
          <w:i/>
          <w:sz w:val="24"/>
          <w:szCs w:val="24"/>
        </w:rPr>
        <w:t>The theoretical framework in phenomenological research:</w:t>
      </w:r>
    </w:p>
    <w:p w14:paraId="6340E0AA"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Development and application</w:t>
      </w:r>
      <w:r w:rsidRPr="00A0345A">
        <w:rPr>
          <w:rFonts w:ascii="Times New Roman" w:eastAsia="Times New Roman" w:hAnsi="Times New Roman" w:cs="Times New Roman"/>
          <w:sz w:val="24"/>
          <w:szCs w:val="24"/>
        </w:rPr>
        <w:t xml:space="preserve">. Routledge. </w:t>
      </w:r>
      <w:hyperlink r:id="rId46">
        <w:r w:rsidR="001510DC" w:rsidRPr="00A0345A">
          <w:rPr>
            <w:rFonts w:ascii="Times New Roman" w:eastAsia="Times New Roman" w:hAnsi="Times New Roman" w:cs="Times New Roman"/>
            <w:sz w:val="24"/>
            <w:szCs w:val="24"/>
            <w:u w:val="single"/>
          </w:rPr>
          <w:t>https://doi.org/10.4324/9781003084259</w:t>
        </w:r>
      </w:hyperlink>
    </w:p>
    <w:p w14:paraId="4AF7B37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Leigh-Osroosh, K. T. (2021). The phenomenological house: A metaphoric framework for</w:t>
      </w:r>
    </w:p>
    <w:p w14:paraId="1BAC068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descriptive phenomenological psychological design and analysis.</w:t>
      </w:r>
      <w:r w:rsidRPr="00A0345A">
        <w:rPr>
          <w:rFonts w:ascii="Times New Roman" w:eastAsia="Times New Roman" w:hAnsi="Times New Roman" w:cs="Times New Roman"/>
          <w:i/>
          <w:sz w:val="24"/>
          <w:szCs w:val="24"/>
        </w:rPr>
        <w:t xml:space="preserve"> The Qualitative Report,</w:t>
      </w:r>
    </w:p>
    <w:p w14:paraId="3182B139"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26</w:t>
      </w:r>
      <w:r w:rsidRPr="00A0345A">
        <w:rPr>
          <w:rFonts w:ascii="Times New Roman" w:eastAsia="Times New Roman" w:hAnsi="Times New Roman" w:cs="Times New Roman"/>
          <w:sz w:val="24"/>
          <w:szCs w:val="24"/>
        </w:rPr>
        <w:t xml:space="preserve">(6), 1817-1829. </w:t>
      </w:r>
      <w:hyperlink r:id="rId47">
        <w:r w:rsidR="001510DC" w:rsidRPr="00A0345A">
          <w:rPr>
            <w:rFonts w:ascii="Times New Roman" w:eastAsia="Times New Roman" w:hAnsi="Times New Roman" w:cs="Times New Roman"/>
            <w:sz w:val="24"/>
            <w:szCs w:val="24"/>
            <w:u w:val="single"/>
          </w:rPr>
          <w:t>https://doi.org/10.46743/2160-3715/2021.4815</w:t>
        </w:r>
      </w:hyperlink>
    </w:p>
    <w:p w14:paraId="7DD5A52E"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Lincoln, Y. S., &amp; Guba, E. G. (1985). </w:t>
      </w:r>
      <w:r w:rsidRPr="00A0345A">
        <w:rPr>
          <w:rFonts w:ascii="Times New Roman" w:eastAsia="Times New Roman" w:hAnsi="Times New Roman" w:cs="Times New Roman"/>
          <w:i/>
          <w:sz w:val="24"/>
          <w:szCs w:val="24"/>
        </w:rPr>
        <w:t>Naturalistic inquiry</w:t>
      </w:r>
      <w:r w:rsidRPr="00A0345A">
        <w:rPr>
          <w:rFonts w:ascii="Times New Roman" w:eastAsia="Times New Roman" w:hAnsi="Times New Roman" w:cs="Times New Roman"/>
          <w:sz w:val="24"/>
          <w:szCs w:val="24"/>
        </w:rPr>
        <w:t>. Sage Publications.</w:t>
      </w:r>
    </w:p>
    <w:p w14:paraId="082ECEE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Lu, D., Ruan, B., Lee, M., Yilmaz, Y., &amp; Chan, T. M. (2021). Good practices in harnessing </w:t>
      </w:r>
    </w:p>
    <w:p w14:paraId="06C30FEA"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 xml:space="preserve">social media for scholarly discourse, knowledge translation, and education. </w:t>
      </w:r>
      <w:r w:rsidRPr="00A0345A">
        <w:rPr>
          <w:rFonts w:ascii="Times New Roman" w:eastAsia="Times New Roman" w:hAnsi="Times New Roman" w:cs="Times New Roman"/>
          <w:i/>
          <w:sz w:val="24"/>
          <w:szCs w:val="24"/>
        </w:rPr>
        <w:t>Perspectives on medical education, 10</w:t>
      </w:r>
      <w:r w:rsidRPr="00A0345A">
        <w:rPr>
          <w:rFonts w:ascii="Times New Roman" w:eastAsia="Times New Roman" w:hAnsi="Times New Roman" w:cs="Times New Roman"/>
          <w:sz w:val="24"/>
          <w:szCs w:val="24"/>
        </w:rPr>
        <w:t>, 23-32.</w:t>
      </w:r>
    </w:p>
    <w:p w14:paraId="044641C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Luedke, C. L. (2017). Person first, student second: Staff and administrators of color supporting </w:t>
      </w:r>
    </w:p>
    <w:p w14:paraId="16553001"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students of color authentically in higher education. Journal of College Student Development, </w:t>
      </w:r>
      <w:r w:rsidRPr="00A0345A">
        <w:rPr>
          <w:rFonts w:ascii="Times New Roman" w:eastAsia="Times New Roman" w:hAnsi="Times New Roman" w:cs="Times New Roman"/>
          <w:i/>
          <w:sz w:val="24"/>
          <w:szCs w:val="24"/>
        </w:rPr>
        <w:t>58</w:t>
      </w:r>
      <w:r w:rsidRPr="00A0345A">
        <w:rPr>
          <w:rFonts w:ascii="Times New Roman" w:eastAsia="Times New Roman" w:hAnsi="Times New Roman" w:cs="Times New Roman"/>
          <w:sz w:val="24"/>
          <w:szCs w:val="24"/>
        </w:rPr>
        <w:t xml:space="preserve">(1), 37-52. </w:t>
      </w:r>
      <w:hyperlink r:id="rId48">
        <w:r w:rsidR="001510DC" w:rsidRPr="00A0345A">
          <w:rPr>
            <w:rFonts w:ascii="Times New Roman" w:eastAsia="Times New Roman" w:hAnsi="Times New Roman" w:cs="Times New Roman"/>
            <w:sz w:val="24"/>
            <w:szCs w:val="24"/>
            <w:u w:val="single"/>
          </w:rPr>
          <w:t>https://psycnet.apa.org/doi/10.1353/csd.2017.0002</w:t>
        </w:r>
      </w:hyperlink>
      <w:r w:rsidRPr="00A0345A">
        <w:rPr>
          <w:rFonts w:ascii="Times New Roman" w:eastAsia="Times New Roman" w:hAnsi="Times New Roman" w:cs="Times New Roman"/>
          <w:sz w:val="24"/>
          <w:szCs w:val="24"/>
        </w:rPr>
        <w:t xml:space="preserve"> </w:t>
      </w:r>
    </w:p>
    <w:p w14:paraId="5D1F544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Madill, A., &amp; Sullivan, P. (2018). Mirrors, portraits, and member checking: Managing difficult </w:t>
      </w:r>
    </w:p>
    <w:p w14:paraId="15F01CCE"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moments of knowledge exchange in the social sciences. </w:t>
      </w:r>
      <w:r w:rsidRPr="00A0345A">
        <w:rPr>
          <w:rFonts w:ascii="Times New Roman" w:eastAsia="Times New Roman" w:hAnsi="Times New Roman" w:cs="Times New Roman"/>
          <w:i/>
          <w:sz w:val="24"/>
          <w:szCs w:val="24"/>
        </w:rPr>
        <w:t>Qualitative Psychology,</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5</w:t>
      </w:r>
      <w:r w:rsidRPr="00A0345A">
        <w:rPr>
          <w:rFonts w:ascii="Times New Roman" w:eastAsia="Times New Roman" w:hAnsi="Times New Roman" w:cs="Times New Roman"/>
          <w:sz w:val="24"/>
          <w:szCs w:val="24"/>
        </w:rPr>
        <w:t xml:space="preserve">(3), 321–339. </w:t>
      </w:r>
      <w:hyperlink r:id="rId49">
        <w:r w:rsidR="001510DC" w:rsidRPr="00A0345A">
          <w:rPr>
            <w:rFonts w:ascii="Times New Roman" w:eastAsia="Times New Roman" w:hAnsi="Times New Roman" w:cs="Times New Roman"/>
            <w:sz w:val="24"/>
            <w:szCs w:val="24"/>
            <w:u w:val="single"/>
          </w:rPr>
          <w:t>https://doi.org/10.1037/qup0000089</w:t>
        </w:r>
      </w:hyperlink>
    </w:p>
    <w:p w14:paraId="378DC07C"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Marine, S. &amp; Gilbert, C. (Eds.). (2022). </w:t>
      </w:r>
      <w:r w:rsidRPr="00A0345A">
        <w:rPr>
          <w:rFonts w:ascii="Times New Roman" w:eastAsia="Times New Roman" w:hAnsi="Times New Roman" w:cs="Times New Roman"/>
          <w:i/>
          <w:sz w:val="24"/>
          <w:szCs w:val="24"/>
        </w:rPr>
        <w:t>Critical praxis in student affairs: Social justice in action </w:t>
      </w:r>
    </w:p>
    <w:p w14:paraId="541E30FC"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(First edition.). Stylus Publishing, LLC.</w:t>
      </w:r>
    </w:p>
    <w:p w14:paraId="254A0884"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Marshall, C., &amp; Rossman, G. B. (2016).</w:t>
      </w:r>
      <w:r w:rsidRPr="00A0345A">
        <w:rPr>
          <w:rFonts w:ascii="Times New Roman" w:eastAsia="Times New Roman" w:hAnsi="Times New Roman" w:cs="Times New Roman"/>
          <w:i/>
          <w:sz w:val="24"/>
          <w:szCs w:val="24"/>
        </w:rPr>
        <w:t xml:space="preserve"> Designing qualitative research</w:t>
      </w:r>
      <w:r w:rsidRPr="00A0345A">
        <w:rPr>
          <w:rFonts w:ascii="Times New Roman" w:eastAsia="Times New Roman" w:hAnsi="Times New Roman" w:cs="Times New Roman"/>
          <w:sz w:val="24"/>
          <w:szCs w:val="24"/>
        </w:rPr>
        <w:t xml:space="preserve"> (6th ed.). Sage.</w:t>
      </w:r>
    </w:p>
    <w:p w14:paraId="2435890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Marshall, S. M., Gardner, M. M., Hughes, C., &amp; Lowery, U. (2016). Attrition from student </w:t>
      </w:r>
    </w:p>
    <w:p w14:paraId="34D743B6"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affairs: Perspectives from those who exited the profession. </w:t>
      </w:r>
      <w:r w:rsidRPr="00A0345A">
        <w:rPr>
          <w:rFonts w:ascii="Times New Roman" w:eastAsia="Times New Roman" w:hAnsi="Times New Roman" w:cs="Times New Roman"/>
          <w:i/>
          <w:sz w:val="24"/>
          <w:szCs w:val="24"/>
        </w:rPr>
        <w:t>Journal of Student Affairs Research and Practice</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53</w:t>
      </w:r>
      <w:r w:rsidRPr="00A0345A">
        <w:rPr>
          <w:rFonts w:ascii="Times New Roman" w:eastAsia="Times New Roman" w:hAnsi="Times New Roman" w:cs="Times New Roman"/>
          <w:sz w:val="24"/>
          <w:szCs w:val="24"/>
        </w:rPr>
        <w:t xml:space="preserve">(2), 146–159. </w:t>
      </w:r>
      <w:hyperlink r:id="rId50">
        <w:r w:rsidR="001510DC" w:rsidRPr="00A0345A">
          <w:rPr>
            <w:rFonts w:ascii="Times New Roman" w:eastAsia="Times New Roman" w:hAnsi="Times New Roman" w:cs="Times New Roman"/>
            <w:sz w:val="24"/>
            <w:szCs w:val="24"/>
            <w:u w:val="single"/>
          </w:rPr>
          <w:t>https://doi.org/10.1080/19496591.2016.1147359</w:t>
        </w:r>
      </w:hyperlink>
      <w:r w:rsidRPr="00A0345A">
        <w:rPr>
          <w:rFonts w:ascii="Times New Roman" w:eastAsia="Times New Roman" w:hAnsi="Times New Roman" w:cs="Times New Roman"/>
          <w:sz w:val="24"/>
          <w:szCs w:val="24"/>
        </w:rPr>
        <w:t xml:space="preserve"> </w:t>
      </w:r>
    </w:p>
    <w:p w14:paraId="414D795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McKenna, B. (2013). Paulo Freire’s blunt challenge to anthropology: Create a pedagogy of the </w:t>
      </w:r>
    </w:p>
    <w:p w14:paraId="54356289"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oppressed for your times. </w:t>
      </w:r>
      <w:r w:rsidRPr="00A0345A">
        <w:rPr>
          <w:rFonts w:ascii="Times New Roman" w:eastAsia="Times New Roman" w:hAnsi="Times New Roman" w:cs="Times New Roman"/>
          <w:i/>
          <w:sz w:val="24"/>
          <w:szCs w:val="24"/>
          <w:highlight w:val="white"/>
        </w:rPr>
        <w:t>Critique of Anthropology, 33</w:t>
      </w:r>
      <w:r w:rsidRPr="00A0345A">
        <w:rPr>
          <w:rFonts w:ascii="Times New Roman" w:eastAsia="Times New Roman" w:hAnsi="Times New Roman" w:cs="Times New Roman"/>
          <w:sz w:val="24"/>
          <w:szCs w:val="24"/>
          <w:highlight w:val="white"/>
        </w:rPr>
        <w:t>(4), 447-475.</w:t>
      </w:r>
    </w:p>
    <w:p w14:paraId="1F1210BE"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McLaren, P., Macrine, S., &amp; Hill, D. (Eds.). (2010). </w:t>
      </w:r>
      <w:r w:rsidRPr="00A0345A">
        <w:rPr>
          <w:rFonts w:ascii="Times New Roman" w:eastAsia="Times New Roman" w:hAnsi="Times New Roman" w:cs="Times New Roman"/>
          <w:i/>
          <w:sz w:val="24"/>
          <w:szCs w:val="24"/>
        </w:rPr>
        <w:t>Revolutionizing pedagogy: Educating for </w:t>
      </w:r>
    </w:p>
    <w:p w14:paraId="1318FCE0"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social justice within and beyond global neoliberalism.</w:t>
      </w:r>
      <w:r w:rsidRPr="00A0345A">
        <w:rPr>
          <w:rFonts w:ascii="Times New Roman" w:eastAsia="Times New Roman" w:hAnsi="Times New Roman" w:cs="Times New Roman"/>
          <w:sz w:val="24"/>
          <w:szCs w:val="24"/>
        </w:rPr>
        <w:t xml:space="preserve"> Palgrave Macmillan.</w:t>
      </w:r>
    </w:p>
    <w:p w14:paraId="40A9EB8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Merriam, S. B., &amp; Tisdell, E. J. (2016).</w:t>
      </w:r>
      <w:r w:rsidRPr="00A0345A">
        <w:rPr>
          <w:rFonts w:ascii="Times New Roman" w:eastAsia="Times New Roman" w:hAnsi="Times New Roman" w:cs="Times New Roman"/>
          <w:i/>
          <w:sz w:val="24"/>
          <w:szCs w:val="24"/>
        </w:rPr>
        <w:t xml:space="preserve"> Qualitative research: A guide to design and  </w:t>
      </w:r>
    </w:p>
    <w:p w14:paraId="51BD5ED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implementation </w:t>
      </w:r>
      <w:r w:rsidRPr="00A0345A">
        <w:rPr>
          <w:rFonts w:ascii="Times New Roman" w:eastAsia="Times New Roman" w:hAnsi="Times New Roman" w:cs="Times New Roman"/>
          <w:sz w:val="24"/>
          <w:szCs w:val="24"/>
        </w:rPr>
        <w:t>(4th ed.). Jossey-Bass.</w:t>
      </w:r>
    </w:p>
    <w:p w14:paraId="68EBBB1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Merriam-Webster. (n.d.). Persistence. In </w:t>
      </w:r>
      <w:r w:rsidRPr="00A0345A">
        <w:rPr>
          <w:rFonts w:ascii="Times New Roman" w:eastAsia="Times New Roman" w:hAnsi="Times New Roman" w:cs="Times New Roman"/>
          <w:i/>
          <w:sz w:val="24"/>
          <w:szCs w:val="24"/>
        </w:rPr>
        <w:t xml:space="preserve">Merriam-Webster.com dictionary. </w:t>
      </w:r>
      <w:r w:rsidRPr="00A0345A">
        <w:rPr>
          <w:rFonts w:ascii="Times New Roman" w:eastAsia="Times New Roman" w:hAnsi="Times New Roman" w:cs="Times New Roman"/>
          <w:sz w:val="24"/>
          <w:szCs w:val="24"/>
        </w:rPr>
        <w:t>Retrieved January 4, </w:t>
      </w:r>
    </w:p>
    <w:p w14:paraId="3676280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2024, from </w:t>
      </w:r>
      <w:hyperlink r:id="rId51">
        <w:r w:rsidR="001510DC" w:rsidRPr="00A0345A">
          <w:rPr>
            <w:rFonts w:ascii="Times New Roman" w:eastAsia="Times New Roman" w:hAnsi="Times New Roman" w:cs="Times New Roman"/>
            <w:sz w:val="24"/>
            <w:szCs w:val="24"/>
            <w:u w:val="single"/>
          </w:rPr>
          <w:t>https://www.merriam-webster.com/dictionary/persist </w:t>
        </w:r>
      </w:hyperlink>
    </w:p>
    <w:p w14:paraId="6DEB0609" w14:textId="77777777" w:rsidR="001510DC" w:rsidRPr="00A0345A" w:rsidRDefault="00000000">
      <w:pPr>
        <w:spacing w:line="480" w:lineRule="auto"/>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 xml:space="preserve">Monjaras‐Gaytan, L. Y., Sánchez, B., Anderson, A. J., Garcia‐Murillo, Y., McGarity‐Palmer, </w:t>
      </w:r>
    </w:p>
    <w:p w14:paraId="6C537184"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lastRenderedPageBreak/>
        <w:t xml:space="preserve">R., de los Reyes, W., Catlett, B. S., &amp; Liao, C. L. (2021). Act, talk, reflect, then act: The role of natural mentors in the critical consciousness of ethnically/racially diverse college students. </w:t>
      </w:r>
      <w:r w:rsidRPr="00A0345A">
        <w:rPr>
          <w:rFonts w:ascii="Times New Roman" w:eastAsia="Times New Roman" w:hAnsi="Times New Roman" w:cs="Times New Roman"/>
          <w:i/>
          <w:sz w:val="24"/>
          <w:szCs w:val="24"/>
          <w:highlight w:val="white"/>
        </w:rPr>
        <w:t>American Journal of Community Psychology,</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68</w:t>
      </w:r>
      <w:r w:rsidRPr="00A0345A">
        <w:rPr>
          <w:rFonts w:ascii="Times New Roman" w:eastAsia="Times New Roman" w:hAnsi="Times New Roman" w:cs="Times New Roman"/>
          <w:sz w:val="24"/>
          <w:szCs w:val="24"/>
          <w:highlight w:val="white"/>
        </w:rPr>
        <w:t xml:space="preserve">(3–4), 292–309. </w:t>
      </w:r>
      <w:hyperlink r:id="rId52">
        <w:r w:rsidR="001510DC" w:rsidRPr="00A0345A">
          <w:rPr>
            <w:rFonts w:ascii="Times New Roman" w:eastAsia="Times New Roman" w:hAnsi="Times New Roman" w:cs="Times New Roman"/>
            <w:sz w:val="24"/>
            <w:szCs w:val="24"/>
            <w:highlight w:val="white"/>
            <w:u w:val="single"/>
          </w:rPr>
          <w:t>https://doi.org/10.1002/ajcp.12517</w:t>
        </w:r>
      </w:hyperlink>
    </w:p>
    <w:p w14:paraId="5836C48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Moore, W. L. (2008). Reproducing racism: White space, elite law schools, and racial </w:t>
      </w:r>
    </w:p>
    <w:p w14:paraId="481E0DFD" w14:textId="77777777" w:rsidR="001510DC" w:rsidRPr="00A0345A" w:rsidRDefault="00000000">
      <w:pPr>
        <w:spacing w:line="480" w:lineRule="auto"/>
        <w:ind w:left="720"/>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rPr>
        <w:t>inequality.</w:t>
      </w:r>
      <w:r w:rsidRPr="00A0345A">
        <w:rPr>
          <w:rFonts w:ascii="Times New Roman" w:eastAsia="Times New Roman" w:hAnsi="Times New Roman" w:cs="Times New Roman"/>
          <w:sz w:val="24"/>
          <w:szCs w:val="24"/>
          <w:highlight w:val="white"/>
        </w:rPr>
        <w:t> </w:t>
      </w:r>
      <w:r w:rsidRPr="00A0345A">
        <w:rPr>
          <w:rFonts w:ascii="Times New Roman" w:eastAsia="Times New Roman" w:hAnsi="Times New Roman" w:cs="Times New Roman"/>
          <w:i/>
          <w:sz w:val="24"/>
          <w:szCs w:val="24"/>
          <w:highlight w:val="white"/>
        </w:rPr>
        <w:t>Journal of College Student Retention: Research, Theory &amp; Practice</w:t>
      </w:r>
      <w:r w:rsidRPr="00A0345A">
        <w:rPr>
          <w:rFonts w:ascii="Times New Roman" w:eastAsia="Times New Roman" w:hAnsi="Times New Roman" w:cs="Times New Roman"/>
          <w:sz w:val="24"/>
          <w:szCs w:val="24"/>
          <w:highlight w:val="white"/>
        </w:rPr>
        <w:t>, </w:t>
      </w:r>
      <w:r w:rsidRPr="00A0345A">
        <w:rPr>
          <w:rFonts w:ascii="Times New Roman" w:eastAsia="Times New Roman" w:hAnsi="Times New Roman" w:cs="Times New Roman"/>
          <w:i/>
          <w:sz w:val="24"/>
          <w:szCs w:val="24"/>
          <w:highlight w:val="white"/>
        </w:rPr>
        <w:t>23</w:t>
      </w:r>
      <w:r w:rsidRPr="00A0345A">
        <w:rPr>
          <w:rFonts w:ascii="Times New Roman" w:eastAsia="Times New Roman" w:hAnsi="Times New Roman" w:cs="Times New Roman"/>
          <w:sz w:val="24"/>
          <w:szCs w:val="24"/>
          <w:highlight w:val="white"/>
        </w:rPr>
        <w:t>(3), 507-522.</w:t>
      </w:r>
    </w:p>
    <w:p w14:paraId="440B7D6C"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Moragne-Patterson, Y. K., &amp; Barnett, T. M. (2017). Experiences and responses to </w:t>
      </w:r>
    </w:p>
    <w:p w14:paraId="07D78243"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micro-aggressions on historically white campuses: A qualitative interpretive meta-synthesis.</w:t>
      </w:r>
      <w:r w:rsidRPr="00A0345A">
        <w:rPr>
          <w:rFonts w:ascii="Times New Roman" w:eastAsia="Times New Roman" w:hAnsi="Times New Roman" w:cs="Times New Roman"/>
          <w:i/>
          <w:sz w:val="24"/>
          <w:szCs w:val="24"/>
          <w:highlight w:val="white"/>
        </w:rPr>
        <w:t xml:space="preserve"> Journal of Sociology &amp; Social Welfare</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44</w:t>
      </w:r>
      <w:r w:rsidRPr="00A0345A">
        <w:rPr>
          <w:rFonts w:ascii="Times New Roman" w:eastAsia="Times New Roman" w:hAnsi="Times New Roman" w:cs="Times New Roman"/>
          <w:sz w:val="24"/>
          <w:szCs w:val="24"/>
          <w:highlight w:val="white"/>
        </w:rPr>
        <w:t>(3), 3-26.</w:t>
      </w:r>
    </w:p>
    <w:p w14:paraId="71ACF8A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Moriña, A. (2017). Inclusive education in higher education: challenges and opportunities. </w:t>
      </w:r>
    </w:p>
    <w:p w14:paraId="13CB7D2E"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Postsecondary educational opportunities for students with special education needs, </w:t>
      </w:r>
    </w:p>
    <w:p w14:paraId="008DF9D9"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32</w:t>
      </w:r>
      <w:r w:rsidRPr="00A0345A">
        <w:rPr>
          <w:rFonts w:ascii="Times New Roman" w:eastAsia="Times New Roman" w:hAnsi="Times New Roman" w:cs="Times New Roman"/>
          <w:sz w:val="24"/>
          <w:szCs w:val="24"/>
        </w:rPr>
        <w:t xml:space="preserve">(1), 3-17. </w:t>
      </w:r>
      <w:hyperlink r:id="rId53">
        <w:r w:rsidR="001510DC" w:rsidRPr="00A0345A">
          <w:rPr>
            <w:rFonts w:ascii="Times New Roman" w:eastAsia="Times New Roman" w:hAnsi="Times New Roman" w:cs="Times New Roman"/>
            <w:sz w:val="24"/>
            <w:szCs w:val="24"/>
            <w:u w:val="single"/>
          </w:rPr>
          <w:t>https://doi.org/10.1080/08856257.2016.1254964</w:t>
        </w:r>
      </w:hyperlink>
    </w:p>
    <w:p w14:paraId="61B6ACC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Morrow, S. L. (2005). Quality and trustworthiness in qualitative research in counseling </w:t>
      </w:r>
    </w:p>
    <w:p w14:paraId="380F624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psychology.</w:t>
      </w:r>
      <w:r w:rsidRPr="00A0345A">
        <w:rPr>
          <w:rFonts w:ascii="Times New Roman" w:eastAsia="Times New Roman" w:hAnsi="Times New Roman" w:cs="Times New Roman"/>
          <w:i/>
          <w:sz w:val="24"/>
          <w:szCs w:val="24"/>
        </w:rPr>
        <w:t xml:space="preserve"> Journal of counseling psychology</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52</w:t>
      </w:r>
      <w:r w:rsidRPr="00A0345A">
        <w:rPr>
          <w:rFonts w:ascii="Times New Roman" w:eastAsia="Times New Roman" w:hAnsi="Times New Roman" w:cs="Times New Roman"/>
          <w:sz w:val="24"/>
          <w:szCs w:val="24"/>
        </w:rPr>
        <w:t>(2), 250.</w:t>
      </w:r>
    </w:p>
    <w:p w14:paraId="413A192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Motulsky, S. L. (2021). Is member checking the gold standard of quality in qualitative research? </w:t>
      </w:r>
    </w:p>
    <w:p w14:paraId="6CE2F0EF"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Qualitative Psychology</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8</w:t>
      </w:r>
      <w:r w:rsidRPr="00A0345A">
        <w:rPr>
          <w:rFonts w:ascii="Times New Roman" w:eastAsia="Times New Roman" w:hAnsi="Times New Roman" w:cs="Times New Roman"/>
          <w:sz w:val="24"/>
          <w:szCs w:val="24"/>
        </w:rPr>
        <w:t xml:space="preserve">(3), 389-406. </w:t>
      </w:r>
      <w:hyperlink r:id="rId54">
        <w:r w:rsidR="001510DC" w:rsidRPr="00A0345A">
          <w:rPr>
            <w:rFonts w:ascii="Times New Roman" w:eastAsia="Times New Roman" w:hAnsi="Times New Roman" w:cs="Times New Roman"/>
            <w:sz w:val="24"/>
            <w:szCs w:val="24"/>
            <w:u w:val="single"/>
          </w:rPr>
          <w:t>https://doi.org/10.1037/qup0000215</w:t>
        </w:r>
      </w:hyperlink>
    </w:p>
    <w:p w14:paraId="5941FAE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Moustakas. (1994).</w:t>
      </w:r>
      <w:r w:rsidRPr="00A0345A">
        <w:rPr>
          <w:rFonts w:ascii="Times New Roman" w:eastAsia="Times New Roman" w:hAnsi="Times New Roman" w:cs="Times New Roman"/>
          <w:i/>
          <w:sz w:val="24"/>
          <w:szCs w:val="24"/>
        </w:rPr>
        <w:t xml:space="preserve"> Phenomenological research methods.</w:t>
      </w:r>
      <w:r w:rsidRPr="00A0345A">
        <w:rPr>
          <w:rFonts w:ascii="Times New Roman" w:eastAsia="Times New Roman" w:hAnsi="Times New Roman" w:cs="Times New Roman"/>
          <w:sz w:val="24"/>
          <w:szCs w:val="24"/>
        </w:rPr>
        <w:t xml:space="preserve"> SAGE.</w:t>
      </w:r>
    </w:p>
    <w:p w14:paraId="534285E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Museus, S. D., Yi, V., &amp; Saelua, N. (2017). The impact of culturally engaging campus </w:t>
      </w:r>
    </w:p>
    <w:p w14:paraId="3A177B35"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environments on sense of belonging. The Review of Higher Education, </w:t>
      </w:r>
      <w:r w:rsidRPr="00A0345A">
        <w:rPr>
          <w:rFonts w:ascii="Times New Roman" w:eastAsia="Times New Roman" w:hAnsi="Times New Roman" w:cs="Times New Roman"/>
          <w:i/>
          <w:sz w:val="24"/>
          <w:szCs w:val="24"/>
        </w:rPr>
        <w:t>40</w:t>
      </w:r>
      <w:r w:rsidRPr="00A0345A">
        <w:rPr>
          <w:rFonts w:ascii="Times New Roman" w:eastAsia="Times New Roman" w:hAnsi="Times New Roman" w:cs="Times New Roman"/>
          <w:sz w:val="24"/>
          <w:szCs w:val="24"/>
        </w:rPr>
        <w:t xml:space="preserve">(2), 187-215. </w:t>
      </w:r>
      <w:hyperlink r:id="rId55">
        <w:r w:rsidR="001510DC" w:rsidRPr="00A0345A">
          <w:rPr>
            <w:rFonts w:ascii="Times New Roman" w:eastAsia="Times New Roman" w:hAnsi="Times New Roman" w:cs="Times New Roman"/>
            <w:sz w:val="24"/>
            <w:szCs w:val="24"/>
            <w:u w:val="single"/>
          </w:rPr>
          <w:t>https://doi.org/10.1353/rhe.2017.0001</w:t>
        </w:r>
      </w:hyperlink>
      <w:r w:rsidRPr="00A0345A">
        <w:rPr>
          <w:rFonts w:ascii="Times New Roman" w:eastAsia="Times New Roman" w:hAnsi="Times New Roman" w:cs="Times New Roman"/>
          <w:sz w:val="24"/>
          <w:szCs w:val="24"/>
        </w:rPr>
        <w:t xml:space="preserve"> </w:t>
      </w:r>
    </w:p>
    <w:p w14:paraId="31DE720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NASPA. (2022). </w:t>
      </w:r>
      <w:r w:rsidRPr="00A0345A">
        <w:rPr>
          <w:rFonts w:ascii="Times New Roman" w:eastAsia="Times New Roman" w:hAnsi="Times New Roman" w:cs="Times New Roman"/>
          <w:i/>
          <w:sz w:val="24"/>
          <w:szCs w:val="24"/>
        </w:rPr>
        <w:t xml:space="preserve">Charting the future of student affairs. </w:t>
      </w:r>
      <w:r w:rsidRPr="00A0345A">
        <w:rPr>
          <w:rFonts w:ascii="Times New Roman" w:eastAsia="Times New Roman" w:hAnsi="Times New Roman" w:cs="Times New Roman"/>
          <w:sz w:val="24"/>
          <w:szCs w:val="24"/>
        </w:rPr>
        <w:t>Retrieved from </w:t>
      </w:r>
    </w:p>
    <w:p w14:paraId="3DC84A5C" w14:textId="77777777" w:rsidR="001510DC" w:rsidRPr="00A0345A" w:rsidRDefault="00000000">
      <w:pPr>
        <w:spacing w:line="480" w:lineRule="auto"/>
        <w:ind w:left="720"/>
        <w:rPr>
          <w:rFonts w:ascii="Times New Roman" w:eastAsia="Times New Roman" w:hAnsi="Times New Roman" w:cs="Times New Roman"/>
          <w:sz w:val="24"/>
          <w:szCs w:val="24"/>
        </w:rPr>
      </w:pPr>
      <w:hyperlink r:id="rId56">
        <w:r w:rsidR="001510DC" w:rsidRPr="00A0345A">
          <w:rPr>
            <w:rFonts w:ascii="Times New Roman" w:eastAsia="Times New Roman" w:hAnsi="Times New Roman" w:cs="Times New Roman"/>
            <w:sz w:val="24"/>
            <w:szCs w:val="24"/>
            <w:u w:val="single"/>
          </w:rPr>
          <w:t>https://5721802.fs1.hubspotusercontent-na1.net/hubfs/5721802/Download%20Files/The_Compass_Report_ 2022_Web.pdf</w:t>
        </w:r>
      </w:hyperlink>
    </w:p>
    <w:p w14:paraId="47D9758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Naderifar, M., Goli, H., &amp; Ghaljaie, F. (2017). Snowball sampling: A purposeful method of </w:t>
      </w:r>
    </w:p>
    <w:p w14:paraId="7C7E882B"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sampling in qualitative research. Strides in Development of Medical Education, 14, e67670. </w:t>
      </w:r>
      <w:hyperlink r:id="rId57">
        <w:r w:rsidR="001510DC" w:rsidRPr="00A0345A">
          <w:rPr>
            <w:rFonts w:ascii="Times New Roman" w:eastAsia="Times New Roman" w:hAnsi="Times New Roman" w:cs="Times New Roman"/>
            <w:sz w:val="24"/>
            <w:szCs w:val="24"/>
            <w:u w:val="single"/>
          </w:rPr>
          <w:t>https://doi.org/10.5812/sdme.67670</w:t>
        </w:r>
      </w:hyperlink>
    </w:p>
    <w:p w14:paraId="1D3AC87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Nam, R., Lenderman, K., &amp; Booze, E. (2022). The impact of racial socialization on diversity, </w:t>
      </w:r>
    </w:p>
    <w:p w14:paraId="73286366"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equity, and inclusion facilitation: A critical collaborative autoethnography among diversity, equity, and inclusion teacher-educators. </w:t>
      </w:r>
      <w:r w:rsidRPr="00A0345A">
        <w:rPr>
          <w:rFonts w:ascii="Times New Roman" w:eastAsia="Times New Roman" w:hAnsi="Times New Roman" w:cs="Times New Roman"/>
          <w:i/>
          <w:sz w:val="24"/>
          <w:szCs w:val="24"/>
        </w:rPr>
        <w:t>Multicultural Perspectives</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24</w:t>
      </w:r>
      <w:r w:rsidRPr="00A0345A">
        <w:rPr>
          <w:rFonts w:ascii="Times New Roman" w:eastAsia="Times New Roman" w:hAnsi="Times New Roman" w:cs="Times New Roman"/>
          <w:sz w:val="24"/>
          <w:szCs w:val="24"/>
        </w:rPr>
        <w:t xml:space="preserve">(1), 14–21. </w:t>
      </w:r>
      <w:hyperlink r:id="rId58">
        <w:r w:rsidR="001510DC" w:rsidRPr="00A0345A">
          <w:rPr>
            <w:rFonts w:ascii="Times New Roman" w:eastAsia="Times New Roman" w:hAnsi="Times New Roman" w:cs="Times New Roman"/>
            <w:sz w:val="24"/>
            <w:szCs w:val="24"/>
            <w:u w:val="single"/>
          </w:rPr>
          <w:t>https://doi.org/10.1080/15210960.2022.2028156</w:t>
        </w:r>
      </w:hyperlink>
    </w:p>
    <w:p w14:paraId="6F7A43C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Nash, K. T., &amp; Miller, E. T. (2015). Reifying and resisting racism from early childhood to </w:t>
      </w:r>
    </w:p>
    <w:p w14:paraId="40870F92"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young adulthood. </w:t>
      </w:r>
      <w:r w:rsidRPr="00A0345A">
        <w:rPr>
          <w:rFonts w:ascii="Times New Roman" w:eastAsia="Times New Roman" w:hAnsi="Times New Roman" w:cs="Times New Roman"/>
          <w:i/>
          <w:sz w:val="24"/>
          <w:szCs w:val="24"/>
        </w:rPr>
        <w:t>The Urban Review</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47</w:t>
      </w:r>
      <w:r w:rsidRPr="00A0345A">
        <w:rPr>
          <w:rFonts w:ascii="Times New Roman" w:eastAsia="Times New Roman" w:hAnsi="Times New Roman" w:cs="Times New Roman"/>
          <w:sz w:val="24"/>
          <w:szCs w:val="24"/>
        </w:rPr>
        <w:t xml:space="preserve">(1), 184–208. </w:t>
      </w:r>
      <w:hyperlink r:id="rId59">
        <w:r w:rsidR="001510DC" w:rsidRPr="00A0345A">
          <w:rPr>
            <w:rFonts w:ascii="Times New Roman" w:eastAsia="Times New Roman" w:hAnsi="Times New Roman" w:cs="Times New Roman"/>
            <w:sz w:val="24"/>
            <w:szCs w:val="24"/>
            <w:u w:val="single"/>
          </w:rPr>
          <w:t>https://doi.org/10.1007/s11256-014-0314-5</w:t>
        </w:r>
      </w:hyperlink>
    </w:p>
    <w:p w14:paraId="186D2BA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National Center for Education Statistics. (2023). Characteristics of Postsecondary Faculty. </w:t>
      </w:r>
    </w:p>
    <w:p w14:paraId="2F2FA64B"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Condition of Education.</w:t>
      </w:r>
      <w:r w:rsidRPr="00A0345A">
        <w:rPr>
          <w:rFonts w:ascii="Times New Roman" w:eastAsia="Times New Roman" w:hAnsi="Times New Roman" w:cs="Times New Roman"/>
          <w:sz w:val="24"/>
          <w:szCs w:val="24"/>
        </w:rPr>
        <w:t xml:space="preserve"> U.S. Department of Education, Institute of Education Sciences. Retrieved January 4, 2024, from </w:t>
      </w:r>
      <w:hyperlink r:id="rId60">
        <w:r w:rsidR="001510DC" w:rsidRPr="00A0345A">
          <w:rPr>
            <w:rFonts w:ascii="Times New Roman" w:eastAsia="Times New Roman" w:hAnsi="Times New Roman" w:cs="Times New Roman"/>
            <w:sz w:val="24"/>
            <w:szCs w:val="24"/>
            <w:u w:val="single"/>
          </w:rPr>
          <w:t>https://nces.ed.gov/programs/coe/indicator/csc.</w:t>
        </w:r>
      </w:hyperlink>
    </w:p>
    <w:p w14:paraId="520B46D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Neubauer, B., Witkop, C. T., &amp; Varpio, L. (2019). How phenomenology can help us learn from </w:t>
      </w:r>
    </w:p>
    <w:p w14:paraId="15A882EA"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the experiences of others.</w:t>
      </w:r>
      <w:r w:rsidRPr="00A0345A">
        <w:rPr>
          <w:rFonts w:ascii="Times New Roman" w:eastAsia="Times New Roman" w:hAnsi="Times New Roman" w:cs="Times New Roman"/>
          <w:i/>
          <w:sz w:val="24"/>
          <w:szCs w:val="24"/>
        </w:rPr>
        <w:t xml:space="preserve"> Perspectives on Medical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8</w:t>
      </w:r>
      <w:r w:rsidRPr="00A0345A">
        <w:rPr>
          <w:rFonts w:ascii="Times New Roman" w:eastAsia="Times New Roman" w:hAnsi="Times New Roman" w:cs="Times New Roman"/>
          <w:sz w:val="24"/>
          <w:szCs w:val="24"/>
        </w:rPr>
        <w:t xml:space="preserve">(2), 90–97. </w:t>
      </w:r>
      <w:hyperlink r:id="rId61">
        <w:r w:rsidR="001510DC" w:rsidRPr="00A0345A">
          <w:rPr>
            <w:rFonts w:ascii="Times New Roman" w:eastAsia="Times New Roman" w:hAnsi="Times New Roman" w:cs="Times New Roman"/>
            <w:sz w:val="24"/>
            <w:szCs w:val="24"/>
            <w:u w:val="single"/>
          </w:rPr>
          <w:t>https://doi.org/10.1007/s40037-019-0509-2</w:t>
        </w:r>
      </w:hyperlink>
    </w:p>
    <w:p w14:paraId="7CB30D5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Nixon, M. L. (2017). Experiences of women of color university chief diversity officers. </w:t>
      </w:r>
    </w:p>
    <w:p w14:paraId="7C12D31C"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Journal of Diversity in Higher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10</w:t>
      </w:r>
      <w:r w:rsidRPr="00A0345A">
        <w:rPr>
          <w:rFonts w:ascii="Times New Roman" w:eastAsia="Times New Roman" w:hAnsi="Times New Roman" w:cs="Times New Roman"/>
          <w:sz w:val="24"/>
          <w:szCs w:val="24"/>
        </w:rPr>
        <w:t xml:space="preserve">(4), 301–317. </w:t>
      </w:r>
      <w:hyperlink r:id="rId62">
        <w:r w:rsidR="001510DC" w:rsidRPr="00A0345A">
          <w:rPr>
            <w:rFonts w:ascii="Times New Roman" w:eastAsia="Times New Roman" w:hAnsi="Times New Roman" w:cs="Times New Roman"/>
            <w:sz w:val="24"/>
            <w:szCs w:val="24"/>
            <w:u w:val="single"/>
          </w:rPr>
          <w:t>https://doi.org/10.1037/dhe0000043</w:t>
        </w:r>
      </w:hyperlink>
    </w:p>
    <w:p w14:paraId="7939CE95"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Nowell, L. S., Norris, J. M., White, D. E., and Moules, N. J. (2017). Thematic analysis: Striving</w:t>
      </w:r>
    </w:p>
    <w:p w14:paraId="39B71C3F"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to meet the trustworthiness criteria.</w:t>
      </w:r>
      <w:r w:rsidRPr="00A0345A">
        <w:rPr>
          <w:rFonts w:ascii="Times New Roman" w:eastAsia="Times New Roman" w:hAnsi="Times New Roman" w:cs="Times New Roman"/>
          <w:i/>
          <w:sz w:val="24"/>
          <w:szCs w:val="24"/>
        </w:rPr>
        <w:t xml:space="preserve"> International Journal of Qualitative Methods, 16,</w:t>
      </w:r>
      <w:r w:rsidRPr="00A0345A">
        <w:rPr>
          <w:rFonts w:ascii="Times New Roman" w:eastAsia="Times New Roman" w:hAnsi="Times New Roman" w:cs="Times New Roman"/>
          <w:sz w:val="24"/>
          <w:szCs w:val="24"/>
        </w:rPr>
        <w:t xml:space="preserve"> 1-</w:t>
      </w:r>
    </w:p>
    <w:p w14:paraId="40C368F0"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13. </w:t>
      </w:r>
    </w:p>
    <w:p w14:paraId="239DA70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Padilla, A. M. (1994). Ethnic minority scholars, research, and mentoring: Current and future </w:t>
      </w:r>
    </w:p>
    <w:p w14:paraId="721DFB0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issues. </w:t>
      </w:r>
      <w:r w:rsidRPr="00A0345A">
        <w:rPr>
          <w:rFonts w:ascii="Times New Roman" w:eastAsia="Times New Roman" w:hAnsi="Times New Roman" w:cs="Times New Roman"/>
          <w:i/>
          <w:sz w:val="24"/>
          <w:szCs w:val="24"/>
        </w:rPr>
        <w:t>Educational Researcher</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23</w:t>
      </w:r>
      <w:r w:rsidRPr="00A0345A">
        <w:rPr>
          <w:rFonts w:ascii="Times New Roman" w:eastAsia="Times New Roman" w:hAnsi="Times New Roman" w:cs="Times New Roman"/>
          <w:sz w:val="24"/>
          <w:szCs w:val="24"/>
        </w:rPr>
        <w:t xml:space="preserve">(4), 24–27. </w:t>
      </w:r>
      <w:hyperlink r:id="rId63">
        <w:r w:rsidR="001510DC" w:rsidRPr="00A0345A">
          <w:rPr>
            <w:rFonts w:ascii="Times New Roman" w:eastAsia="Times New Roman" w:hAnsi="Times New Roman" w:cs="Times New Roman"/>
            <w:sz w:val="24"/>
            <w:szCs w:val="24"/>
            <w:u w:val="single"/>
          </w:rPr>
          <w:t>https://doi.org/10.2307/1176259</w:t>
        </w:r>
      </w:hyperlink>
    </w:p>
    <w:p w14:paraId="033437EE" w14:textId="77777777" w:rsidR="001510DC" w:rsidRPr="00A0345A" w:rsidRDefault="001510DC">
      <w:pPr>
        <w:spacing w:line="480" w:lineRule="auto"/>
        <w:ind w:left="720"/>
        <w:rPr>
          <w:rFonts w:ascii="Times New Roman" w:eastAsia="Times New Roman" w:hAnsi="Times New Roman" w:cs="Times New Roman"/>
          <w:sz w:val="24"/>
          <w:szCs w:val="24"/>
        </w:rPr>
      </w:pPr>
    </w:p>
    <w:p w14:paraId="055246A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Padilla-Díaz, M. (2015). Phenomenology in educational qualitative research: Philosophy as </w:t>
      </w:r>
    </w:p>
    <w:p w14:paraId="406D606B"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science or philosophical science.</w:t>
      </w:r>
      <w:r w:rsidRPr="00A0345A">
        <w:rPr>
          <w:rFonts w:ascii="Times New Roman" w:eastAsia="Times New Roman" w:hAnsi="Times New Roman" w:cs="Times New Roman"/>
          <w:i/>
          <w:sz w:val="24"/>
          <w:szCs w:val="24"/>
        </w:rPr>
        <w:t xml:space="preserve"> International Journal of Educational Excellence</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w:t>
      </w:r>
      <w:r w:rsidRPr="00A0345A">
        <w:rPr>
          <w:rFonts w:ascii="Times New Roman" w:eastAsia="Times New Roman" w:hAnsi="Times New Roman" w:cs="Times New Roman"/>
          <w:sz w:val="24"/>
          <w:szCs w:val="24"/>
        </w:rPr>
        <w:t>(2), 101-110. </w:t>
      </w:r>
    </w:p>
    <w:p w14:paraId="3F18BAF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Palinkas, L. A., Horwitz, S. M., Green, C. A., Wisdom, J. P., Duan, N., &amp; Hoagwood, K. </w:t>
      </w:r>
    </w:p>
    <w:p w14:paraId="32CA511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(2015). Purposeful sampling for qualitative data collection and analysis in mixed method </w:t>
      </w:r>
    </w:p>
    <w:p w14:paraId="16964071"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implementation research. </w:t>
      </w:r>
      <w:r w:rsidRPr="00A0345A">
        <w:rPr>
          <w:rFonts w:ascii="Times New Roman" w:eastAsia="Times New Roman" w:hAnsi="Times New Roman" w:cs="Times New Roman"/>
          <w:i/>
          <w:sz w:val="24"/>
          <w:szCs w:val="24"/>
        </w:rPr>
        <w:t>Administration and policy in mental health and mental health services research</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42</w:t>
      </w:r>
      <w:r w:rsidRPr="00A0345A">
        <w:rPr>
          <w:rFonts w:ascii="Times New Roman" w:eastAsia="Times New Roman" w:hAnsi="Times New Roman" w:cs="Times New Roman"/>
          <w:sz w:val="24"/>
          <w:szCs w:val="24"/>
        </w:rPr>
        <w:t>, 533-544.</w:t>
      </w:r>
    </w:p>
    <w:p w14:paraId="1D32FB6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Patterson Silver Wolf D. A., Butler-Barnes S. T., Van Zile-Tamsen C. (2015). American </w:t>
      </w:r>
    </w:p>
    <w:p w14:paraId="47E37BC7"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Indian/Alaskan Native college dropout: Recommendations for increasing retention and graduation. </w:t>
      </w:r>
      <w:r w:rsidRPr="00A0345A">
        <w:rPr>
          <w:rFonts w:ascii="Times New Roman" w:eastAsia="Times New Roman" w:hAnsi="Times New Roman" w:cs="Times New Roman"/>
          <w:i/>
          <w:sz w:val="24"/>
          <w:szCs w:val="24"/>
        </w:rPr>
        <w:t>Washington University Journal of American Indian &amp; Alaska Native Health, 1</w:t>
      </w:r>
      <w:r w:rsidRPr="00A0345A">
        <w:rPr>
          <w:rFonts w:ascii="Times New Roman" w:eastAsia="Times New Roman" w:hAnsi="Times New Roman" w:cs="Times New Roman"/>
          <w:sz w:val="24"/>
          <w:szCs w:val="24"/>
        </w:rPr>
        <w:t xml:space="preserve">(1), Article 1. Retrieved from </w:t>
      </w:r>
      <w:hyperlink r:id="rId64">
        <w:r w:rsidR="001510DC" w:rsidRPr="00A0345A">
          <w:rPr>
            <w:rFonts w:ascii="Times New Roman" w:eastAsia="Times New Roman" w:hAnsi="Times New Roman" w:cs="Times New Roman"/>
            <w:sz w:val="24"/>
            <w:szCs w:val="24"/>
            <w:u w:val="single"/>
          </w:rPr>
          <w:t>http://openscholarship.wustl.edu/nativehealth/vol1/iss1/1 PubMed.</w:t>
        </w:r>
      </w:hyperlink>
    </w:p>
    <w:p w14:paraId="7D10679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Patterson Silver Wolf D. A., Perkins J., Butler-Barnes S. T., Walker T. (2017). Social belonging </w:t>
      </w:r>
    </w:p>
    <w:p w14:paraId="7962238D"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and college retention: Results from a quasi-experimental pilot study. </w:t>
      </w:r>
      <w:r w:rsidRPr="00A0345A">
        <w:rPr>
          <w:rFonts w:ascii="Times New Roman" w:eastAsia="Times New Roman" w:hAnsi="Times New Roman" w:cs="Times New Roman"/>
          <w:i/>
          <w:sz w:val="24"/>
          <w:szCs w:val="24"/>
        </w:rPr>
        <w:t>Journal of College Student Development, 58</w:t>
      </w:r>
      <w:r w:rsidRPr="00A0345A">
        <w:rPr>
          <w:rFonts w:ascii="Times New Roman" w:eastAsia="Times New Roman" w:hAnsi="Times New Roman" w:cs="Times New Roman"/>
          <w:sz w:val="24"/>
          <w:szCs w:val="24"/>
        </w:rPr>
        <w:t>(5), 777–782. Crossref.</w:t>
      </w:r>
    </w:p>
    <w:p w14:paraId="44FADE6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Patterson Silver Wolf, D. A., Taylor, F., Maguin, E., &amp; Asher BlackDeer, A. (2021). You are </w:t>
      </w:r>
    </w:p>
    <w:p w14:paraId="673394FF"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college material—You belong: An underrepresented minority student retention intervention without deception. </w:t>
      </w:r>
      <w:r w:rsidRPr="00A0345A">
        <w:rPr>
          <w:rFonts w:ascii="Times New Roman" w:eastAsia="Times New Roman" w:hAnsi="Times New Roman" w:cs="Times New Roman"/>
          <w:i/>
          <w:sz w:val="24"/>
          <w:szCs w:val="24"/>
        </w:rPr>
        <w:t>Journal of College Student Retention: Research, Theory &amp; Practice,</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23</w:t>
      </w:r>
      <w:r w:rsidRPr="00A0345A">
        <w:rPr>
          <w:rFonts w:ascii="Times New Roman" w:eastAsia="Times New Roman" w:hAnsi="Times New Roman" w:cs="Times New Roman"/>
          <w:sz w:val="24"/>
          <w:szCs w:val="24"/>
        </w:rPr>
        <w:t>(3), 507-522.</w:t>
      </w:r>
    </w:p>
    <w:p w14:paraId="40E7EA94"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 xml:space="preserve">Pease, B. (2021). </w:t>
      </w:r>
      <w:r w:rsidRPr="00A0345A">
        <w:rPr>
          <w:rFonts w:ascii="Times New Roman" w:eastAsia="Times New Roman" w:hAnsi="Times New Roman" w:cs="Times New Roman"/>
          <w:i/>
          <w:sz w:val="24"/>
          <w:szCs w:val="24"/>
        </w:rPr>
        <w:t>Undoing privilege: Unearned advantage and systemic injustice in an unequal </w:t>
      </w:r>
    </w:p>
    <w:p w14:paraId="1C1F17D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world</w:t>
      </w:r>
      <w:r w:rsidRPr="00A0345A">
        <w:rPr>
          <w:rFonts w:ascii="Times New Roman" w:eastAsia="Times New Roman" w:hAnsi="Times New Roman" w:cs="Times New Roman"/>
          <w:sz w:val="24"/>
          <w:szCs w:val="24"/>
        </w:rPr>
        <w:t>. Bloomsbury Publishing.</w:t>
      </w:r>
    </w:p>
    <w:p w14:paraId="6FE27868"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Pertuz, S. (2017). The chosen tokens: Exploring the work experiences and career aspirations </w:t>
      </w:r>
    </w:p>
    <w:p w14:paraId="5E321DCC"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of Latina midlevel student affairs administrators in higher education. ProQuest Dissertations Publishing.</w:t>
      </w:r>
    </w:p>
    <w:p w14:paraId="43AE0A3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Pierce, C. M. (1995). Stress analogs of racism and sexism: Terrorism, torture, and disaster.</w:t>
      </w:r>
    </w:p>
    <w:p w14:paraId="06CB3B39"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Mental Health, Racism and Sexism</w:t>
      </w:r>
      <w:r w:rsidRPr="00A0345A">
        <w:rPr>
          <w:rFonts w:ascii="Times New Roman" w:eastAsia="Times New Roman" w:hAnsi="Times New Roman" w:cs="Times New Roman"/>
          <w:sz w:val="24"/>
          <w:szCs w:val="24"/>
        </w:rPr>
        <w:t xml:space="preserve"> (pp. 277-293). </w:t>
      </w:r>
    </w:p>
    <w:p w14:paraId="3DABBF9E"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Pritchard, A., &amp; McChesney, J. (2018). </w:t>
      </w:r>
      <w:r w:rsidRPr="00A0345A">
        <w:rPr>
          <w:rFonts w:ascii="Times New Roman" w:eastAsia="Times New Roman" w:hAnsi="Times New Roman" w:cs="Times New Roman"/>
          <w:i/>
          <w:sz w:val="24"/>
          <w:szCs w:val="24"/>
        </w:rPr>
        <w:t>Focus on student affairs, 2018: Understanding key </w:t>
      </w:r>
    </w:p>
    <w:p w14:paraId="00E2D5F0"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challenges using CUPA-HR data.</w:t>
      </w:r>
      <w:r w:rsidRPr="00A0345A">
        <w:rPr>
          <w:rFonts w:ascii="Times New Roman" w:eastAsia="Times New Roman" w:hAnsi="Times New Roman" w:cs="Times New Roman"/>
          <w:sz w:val="24"/>
          <w:szCs w:val="24"/>
        </w:rPr>
        <w:t xml:space="preserve"> College and University Professional Association for Human Resources.</w:t>
      </w:r>
    </w:p>
    <w:p w14:paraId="1935FAE2" w14:textId="77777777" w:rsidR="001510DC" w:rsidRPr="00A0345A" w:rsidRDefault="00000000">
      <w:pPr>
        <w:shd w:val="clear" w:color="auto" w:fill="FFFFFF"/>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Quaye, S. J., Aho, R. E., Jacob, M. B., Domingue, A. D., Guido, F. M., Lange, A. C., Squire, D., </w:t>
      </w:r>
    </w:p>
    <w:p w14:paraId="46E66766" w14:textId="77777777" w:rsidR="001510DC" w:rsidRPr="00A0345A" w:rsidRDefault="00000000">
      <w:pPr>
        <w:shd w:val="clear" w:color="auto" w:fill="FFFFFF"/>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&amp; Stewart, D. L. (2018).</w:t>
      </w:r>
      <w:r w:rsidRPr="00A0345A">
        <w:rPr>
          <w:rFonts w:ascii="Times New Roman" w:eastAsia="Times New Roman" w:hAnsi="Times New Roman" w:cs="Times New Roman"/>
          <w:i/>
          <w:sz w:val="24"/>
          <w:szCs w:val="24"/>
          <w:highlight w:val="white"/>
        </w:rPr>
        <w:t xml:space="preserve"> A bold vision forward: A framework for the strategic imperative for racial justice and decolonization.</w:t>
      </w:r>
      <w:r w:rsidRPr="00A0345A">
        <w:rPr>
          <w:rFonts w:ascii="Times New Roman" w:eastAsia="Times New Roman" w:hAnsi="Times New Roman" w:cs="Times New Roman"/>
          <w:sz w:val="24"/>
          <w:szCs w:val="24"/>
          <w:highlight w:val="white"/>
        </w:rPr>
        <w:t xml:space="preserve"> College Student Educators International (ACPA).</w:t>
      </w:r>
    </w:p>
    <w:p w14:paraId="10199B59" w14:textId="77777777" w:rsidR="001510DC" w:rsidRPr="00A0345A" w:rsidRDefault="00000000">
      <w:pPr>
        <w:shd w:val="clear" w:color="auto" w:fill="FFFFFF"/>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Quiros, L., &amp; Berger, R. (2013). Responding to the sociopolitical complexity of trauma: An </w:t>
      </w:r>
    </w:p>
    <w:p w14:paraId="416954B0" w14:textId="77777777" w:rsidR="001510DC" w:rsidRPr="00A0345A" w:rsidRDefault="00000000">
      <w:pPr>
        <w:shd w:val="clear" w:color="auto" w:fill="FFFFFF"/>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integration of theory and practice. </w:t>
      </w:r>
      <w:r w:rsidRPr="00A0345A">
        <w:rPr>
          <w:rFonts w:ascii="Times New Roman" w:eastAsia="Times New Roman" w:hAnsi="Times New Roman" w:cs="Times New Roman"/>
          <w:i/>
          <w:sz w:val="24"/>
          <w:szCs w:val="24"/>
          <w:highlight w:val="white"/>
        </w:rPr>
        <w:t>Journal of Loss and Trauma</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20</w:t>
      </w:r>
      <w:r w:rsidRPr="00A0345A">
        <w:rPr>
          <w:rFonts w:ascii="Times New Roman" w:eastAsia="Times New Roman" w:hAnsi="Times New Roman" w:cs="Times New Roman"/>
          <w:sz w:val="24"/>
          <w:szCs w:val="24"/>
          <w:highlight w:val="white"/>
        </w:rPr>
        <w:t xml:space="preserve"> (2), 149– 159. </w:t>
      </w:r>
      <w:hyperlink r:id="rId65">
        <w:r w:rsidR="001510DC" w:rsidRPr="00A0345A">
          <w:rPr>
            <w:rFonts w:ascii="Times New Roman" w:eastAsia="Times New Roman" w:hAnsi="Times New Roman" w:cs="Times New Roman"/>
            <w:sz w:val="24"/>
            <w:szCs w:val="24"/>
            <w:highlight w:val="white"/>
            <w:u w:val="single"/>
          </w:rPr>
          <w:t>https://doi.org/10.1080/15325024.2013.836353</w:t>
        </w:r>
      </w:hyperlink>
    </w:p>
    <w:p w14:paraId="00E2B5F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Rabionet, S. E. (2009). How I learned to design and conduct semi-structured interviews: An </w:t>
      </w:r>
    </w:p>
    <w:p w14:paraId="146C5A6B"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ongoing and continuous journey. The Qualitative Report, </w:t>
      </w:r>
      <w:r w:rsidRPr="00A0345A">
        <w:rPr>
          <w:rFonts w:ascii="Times New Roman" w:eastAsia="Times New Roman" w:hAnsi="Times New Roman" w:cs="Times New Roman"/>
          <w:i/>
          <w:sz w:val="24"/>
          <w:szCs w:val="24"/>
        </w:rPr>
        <w:t>14</w:t>
      </w:r>
      <w:r w:rsidRPr="00A0345A">
        <w:rPr>
          <w:rFonts w:ascii="Times New Roman" w:eastAsia="Times New Roman" w:hAnsi="Times New Roman" w:cs="Times New Roman"/>
          <w:sz w:val="24"/>
          <w:szCs w:val="24"/>
        </w:rPr>
        <w:t>(3), 203-206.</w:t>
      </w:r>
    </w:p>
    <w:p w14:paraId="1BD5747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Reynolds, P. R. (2007). The" Pedagogy of the Oppressed": The necessity of dealing with </w:t>
      </w:r>
    </w:p>
    <w:p w14:paraId="66E2DEE6"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problems in students' lives.</w:t>
      </w:r>
      <w:r w:rsidRPr="00A0345A">
        <w:rPr>
          <w:rFonts w:ascii="Times New Roman" w:eastAsia="Times New Roman" w:hAnsi="Times New Roman" w:cs="Times New Roman"/>
          <w:i/>
          <w:sz w:val="24"/>
          <w:szCs w:val="24"/>
        </w:rPr>
        <w:t xml:space="preserve"> Educational Horizons</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86</w:t>
      </w:r>
      <w:r w:rsidRPr="00A0345A">
        <w:rPr>
          <w:rFonts w:ascii="Times New Roman" w:eastAsia="Times New Roman" w:hAnsi="Times New Roman" w:cs="Times New Roman"/>
          <w:sz w:val="24"/>
          <w:szCs w:val="24"/>
        </w:rPr>
        <w:t>(1), 53-60.</w:t>
      </w:r>
    </w:p>
    <w:p w14:paraId="288E0CF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Robbins, C. K., Johnson, N. J., Pete, K., Porcaro, G., Accapadi, M. M., &amp; Kniess, D. (2019). </w:t>
      </w:r>
    </w:p>
    <w:p w14:paraId="6C931A38"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Complexities of social identity and professional role transitions. </w:t>
      </w:r>
      <w:r w:rsidRPr="00A0345A">
        <w:rPr>
          <w:rFonts w:ascii="Times New Roman" w:eastAsia="Times New Roman" w:hAnsi="Times New Roman" w:cs="Times New Roman"/>
          <w:i/>
          <w:sz w:val="24"/>
          <w:szCs w:val="24"/>
        </w:rPr>
        <w:t>New Directions for Student Services</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2019</w:t>
      </w:r>
      <w:r w:rsidRPr="00A0345A">
        <w:rPr>
          <w:rFonts w:ascii="Times New Roman" w:eastAsia="Times New Roman" w:hAnsi="Times New Roman" w:cs="Times New Roman"/>
          <w:sz w:val="24"/>
          <w:szCs w:val="24"/>
        </w:rPr>
        <w:t xml:space="preserve">(166), 83–94. </w:t>
      </w:r>
      <w:hyperlink r:id="rId66">
        <w:r w:rsidR="001510DC" w:rsidRPr="00A0345A">
          <w:rPr>
            <w:rFonts w:ascii="Times New Roman" w:eastAsia="Times New Roman" w:hAnsi="Times New Roman" w:cs="Times New Roman"/>
            <w:sz w:val="24"/>
            <w:szCs w:val="24"/>
            <w:u w:val="single"/>
          </w:rPr>
          <w:t>https://doi.org/10.1002/ss.20310</w:t>
        </w:r>
      </w:hyperlink>
    </w:p>
    <w:p w14:paraId="6261B7A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 xml:space="preserve">Rodemeyer, L. M. (2022). A phenomenological critique of critical phenomenology. </w:t>
      </w:r>
      <w:r w:rsidRPr="00A0345A">
        <w:rPr>
          <w:rFonts w:ascii="Times New Roman" w:eastAsia="Times New Roman" w:hAnsi="Times New Roman" w:cs="Times New Roman"/>
          <w:i/>
          <w:sz w:val="24"/>
          <w:szCs w:val="24"/>
        </w:rPr>
        <w:t>In </w:t>
      </w:r>
    </w:p>
    <w:p w14:paraId="59D03FE3"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Phenomenology as Critique</w:t>
      </w:r>
      <w:r w:rsidRPr="00A0345A">
        <w:rPr>
          <w:rFonts w:ascii="Times New Roman" w:eastAsia="Times New Roman" w:hAnsi="Times New Roman" w:cs="Times New Roman"/>
          <w:sz w:val="24"/>
          <w:szCs w:val="24"/>
        </w:rPr>
        <w:t xml:space="preserve"> (pp. 95-112). Routledge.</w:t>
      </w:r>
    </w:p>
    <w:p w14:paraId="252FD1B7" w14:textId="77777777" w:rsidR="001510DC" w:rsidRPr="00A0345A" w:rsidRDefault="00000000">
      <w:pPr>
        <w:shd w:val="clear" w:color="auto" w:fill="FFFFFF"/>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Rodgers, K. L., Cain, R., &amp; Messineo, M. (2020). Exploring the cycle of oppression and </w:t>
      </w:r>
    </w:p>
    <w:p w14:paraId="368D22B0" w14:textId="77777777" w:rsidR="001510DC" w:rsidRPr="00A0345A" w:rsidRDefault="00000000">
      <w:pPr>
        <w:shd w:val="clear" w:color="auto" w:fill="FFFFFF"/>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whiteness in the academy through currere: Reflections from a reading-group-based intergroup dialogue. </w:t>
      </w:r>
      <w:r w:rsidRPr="00A0345A">
        <w:rPr>
          <w:rFonts w:ascii="Times New Roman" w:eastAsia="Times New Roman" w:hAnsi="Times New Roman" w:cs="Times New Roman"/>
          <w:i/>
          <w:sz w:val="24"/>
          <w:szCs w:val="24"/>
          <w:highlight w:val="white"/>
        </w:rPr>
        <w:t>Dialogues in Social Justice: An Adult Education Journal,</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5</w:t>
      </w:r>
      <w:r w:rsidRPr="00A0345A">
        <w:rPr>
          <w:rFonts w:ascii="Times New Roman" w:eastAsia="Times New Roman" w:hAnsi="Times New Roman" w:cs="Times New Roman"/>
          <w:sz w:val="24"/>
          <w:szCs w:val="24"/>
          <w:highlight w:val="white"/>
        </w:rPr>
        <w:t>(2).</w:t>
      </w:r>
    </w:p>
    <w:p w14:paraId="5F787F2B" w14:textId="77777777" w:rsidR="001510DC" w:rsidRPr="00A0345A" w:rsidRDefault="00000000">
      <w:pPr>
        <w:shd w:val="clear" w:color="auto" w:fill="FFFFFF"/>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Rodríguez, J., Campbell, K., &amp; Pololi, L. (2015). Addressing disparities in academic medicine: </w:t>
      </w:r>
    </w:p>
    <w:p w14:paraId="2CB38E88" w14:textId="77777777" w:rsidR="001510DC" w:rsidRPr="00A0345A" w:rsidRDefault="00000000">
      <w:pPr>
        <w:shd w:val="clear" w:color="auto" w:fill="FFFFFF"/>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What of the minority tax? BMC Medical Education, </w:t>
      </w:r>
      <w:r w:rsidRPr="00A0345A">
        <w:rPr>
          <w:rFonts w:ascii="Times New Roman" w:eastAsia="Times New Roman" w:hAnsi="Times New Roman" w:cs="Times New Roman"/>
          <w:i/>
          <w:sz w:val="24"/>
          <w:szCs w:val="24"/>
          <w:highlight w:val="white"/>
        </w:rPr>
        <w:t>15</w:t>
      </w:r>
      <w:r w:rsidRPr="00A0345A">
        <w:rPr>
          <w:rFonts w:ascii="Times New Roman" w:eastAsia="Times New Roman" w:hAnsi="Times New Roman" w:cs="Times New Roman"/>
          <w:sz w:val="24"/>
          <w:szCs w:val="24"/>
          <w:highlight w:val="white"/>
        </w:rPr>
        <w:t xml:space="preserve">(1), 6–6. </w:t>
      </w:r>
      <w:hyperlink r:id="rId67">
        <w:r w:rsidR="001510DC" w:rsidRPr="00A0345A">
          <w:rPr>
            <w:rFonts w:ascii="Times New Roman" w:eastAsia="Times New Roman" w:hAnsi="Times New Roman" w:cs="Times New Roman"/>
            <w:sz w:val="24"/>
            <w:szCs w:val="24"/>
            <w:highlight w:val="white"/>
            <w:u w:val="single"/>
          </w:rPr>
          <w:t>https://doi.org/10.1186/s12909-015-0290-9</w:t>
        </w:r>
      </w:hyperlink>
    </w:p>
    <w:p w14:paraId="7F6FBF2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Santamaría, L. (2014). Critical change for the greater good: Multicultural perceptions in</w:t>
      </w:r>
    </w:p>
    <w:p w14:paraId="7D066EB9"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educational leadership toward social justice and equity.</w:t>
      </w:r>
      <w:r w:rsidRPr="00A0345A">
        <w:rPr>
          <w:rFonts w:ascii="Times New Roman" w:eastAsia="Times New Roman" w:hAnsi="Times New Roman" w:cs="Times New Roman"/>
          <w:i/>
          <w:sz w:val="24"/>
          <w:szCs w:val="24"/>
        </w:rPr>
        <w:t xml:space="preserve"> Educational Administration Quarterly, 50</w:t>
      </w:r>
      <w:r w:rsidRPr="00A0345A">
        <w:rPr>
          <w:rFonts w:ascii="Times New Roman" w:eastAsia="Times New Roman" w:hAnsi="Times New Roman" w:cs="Times New Roman"/>
          <w:sz w:val="24"/>
          <w:szCs w:val="24"/>
        </w:rPr>
        <w:t xml:space="preserve">(3), 347–391. </w:t>
      </w:r>
      <w:hyperlink r:id="rId68">
        <w:r w:rsidR="001510DC" w:rsidRPr="00A0345A">
          <w:rPr>
            <w:rFonts w:ascii="Times New Roman" w:eastAsia="Times New Roman" w:hAnsi="Times New Roman" w:cs="Times New Roman"/>
            <w:sz w:val="24"/>
            <w:szCs w:val="24"/>
            <w:u w:val="single"/>
          </w:rPr>
          <w:t>https://doi.org/10.1177/0013161X13505287</w:t>
        </w:r>
      </w:hyperlink>
    </w:p>
    <w:p w14:paraId="7AD2AAC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Santos Jr, H. P., Black, A. M., &amp; Sandelowski, M. (2015). Timing of translation in </w:t>
      </w:r>
    </w:p>
    <w:p w14:paraId="7EEDE8E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cross-language qualitative research.</w:t>
      </w:r>
      <w:r w:rsidRPr="00A0345A">
        <w:rPr>
          <w:rFonts w:ascii="Times New Roman" w:eastAsia="Times New Roman" w:hAnsi="Times New Roman" w:cs="Times New Roman"/>
          <w:i/>
          <w:sz w:val="24"/>
          <w:szCs w:val="24"/>
        </w:rPr>
        <w:t xml:space="preserve"> Qualitative health research,</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25</w:t>
      </w:r>
      <w:r w:rsidRPr="00A0345A">
        <w:rPr>
          <w:rFonts w:ascii="Times New Roman" w:eastAsia="Times New Roman" w:hAnsi="Times New Roman" w:cs="Times New Roman"/>
          <w:sz w:val="24"/>
          <w:szCs w:val="24"/>
        </w:rPr>
        <w:t>(1), 134-144.</w:t>
      </w:r>
    </w:p>
    <w:p w14:paraId="080D060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Seidman, I. (2013). </w:t>
      </w:r>
      <w:r w:rsidRPr="00A0345A">
        <w:rPr>
          <w:rFonts w:ascii="Times New Roman" w:eastAsia="Times New Roman" w:hAnsi="Times New Roman" w:cs="Times New Roman"/>
          <w:i/>
          <w:sz w:val="24"/>
          <w:szCs w:val="24"/>
        </w:rPr>
        <w:t>Interviewing as qualitative research: A guide for researchers in education </w:t>
      </w:r>
    </w:p>
    <w:p w14:paraId="76AD8DEA"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and the social science</w:t>
      </w:r>
      <w:r w:rsidRPr="00A0345A">
        <w:rPr>
          <w:rFonts w:ascii="Times New Roman" w:eastAsia="Times New Roman" w:hAnsi="Times New Roman" w:cs="Times New Roman"/>
          <w:sz w:val="24"/>
          <w:szCs w:val="24"/>
        </w:rPr>
        <w:t>s (4th ed.). Teachers College Press.</w:t>
      </w:r>
    </w:p>
    <w:p w14:paraId="7B2A338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Singer, S., &amp; Bacon, J. (2020). Ableism in the academy: A series about disability</w:t>
      </w:r>
    </w:p>
    <w:p w14:paraId="1D06D27A"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oppression and resistance in higher education. </w:t>
      </w:r>
      <w:r w:rsidRPr="00A0345A">
        <w:rPr>
          <w:rFonts w:ascii="Times New Roman" w:eastAsia="Times New Roman" w:hAnsi="Times New Roman" w:cs="Times New Roman"/>
          <w:i/>
          <w:sz w:val="24"/>
          <w:szCs w:val="24"/>
        </w:rPr>
        <w:t>Critical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11</w:t>
      </w:r>
      <w:r w:rsidRPr="00A0345A">
        <w:rPr>
          <w:rFonts w:ascii="Times New Roman" w:eastAsia="Times New Roman" w:hAnsi="Times New Roman" w:cs="Times New Roman"/>
          <w:sz w:val="24"/>
          <w:szCs w:val="24"/>
        </w:rPr>
        <w:t xml:space="preserve">(14), 1-13. Retrieved from: </w:t>
      </w:r>
      <w:hyperlink r:id="rId69">
        <w:r w:rsidR="001510DC" w:rsidRPr="00A0345A">
          <w:rPr>
            <w:rFonts w:ascii="Times New Roman" w:eastAsia="Times New Roman" w:hAnsi="Times New Roman" w:cs="Times New Roman"/>
            <w:sz w:val="24"/>
            <w:szCs w:val="24"/>
            <w:u w:val="single"/>
          </w:rPr>
          <w:t>http://ojs.library.ubc.ca/index.php/criticaled/article/view/186616</w:t>
        </w:r>
      </w:hyperlink>
    </w:p>
    <w:p w14:paraId="29C55A7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Smith, J. (2013). Cracking the lavender ceiling: Lesbian, gay, and bisexual student affairs</w:t>
      </w:r>
    </w:p>
    <w:p w14:paraId="132CD117"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professionals and their personal perspectives on career trajectory. ProQuest Dissertations Publishing.</w:t>
      </w:r>
    </w:p>
    <w:p w14:paraId="395E1FDF"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Smith, W., Hung, M., &amp; Franklin, J. (2011). Racial battle fatigue and the miseducation of Black </w:t>
      </w:r>
    </w:p>
    <w:p w14:paraId="6AF9708C"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men: Racial microaggressions, societal problems, and environmental stress.</w:t>
      </w:r>
      <w:r w:rsidRPr="00A0345A">
        <w:rPr>
          <w:rFonts w:ascii="Times New Roman" w:eastAsia="Times New Roman" w:hAnsi="Times New Roman" w:cs="Times New Roman"/>
          <w:i/>
          <w:sz w:val="24"/>
          <w:szCs w:val="24"/>
        </w:rPr>
        <w:t xml:space="preserve"> The Journal of Negro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80</w:t>
      </w:r>
      <w:r w:rsidRPr="00A0345A">
        <w:rPr>
          <w:rFonts w:ascii="Times New Roman" w:eastAsia="Times New Roman" w:hAnsi="Times New Roman" w:cs="Times New Roman"/>
          <w:sz w:val="24"/>
          <w:szCs w:val="24"/>
        </w:rPr>
        <w:t xml:space="preserve">(1), 63-82. </w:t>
      </w:r>
    </w:p>
    <w:p w14:paraId="7E5F9016"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Stahl, N. A. &amp; King, J. R. (2020). Expanding approaches for research: Understanding and using</w:t>
      </w:r>
    </w:p>
    <w:p w14:paraId="3327851E"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trustworthiness in qualitative research.</w:t>
      </w:r>
      <w:r w:rsidRPr="00A0345A">
        <w:rPr>
          <w:rFonts w:ascii="Times New Roman" w:eastAsia="Times New Roman" w:hAnsi="Times New Roman" w:cs="Times New Roman"/>
          <w:i/>
          <w:sz w:val="24"/>
          <w:szCs w:val="24"/>
        </w:rPr>
        <w:t xml:space="preserve"> Journal of Developmental Education</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44</w:t>
      </w:r>
      <w:r w:rsidRPr="00A0345A">
        <w:rPr>
          <w:rFonts w:ascii="Times New Roman" w:eastAsia="Times New Roman" w:hAnsi="Times New Roman" w:cs="Times New Roman"/>
          <w:sz w:val="24"/>
          <w:szCs w:val="24"/>
        </w:rPr>
        <w:t>(1), 26-</w:t>
      </w:r>
    </w:p>
    <w:p w14:paraId="0E2AA3BF"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28. </w:t>
      </w:r>
    </w:p>
    <w:p w14:paraId="14D893AE"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Surmiak, A. (2018). Confidentiality in qualitative research involving vulnerable participants:</w:t>
      </w:r>
    </w:p>
    <w:p w14:paraId="53A64404"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Researchers’ perspectives. </w:t>
      </w:r>
      <w:r w:rsidRPr="00A0345A">
        <w:rPr>
          <w:rFonts w:ascii="Times New Roman" w:eastAsia="Times New Roman" w:hAnsi="Times New Roman" w:cs="Times New Roman"/>
          <w:i/>
          <w:sz w:val="24"/>
          <w:szCs w:val="24"/>
        </w:rPr>
        <w:t>Forum: Qualitative Social Research</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19</w:t>
      </w:r>
      <w:r w:rsidRPr="00A0345A">
        <w:rPr>
          <w:rFonts w:ascii="Times New Roman" w:eastAsia="Times New Roman" w:hAnsi="Times New Roman" w:cs="Times New Roman"/>
          <w:sz w:val="24"/>
          <w:szCs w:val="24"/>
        </w:rPr>
        <w:t>(3), Art.12.</w:t>
      </w:r>
    </w:p>
    <w:p w14:paraId="2C8C2412" w14:textId="77777777" w:rsidR="001510DC" w:rsidRPr="00A0345A" w:rsidRDefault="00000000">
      <w:pPr>
        <w:spacing w:line="480" w:lineRule="auto"/>
        <w:ind w:firstLine="720"/>
        <w:rPr>
          <w:rFonts w:ascii="Times New Roman" w:eastAsia="Times New Roman" w:hAnsi="Times New Roman" w:cs="Times New Roman"/>
          <w:sz w:val="24"/>
          <w:szCs w:val="24"/>
        </w:rPr>
      </w:pPr>
      <w:hyperlink r:id="rId70">
        <w:r w:rsidR="001510DC" w:rsidRPr="00A0345A">
          <w:rPr>
            <w:rFonts w:ascii="Times New Roman" w:eastAsia="Times New Roman" w:hAnsi="Times New Roman" w:cs="Times New Roman"/>
            <w:sz w:val="24"/>
            <w:szCs w:val="24"/>
            <w:u w:val="single"/>
          </w:rPr>
          <w:t>http://dx.doi.org/10.17169/fqs-19.3.3099</w:t>
        </w:r>
      </w:hyperlink>
    </w:p>
    <w:p w14:paraId="17509F7B"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Thomas, S. P., &amp; Pollio, H. R. (2002).</w:t>
      </w:r>
      <w:r w:rsidRPr="00A0345A">
        <w:rPr>
          <w:rFonts w:ascii="Times New Roman" w:eastAsia="Times New Roman" w:hAnsi="Times New Roman" w:cs="Times New Roman"/>
          <w:i/>
          <w:sz w:val="24"/>
          <w:szCs w:val="24"/>
        </w:rPr>
        <w:t xml:space="preserve"> Listening to patients: A phenomenological approach to </w:t>
      </w:r>
    </w:p>
    <w:p w14:paraId="0B02FC7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nursing research and practice.</w:t>
      </w:r>
      <w:r w:rsidRPr="00A0345A">
        <w:rPr>
          <w:rFonts w:ascii="Times New Roman" w:eastAsia="Times New Roman" w:hAnsi="Times New Roman" w:cs="Times New Roman"/>
          <w:sz w:val="24"/>
          <w:szCs w:val="24"/>
        </w:rPr>
        <w:t xml:space="preserve"> Springer Publishing. </w:t>
      </w:r>
    </w:p>
    <w:p w14:paraId="0C9C1F59" w14:textId="77777777" w:rsidR="001510DC" w:rsidRPr="00A0345A" w:rsidRDefault="00000000">
      <w:pPr>
        <w:spacing w:line="480" w:lineRule="auto"/>
        <w:rPr>
          <w:rFonts w:ascii="Times New Roman" w:eastAsia="Times New Roman" w:hAnsi="Times New Roman" w:cs="Times New Roman"/>
          <w:i/>
          <w:sz w:val="24"/>
          <w:szCs w:val="24"/>
          <w:highlight w:val="white"/>
        </w:rPr>
      </w:pPr>
      <w:r w:rsidRPr="00A0345A">
        <w:rPr>
          <w:rFonts w:ascii="Times New Roman" w:eastAsia="Gungsuh" w:hAnsi="Times New Roman" w:cs="Times New Roman"/>
          <w:sz w:val="24"/>
          <w:szCs w:val="24"/>
          <w:highlight w:val="white"/>
        </w:rPr>
        <w:t xml:space="preserve">Tienda, M. (2013). Diversity≠ inclusion: Promoting integration in higher education. </w:t>
      </w:r>
      <w:r w:rsidRPr="00A0345A">
        <w:rPr>
          <w:rFonts w:ascii="Times New Roman" w:eastAsia="Times New Roman" w:hAnsi="Times New Roman" w:cs="Times New Roman"/>
          <w:i/>
          <w:sz w:val="24"/>
          <w:szCs w:val="24"/>
          <w:highlight w:val="white"/>
        </w:rPr>
        <w:t xml:space="preserve">Educational </w:t>
      </w:r>
    </w:p>
    <w:p w14:paraId="5C6B630F" w14:textId="77777777" w:rsidR="001510DC" w:rsidRPr="00A0345A" w:rsidRDefault="00000000">
      <w:pPr>
        <w:spacing w:line="480" w:lineRule="auto"/>
        <w:ind w:firstLine="720"/>
        <w:rPr>
          <w:rFonts w:ascii="Times New Roman" w:eastAsia="Times New Roman" w:hAnsi="Times New Roman" w:cs="Times New Roman"/>
          <w:sz w:val="24"/>
          <w:szCs w:val="24"/>
          <w:highlight w:val="white"/>
        </w:rPr>
      </w:pPr>
      <w:r w:rsidRPr="00A0345A">
        <w:rPr>
          <w:rFonts w:ascii="Times New Roman" w:eastAsia="Times New Roman" w:hAnsi="Times New Roman" w:cs="Times New Roman"/>
          <w:i/>
          <w:sz w:val="24"/>
          <w:szCs w:val="24"/>
          <w:highlight w:val="white"/>
        </w:rPr>
        <w:t>Researcher,</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42</w:t>
      </w:r>
      <w:r w:rsidRPr="00A0345A">
        <w:rPr>
          <w:rFonts w:ascii="Times New Roman" w:eastAsia="Times New Roman" w:hAnsi="Times New Roman" w:cs="Times New Roman"/>
          <w:sz w:val="24"/>
          <w:szCs w:val="24"/>
          <w:highlight w:val="white"/>
        </w:rPr>
        <w:t>(9), 467-475.</w:t>
      </w:r>
    </w:p>
    <w:p w14:paraId="1EC42C77"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Tinto V. (1993). </w:t>
      </w:r>
      <w:r w:rsidRPr="00A0345A">
        <w:rPr>
          <w:rFonts w:ascii="Times New Roman" w:eastAsia="Times New Roman" w:hAnsi="Times New Roman" w:cs="Times New Roman"/>
          <w:i/>
          <w:sz w:val="24"/>
          <w:szCs w:val="24"/>
          <w:highlight w:val="white"/>
        </w:rPr>
        <w:t xml:space="preserve">Leaving college: Rethinking the causes and cures of student attrition </w:t>
      </w:r>
      <w:r w:rsidRPr="00A0345A">
        <w:rPr>
          <w:rFonts w:ascii="Times New Roman" w:eastAsia="Times New Roman" w:hAnsi="Times New Roman" w:cs="Times New Roman"/>
          <w:sz w:val="24"/>
          <w:szCs w:val="24"/>
          <w:highlight w:val="white"/>
        </w:rPr>
        <w:t>(2nd ed.). </w:t>
      </w:r>
    </w:p>
    <w:p w14:paraId="66EA87ED"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Chicago, IL: University of Chicago Press.</w:t>
      </w:r>
    </w:p>
    <w:p w14:paraId="4E6D7FD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Tinto V. (2006). Research and practice of student retention: What next? J</w:t>
      </w:r>
      <w:r w:rsidRPr="00A0345A">
        <w:rPr>
          <w:rFonts w:ascii="Times New Roman" w:eastAsia="Times New Roman" w:hAnsi="Times New Roman" w:cs="Times New Roman"/>
          <w:i/>
          <w:sz w:val="24"/>
          <w:szCs w:val="24"/>
          <w:highlight w:val="white"/>
        </w:rPr>
        <w:t>ournal of College </w:t>
      </w:r>
    </w:p>
    <w:p w14:paraId="59CF2949"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highlight w:val="white"/>
        </w:rPr>
        <w:t>Student Retention, 8</w:t>
      </w:r>
      <w:r w:rsidRPr="00A0345A">
        <w:rPr>
          <w:rFonts w:ascii="Times New Roman" w:eastAsia="Times New Roman" w:hAnsi="Times New Roman" w:cs="Times New Roman"/>
          <w:sz w:val="24"/>
          <w:szCs w:val="24"/>
          <w:highlight w:val="white"/>
        </w:rPr>
        <w:t>, 1–19. Crossref.</w:t>
      </w:r>
    </w:p>
    <w:p w14:paraId="7B6FB3DA"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Tinto, V. (2017). Reflections on student persistence. </w:t>
      </w:r>
      <w:r w:rsidRPr="00A0345A">
        <w:rPr>
          <w:rFonts w:ascii="Times New Roman" w:eastAsia="Times New Roman" w:hAnsi="Times New Roman" w:cs="Times New Roman"/>
          <w:i/>
          <w:sz w:val="24"/>
          <w:szCs w:val="24"/>
          <w:highlight w:val="white"/>
        </w:rPr>
        <w:t>Student Success,</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8</w:t>
      </w:r>
      <w:r w:rsidRPr="00A0345A">
        <w:rPr>
          <w:rFonts w:ascii="Times New Roman" w:eastAsia="Times New Roman" w:hAnsi="Times New Roman" w:cs="Times New Roman"/>
          <w:sz w:val="24"/>
          <w:szCs w:val="24"/>
          <w:highlight w:val="white"/>
        </w:rPr>
        <w:t>(2), 1-8.</w:t>
      </w:r>
    </w:p>
    <w:p w14:paraId="0753A657" w14:textId="77777777" w:rsidR="001510DC" w:rsidRPr="00A0345A" w:rsidRDefault="00000000">
      <w:pPr>
        <w:spacing w:line="480" w:lineRule="auto"/>
        <w:rPr>
          <w:rFonts w:ascii="Times New Roman" w:eastAsia="Times New Roman" w:hAnsi="Times New Roman" w:cs="Times New Roman"/>
          <w:sz w:val="24"/>
          <w:szCs w:val="24"/>
          <w:highlight w:val="white"/>
        </w:rPr>
      </w:pPr>
      <w:r w:rsidRPr="00A0345A">
        <w:rPr>
          <w:rFonts w:ascii="Times New Roman" w:eastAsia="Times New Roman" w:hAnsi="Times New Roman" w:cs="Times New Roman"/>
          <w:sz w:val="24"/>
          <w:szCs w:val="24"/>
          <w:highlight w:val="white"/>
        </w:rPr>
        <w:t>Torres, C. A. (2019). Ecopedagogy. In</w:t>
      </w:r>
      <w:r w:rsidRPr="00A0345A">
        <w:rPr>
          <w:rFonts w:ascii="Times New Roman" w:eastAsia="Times New Roman" w:hAnsi="Times New Roman" w:cs="Times New Roman"/>
          <w:i/>
          <w:sz w:val="24"/>
          <w:szCs w:val="24"/>
          <w:highlight w:val="white"/>
        </w:rPr>
        <w:t xml:space="preserve"> The Wiley Handbook of Paulo Freire.</w:t>
      </w:r>
      <w:r w:rsidRPr="00A0345A">
        <w:rPr>
          <w:rFonts w:ascii="Times New Roman" w:eastAsia="Times New Roman" w:hAnsi="Times New Roman" w:cs="Times New Roman"/>
          <w:sz w:val="24"/>
          <w:szCs w:val="24"/>
          <w:highlight w:val="white"/>
        </w:rPr>
        <w:t xml:space="preserve"> John Wiley &amp; </w:t>
      </w:r>
    </w:p>
    <w:p w14:paraId="2F20F98D"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Sons, Incorporated. </w:t>
      </w:r>
      <w:hyperlink r:id="rId71">
        <w:r w:rsidR="001510DC" w:rsidRPr="00A0345A">
          <w:rPr>
            <w:rFonts w:ascii="Times New Roman" w:eastAsia="Times New Roman" w:hAnsi="Times New Roman" w:cs="Times New Roman"/>
            <w:sz w:val="24"/>
            <w:szCs w:val="24"/>
            <w:highlight w:val="white"/>
            <w:u w:val="single"/>
          </w:rPr>
          <w:t>https://doi.org/10.1002/9781119236788</w:t>
        </w:r>
      </w:hyperlink>
    </w:p>
    <w:p w14:paraId="1F125491"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Trejo, J. (2020). The burden of service for faculty of color to achieve diversity and inclusion: the </w:t>
      </w:r>
    </w:p>
    <w:p w14:paraId="1D42F6F3"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highlight w:val="white"/>
        </w:rPr>
        <w:t xml:space="preserve">minority tax. </w:t>
      </w:r>
      <w:r w:rsidRPr="00A0345A">
        <w:rPr>
          <w:rFonts w:ascii="Times New Roman" w:eastAsia="Times New Roman" w:hAnsi="Times New Roman" w:cs="Times New Roman"/>
          <w:i/>
          <w:sz w:val="24"/>
          <w:szCs w:val="24"/>
          <w:highlight w:val="white"/>
        </w:rPr>
        <w:t>Molecular biology of the cell</w:t>
      </w:r>
      <w:r w:rsidRPr="00A0345A">
        <w:rPr>
          <w:rFonts w:ascii="Times New Roman" w:eastAsia="Times New Roman" w:hAnsi="Times New Roman" w:cs="Times New Roman"/>
          <w:sz w:val="24"/>
          <w:szCs w:val="24"/>
          <w:highlight w:val="white"/>
        </w:rPr>
        <w:t xml:space="preserve">, </w:t>
      </w:r>
      <w:r w:rsidRPr="00A0345A">
        <w:rPr>
          <w:rFonts w:ascii="Times New Roman" w:eastAsia="Times New Roman" w:hAnsi="Times New Roman" w:cs="Times New Roman"/>
          <w:i/>
          <w:sz w:val="24"/>
          <w:szCs w:val="24"/>
          <w:highlight w:val="white"/>
        </w:rPr>
        <w:t>31</w:t>
      </w:r>
      <w:r w:rsidRPr="00A0345A">
        <w:rPr>
          <w:rFonts w:ascii="Times New Roman" w:eastAsia="Times New Roman" w:hAnsi="Times New Roman" w:cs="Times New Roman"/>
          <w:sz w:val="24"/>
          <w:szCs w:val="24"/>
          <w:highlight w:val="white"/>
        </w:rPr>
        <w:t>(25), 2752-2754.</w:t>
      </w:r>
    </w:p>
    <w:p w14:paraId="2D088B9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Walton, G. M., &amp; Cohen, G. L. (2011). A brief social-belonging intervention improves </w:t>
      </w:r>
    </w:p>
    <w:p w14:paraId="3BDEF17F"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lastRenderedPageBreak/>
        <w:t xml:space="preserve">academic and health outcomes of minority students. </w:t>
      </w:r>
      <w:r w:rsidRPr="00A0345A">
        <w:rPr>
          <w:rFonts w:ascii="Times New Roman" w:eastAsia="Times New Roman" w:hAnsi="Times New Roman" w:cs="Times New Roman"/>
          <w:i/>
          <w:sz w:val="24"/>
          <w:szCs w:val="24"/>
        </w:rPr>
        <w:t>American Association for the Advancement of Science,</w:t>
      </w:r>
      <w:r w:rsidRPr="00A0345A">
        <w:rPr>
          <w:rFonts w:ascii="Times New Roman" w:eastAsia="Times New Roman" w:hAnsi="Times New Roman" w:cs="Times New Roman"/>
          <w:sz w:val="24"/>
          <w:szCs w:val="24"/>
        </w:rPr>
        <w:t xml:space="preserve"> </w:t>
      </w:r>
      <w:r w:rsidRPr="00A0345A">
        <w:rPr>
          <w:rFonts w:ascii="Times New Roman" w:eastAsia="Times New Roman" w:hAnsi="Times New Roman" w:cs="Times New Roman"/>
          <w:i/>
          <w:sz w:val="24"/>
          <w:szCs w:val="24"/>
        </w:rPr>
        <w:t>331</w:t>
      </w:r>
      <w:r w:rsidRPr="00A0345A">
        <w:rPr>
          <w:rFonts w:ascii="Times New Roman" w:eastAsia="Times New Roman" w:hAnsi="Times New Roman" w:cs="Times New Roman"/>
          <w:sz w:val="24"/>
          <w:szCs w:val="24"/>
        </w:rPr>
        <w:t xml:space="preserve">(6023), 1447–1451. </w:t>
      </w:r>
      <w:hyperlink r:id="rId72">
        <w:r w:rsidR="001510DC" w:rsidRPr="00A0345A">
          <w:rPr>
            <w:rFonts w:ascii="Times New Roman" w:eastAsia="Times New Roman" w:hAnsi="Times New Roman" w:cs="Times New Roman"/>
            <w:sz w:val="24"/>
            <w:szCs w:val="24"/>
            <w:u w:val="single"/>
          </w:rPr>
          <w:t>https://doi.org/10.1126/science.1198364</w:t>
        </w:r>
      </w:hyperlink>
    </w:p>
    <w:p w14:paraId="72E37B56"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Walton, G. M., Cohen, G. L., Cwir, D., &amp; Spencer, S. J. (2012). Mere belonging: The power of </w:t>
      </w:r>
    </w:p>
    <w:p w14:paraId="1BFF8928"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social connections. </w:t>
      </w:r>
      <w:r w:rsidRPr="00A0345A">
        <w:rPr>
          <w:rFonts w:ascii="Times New Roman" w:eastAsia="Times New Roman" w:hAnsi="Times New Roman" w:cs="Times New Roman"/>
          <w:i/>
          <w:sz w:val="24"/>
          <w:szCs w:val="24"/>
        </w:rPr>
        <w:t>Journal of personality and social psychology, 102</w:t>
      </w:r>
      <w:r w:rsidRPr="00A0345A">
        <w:rPr>
          <w:rFonts w:ascii="Times New Roman" w:eastAsia="Times New Roman" w:hAnsi="Times New Roman" w:cs="Times New Roman"/>
          <w:sz w:val="24"/>
          <w:szCs w:val="24"/>
        </w:rPr>
        <w:t>(3), 513-532.</w:t>
      </w:r>
    </w:p>
    <w:p w14:paraId="353D813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Watson, Y. L., &amp; Gregory, S. T. (2023). </w:t>
      </w:r>
      <w:r w:rsidRPr="00A0345A">
        <w:rPr>
          <w:rFonts w:ascii="Times New Roman" w:eastAsia="Times New Roman" w:hAnsi="Times New Roman" w:cs="Times New Roman"/>
          <w:i/>
          <w:sz w:val="24"/>
          <w:szCs w:val="24"/>
        </w:rPr>
        <w:t>Daring to educate: The legacy of the early Spelman </w:t>
      </w:r>
    </w:p>
    <w:p w14:paraId="139247D0"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College presidents. </w:t>
      </w:r>
      <w:r w:rsidRPr="00A0345A">
        <w:rPr>
          <w:rFonts w:ascii="Times New Roman" w:eastAsia="Times New Roman" w:hAnsi="Times New Roman" w:cs="Times New Roman"/>
          <w:sz w:val="24"/>
          <w:szCs w:val="24"/>
        </w:rPr>
        <w:t>Taylor &amp; Francis.</w:t>
      </w:r>
    </w:p>
    <w:p w14:paraId="6DD9B892"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Weiss, G; Murphy, A. V., Salamon, G. (2020). </w:t>
      </w:r>
      <w:r w:rsidRPr="00A0345A">
        <w:rPr>
          <w:rFonts w:ascii="Times New Roman" w:eastAsia="Times New Roman" w:hAnsi="Times New Roman" w:cs="Times New Roman"/>
          <w:i/>
          <w:sz w:val="24"/>
          <w:szCs w:val="24"/>
        </w:rPr>
        <w:t>50 Concepts for a Critical Phenomenology. </w:t>
      </w:r>
    </w:p>
    <w:p w14:paraId="548ABA37"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Northwestern University Press.</w:t>
      </w:r>
      <w:hyperlink r:id="rId73">
        <w:r w:rsidR="001510DC" w:rsidRPr="00A0345A">
          <w:rPr>
            <w:rFonts w:ascii="Times New Roman" w:eastAsia="Times New Roman" w:hAnsi="Times New Roman" w:cs="Times New Roman"/>
            <w:sz w:val="24"/>
            <w:szCs w:val="24"/>
            <w:u w:val="single"/>
          </w:rPr>
          <w:t xml:space="preserve"> https://doi.org/10.2307/j.ctvmx3j22</w:t>
        </w:r>
      </w:hyperlink>
    </w:p>
    <w:p w14:paraId="6916AF8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Wesley, A. (2018). Managing multiple identities: The intersection of race and gender for black </w:t>
      </w:r>
    </w:p>
    <w:p w14:paraId="26582522"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female student affairs professionals in predominantly white institutions. ProQuest Dissertations Publishing.</w:t>
      </w:r>
    </w:p>
    <w:p w14:paraId="1E955C73"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Wolverton, M., Bower, B. L., &amp; Hyle, A. E. (2023). </w:t>
      </w:r>
      <w:r w:rsidRPr="00A0345A">
        <w:rPr>
          <w:rFonts w:ascii="Times New Roman" w:eastAsia="Times New Roman" w:hAnsi="Times New Roman" w:cs="Times New Roman"/>
          <w:i/>
          <w:sz w:val="24"/>
          <w:szCs w:val="24"/>
        </w:rPr>
        <w:t>Women at the top: What women university </w:t>
      </w:r>
    </w:p>
    <w:p w14:paraId="63086C1C" w14:textId="77777777" w:rsidR="001510DC" w:rsidRPr="00A0345A" w:rsidRDefault="00000000">
      <w:pPr>
        <w:spacing w:line="480" w:lineRule="auto"/>
        <w:ind w:firstLine="720"/>
        <w:rPr>
          <w:rFonts w:ascii="Times New Roman" w:eastAsia="Times New Roman" w:hAnsi="Times New Roman" w:cs="Times New Roman"/>
          <w:sz w:val="24"/>
          <w:szCs w:val="24"/>
        </w:rPr>
      </w:pPr>
      <w:r w:rsidRPr="00A0345A">
        <w:rPr>
          <w:rFonts w:ascii="Times New Roman" w:eastAsia="Times New Roman" w:hAnsi="Times New Roman" w:cs="Times New Roman"/>
          <w:i/>
          <w:sz w:val="24"/>
          <w:szCs w:val="24"/>
        </w:rPr>
        <w:t xml:space="preserve">and college presidents say about effective leadership. </w:t>
      </w:r>
      <w:r w:rsidRPr="00A0345A">
        <w:rPr>
          <w:rFonts w:ascii="Times New Roman" w:eastAsia="Times New Roman" w:hAnsi="Times New Roman" w:cs="Times New Roman"/>
          <w:sz w:val="24"/>
          <w:szCs w:val="24"/>
        </w:rPr>
        <w:t>Taylor &amp; Francis.</w:t>
      </w:r>
    </w:p>
    <w:p w14:paraId="55286130"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Yosso, T. J. (2005). Whose culture has capital? A critical race theory discussion of community </w:t>
      </w:r>
    </w:p>
    <w:p w14:paraId="09254150"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 xml:space="preserve">cultural wealth. Race Ethnicity and Education, </w:t>
      </w:r>
      <w:r w:rsidRPr="00A0345A">
        <w:rPr>
          <w:rFonts w:ascii="Times New Roman" w:eastAsia="Times New Roman" w:hAnsi="Times New Roman" w:cs="Times New Roman"/>
          <w:i/>
          <w:sz w:val="24"/>
          <w:szCs w:val="24"/>
        </w:rPr>
        <w:t>8</w:t>
      </w:r>
      <w:r w:rsidRPr="00A0345A">
        <w:rPr>
          <w:rFonts w:ascii="Times New Roman" w:eastAsia="Times New Roman" w:hAnsi="Times New Roman" w:cs="Times New Roman"/>
          <w:sz w:val="24"/>
          <w:szCs w:val="24"/>
        </w:rPr>
        <w:t xml:space="preserve">(1), 69–91. </w:t>
      </w:r>
      <w:hyperlink r:id="rId74">
        <w:r w:rsidR="001510DC" w:rsidRPr="00A0345A">
          <w:rPr>
            <w:rFonts w:ascii="Times New Roman" w:eastAsia="Times New Roman" w:hAnsi="Times New Roman" w:cs="Times New Roman"/>
            <w:sz w:val="24"/>
            <w:szCs w:val="24"/>
            <w:u w:val="single"/>
          </w:rPr>
          <w:t>https://doi-org.utk.idm.oclc.org/10.1080/1361332052000341006</w:t>
        </w:r>
      </w:hyperlink>
      <w:r w:rsidRPr="00A0345A">
        <w:rPr>
          <w:rFonts w:ascii="Times New Roman" w:eastAsia="Times New Roman" w:hAnsi="Times New Roman" w:cs="Times New Roman"/>
          <w:sz w:val="24"/>
          <w:szCs w:val="24"/>
        </w:rPr>
        <w:t xml:space="preserve">   </w:t>
      </w:r>
    </w:p>
    <w:p w14:paraId="7547497D" w14:textId="77777777" w:rsidR="001510DC" w:rsidRPr="00A0345A" w:rsidRDefault="00000000">
      <w:pPr>
        <w:spacing w:line="480" w:lineRule="auto"/>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Zamani-Gallaher, E. M., Turner, F., Brown-Tess, K., &amp; Thrill, C. (2017). Autobiographical </w:t>
      </w:r>
    </w:p>
    <w:p w14:paraId="4ADB3FCA" w14:textId="77777777" w:rsidR="001510DC" w:rsidRPr="00A0345A" w:rsidRDefault="00000000">
      <w:pPr>
        <w:spacing w:line="480" w:lineRule="auto"/>
        <w:ind w:left="720"/>
        <w:rPr>
          <w:rFonts w:ascii="Times New Roman" w:eastAsia="Times New Roman" w:hAnsi="Times New Roman" w:cs="Times New Roman"/>
          <w:sz w:val="24"/>
          <w:szCs w:val="24"/>
        </w:rPr>
      </w:pPr>
      <w:r w:rsidRPr="00A0345A">
        <w:rPr>
          <w:rFonts w:ascii="Times New Roman" w:eastAsia="Times New Roman" w:hAnsi="Times New Roman" w:cs="Times New Roman"/>
          <w:sz w:val="24"/>
          <w:szCs w:val="24"/>
        </w:rPr>
        <w:t>counternarratives from the community college to the PhD.</w:t>
      </w:r>
      <w:r w:rsidRPr="00A0345A">
        <w:rPr>
          <w:rFonts w:ascii="Times New Roman" w:eastAsia="Times New Roman" w:hAnsi="Times New Roman" w:cs="Times New Roman"/>
          <w:i/>
          <w:sz w:val="24"/>
          <w:szCs w:val="24"/>
        </w:rPr>
        <w:t xml:space="preserve"> Community College Journal of Research &amp; Practice</w:t>
      </w:r>
      <w:r w:rsidRPr="00A0345A">
        <w:rPr>
          <w:rFonts w:ascii="Times New Roman" w:eastAsia="Times New Roman" w:hAnsi="Times New Roman" w:cs="Times New Roman"/>
          <w:sz w:val="24"/>
          <w:szCs w:val="24"/>
        </w:rPr>
        <w:t>,</w:t>
      </w:r>
      <w:r w:rsidRPr="00A0345A">
        <w:rPr>
          <w:rFonts w:ascii="Times New Roman" w:eastAsia="Times New Roman" w:hAnsi="Times New Roman" w:cs="Times New Roman"/>
          <w:i/>
          <w:sz w:val="24"/>
          <w:szCs w:val="24"/>
        </w:rPr>
        <w:t xml:space="preserve"> 41</w:t>
      </w:r>
      <w:r w:rsidRPr="00A0345A">
        <w:rPr>
          <w:rFonts w:ascii="Times New Roman" w:eastAsia="Times New Roman" w:hAnsi="Times New Roman" w:cs="Times New Roman"/>
          <w:sz w:val="24"/>
          <w:szCs w:val="24"/>
        </w:rPr>
        <w:t xml:space="preserve"> (4– 5), 326– 328. </w:t>
      </w:r>
      <w:hyperlink r:id="rId75">
        <w:r w:rsidR="001510DC" w:rsidRPr="00A0345A">
          <w:rPr>
            <w:rFonts w:ascii="Times New Roman" w:eastAsia="Times New Roman" w:hAnsi="Times New Roman" w:cs="Times New Roman"/>
            <w:sz w:val="24"/>
            <w:szCs w:val="24"/>
            <w:u w:val="single"/>
          </w:rPr>
          <w:t>https://doi.org/10.108 0/10668926.2016.1251359</w:t>
        </w:r>
      </w:hyperlink>
      <w:r w:rsidRPr="00A0345A">
        <w:rPr>
          <w:rFonts w:ascii="Times New Roman" w:hAnsi="Times New Roman" w:cs="Times New Roman"/>
          <w:sz w:val="24"/>
          <w:szCs w:val="24"/>
        </w:rPr>
        <w:br w:type="page"/>
      </w:r>
    </w:p>
    <w:p w14:paraId="531A4EA8" w14:textId="51534A69" w:rsidR="00A0345A" w:rsidRDefault="00A0345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Appendices</w:t>
      </w:r>
    </w:p>
    <w:p w14:paraId="582AFA21" w14:textId="43ACB14A" w:rsidR="001510DC"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Informed Consent</w:t>
      </w:r>
    </w:p>
    <w:p w14:paraId="03CAA45A" w14:textId="77777777" w:rsidR="001510DC" w:rsidRDefault="0025186B">
      <w:pPr>
        <w:spacing w:line="240" w:lineRule="auto"/>
        <w:jc w:val="center"/>
        <w:rPr>
          <w:rFonts w:ascii="Times New Roman" w:eastAsia="Times New Roman" w:hAnsi="Times New Roman" w:cs="Times New Roman"/>
          <w:b/>
          <w:sz w:val="24"/>
          <w:szCs w:val="24"/>
        </w:rPr>
      </w:pPr>
      <w:r>
        <w:rPr>
          <w:noProof/>
        </w:rPr>
        <w:pict w14:anchorId="48D4BE2C">
          <v:rect id="_x0000_i1026" alt="" style="width:468pt;height:.05pt;mso-width-percent:0;mso-height-percent:0;mso-width-percent:0;mso-height-percent:0" o:hralign="center" o:hrstd="t" o:hr="t" fillcolor="#a0a0a0" stroked="f"/>
        </w:pict>
      </w:r>
    </w:p>
    <w:p w14:paraId="100FB470" w14:textId="77777777" w:rsidR="001510DC"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8"/>
          <w:szCs w:val="28"/>
        </w:rPr>
        <w:t>Consent for Research Participation</w:t>
      </w:r>
    </w:p>
    <w:p w14:paraId="4589F8D1" w14:textId="77777777" w:rsidR="001510DC" w:rsidRDefault="001510DC">
      <w:pPr>
        <w:spacing w:line="240" w:lineRule="auto"/>
        <w:jc w:val="center"/>
        <w:rPr>
          <w:rFonts w:ascii="Times New Roman" w:eastAsia="Times New Roman" w:hAnsi="Times New Roman" w:cs="Times New Roman"/>
          <w:b/>
          <w:sz w:val="28"/>
          <w:szCs w:val="28"/>
        </w:rPr>
      </w:pPr>
    </w:p>
    <w:p w14:paraId="591B3261" w14:textId="77777777" w:rsidR="001510DC"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Research Study Title: Perceptions of Persistence: Examining the Experiences of</w:t>
      </w:r>
    </w:p>
    <w:p w14:paraId="0368A5E2" w14:textId="77777777" w:rsidR="001510DC"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Senior Student Affairs Professionals with Marginalized Identities</w:t>
      </w:r>
    </w:p>
    <w:p w14:paraId="60B07F21" w14:textId="77777777" w:rsidR="001510DC"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Researcher(s):  </w:t>
      </w:r>
      <w:r>
        <w:rPr>
          <w:rFonts w:ascii="Times New Roman" w:eastAsia="Times New Roman" w:hAnsi="Times New Roman" w:cs="Times New Roman"/>
          <w:b/>
        </w:rPr>
        <w:tab/>
        <w:t>Ciara Gazaway, University of Tennessee, Knoxville</w:t>
      </w:r>
    </w:p>
    <w:p w14:paraId="6E09FF62" w14:textId="77777777" w:rsidR="001510DC"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t xml:space="preserve">Dorian McCoy University of Tennessee, Knoxville </w:t>
      </w:r>
    </w:p>
    <w:p w14:paraId="1097501C" w14:textId="77777777" w:rsidR="001510DC" w:rsidRDefault="0025186B">
      <w:pPr>
        <w:spacing w:line="240" w:lineRule="auto"/>
        <w:rPr>
          <w:rFonts w:ascii="Times New Roman" w:eastAsia="Times New Roman" w:hAnsi="Times New Roman" w:cs="Times New Roman"/>
          <w:b/>
          <w:sz w:val="16"/>
          <w:szCs w:val="16"/>
        </w:rPr>
      </w:pPr>
      <w:r>
        <w:rPr>
          <w:noProof/>
        </w:rPr>
        <w:pict w14:anchorId="33F63ABD">
          <v:rect id="_x0000_i1025" alt="" style="width:468pt;height:.05pt;mso-width-percent:0;mso-height-percent:0;mso-width-percent:0;mso-height-percent:0" o:hralign="center" o:hrstd="t" o:hr="t" fillcolor="#a0a0a0" stroked="f"/>
        </w:pict>
      </w:r>
      <w:r w:rsidR="0041482D">
        <w:rPr>
          <w:rFonts w:ascii="Times New Roman" w:eastAsia="Times New Roman" w:hAnsi="Times New Roman" w:cs="Times New Roman"/>
          <w:b/>
          <w:sz w:val="16"/>
          <w:szCs w:val="16"/>
        </w:rPr>
        <w:t xml:space="preserve"> </w:t>
      </w:r>
    </w:p>
    <w:p w14:paraId="17E8FF3E" w14:textId="77777777" w:rsidR="001510DC" w:rsidRDefault="00000000">
      <w:pPr>
        <w:pStyle w:val="Heading3"/>
        <w:keepNext w:val="0"/>
        <w:keepLines w:val="0"/>
        <w:spacing w:line="240" w:lineRule="auto"/>
        <w:rPr>
          <w:rFonts w:ascii="Times New Roman" w:eastAsia="Times New Roman" w:hAnsi="Times New Roman" w:cs="Times New Roman"/>
        </w:rPr>
      </w:pPr>
      <w:bookmarkStart w:id="3" w:name="_g6sz9fuya84" w:colFirst="0" w:colLast="0"/>
      <w:bookmarkEnd w:id="3"/>
      <w:r>
        <w:rPr>
          <w:rFonts w:ascii="Times New Roman" w:eastAsia="Times New Roman" w:hAnsi="Times New Roman" w:cs="Times New Roman"/>
        </w:rPr>
        <w:t>Why am I being asked to be in this research study?</w:t>
      </w:r>
    </w:p>
    <w:p w14:paraId="6094A26C"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We are asking you to be in this research study because you have identified study eligibility as being a senior higher education professional, have experience with persisting through the field, and hold at least one marginalized identity. We hope you will consider this invitation to participate in this study.</w:t>
      </w:r>
    </w:p>
    <w:p w14:paraId="4127EC37" w14:textId="77777777" w:rsidR="001510DC" w:rsidRDefault="00000000">
      <w:pPr>
        <w:pStyle w:val="Heading3"/>
        <w:keepNext w:val="0"/>
        <w:keepLines w:val="0"/>
        <w:spacing w:line="240" w:lineRule="auto"/>
        <w:rPr>
          <w:rFonts w:ascii="Times New Roman" w:eastAsia="Times New Roman" w:hAnsi="Times New Roman" w:cs="Times New Roman"/>
        </w:rPr>
      </w:pPr>
      <w:bookmarkStart w:id="4" w:name="_kj7h5eo7he1y" w:colFirst="0" w:colLast="0"/>
      <w:bookmarkEnd w:id="4"/>
      <w:r>
        <w:rPr>
          <w:rFonts w:ascii="Times New Roman" w:eastAsia="Times New Roman" w:hAnsi="Times New Roman" w:cs="Times New Roman"/>
        </w:rPr>
        <w:t>What is this research study about?</w:t>
      </w:r>
    </w:p>
    <w:p w14:paraId="339DD1CC"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The purpose of the research study is to understand the experiences of professionals with marginalized identities who have persisted and progressed through higher education, and understand the contexts that supported their career advancement utilizing a qualitative, phenomenological framework. </w:t>
      </w:r>
      <w:r>
        <w:rPr>
          <w:rFonts w:ascii="Open Sans" w:eastAsia="Open Sans" w:hAnsi="Open Sans" w:cs="Open Sans"/>
          <w:b/>
          <w:sz w:val="24"/>
          <w:szCs w:val="24"/>
          <w:highlight w:val="white"/>
        </w:rPr>
        <w:t xml:space="preserve">Existing literature does not specifically address how professionals with marginalized identities overcome systemic and contextual barriers, progress in their career, and ultimately persist. </w:t>
      </w:r>
      <w:r>
        <w:rPr>
          <w:rFonts w:ascii="Open Sans" w:eastAsia="Open Sans" w:hAnsi="Open Sans" w:cs="Open Sans"/>
          <w:b/>
          <w:sz w:val="24"/>
          <w:szCs w:val="24"/>
        </w:rPr>
        <w:t xml:space="preserve">Data from this study have the potential to broaden perspectives for non-marginalized colleagues and inform practice for university leadership and supervisors. Further, findings from this study may provide a framework to support future generations of student affairs leaders with marginalized identities. </w:t>
      </w:r>
    </w:p>
    <w:p w14:paraId="48865474" w14:textId="77777777" w:rsidR="001510DC" w:rsidRDefault="00000000">
      <w:pPr>
        <w:pStyle w:val="Heading3"/>
        <w:keepNext w:val="0"/>
        <w:keepLines w:val="0"/>
        <w:spacing w:line="240" w:lineRule="auto"/>
        <w:rPr>
          <w:rFonts w:ascii="Times New Roman" w:eastAsia="Times New Roman" w:hAnsi="Times New Roman" w:cs="Times New Roman"/>
        </w:rPr>
      </w:pPr>
      <w:bookmarkStart w:id="5" w:name="_is3dmyvqfvfn" w:colFirst="0" w:colLast="0"/>
      <w:bookmarkEnd w:id="5"/>
      <w:r>
        <w:rPr>
          <w:rFonts w:ascii="Times New Roman" w:eastAsia="Times New Roman" w:hAnsi="Times New Roman" w:cs="Times New Roman"/>
        </w:rPr>
        <w:t>How long will I be in the research study?</w:t>
      </w:r>
    </w:p>
    <w:p w14:paraId="6462BBB5"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If you agree to be in the study, your participation will last for approximately 150 minutes (an interview lasting 60-90 minutes and follow-up conversation lasting around 60 minutes in length).</w:t>
      </w:r>
    </w:p>
    <w:p w14:paraId="3AC7F93A" w14:textId="77777777" w:rsidR="001510DC" w:rsidRDefault="00000000">
      <w:pPr>
        <w:pStyle w:val="Heading3"/>
        <w:keepNext w:val="0"/>
        <w:keepLines w:val="0"/>
        <w:spacing w:line="240" w:lineRule="auto"/>
        <w:rPr>
          <w:rFonts w:ascii="Times New Roman" w:eastAsia="Times New Roman" w:hAnsi="Times New Roman" w:cs="Times New Roman"/>
        </w:rPr>
      </w:pPr>
      <w:bookmarkStart w:id="6" w:name="_xtvaav15nay8" w:colFirst="0" w:colLast="0"/>
      <w:bookmarkEnd w:id="6"/>
      <w:r>
        <w:rPr>
          <w:rFonts w:ascii="Times New Roman" w:eastAsia="Times New Roman" w:hAnsi="Times New Roman" w:cs="Times New Roman"/>
        </w:rPr>
        <w:t>What will happen if I say “Yes, I want to be in this research study”?</w:t>
      </w:r>
    </w:p>
    <w:p w14:paraId="24B1042F"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If you agree to be in this study, we will ask you to participate in one interview and one follow-up conversation, each lasting approximately 60 minutes in </w:t>
      </w:r>
      <w:r>
        <w:rPr>
          <w:rFonts w:ascii="Open Sans" w:eastAsia="Open Sans" w:hAnsi="Open Sans" w:cs="Open Sans"/>
          <w:b/>
          <w:sz w:val="24"/>
          <w:szCs w:val="24"/>
        </w:rPr>
        <w:lastRenderedPageBreak/>
        <w:t>length. Both the interview and conversation will take place virtually via Zoom and both will be recorded via Zoom. Participants will meet with the co-principal investigator (Ciara Gazaway), who will use that time to ask participants questions about their experiences with systemic, personal, and contextual barriers to career advancement, and the ways in which they persisted and reached their senior level role. If you agree to participate in this study, you will choose a pseudonym (fake name) to protect your identity.</w:t>
      </w:r>
    </w:p>
    <w:p w14:paraId="35FA37F2" w14:textId="77777777" w:rsidR="001510DC" w:rsidRDefault="00000000">
      <w:pPr>
        <w:pStyle w:val="Heading3"/>
        <w:keepNext w:val="0"/>
        <w:keepLines w:val="0"/>
        <w:spacing w:line="240" w:lineRule="auto"/>
        <w:rPr>
          <w:rFonts w:ascii="Times New Roman" w:eastAsia="Times New Roman" w:hAnsi="Times New Roman" w:cs="Times New Roman"/>
        </w:rPr>
      </w:pPr>
      <w:bookmarkStart w:id="7" w:name="_wtznot42f0b" w:colFirst="0" w:colLast="0"/>
      <w:bookmarkEnd w:id="7"/>
      <w:r>
        <w:rPr>
          <w:rFonts w:ascii="Times New Roman" w:eastAsia="Times New Roman" w:hAnsi="Times New Roman" w:cs="Times New Roman"/>
        </w:rPr>
        <w:t>What happens if I say “No, I do not want to be in this research study”?</w:t>
      </w:r>
    </w:p>
    <w:p w14:paraId="5B411395"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Being in this study is up to you.  You can say no now or leave the study later. Your decision to participate or not participate in this research study will not affect your relationship with the University of Tennessee – Knoxville. </w:t>
      </w:r>
    </w:p>
    <w:p w14:paraId="6A991EB5" w14:textId="77777777" w:rsidR="001510DC" w:rsidRDefault="00000000">
      <w:pPr>
        <w:pStyle w:val="Heading3"/>
        <w:keepNext w:val="0"/>
        <w:keepLines w:val="0"/>
        <w:spacing w:line="240" w:lineRule="auto"/>
        <w:rPr>
          <w:rFonts w:ascii="Times New Roman" w:eastAsia="Times New Roman" w:hAnsi="Times New Roman" w:cs="Times New Roman"/>
        </w:rPr>
      </w:pPr>
      <w:bookmarkStart w:id="8" w:name="_d8gm9wk8vn4x" w:colFirst="0" w:colLast="0"/>
      <w:bookmarkEnd w:id="8"/>
      <w:r>
        <w:rPr>
          <w:rFonts w:ascii="Times New Roman" w:eastAsia="Times New Roman" w:hAnsi="Times New Roman" w:cs="Times New Roman"/>
        </w:rPr>
        <w:t>What happens if I say “Yes” but change my mind later?</w:t>
      </w:r>
    </w:p>
    <w:p w14:paraId="0F3BEEF5"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Even if you decide to be in the study now, you can change your mind and stop at any time.</w:t>
      </w:r>
    </w:p>
    <w:p w14:paraId="094AE162"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If you decide to stop before the study is completed, contact Ciara Gazaway at cgazaway@utk.edu or 919-632-1347, and any information collected because of your participation will be destroyed. Collected information includes, but is not limited to, your informed consent document, interview responses, interview recordings and transcripts, pseudonym (fake name), email correspondences, and scheduling logs.</w:t>
      </w:r>
    </w:p>
    <w:p w14:paraId="18B51ECE" w14:textId="77777777" w:rsidR="001510DC" w:rsidRDefault="00000000">
      <w:pPr>
        <w:pStyle w:val="Heading3"/>
        <w:keepNext w:val="0"/>
        <w:keepLines w:val="0"/>
        <w:spacing w:line="240" w:lineRule="auto"/>
        <w:rPr>
          <w:rFonts w:ascii="Times New Roman" w:eastAsia="Times New Roman" w:hAnsi="Times New Roman" w:cs="Times New Roman"/>
        </w:rPr>
      </w:pPr>
      <w:bookmarkStart w:id="9" w:name="_67f2c5bisula" w:colFirst="0" w:colLast="0"/>
      <w:bookmarkEnd w:id="9"/>
      <w:r>
        <w:rPr>
          <w:rFonts w:ascii="Times New Roman" w:eastAsia="Times New Roman" w:hAnsi="Times New Roman" w:cs="Times New Roman"/>
        </w:rPr>
        <w:t>Are there any possible risks to me?</w:t>
      </w:r>
    </w:p>
    <w:p w14:paraId="776B9322"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It is possible that someone could find out you were in this study or see your study information, but we believe this risk is small because of the procedures we use to protect your information. These procedures are described later in this form.</w:t>
      </w:r>
    </w:p>
    <w:p w14:paraId="74F8786F"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Possible risks include psychological, mental, emotional, or otherwise. For example, reliving experiences may cause anxiety or depression, and mental stresses that may cause fatigue, sadness, crying, or otherwise. Risk will be minimized by delaying or stopping interviews, offering breaks during interviews, referral to psychological/mental health providers, and/or reasonable requests you may have.</w:t>
      </w:r>
    </w:p>
    <w:p w14:paraId="7B31288A" w14:textId="77777777" w:rsidR="001510DC" w:rsidRDefault="00000000">
      <w:pPr>
        <w:pStyle w:val="Heading3"/>
        <w:keepNext w:val="0"/>
        <w:keepLines w:val="0"/>
        <w:spacing w:line="240" w:lineRule="auto"/>
        <w:rPr>
          <w:rFonts w:ascii="Times New Roman" w:eastAsia="Times New Roman" w:hAnsi="Times New Roman" w:cs="Times New Roman"/>
        </w:rPr>
      </w:pPr>
      <w:bookmarkStart w:id="10" w:name="_l9kd5da6f1yr" w:colFirst="0" w:colLast="0"/>
      <w:bookmarkEnd w:id="10"/>
      <w:r>
        <w:rPr>
          <w:rFonts w:ascii="Times New Roman" w:eastAsia="Times New Roman" w:hAnsi="Times New Roman" w:cs="Times New Roman"/>
        </w:rPr>
        <w:t>Are there any benefits to being in this research study?</w:t>
      </w:r>
    </w:p>
    <w:p w14:paraId="27ED3DD4"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There are no direct benefits to research participation. There is a possibility that you may benefit from being in the study, but there is no guarantee that </w:t>
      </w:r>
      <w:r>
        <w:rPr>
          <w:rFonts w:ascii="Open Sans" w:eastAsia="Open Sans" w:hAnsi="Open Sans" w:cs="Open Sans"/>
          <w:b/>
          <w:sz w:val="24"/>
          <w:szCs w:val="24"/>
        </w:rPr>
        <w:lastRenderedPageBreak/>
        <w:t>will happen.  Possible benefits include feelings of empowerment and encouragement. You will be telling your personal and professional story, which may foster feelings of relief or contribution to understanding the experiences of professionals with marginalized identities in student affairs. Even if you don’t benefit from being in the study, your participation may help us to learn more about the persistence of professionals with marginalized identities in student affairs. We hope the knowledge gained from this study will benefit others in the future.</w:t>
      </w:r>
    </w:p>
    <w:p w14:paraId="5369C60E" w14:textId="77777777" w:rsidR="001510DC" w:rsidRDefault="00000000">
      <w:pPr>
        <w:pStyle w:val="Heading3"/>
        <w:keepNext w:val="0"/>
        <w:keepLines w:val="0"/>
        <w:spacing w:line="240" w:lineRule="auto"/>
        <w:rPr>
          <w:rFonts w:ascii="Times New Roman" w:eastAsia="Times New Roman" w:hAnsi="Times New Roman" w:cs="Times New Roman"/>
        </w:rPr>
      </w:pPr>
      <w:bookmarkStart w:id="11" w:name="_tznzi7swikq9" w:colFirst="0" w:colLast="0"/>
      <w:bookmarkEnd w:id="11"/>
      <w:r>
        <w:rPr>
          <w:rFonts w:ascii="Times New Roman" w:eastAsia="Times New Roman" w:hAnsi="Times New Roman" w:cs="Times New Roman"/>
        </w:rPr>
        <w:t>Who can see or use the information collected for this research study?</w:t>
      </w:r>
    </w:p>
    <w:p w14:paraId="1BDFF156"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We will protect the confidentiality of your information by conducting research procedures in a private setting or reasonable setting of your choosing. Only authorized research study personnel will participate in research-related activities. The collection of your information is limited to the amount necessary to achieve the aims of the research. Data will be captured and reviewed in a private setting. Participants will not be approached in a setting or location that may constitute an invasion of privacy or create unwanted attention. A pseudonym (fake name) of your choice will be used to refer to you and no identifying information will be included in data collection documents.</w:t>
      </w:r>
    </w:p>
    <w:p w14:paraId="793A3972"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If information from this study is published or presented at scientific meetings, your name and other personal information will not be used.</w:t>
      </w:r>
    </w:p>
    <w:p w14:paraId="49BAB603"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1AE564A3"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People at the University of Tennessee, Knoxville who oversee research to make sure it is conducted properly.</w:t>
      </w:r>
    </w:p>
    <w:p w14:paraId="6D5288FE" w14:textId="77777777" w:rsidR="001510DC" w:rsidRDefault="00000000">
      <w:pPr>
        <w:pStyle w:val="Heading3"/>
        <w:keepNext w:val="0"/>
        <w:keepLines w:val="0"/>
        <w:spacing w:line="240" w:lineRule="auto"/>
        <w:rPr>
          <w:rFonts w:ascii="Times New Roman" w:eastAsia="Times New Roman" w:hAnsi="Times New Roman" w:cs="Times New Roman"/>
        </w:rPr>
      </w:pPr>
      <w:bookmarkStart w:id="12" w:name="_c5e6ugwgdfmn" w:colFirst="0" w:colLast="0"/>
      <w:bookmarkEnd w:id="12"/>
      <w:r>
        <w:rPr>
          <w:rFonts w:ascii="Times New Roman" w:eastAsia="Times New Roman" w:hAnsi="Times New Roman" w:cs="Times New Roman"/>
        </w:rPr>
        <w:t>What will happen to my information after this study is over?</w:t>
      </w:r>
    </w:p>
    <w:p w14:paraId="125E78EE"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We will retain research data for future research purposes. Only the principal investigators will have access to these data and we will not share your research data with other researchers.</w:t>
      </w:r>
    </w:p>
    <w:p w14:paraId="4D51F14A" w14:textId="77777777" w:rsidR="001510DC" w:rsidRDefault="00000000">
      <w:pPr>
        <w:pStyle w:val="Heading3"/>
        <w:keepNext w:val="0"/>
        <w:keepLines w:val="0"/>
        <w:spacing w:line="240" w:lineRule="auto"/>
        <w:rPr>
          <w:rFonts w:ascii="Times New Roman" w:eastAsia="Times New Roman" w:hAnsi="Times New Roman" w:cs="Times New Roman"/>
        </w:rPr>
      </w:pPr>
      <w:bookmarkStart w:id="13" w:name="_7f9p18w5gsne" w:colFirst="0" w:colLast="0"/>
      <w:bookmarkEnd w:id="13"/>
      <w:r>
        <w:rPr>
          <w:rFonts w:ascii="Times New Roman" w:eastAsia="Times New Roman" w:hAnsi="Times New Roman" w:cs="Times New Roman"/>
        </w:rPr>
        <w:t>Will I be paid for being in this research study?</w:t>
      </w:r>
    </w:p>
    <w:p w14:paraId="5BA291E0"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 xml:space="preserve">Participants who complete both the initial interview and follow-up conversation will receive a $120 Visa gift card. The gift card will be sent via </w:t>
      </w:r>
      <w:r>
        <w:rPr>
          <w:rFonts w:ascii="Open Sans" w:eastAsia="Open Sans" w:hAnsi="Open Sans" w:cs="Open Sans"/>
          <w:b/>
          <w:sz w:val="24"/>
          <w:szCs w:val="24"/>
        </w:rPr>
        <w:lastRenderedPageBreak/>
        <w:t>email to the address of their choosing within 1-3 business days after completing the follow-up conversation.</w:t>
      </w:r>
    </w:p>
    <w:p w14:paraId="06C33118" w14:textId="77777777" w:rsidR="001510DC" w:rsidRDefault="00000000">
      <w:pPr>
        <w:pStyle w:val="Heading3"/>
        <w:keepNext w:val="0"/>
        <w:keepLines w:val="0"/>
        <w:spacing w:line="240" w:lineRule="auto"/>
        <w:rPr>
          <w:rFonts w:ascii="Times New Roman" w:eastAsia="Times New Roman" w:hAnsi="Times New Roman" w:cs="Times New Roman"/>
        </w:rPr>
      </w:pPr>
      <w:bookmarkStart w:id="14" w:name="_yeu9253m5ohj" w:colFirst="0" w:colLast="0"/>
      <w:bookmarkEnd w:id="14"/>
      <w:r>
        <w:rPr>
          <w:rFonts w:ascii="Times New Roman" w:eastAsia="Times New Roman" w:hAnsi="Times New Roman" w:cs="Times New Roman"/>
        </w:rPr>
        <w:t>What else do I need to know?</w:t>
      </w:r>
    </w:p>
    <w:p w14:paraId="093F1CB8" w14:textId="77777777" w:rsidR="001510DC" w:rsidRDefault="00000000">
      <w:pPr>
        <w:spacing w:before="120" w:after="120" w:line="240" w:lineRule="auto"/>
        <w:rPr>
          <w:rFonts w:ascii="Open Sans" w:eastAsia="Open Sans" w:hAnsi="Open Sans" w:cs="Open Sans"/>
          <w:b/>
          <w:sz w:val="24"/>
          <w:szCs w:val="24"/>
        </w:rPr>
      </w:pPr>
      <w:r>
        <w:rPr>
          <w:rFonts w:ascii="Open Sans" w:eastAsia="Open Sans" w:hAnsi="Open Sans" w:cs="Open Sans"/>
          <w:b/>
          <w:sz w:val="24"/>
          <w:szCs w:val="24"/>
        </w:rPr>
        <w:t>About 10 people will take part in this study. Because of the small number of participants in this study, it is possible that someone could identify you based on the information we collected from you. We may need to stop your participation in the study without your consent if you no longer meet the study’s eligibility requirements or if the study is stopped for any reason. If we learn about any new information that may change your mind about being in the study, we will tell you. If that happens, you may be asked to sign a new consent form. We use procedures to lower the possibility of these risks happening. Even so, you may still experience problems or injury, even when we are careful to avoid them. Please contact the researcher in charge, Ciara Gazaway, at 919-632-1347 or cgazaway@utk.edu about any injuries, side effects, etc. or other problems that you have during this study. If psychological injury occurs during or after the study interviews, please seek psychological/mental health attention. Additionally, we can offer referral to psychological/mental health providers. The University of Tennessee does not automatically pay for medical claims or give other compensation for injuries or other problems.</w:t>
      </w:r>
    </w:p>
    <w:p w14:paraId="553D7EC2" w14:textId="77777777" w:rsidR="001510DC" w:rsidRDefault="00000000">
      <w:pPr>
        <w:spacing w:before="120" w:after="120" w:line="240" w:lineRule="auto"/>
        <w:rPr>
          <w:rFonts w:ascii="Open Sans" w:eastAsia="Open Sans" w:hAnsi="Open Sans" w:cs="Open Sans"/>
          <w:b/>
          <w:sz w:val="24"/>
          <w:szCs w:val="24"/>
        </w:rPr>
      </w:pPr>
      <w:r>
        <w:rPr>
          <w:rFonts w:ascii="Open Sans" w:eastAsia="Open Sans" w:hAnsi="Open Sans" w:cs="Open Sans"/>
          <w:b/>
          <w:sz w:val="24"/>
          <w:szCs w:val="24"/>
        </w:rPr>
        <w:t xml:space="preserve"> </w:t>
      </w:r>
    </w:p>
    <w:p w14:paraId="3334AFFE" w14:textId="77777777" w:rsidR="001510DC" w:rsidRDefault="00000000">
      <w:pPr>
        <w:spacing w:before="120" w:after="120" w:line="240" w:lineRule="auto"/>
        <w:rPr>
          <w:rFonts w:ascii="Open Sans" w:eastAsia="Open Sans" w:hAnsi="Open Sans" w:cs="Open Sans"/>
          <w:b/>
          <w:sz w:val="24"/>
          <w:szCs w:val="24"/>
        </w:rPr>
      </w:pPr>
      <w:r>
        <w:rPr>
          <w:rFonts w:ascii="Open Sans" w:eastAsia="Open Sans" w:hAnsi="Open Sans" w:cs="Open Sans"/>
          <w:b/>
          <w:sz w:val="24"/>
          <w:szCs w:val="24"/>
        </w:rPr>
        <w:t>Rev.com will be used for interview transcription. Rev.com may use participant transcript information for testing, tuning, optimizing, validating, or otherwise enhancing the analytics, models, or algorithms underlying their service.</w:t>
      </w:r>
    </w:p>
    <w:p w14:paraId="0750831C" w14:textId="77777777" w:rsidR="001510DC" w:rsidRDefault="00000000">
      <w:pPr>
        <w:pStyle w:val="Heading3"/>
        <w:keepNext w:val="0"/>
        <w:keepLines w:val="0"/>
        <w:spacing w:line="240" w:lineRule="auto"/>
        <w:rPr>
          <w:rFonts w:ascii="Times New Roman" w:eastAsia="Times New Roman" w:hAnsi="Times New Roman" w:cs="Times New Roman"/>
        </w:rPr>
      </w:pPr>
      <w:bookmarkStart w:id="15" w:name="_mcx73opnafch" w:colFirst="0" w:colLast="0"/>
      <w:bookmarkEnd w:id="15"/>
      <w:r>
        <w:rPr>
          <w:rFonts w:ascii="Times New Roman" w:eastAsia="Times New Roman" w:hAnsi="Times New Roman" w:cs="Times New Roman"/>
        </w:rPr>
        <w:t>Who can answer my questions about this research study?</w:t>
      </w:r>
    </w:p>
    <w:p w14:paraId="36C288DD"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If you have questions or concerns about this study, or have experienced a research related problem or injury, contact the researchers,</w:t>
      </w:r>
    </w:p>
    <w:p w14:paraId="600948E5"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Ciara Gazaway</w:t>
      </w:r>
    </w:p>
    <w:p w14:paraId="5F3E6563"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cgazaway@utk.edu</w:t>
      </w:r>
    </w:p>
    <w:p w14:paraId="77C46BE4"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919-632-1347</w:t>
      </w:r>
    </w:p>
    <w:p w14:paraId="456BFD5E"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 </w:t>
      </w:r>
    </w:p>
    <w:p w14:paraId="5AE3DC6F"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Dr. Dorian L. McCoy (Associate Professor, College of Education, Health, and Human Sciences)</w:t>
      </w:r>
    </w:p>
    <w:p w14:paraId="728C6DA1"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dmccoy5@utk.edu</w:t>
      </w:r>
    </w:p>
    <w:p w14:paraId="1056BB7E"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lastRenderedPageBreak/>
        <w:t>865-974-6140</w:t>
      </w:r>
    </w:p>
    <w:p w14:paraId="6A6389F1"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 </w:t>
      </w:r>
    </w:p>
    <w:p w14:paraId="07AFD319"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For questions or concerns about your rights or to speak with someone other than the research team about the study, please contact:</w:t>
      </w:r>
    </w:p>
    <w:p w14:paraId="7F4212D0"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Institutional Review Board</w:t>
      </w:r>
    </w:p>
    <w:p w14:paraId="24D8A043"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The University of Tennessee, Knoxville</w:t>
      </w:r>
    </w:p>
    <w:p w14:paraId="2588F6FE"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Phone: 865-974-7697</w:t>
      </w:r>
    </w:p>
    <w:p w14:paraId="12784126" w14:textId="77777777" w:rsidR="001510DC"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Email: utkirb@utk.edu</w:t>
      </w:r>
    </w:p>
    <w:p w14:paraId="2A67FE3C" w14:textId="77777777" w:rsidR="001510DC" w:rsidRDefault="00000000">
      <w:pPr>
        <w:pStyle w:val="Heading3"/>
        <w:keepNext w:val="0"/>
        <w:keepLines w:val="0"/>
        <w:spacing w:line="240" w:lineRule="auto"/>
        <w:rPr>
          <w:rFonts w:ascii="Times New Roman" w:eastAsia="Times New Roman" w:hAnsi="Times New Roman" w:cs="Times New Roman"/>
        </w:rPr>
      </w:pPr>
      <w:bookmarkStart w:id="16" w:name="_jl0ycj9s11s7" w:colFirst="0" w:colLast="0"/>
      <w:bookmarkEnd w:id="16"/>
      <w:r>
        <w:rPr>
          <w:rFonts w:ascii="Times New Roman" w:eastAsia="Times New Roman" w:hAnsi="Times New Roman" w:cs="Times New Roman"/>
        </w:rPr>
        <w:t>STATEMENT OF CONSENT</w:t>
      </w:r>
    </w:p>
    <w:p w14:paraId="72911CCF"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440B294F" w14:textId="77777777" w:rsidR="001510DC" w:rsidRDefault="00000000">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7B3C9C21" w14:textId="77777777" w:rsidR="001510DC" w:rsidRDefault="00000000">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                             </w:t>
      </w:r>
    </w:p>
    <w:p w14:paraId="5F3E956C" w14:textId="77777777" w:rsidR="001510DC"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Name of Adult Participant                       </w:t>
      </w:r>
      <w:r>
        <w:rPr>
          <w:rFonts w:ascii="Times New Roman" w:eastAsia="Times New Roman" w:hAnsi="Times New Roman" w:cs="Times New Roman"/>
          <w:b/>
        </w:rPr>
        <w:tab/>
        <w:t xml:space="preserve">Signature of Adult Participant                    </w:t>
      </w:r>
      <w:r>
        <w:rPr>
          <w:rFonts w:ascii="Times New Roman" w:eastAsia="Times New Roman" w:hAnsi="Times New Roman" w:cs="Times New Roman"/>
          <w:b/>
        </w:rPr>
        <w:tab/>
        <w:t xml:space="preserve"> </w:t>
      </w:r>
      <w:r>
        <w:rPr>
          <w:rFonts w:ascii="Times New Roman" w:eastAsia="Times New Roman" w:hAnsi="Times New Roman" w:cs="Times New Roman"/>
          <w:b/>
        </w:rPr>
        <w:tab/>
        <w:t>Date</w:t>
      </w:r>
    </w:p>
    <w:p w14:paraId="7EF73E9A" w14:textId="77777777" w:rsidR="001510DC" w:rsidRDefault="00000000">
      <w:pPr>
        <w:spacing w:after="120" w:line="240" w:lineRule="auto"/>
        <w:rPr>
          <w:rFonts w:ascii="Open Sans" w:eastAsia="Open Sans" w:hAnsi="Open Sans" w:cs="Open Sans"/>
          <w:b/>
          <w:sz w:val="24"/>
          <w:szCs w:val="24"/>
        </w:rPr>
      </w:pPr>
      <w:r>
        <w:rPr>
          <w:rFonts w:ascii="Open Sans" w:eastAsia="Open Sans" w:hAnsi="Open Sans" w:cs="Open Sans"/>
          <w:b/>
          <w:sz w:val="24"/>
          <w:szCs w:val="24"/>
        </w:rPr>
        <w:t xml:space="preserve"> </w:t>
      </w:r>
    </w:p>
    <w:p w14:paraId="792C6F60" w14:textId="4FFE0B40" w:rsidR="001510DC" w:rsidRPr="00213A4D" w:rsidRDefault="00000000" w:rsidP="00213A4D">
      <w:pPr>
        <w:spacing w:line="240" w:lineRule="auto"/>
        <w:rPr>
          <w:rFonts w:ascii="Times New Roman" w:eastAsia="Times New Roman" w:hAnsi="Times New Roman" w:cs="Times New Roman"/>
          <w:b/>
          <w:sz w:val="24"/>
          <w:szCs w:val="24"/>
        </w:rPr>
      </w:pPr>
      <w:r>
        <w:br w:type="page"/>
      </w:r>
    </w:p>
    <w:p w14:paraId="38B9A1FF" w14:textId="56D847F1" w:rsidR="001510DC"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w:t>
      </w:r>
      <w:r w:rsidR="00213A4D">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 Semi-structured Interview Protocol</w:t>
      </w:r>
    </w:p>
    <w:p w14:paraId="448891AC"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494BC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Phenomenological Interview </w:t>
      </w:r>
    </w:p>
    <w:p w14:paraId="04EBDD8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9EDA56"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_____________________</w:t>
      </w:r>
    </w:p>
    <w:p w14:paraId="542B01F6"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F729B7"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Pseudonym: ______________________________</w:t>
      </w:r>
    </w:p>
    <w:p w14:paraId="750801C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3A421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Opening Statement:</w:t>
      </w:r>
    </w:p>
    <w:p w14:paraId="0906F2D5"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9E93D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so much for participating in this study. I look forward to learning more about you and your career journey. During the next 60 minutes or so, I will ask you a series of open-ended questions about your identities and background, career and work experiences, experiences with oppression in the workplace, and overall experience with persistence in student affairs.</w:t>
      </w:r>
    </w:p>
    <w:p w14:paraId="609B9838"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2B7DC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Depending on how comfortable you are, I encourage you to be as open and honest as possible.</w:t>
      </w:r>
    </w:p>
    <w:p w14:paraId="3B840DA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responses will provide insight into the phenomenon of persistence for professionals with marginalized identities in higher education. These findings may provide new understanding of the contexts and practices that support these professionals, in addition to guidance for new and mid-level professionals with marginalized identities to support their career success. All information collected in this study will be kept confidential. Any publications or reports resulting from this research study will not include identifying information about participants without prior written consent. </w:t>
      </w:r>
    </w:p>
    <w:p w14:paraId="540DD1B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33E70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 reminder, your participation in this interview and research study is always your choice. If you need to stop or take a break at any time, please let me know. You can also withdraw from the study at any point. With your permission, I would like to record our Zoom interview today. Are you okay with me recording? Do you have any questions or concerns before we begin? With your permission, I will begin recording and start the interview.</w:t>
      </w:r>
    </w:p>
    <w:p w14:paraId="2F31AC57"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AD4812"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Please describe your social identities including but not limited to, race, gender, sexual orientation, ability, and religious or spiritual affiliation?</w:t>
      </w:r>
    </w:p>
    <w:p w14:paraId="55B2926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A8997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Please share your journey as a student affairs practitioner-educator and the various roles and functional areas you have worked in? </w:t>
      </w:r>
    </w:p>
    <w:p w14:paraId="6515699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7F9DA5"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Why do you work in this field? Why do you continue working in this field? </w:t>
      </w:r>
    </w:p>
    <w:p w14:paraId="17CF7EBD"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3DCA31"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Do you believe you have persisted through systemic or contextual barriers to reach your current role? </w:t>
      </w:r>
    </w:p>
    <w:p w14:paraId="73827B3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BF2658"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What barriers have you experienced in the workplace? </w:t>
      </w:r>
    </w:p>
    <w:p w14:paraId="132EE932"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B4D3F2"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What strategies supported your persistence in overcoming the barriers you mentioned? </w:t>
      </w:r>
    </w:p>
    <w:p w14:paraId="7933A7E7"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BD4393"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Who in your life supported your persistence in overcoming the barriers you mentioned? </w:t>
      </w:r>
    </w:p>
    <w:p w14:paraId="70D64593"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67381D2C"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What other strategies or contexts supported your persistence? </w:t>
      </w:r>
    </w:p>
    <w:p w14:paraId="6EC41C17"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7688E7"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Have you ever considered leaving the field? </w:t>
      </w:r>
    </w:p>
    <w:p w14:paraId="026EEB0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3A13D2"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What motivates you to stay in this field? </w:t>
      </w:r>
    </w:p>
    <w:p w14:paraId="731761AA"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0AA99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Is there anything else you would like to share? </w:t>
      </w:r>
    </w:p>
    <w:p w14:paraId="2B1A2423"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4E9115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Closing Statement:</w:t>
      </w:r>
    </w:p>
    <w:p w14:paraId="1C4BA435"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E7380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so much for giving your time to participate in this interview. I am grateful for your willingness to share about your experiences with persistence. Once I </w:t>
      </w:r>
      <w:proofErr w:type="gramStart"/>
      <w:r>
        <w:rPr>
          <w:rFonts w:ascii="Times New Roman" w:eastAsia="Times New Roman" w:hAnsi="Times New Roman" w:cs="Times New Roman"/>
          <w:sz w:val="24"/>
          <w:szCs w:val="24"/>
        </w:rPr>
        <w:t>am able to</w:t>
      </w:r>
      <w:proofErr w:type="gramEnd"/>
      <w:r>
        <w:rPr>
          <w:rFonts w:ascii="Times New Roman" w:eastAsia="Times New Roman" w:hAnsi="Times New Roman" w:cs="Times New Roman"/>
          <w:sz w:val="24"/>
          <w:szCs w:val="24"/>
        </w:rPr>
        <w:t xml:space="preserve"> transcribe your interview and code and analyze the data, I will reach out via email to schedule a follow up conversation. During this conversation I will engage in reflexive participant collaboration (Motulsky, 2021) and seek your feedback on my understanding and description of your experiences.  </w:t>
      </w:r>
      <w:r>
        <w:rPr>
          <w:rFonts w:ascii="Times New Roman" w:eastAsia="Times New Roman" w:hAnsi="Times New Roman" w:cs="Times New Roman"/>
          <w:sz w:val="24"/>
          <w:szCs w:val="24"/>
        </w:rPr>
        <w:br/>
      </w:r>
    </w:p>
    <w:p w14:paraId="6D5E50C4" w14:textId="77777777" w:rsidR="001510DC" w:rsidRDefault="001510DC">
      <w:pPr>
        <w:spacing w:line="240" w:lineRule="auto"/>
        <w:jc w:val="center"/>
        <w:rPr>
          <w:rFonts w:ascii="Times New Roman" w:eastAsia="Times New Roman" w:hAnsi="Times New Roman" w:cs="Times New Roman"/>
          <w:b/>
          <w:sz w:val="24"/>
          <w:szCs w:val="24"/>
        </w:rPr>
      </w:pPr>
    </w:p>
    <w:p w14:paraId="564D6DAE" w14:textId="77777777" w:rsidR="001510DC" w:rsidRDefault="001510DC">
      <w:pPr>
        <w:spacing w:line="240" w:lineRule="auto"/>
        <w:jc w:val="center"/>
        <w:rPr>
          <w:rFonts w:ascii="Times New Roman" w:eastAsia="Times New Roman" w:hAnsi="Times New Roman" w:cs="Times New Roman"/>
          <w:b/>
          <w:sz w:val="24"/>
          <w:szCs w:val="24"/>
        </w:rPr>
      </w:pPr>
    </w:p>
    <w:p w14:paraId="73759D6D" w14:textId="77777777" w:rsidR="001510DC" w:rsidRDefault="001510DC">
      <w:pPr>
        <w:spacing w:line="240" w:lineRule="auto"/>
        <w:jc w:val="center"/>
        <w:rPr>
          <w:rFonts w:ascii="Times New Roman" w:eastAsia="Times New Roman" w:hAnsi="Times New Roman" w:cs="Times New Roman"/>
          <w:b/>
          <w:sz w:val="24"/>
          <w:szCs w:val="24"/>
        </w:rPr>
      </w:pPr>
    </w:p>
    <w:p w14:paraId="02254A0D" w14:textId="77777777" w:rsidR="001510DC" w:rsidRDefault="001510DC">
      <w:pPr>
        <w:spacing w:line="240" w:lineRule="auto"/>
        <w:jc w:val="center"/>
        <w:rPr>
          <w:rFonts w:ascii="Times New Roman" w:eastAsia="Times New Roman" w:hAnsi="Times New Roman" w:cs="Times New Roman"/>
          <w:b/>
          <w:sz w:val="24"/>
          <w:szCs w:val="24"/>
        </w:rPr>
      </w:pPr>
    </w:p>
    <w:p w14:paraId="6B9673F7" w14:textId="77777777" w:rsidR="001510DC" w:rsidRDefault="001510DC">
      <w:pPr>
        <w:spacing w:line="240" w:lineRule="auto"/>
        <w:jc w:val="center"/>
        <w:rPr>
          <w:rFonts w:ascii="Times New Roman" w:eastAsia="Times New Roman" w:hAnsi="Times New Roman" w:cs="Times New Roman"/>
          <w:b/>
          <w:sz w:val="24"/>
          <w:szCs w:val="24"/>
        </w:rPr>
      </w:pPr>
    </w:p>
    <w:p w14:paraId="05EBC120" w14:textId="77777777" w:rsidR="001510DC" w:rsidRDefault="001510DC">
      <w:pPr>
        <w:spacing w:line="240" w:lineRule="auto"/>
        <w:jc w:val="center"/>
        <w:rPr>
          <w:rFonts w:ascii="Times New Roman" w:eastAsia="Times New Roman" w:hAnsi="Times New Roman" w:cs="Times New Roman"/>
          <w:b/>
          <w:sz w:val="24"/>
          <w:szCs w:val="24"/>
        </w:rPr>
      </w:pPr>
    </w:p>
    <w:p w14:paraId="405C8C5E" w14:textId="77777777" w:rsidR="001510DC" w:rsidRDefault="001510DC">
      <w:pPr>
        <w:spacing w:line="240" w:lineRule="auto"/>
        <w:jc w:val="center"/>
        <w:rPr>
          <w:rFonts w:ascii="Times New Roman" w:eastAsia="Times New Roman" w:hAnsi="Times New Roman" w:cs="Times New Roman"/>
          <w:b/>
          <w:sz w:val="24"/>
          <w:szCs w:val="24"/>
        </w:rPr>
      </w:pPr>
    </w:p>
    <w:p w14:paraId="3981BE47" w14:textId="77777777" w:rsidR="001510DC" w:rsidRDefault="001510DC">
      <w:pPr>
        <w:spacing w:line="240" w:lineRule="auto"/>
        <w:jc w:val="center"/>
        <w:rPr>
          <w:rFonts w:ascii="Times New Roman" w:eastAsia="Times New Roman" w:hAnsi="Times New Roman" w:cs="Times New Roman"/>
          <w:b/>
          <w:sz w:val="24"/>
          <w:szCs w:val="24"/>
        </w:rPr>
      </w:pPr>
    </w:p>
    <w:p w14:paraId="416D7240" w14:textId="77777777" w:rsidR="001510DC" w:rsidRDefault="00000000">
      <w:pPr>
        <w:spacing w:line="240" w:lineRule="auto"/>
        <w:jc w:val="center"/>
        <w:rPr>
          <w:rFonts w:ascii="Times New Roman" w:eastAsia="Times New Roman" w:hAnsi="Times New Roman" w:cs="Times New Roman"/>
          <w:b/>
          <w:sz w:val="24"/>
          <w:szCs w:val="24"/>
        </w:rPr>
      </w:pPr>
      <w:r>
        <w:br w:type="page"/>
      </w:r>
    </w:p>
    <w:p w14:paraId="1EC4CD88" w14:textId="18D824D3" w:rsidR="001510DC"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w:t>
      </w:r>
      <w:r w:rsidR="00213A4D">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 Follow up Conversation Protocol</w:t>
      </w:r>
    </w:p>
    <w:p w14:paraId="7F0D8A6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84AEB9"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Reflexive Participant Collaboration Conversation</w:t>
      </w:r>
    </w:p>
    <w:p w14:paraId="0E2FC65A"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9D927B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_____________________</w:t>
      </w:r>
    </w:p>
    <w:p w14:paraId="7AD45F3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564189"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Pseudonym: ______________________________</w:t>
      </w:r>
    </w:p>
    <w:p w14:paraId="481CFC36"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047C7C"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Opening Statement:</w:t>
      </w:r>
    </w:p>
    <w:p w14:paraId="162864DC"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so much for participating in this research study. I appreciated learning about your experiences and understanding how you’ve persisted through your career. After transcribing your interview, I began analyzing the data through a phenomenological approach. During the next 30-60 minutes, I will share my initial analysis and findings with you. We will have a dialogue about my interpretation and I will ask questions to ensure my understanding and descriptions are accurate. </w:t>
      </w:r>
    </w:p>
    <w:p w14:paraId="26B20E29"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D60441"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initial analysis, these themes emerged: </w:t>
      </w:r>
    </w:p>
    <w:p w14:paraId="086DDE6D"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9FAA089"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initial descriptions I have of the themes are:</w:t>
      </w:r>
    </w:p>
    <w:p w14:paraId="1EED96AA"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B9CB01"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statements from your interview that align with the themes are:</w:t>
      </w:r>
    </w:p>
    <w:p w14:paraId="41ADB7A3"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6AACA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you agree with this synthesis?</w:t>
      </w:r>
    </w:p>
    <w:p w14:paraId="576D49B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the themes accurately reflect your career experience? </w:t>
      </w:r>
    </w:p>
    <w:p w14:paraId="16B2F324"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there anything missing from the descriptions? </w:t>
      </w:r>
      <w:r>
        <w:rPr>
          <w:rFonts w:ascii="Times New Roman" w:eastAsia="Times New Roman" w:hAnsi="Times New Roman" w:cs="Times New Roman"/>
          <w:sz w:val="24"/>
          <w:szCs w:val="24"/>
        </w:rPr>
        <w:br/>
      </w:r>
    </w:p>
    <w:p w14:paraId="6A265BE1" w14:textId="77777777" w:rsidR="001510DC" w:rsidRDefault="001510DC">
      <w:pPr>
        <w:spacing w:line="240" w:lineRule="auto"/>
        <w:jc w:val="center"/>
        <w:rPr>
          <w:rFonts w:ascii="Times New Roman" w:eastAsia="Times New Roman" w:hAnsi="Times New Roman" w:cs="Times New Roman"/>
          <w:b/>
          <w:sz w:val="24"/>
          <w:szCs w:val="24"/>
        </w:rPr>
      </w:pPr>
    </w:p>
    <w:p w14:paraId="5C9FC298" w14:textId="77777777" w:rsidR="001510DC" w:rsidRDefault="001510DC">
      <w:pPr>
        <w:spacing w:line="240" w:lineRule="auto"/>
        <w:jc w:val="center"/>
        <w:rPr>
          <w:rFonts w:ascii="Times New Roman" w:eastAsia="Times New Roman" w:hAnsi="Times New Roman" w:cs="Times New Roman"/>
          <w:b/>
          <w:sz w:val="24"/>
          <w:szCs w:val="24"/>
        </w:rPr>
      </w:pPr>
    </w:p>
    <w:p w14:paraId="77F924B8" w14:textId="77777777" w:rsidR="001510DC" w:rsidRDefault="00000000">
      <w:pPr>
        <w:spacing w:line="240" w:lineRule="auto"/>
        <w:jc w:val="center"/>
        <w:rPr>
          <w:rFonts w:ascii="Times New Roman" w:eastAsia="Times New Roman" w:hAnsi="Times New Roman" w:cs="Times New Roman"/>
          <w:b/>
          <w:sz w:val="24"/>
          <w:szCs w:val="24"/>
        </w:rPr>
      </w:pPr>
      <w:r>
        <w:br w:type="page"/>
      </w:r>
    </w:p>
    <w:p w14:paraId="2C02AF71" w14:textId="030C5EB6" w:rsidR="001510DC"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w:t>
      </w:r>
      <w:r w:rsidR="00213A4D">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 Recruitment Email</w:t>
      </w:r>
    </w:p>
    <w:p w14:paraId="7E113A9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w:t>
      </w:r>
    </w:p>
    <w:p w14:paraId="7602C4EB"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495F6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hope this email finds you well! My name is Ciara Gazaway, and I am a doctoral candidate at the University of Tennessee, Knoxville in the Higher Education Administration Program. My dissertation is focused on the persistence of student affairs professionals with marginalized identities.</w:t>
      </w:r>
    </w:p>
    <w:p w14:paraId="10DF0D1A"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0667E0"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seeking participation from individuals who identify as holding at least one marginalized identity, serve in a senior level student affairs or higher education administration role, and have persisted through systemic and/or contextual barriers to reach their current position. Data collected from participants in my research study will be used to better understand how professionals with marginalized identities persist through systemic and contextual barriers and reach senior level roles in higher education. I will be using a qualitative, phenomenological framework for my study which allows participants to tell their own stories. Findings from the study have the potential to broaden perspectives for non-marginalized colleagues and inform practice for university leadership and supervisors. Further, findings from this study may provide a framework to support future generations of student affairs leaders with marginalized identities.</w:t>
      </w:r>
    </w:p>
    <w:p w14:paraId="08CBD684"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F14D23" w14:textId="77777777" w:rsidR="001510DC"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My goal is to present collective, yet diverse participant experiences. Participation in this research study will include an initial interview (60-90 minutes) and follow up conversation (60 minutes), totaling no more than 150 minutes. If you are interested in participating or know someone who fits the criteria, please let me know. </w:t>
      </w:r>
      <w:proofErr w:type="gramStart"/>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n an effort to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honor participants and their experiences, </w:t>
      </w:r>
      <w:r>
        <w:rPr>
          <w:rFonts w:ascii="Times New Roman" w:eastAsia="Times New Roman" w:hAnsi="Times New Roman" w:cs="Times New Roman"/>
          <w:b/>
          <w:sz w:val="24"/>
          <w:szCs w:val="24"/>
        </w:rPr>
        <w:t>those who participate fully in the research study will receive a $120 Visa gift card.</w:t>
      </w:r>
    </w:p>
    <w:p w14:paraId="5A29009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209A37C"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reply to this email or reach out to me at cgazaway@utk.edu if you are interested in participating.</w:t>
      </w:r>
    </w:p>
    <w:p w14:paraId="76D1B013"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can also contact co-principal investigator, Dorian McCoy, at dmccoy5@utk.edu if you are interested or have any questions.</w:t>
      </w:r>
    </w:p>
    <w:p w14:paraId="655CB59F"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B0842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and take care,</w:t>
      </w:r>
    </w:p>
    <w:p w14:paraId="7ECBB65E"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Ciara Gazaway</w:t>
      </w:r>
      <w:r>
        <w:br w:type="page"/>
      </w:r>
    </w:p>
    <w:p w14:paraId="6820364C" w14:textId="77777777" w:rsidR="001510D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Vita</w:t>
      </w:r>
    </w:p>
    <w:p w14:paraId="36CFEF15" w14:textId="77777777" w:rsidR="001510D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Ciara Lexene Gazaway was born in Rocky Mount, North Carolina on September 27, 1996, to Alex and Charlene (Gentile) Gazaway. Ciara grew up in the small town of Apex, North Carolina with her parents and younger sister, Giana. She graduated from Apex High School in 2014 and moved to Greensboro, North Carolina where she attended the University of North Carolina at Greensboro (UNCG). Ciara graduated from UNCG with a Bachelor of Science in human development and family studies, and was a highly involved student. This led her to pursue a graduate degree in higher education student affairs. In 2018, Ciara moved to Knoxville, Tennessee to begin the College Student Personnel master’s program at the University of Tennessee, Knoxville (UTK). She graduated in 2020 at the start of the COVID-19 pandemic, which drastically shifted her job prospects and personal security. Ciara decided to stay at UTK and pursue a doctoral degree in higher education; she also began a full-time role in the Office of the Dean of Students at UTK. </w:t>
      </w:r>
    </w:p>
    <w:p w14:paraId="6213BA90" w14:textId="77777777" w:rsidR="001510DC"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Ciara started her full-time career in higher education in August 2020 as the bias education coordinator in the UTK Office of the Dean of Students. In this position, she managed the bias incident reporting process at the university. During her time at UTK, Ciara has expanded this reporting process, and now oversees campus climate support services, in addition to education and programming focused on mattering and belonging. Ciara currently serves as a program director in the UTK Office of the Dean of Students. She will graduate with a Ph.D. in Higher Education Administration in December 2024.  </w:t>
      </w:r>
    </w:p>
    <w:p w14:paraId="29E92086" w14:textId="77777777" w:rsidR="001510DC" w:rsidRDefault="001510DC">
      <w:pPr>
        <w:spacing w:line="240" w:lineRule="auto"/>
        <w:rPr>
          <w:rFonts w:ascii="Times New Roman" w:eastAsia="Times New Roman" w:hAnsi="Times New Roman" w:cs="Times New Roman"/>
          <w:sz w:val="24"/>
          <w:szCs w:val="24"/>
        </w:rPr>
      </w:pPr>
    </w:p>
    <w:p w14:paraId="6F9171F8" w14:textId="77777777" w:rsidR="001510D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CE2743" w14:textId="77777777" w:rsidR="001510DC" w:rsidRDefault="001510DC">
      <w:pPr>
        <w:spacing w:line="240" w:lineRule="auto"/>
        <w:rPr>
          <w:rFonts w:ascii="Times New Roman" w:eastAsia="Times New Roman" w:hAnsi="Times New Roman" w:cs="Times New Roman"/>
          <w:sz w:val="24"/>
          <w:szCs w:val="24"/>
        </w:rPr>
      </w:pPr>
    </w:p>
    <w:p w14:paraId="34C50C08" w14:textId="77777777" w:rsidR="001510DC" w:rsidRDefault="001510DC">
      <w:pPr>
        <w:spacing w:after="160" w:line="259" w:lineRule="auto"/>
        <w:rPr>
          <w:rFonts w:ascii="Calibri" w:eastAsia="Calibri" w:hAnsi="Calibri" w:cs="Calibri"/>
        </w:rPr>
      </w:pPr>
    </w:p>
    <w:p w14:paraId="066B6ED1" w14:textId="77777777" w:rsidR="001510DC" w:rsidRDefault="001510DC"/>
    <w:sectPr w:rsidR="001510DC" w:rsidSect="00A0345A">
      <w:pgSz w:w="12240" w:h="15840"/>
      <w:pgMar w:top="1440" w:right="1440" w:bottom="1440" w:left="144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herman, Abby L" w:date="2024-11-25T15:27:00Z" w:initials="AS">
    <w:p w14:paraId="73C6C2CB" w14:textId="77777777" w:rsidR="00A0345A" w:rsidRDefault="00A0345A" w:rsidP="00A0345A">
      <w:pPr>
        <w:pStyle w:val="CommentText"/>
      </w:pPr>
      <w:r>
        <w:rPr>
          <w:rStyle w:val="CommentReference"/>
        </w:rPr>
        <w:annotationRef/>
      </w:r>
      <w:r>
        <w:t>Great job Ciara! I made a couple of edits on your behalf. The items you had labeled as figures must be labeled as tables. I revised the labels and correct the number of table 5 to 4 since it is was the fourth (not fifth) one shown. I also bolded the in-text references for the tables. These edits align with our formatting requirements. I corrected the page numbers since the first page of chapter 1 has to be page 1, not 9. You will need to update the TOC for accuracy.</w:t>
      </w:r>
    </w:p>
  </w:comment>
  <w:comment w:id="1" w:author="Sherman, Abby L" w:date="2024-11-25T15:26:00Z" w:initials="AS">
    <w:p w14:paraId="45CDF348" w14:textId="6D73BDF6" w:rsidR="00A0345A" w:rsidRDefault="00A0345A" w:rsidP="00A0345A">
      <w:pPr>
        <w:pStyle w:val="CommentText"/>
      </w:pPr>
      <w:r>
        <w:rPr>
          <w:rStyle w:val="CommentReference"/>
        </w:rPr>
        <w:annotationRef/>
      </w:r>
      <w:r>
        <w:t xml:space="preserve">The first page of chapter 1 has to be page 1. I have corrected the page numbers but the TOC must be updated to reflect the correct page numbers for the entries.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3C6C2CB" w15:done="1"/>
  <w15:commentEx w15:paraId="45CDF3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40155B" w16cex:dateUtc="2024-11-25T20:27:00Z"/>
  <w16cex:commentExtensible w16cex:durableId="6ECCD08B" w16cex:dateUtc="2024-11-25T20:26:00Z">
    <w16cex:extLst>
      <w16:ext w16:uri="{CE6994B0-6A32-4C9F-8C6B-6E91EDA988CE}">
        <cr:reactions xmlns:cr="http://schemas.microsoft.com/office/comments/2020/reactions">
          <cr:reaction reactionType="1">
            <cr:reactionInfo dateUtc="2024-11-25T21:04:19Z">
              <cr:user userId="S::cgazaway@vols.utk.edu::ed8daafa-23d7-455d-89ee-e3b50d58b2c9" userProvider="AD" userName="Gazaway, Ciara Lexe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3C6C2CB" w16cid:durableId="7140155B"/>
  <w16cid:commentId w16cid:paraId="45CDF348" w16cid:durableId="6ECCD0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295E8" w14:textId="77777777" w:rsidR="0025186B" w:rsidRDefault="0025186B">
      <w:pPr>
        <w:spacing w:line="240" w:lineRule="auto"/>
      </w:pPr>
      <w:r>
        <w:separator/>
      </w:r>
    </w:p>
  </w:endnote>
  <w:endnote w:type="continuationSeparator" w:id="0">
    <w:p w14:paraId="4F78B5AA" w14:textId="77777777" w:rsidR="0025186B" w:rsidRDefault="00251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105C81CD-D3F3-384D-AC39-46BF070F81CB}"/>
    <w:embedBold r:id="rId2" w:fontKey="{6FA78504-0BAB-364C-9C6F-7AD2F88E3249}"/>
    <w:embedItalic r:id="rId3" w:fontKey="{4E2463CF-D934-C842-AA70-14A72F78D1CF}"/>
    <w:embedBoldItalic r:id="rId4" w:fontKey="{79413C8E-204B-2D46-B56C-1F41864A5F3C}"/>
  </w:font>
  <w:font w:name="Arial">
    <w:panose1 w:val="020B0604020202020204"/>
    <w:charset w:val="00"/>
    <w:family w:val="swiss"/>
    <w:pitch w:val="variable"/>
    <w:sig w:usb0="E0002EFF" w:usb1="C000785B" w:usb2="00000009" w:usb3="00000000" w:csb0="000001FF" w:csb1="00000000"/>
    <w:embedRegular r:id="rId5" w:fontKey="{41E079FA-ED77-3A4D-9241-CDAADBC3D0ED}"/>
    <w:embedBold r:id="rId6" w:fontKey="{455727E1-4646-6D4E-A91A-538602F1E62C}"/>
    <w:embedItalic r:id="rId7" w:fontKey="{763A1584-45B3-464B-A9C0-EB3271F26D2E}"/>
  </w:font>
  <w:font w:name="Calibri">
    <w:panose1 w:val="020F0502020204030204"/>
    <w:charset w:val="00"/>
    <w:family w:val="swiss"/>
    <w:pitch w:val="variable"/>
    <w:sig w:usb0="E4002EFF" w:usb1="C200247B" w:usb2="00000009" w:usb3="00000000" w:csb0="000001FF" w:csb1="00000000"/>
    <w:embedRegular r:id="rId8" w:fontKey="{12D226CC-33F2-6A40-AE20-133B962783D7}"/>
  </w:font>
  <w:font w:name="Gungsuh">
    <w:panose1 w:val="02030600000101010101"/>
    <w:charset w:val="81"/>
    <w:family w:val="roman"/>
    <w:pitch w:val="variable"/>
    <w:sig w:usb0="B00002AF" w:usb1="69D77CFB" w:usb2="00000030" w:usb3="00000000" w:csb0="0008009F" w:csb1="00000000"/>
  </w:font>
  <w:font w:name="Open Sans">
    <w:panose1 w:val="020B0606030504020204"/>
    <w:charset w:val="00"/>
    <w:family w:val="swiss"/>
    <w:pitch w:val="variable"/>
    <w:sig w:usb0="E00002EF" w:usb1="4000205B" w:usb2="00000028" w:usb3="00000000" w:csb0="0000019F" w:csb1="00000000"/>
    <w:embedRegular r:id="rId9" w:fontKey="{6FD5864C-6556-F547-9832-29F1C3C44F17}"/>
    <w:embedBold r:id="rId10" w:fontKey="{77D08687-FBC8-724F-8264-A587E31ABCE1}"/>
  </w:font>
  <w:font w:name="Cambria">
    <w:panose1 w:val="02040503050406030204"/>
    <w:charset w:val="00"/>
    <w:family w:val="roman"/>
    <w:pitch w:val="variable"/>
    <w:sig w:usb0="E00002FF" w:usb1="400004FF" w:usb2="00000000" w:usb3="00000000" w:csb0="0000019F" w:csb1="00000000"/>
    <w:embedRegular r:id="rId11" w:fontKey="{BC927330-13D9-8F4A-9257-9B31E7311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9994766"/>
      <w:docPartObj>
        <w:docPartGallery w:val="Page Numbers (Bottom of Page)"/>
        <w:docPartUnique/>
      </w:docPartObj>
    </w:sdtPr>
    <w:sdtContent>
      <w:p w14:paraId="38261492" w14:textId="78C43D27" w:rsidR="00845808" w:rsidRDefault="00845808" w:rsidP="008458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C8670D" w14:textId="77777777" w:rsidR="00845808" w:rsidRDefault="00845808" w:rsidP="008458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4"/>
        <w:szCs w:val="24"/>
      </w:rPr>
      <w:id w:val="-1766460155"/>
      <w:docPartObj>
        <w:docPartGallery w:val="Page Numbers (Bottom of Page)"/>
        <w:docPartUnique/>
      </w:docPartObj>
    </w:sdtPr>
    <w:sdtContent>
      <w:p w14:paraId="341B1CC6" w14:textId="6852D7AF" w:rsidR="00845808" w:rsidRPr="00213A4D" w:rsidRDefault="00845808" w:rsidP="00B13B8B">
        <w:pPr>
          <w:pStyle w:val="Footer"/>
          <w:framePr w:wrap="none" w:vAnchor="text" w:hAnchor="margin" w:xAlign="right" w:y="1"/>
          <w:rPr>
            <w:rStyle w:val="PageNumber"/>
            <w:rFonts w:ascii="Times New Roman" w:hAnsi="Times New Roman" w:cs="Times New Roman"/>
            <w:sz w:val="24"/>
            <w:szCs w:val="24"/>
          </w:rPr>
        </w:pPr>
        <w:r w:rsidRPr="00213A4D">
          <w:rPr>
            <w:rStyle w:val="PageNumber"/>
            <w:rFonts w:ascii="Times New Roman" w:hAnsi="Times New Roman" w:cs="Times New Roman"/>
            <w:sz w:val="24"/>
            <w:szCs w:val="24"/>
          </w:rPr>
          <w:fldChar w:fldCharType="begin"/>
        </w:r>
        <w:r w:rsidRPr="00213A4D">
          <w:rPr>
            <w:rStyle w:val="PageNumber"/>
            <w:rFonts w:ascii="Times New Roman" w:hAnsi="Times New Roman" w:cs="Times New Roman"/>
            <w:sz w:val="24"/>
            <w:szCs w:val="24"/>
          </w:rPr>
          <w:instrText xml:space="preserve"> PAGE </w:instrText>
        </w:r>
        <w:r w:rsidRPr="00213A4D">
          <w:rPr>
            <w:rStyle w:val="PageNumber"/>
            <w:rFonts w:ascii="Times New Roman" w:hAnsi="Times New Roman" w:cs="Times New Roman"/>
            <w:sz w:val="24"/>
            <w:szCs w:val="24"/>
          </w:rPr>
          <w:fldChar w:fldCharType="separate"/>
        </w:r>
        <w:r w:rsidRPr="00213A4D">
          <w:rPr>
            <w:rStyle w:val="PageNumber"/>
            <w:rFonts w:ascii="Times New Roman" w:hAnsi="Times New Roman" w:cs="Times New Roman"/>
            <w:noProof/>
            <w:sz w:val="24"/>
            <w:szCs w:val="24"/>
          </w:rPr>
          <w:t>8</w:t>
        </w:r>
        <w:r w:rsidRPr="00213A4D">
          <w:rPr>
            <w:rStyle w:val="PageNumber"/>
            <w:rFonts w:ascii="Times New Roman" w:hAnsi="Times New Roman" w:cs="Times New Roman"/>
            <w:sz w:val="24"/>
            <w:szCs w:val="24"/>
          </w:rPr>
          <w:fldChar w:fldCharType="end"/>
        </w:r>
      </w:p>
    </w:sdtContent>
  </w:sdt>
  <w:p w14:paraId="4BA8ED40" w14:textId="77777777" w:rsidR="00845808" w:rsidRDefault="00845808" w:rsidP="0084580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7BA7B" w14:textId="51F03D67" w:rsidR="00845808" w:rsidRDefault="00845808" w:rsidP="00B13B8B">
    <w:pPr>
      <w:pStyle w:val="Footer"/>
      <w:framePr w:wrap="none" w:vAnchor="text" w:hAnchor="margin" w:xAlign="right" w:y="1"/>
      <w:rPr>
        <w:rStyle w:val="PageNumber"/>
      </w:rPr>
    </w:pPr>
  </w:p>
  <w:p w14:paraId="2AF1FF4A" w14:textId="77777777" w:rsidR="001510DC" w:rsidRDefault="001510DC" w:rsidP="00845808">
    <w:pPr>
      <w:ind w:right="360"/>
      <w:jc w:val="center"/>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C97AB" w14:textId="77777777" w:rsidR="0025186B" w:rsidRDefault="0025186B">
      <w:pPr>
        <w:spacing w:line="240" w:lineRule="auto"/>
      </w:pPr>
      <w:r>
        <w:separator/>
      </w:r>
    </w:p>
  </w:footnote>
  <w:footnote w:type="continuationSeparator" w:id="0">
    <w:p w14:paraId="24AA82C4" w14:textId="77777777" w:rsidR="0025186B" w:rsidRDefault="002518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9425C" w14:textId="77777777" w:rsidR="00DC0F02" w:rsidRDefault="00DC0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451EF" w14:textId="77777777" w:rsidR="00DC0F02" w:rsidRDefault="00DC0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47182" w14:textId="77777777" w:rsidR="00DC0F02" w:rsidRDefault="00DC0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A3EA6"/>
    <w:multiLevelType w:val="multilevel"/>
    <w:tmpl w:val="40A8F44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018100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erman, Abby L">
    <w15:presenceInfo w15:providerId="AD" w15:userId="S::asherm10@utk.edu::2bb74e47-b033-4bbe-874b-115166ee7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DC"/>
    <w:rsid w:val="001510DC"/>
    <w:rsid w:val="00213A4D"/>
    <w:rsid w:val="0025186B"/>
    <w:rsid w:val="002A4C44"/>
    <w:rsid w:val="002F6F51"/>
    <w:rsid w:val="00300698"/>
    <w:rsid w:val="003A6BDA"/>
    <w:rsid w:val="0041482D"/>
    <w:rsid w:val="004E4C98"/>
    <w:rsid w:val="007351F5"/>
    <w:rsid w:val="00845808"/>
    <w:rsid w:val="00A0345A"/>
    <w:rsid w:val="00A15DBD"/>
    <w:rsid w:val="00AD5182"/>
    <w:rsid w:val="00B723F4"/>
    <w:rsid w:val="00BE70D6"/>
    <w:rsid w:val="00C03835"/>
    <w:rsid w:val="00DC0F02"/>
    <w:rsid w:val="00DE0865"/>
    <w:rsid w:val="00E02991"/>
    <w:rsid w:val="00E458C0"/>
    <w:rsid w:val="00FF3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709DB"/>
  <w15:docId w15:val="{A9973B98-4CFA-194E-A307-C0846EB2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6F51"/>
    <w:pPr>
      <w:tabs>
        <w:tab w:val="center" w:pos="4680"/>
        <w:tab w:val="right" w:pos="9360"/>
      </w:tabs>
      <w:spacing w:line="240" w:lineRule="auto"/>
    </w:pPr>
  </w:style>
  <w:style w:type="character" w:customStyle="1" w:styleId="HeaderChar">
    <w:name w:val="Header Char"/>
    <w:basedOn w:val="DefaultParagraphFont"/>
    <w:link w:val="Header"/>
    <w:uiPriority w:val="99"/>
    <w:rsid w:val="002F6F51"/>
  </w:style>
  <w:style w:type="paragraph" w:styleId="Footer">
    <w:name w:val="footer"/>
    <w:basedOn w:val="Normal"/>
    <w:link w:val="FooterChar"/>
    <w:uiPriority w:val="99"/>
    <w:unhideWhenUsed/>
    <w:rsid w:val="002F6F51"/>
    <w:pPr>
      <w:tabs>
        <w:tab w:val="center" w:pos="4680"/>
        <w:tab w:val="right" w:pos="9360"/>
      </w:tabs>
      <w:spacing w:line="240" w:lineRule="auto"/>
    </w:pPr>
  </w:style>
  <w:style w:type="character" w:customStyle="1" w:styleId="FooterChar">
    <w:name w:val="Footer Char"/>
    <w:basedOn w:val="DefaultParagraphFont"/>
    <w:link w:val="Footer"/>
    <w:uiPriority w:val="99"/>
    <w:rsid w:val="002F6F51"/>
  </w:style>
  <w:style w:type="character" w:styleId="PageNumber">
    <w:name w:val="page number"/>
    <w:basedOn w:val="DefaultParagraphFont"/>
    <w:uiPriority w:val="99"/>
    <w:semiHidden/>
    <w:unhideWhenUsed/>
    <w:rsid w:val="002F6F51"/>
  </w:style>
  <w:style w:type="character" w:styleId="CommentReference">
    <w:name w:val="annotation reference"/>
    <w:basedOn w:val="DefaultParagraphFont"/>
    <w:uiPriority w:val="99"/>
    <w:semiHidden/>
    <w:unhideWhenUsed/>
    <w:rsid w:val="00A0345A"/>
    <w:rPr>
      <w:sz w:val="16"/>
      <w:szCs w:val="16"/>
    </w:rPr>
  </w:style>
  <w:style w:type="paragraph" w:styleId="CommentText">
    <w:name w:val="annotation text"/>
    <w:basedOn w:val="Normal"/>
    <w:link w:val="CommentTextChar"/>
    <w:uiPriority w:val="99"/>
    <w:unhideWhenUsed/>
    <w:rsid w:val="00A0345A"/>
    <w:pPr>
      <w:spacing w:line="240" w:lineRule="auto"/>
    </w:pPr>
    <w:rPr>
      <w:sz w:val="20"/>
      <w:szCs w:val="20"/>
    </w:rPr>
  </w:style>
  <w:style w:type="character" w:customStyle="1" w:styleId="CommentTextChar">
    <w:name w:val="Comment Text Char"/>
    <w:basedOn w:val="DefaultParagraphFont"/>
    <w:link w:val="CommentText"/>
    <w:uiPriority w:val="99"/>
    <w:rsid w:val="00A0345A"/>
    <w:rPr>
      <w:sz w:val="20"/>
      <w:szCs w:val="20"/>
    </w:rPr>
  </w:style>
  <w:style w:type="paragraph" w:styleId="CommentSubject">
    <w:name w:val="annotation subject"/>
    <w:basedOn w:val="CommentText"/>
    <w:next w:val="CommentText"/>
    <w:link w:val="CommentSubjectChar"/>
    <w:uiPriority w:val="99"/>
    <w:semiHidden/>
    <w:unhideWhenUsed/>
    <w:rsid w:val="00A0345A"/>
    <w:rPr>
      <w:b/>
      <w:bCs/>
    </w:rPr>
  </w:style>
  <w:style w:type="character" w:customStyle="1" w:styleId="CommentSubjectChar">
    <w:name w:val="Comment Subject Char"/>
    <w:basedOn w:val="CommentTextChar"/>
    <w:link w:val="CommentSubject"/>
    <w:uiPriority w:val="99"/>
    <w:semiHidden/>
    <w:rsid w:val="00A034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doi.org/10.1177/2332649219884339" TargetMode="External"/><Relationship Id="rId21" Type="http://schemas.openxmlformats.org/officeDocument/2006/relationships/hyperlink" Target="http://nche.edu/wp-content/uploads/2020/03/AACC_Fast_Facts_2020_Final.pdf" TargetMode="External"/><Relationship Id="rId42" Type="http://schemas.openxmlformats.org/officeDocument/2006/relationships/hyperlink" Target="https://doi-org.utk.idm.oclc.org/10.4018/978-1-7998-8848-2.ch002" TargetMode="External"/><Relationship Id="rId47" Type="http://schemas.openxmlformats.org/officeDocument/2006/relationships/hyperlink" Target="https://doi.org/10.46743/2160-3715/2021.4815" TargetMode="External"/><Relationship Id="rId63" Type="http://schemas.openxmlformats.org/officeDocument/2006/relationships/hyperlink" Target="https://doi.org/10.2307/1176259" TargetMode="External"/><Relationship Id="rId68" Type="http://schemas.openxmlformats.org/officeDocument/2006/relationships/hyperlink" Target="https://doi.org/10.1177/0013161X13505287" TargetMode="External"/><Relationship Id="rId16" Type="http://schemas.openxmlformats.org/officeDocument/2006/relationships/footer" Target="footer2.xml"/><Relationship Id="rId11" Type="http://schemas.microsoft.com/office/2018/08/relationships/commentsExtensible" Target="commentsExtensible.xml"/><Relationship Id="rId24" Type="http://schemas.openxmlformats.org/officeDocument/2006/relationships/hyperlink" Target="https://doi.org/10.1177/1049732316654870" TargetMode="External"/><Relationship Id="rId32" Type="http://schemas.openxmlformats.org/officeDocument/2006/relationships/hyperlink" Target="https://doi.org/10.1080/13613324.2019.1579706" TargetMode="External"/><Relationship Id="rId37" Type="http://schemas.openxmlformats.org/officeDocument/2006/relationships/hyperlink" Target="https://doi.org/10.4324/9781003289487-9" TargetMode="External"/><Relationship Id="rId40" Type="http://schemas.openxmlformats.org/officeDocument/2006/relationships/hyperlink" Target="https://doi.org/10.3102/0013189x030002015" TargetMode="External"/><Relationship Id="rId45" Type="http://schemas.openxmlformats.org/officeDocument/2006/relationships/hyperlink" Target="https://doi.org/10.1215/23289252-2926410" TargetMode="External"/><Relationship Id="rId53" Type="http://schemas.openxmlformats.org/officeDocument/2006/relationships/hyperlink" Target="https://doi.org/10.1080/08856257.2016.1254964" TargetMode="External"/><Relationship Id="rId58" Type="http://schemas.openxmlformats.org/officeDocument/2006/relationships/hyperlink" Target="https://doi.org/10.1080/15210960.2022.2028156" TargetMode="External"/><Relationship Id="rId66" Type="http://schemas.openxmlformats.org/officeDocument/2006/relationships/hyperlink" Target="https://doi.org/10.1002/ss.20310" TargetMode="External"/><Relationship Id="rId74" Type="http://schemas.openxmlformats.org/officeDocument/2006/relationships/hyperlink" Target="https://doi-org.utk.idm.oclc.org/10.1080/1361332052000341006" TargetMode="External"/><Relationship Id="rId5" Type="http://schemas.openxmlformats.org/officeDocument/2006/relationships/webSettings" Target="webSettings.xml"/><Relationship Id="rId61" Type="http://schemas.openxmlformats.org/officeDocument/2006/relationships/hyperlink" Target="https://doi.org/10.1007/s40037-019-0509-2" TargetMode="External"/><Relationship Id="rId19" Type="http://schemas.openxmlformats.org/officeDocument/2006/relationships/hyperlink" Target="https://doi.org/10.1016/j.glmedi.2024.100051" TargetMode="External"/><Relationship Id="rId14" Type="http://schemas.openxmlformats.org/officeDocument/2006/relationships/header" Target="header2.xml"/><Relationship Id="rId22" Type="http://schemas.openxmlformats.org/officeDocument/2006/relationships/hyperlink" Target="http://nche.edu/wp-content/uploads/2020/03/AACC_Fast_Facts_2020_Final.pdf" TargetMode="External"/><Relationship Id="rId27" Type="http://schemas.openxmlformats.org/officeDocument/2006/relationships/hyperlink" Target="https://doi.org/10.1177/0021934717692520" TargetMode="External"/><Relationship Id="rId30" Type="http://schemas.openxmlformats.org/officeDocument/2006/relationships/hyperlink" Target="https://doi.org/10.15367/kf.v6i1.226" TargetMode="External"/><Relationship Id="rId35" Type="http://schemas.openxmlformats.org/officeDocument/2006/relationships/hyperlink" Target="https://doi.org/10.3390/educsci12100716" TargetMode="External"/><Relationship Id="rId43" Type="http://schemas.openxmlformats.org/officeDocument/2006/relationships/hyperlink" Target="https://doi.org/10.1037/qup0000024" TargetMode="External"/><Relationship Id="rId48" Type="http://schemas.openxmlformats.org/officeDocument/2006/relationships/hyperlink" Target="https://psycnet.apa.org/doi/10.1353/csd.2017.0002" TargetMode="External"/><Relationship Id="rId56" Type="http://schemas.openxmlformats.org/officeDocument/2006/relationships/hyperlink" Target="https://5721802.fs1.hubspotusercontent-na1.net/hubfs/5721802/Download%20Files/The_Compass_Report_" TargetMode="External"/><Relationship Id="rId64" Type="http://schemas.openxmlformats.org/officeDocument/2006/relationships/hyperlink" Target="http://openscholarship.wustl.edu/nativehealth/vol1/iss1/1" TargetMode="External"/><Relationship Id="rId69" Type="http://schemas.openxmlformats.org/officeDocument/2006/relationships/hyperlink" Target="http://ojs.library.ubc.ca/index.php/criticaled/article/view/186616" TargetMode="External"/><Relationship Id="rId77" Type="http://schemas.microsoft.com/office/2011/relationships/people" Target="people.xml"/><Relationship Id="rId8" Type="http://schemas.openxmlformats.org/officeDocument/2006/relationships/comments" Target="comments.xml"/><Relationship Id="rId51" Type="http://schemas.openxmlformats.org/officeDocument/2006/relationships/hyperlink" Target="https://www.merriam-webster.com/dictionary/persist" TargetMode="External"/><Relationship Id="rId72" Type="http://schemas.openxmlformats.org/officeDocument/2006/relationships/hyperlink" Target="https://doi.org/10.1126/science.1198364" TargetMode="External"/><Relationship Id="rId3" Type="http://schemas.openxmlformats.org/officeDocument/2006/relationships/styles" Target="styles.xml"/><Relationship Id="rId12" Type="http://schemas.openxmlformats.org/officeDocument/2006/relationships/hyperlink" Target="https://docs.google.com/document/d/1fqPfypiMXef9GF51sxBFCtNI2WeajpBG/edit" TargetMode="External"/><Relationship Id="rId17" Type="http://schemas.openxmlformats.org/officeDocument/2006/relationships/header" Target="header3.xml"/><Relationship Id="rId25" Type="http://schemas.openxmlformats.org/officeDocument/2006/relationships/hyperlink" Target="https://doi.org/10.4324/9781003443834-14" TargetMode="External"/><Relationship Id="rId33" Type="http://schemas.openxmlformats.org/officeDocument/2006/relationships/hyperlink" Target="https://www.dictionary.com/browse/oppression" TargetMode="External"/><Relationship Id="rId38" Type="http://schemas.openxmlformats.org/officeDocument/2006/relationships/hyperlink" Target="https://doi.org/10.1037/a0038872" TargetMode="External"/><Relationship Id="rId46" Type="http://schemas.openxmlformats.org/officeDocument/2006/relationships/hyperlink" Target="https://doi.org/10.4324/9781003084259" TargetMode="External"/><Relationship Id="rId59" Type="http://schemas.openxmlformats.org/officeDocument/2006/relationships/hyperlink" Target="https://doi.org/10.1007/s11256-014-0314-5" TargetMode="External"/><Relationship Id="rId67" Type="http://schemas.openxmlformats.org/officeDocument/2006/relationships/hyperlink" Target="https://doi.org/10.1186/s12909-015-0290-9" TargetMode="External"/><Relationship Id="rId20" Type="http://schemas.openxmlformats.org/officeDocument/2006/relationships/hyperlink" Target="https://www.scirp.org/reference/referencespapers?referenceid=2484386" TargetMode="External"/><Relationship Id="rId41" Type="http://schemas.openxmlformats.org/officeDocument/2006/relationships/hyperlink" Target="https://doi.org/10.1002/9781119410867.ch3" TargetMode="External"/><Relationship Id="rId54" Type="http://schemas.openxmlformats.org/officeDocument/2006/relationships/hyperlink" Target="https://doi.org/10.1037/qup0000215" TargetMode="External"/><Relationship Id="rId62" Type="http://schemas.openxmlformats.org/officeDocument/2006/relationships/hyperlink" Target="https://doi.org/10.1037/dhe0000043" TargetMode="External"/><Relationship Id="rId70" Type="http://schemas.openxmlformats.org/officeDocument/2006/relationships/hyperlink" Target="http://dx.doi.org/10.17169/fqs-19.3.3099" TargetMode="External"/><Relationship Id="rId75" Type="http://schemas.openxmlformats.org/officeDocument/2006/relationships/hyperlink" Target="https://doi.org/10.1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1037/dhe0000384" TargetMode="External"/><Relationship Id="rId28" Type="http://schemas.openxmlformats.org/officeDocument/2006/relationships/hyperlink" Target="https://myacpa.org/wp-content/uploads/2020/12/Ethical_Principles_Standards.pdf" TargetMode="External"/><Relationship Id="rId36" Type="http://schemas.openxmlformats.org/officeDocument/2006/relationships/hyperlink" Target="https://doi.org/10.1037/a0038317" TargetMode="External"/><Relationship Id="rId49" Type="http://schemas.openxmlformats.org/officeDocument/2006/relationships/hyperlink" Target="https://doi.org/10.1037/qup0000089" TargetMode="External"/><Relationship Id="rId57" Type="http://schemas.openxmlformats.org/officeDocument/2006/relationships/hyperlink" Target="https://doi.org/10.5812/sdme.67670" TargetMode="External"/><Relationship Id="rId10" Type="http://schemas.microsoft.com/office/2016/09/relationships/commentsIds" Target="commentsIds.xml"/><Relationship Id="rId31" Type="http://schemas.openxmlformats.org/officeDocument/2006/relationships/hyperlink" Target="https://doi.org/10.2202/1949-6605.5016" TargetMode="External"/><Relationship Id="rId44" Type="http://schemas.openxmlformats.org/officeDocument/2006/relationships/hyperlink" Target="https://doi.org/10.1080/194965" TargetMode="External"/><Relationship Id="rId52" Type="http://schemas.openxmlformats.org/officeDocument/2006/relationships/hyperlink" Target="https://doi.org/10.1002/ajcp.12517" TargetMode="External"/><Relationship Id="rId60" Type="http://schemas.openxmlformats.org/officeDocument/2006/relationships/hyperlink" Target="https://nces.ed.gov/programs/coe/indicator/csc" TargetMode="External"/><Relationship Id="rId65" Type="http://schemas.openxmlformats.org/officeDocument/2006/relationships/hyperlink" Target="https://doi.org/10.1080/15325024.2013.836353" TargetMode="External"/><Relationship Id="rId73" Type="http://schemas.openxmlformats.org/officeDocument/2006/relationships/hyperlink" Target="https://doi.org/10.2307/j.ctvmx3j22" TargetMode="External"/><Relationship Id="rId78"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doi.org/10.1177/1094428113518348" TargetMode="External"/><Relationship Id="rId34" Type="http://schemas.openxmlformats.org/officeDocument/2006/relationships/hyperlink" Target="https://doi-org.utk.idm.oclc.org/10.4324/9781003255253" TargetMode="External"/><Relationship Id="rId50" Type="http://schemas.openxmlformats.org/officeDocument/2006/relationships/hyperlink" Target="https://doi.org/10.1080/19496591.2016.1147359" TargetMode="External"/><Relationship Id="rId55" Type="http://schemas.openxmlformats.org/officeDocument/2006/relationships/hyperlink" Target="https://doi.org/10.1353/rhe.2017.0001"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02/9781119236788" TargetMode="External"/><Relationship Id="rId2" Type="http://schemas.openxmlformats.org/officeDocument/2006/relationships/numbering" Target="numbering.xml"/><Relationship Id="rId29" Type="http://schemas.openxmlformats.org/officeDocument/2006/relationships/hyperlink" Target="https://www.cas.edu/generalstandard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746A8-4E38-FA4D-BDE8-D0878CDD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146</Pages>
  <Words>41818</Words>
  <Characters>220804</Characters>
  <Application>Microsoft Office Word</Application>
  <DocSecurity>0</DocSecurity>
  <Lines>4166</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Gazaway, Ciara Lexene</cp:lastModifiedBy>
  <cp:revision>2</cp:revision>
  <dcterms:created xsi:type="dcterms:W3CDTF">2024-11-25T21:05:00Z</dcterms:created>
  <dcterms:modified xsi:type="dcterms:W3CDTF">2024-11-25T21:05:00Z</dcterms:modified>
</cp:coreProperties>
</file>