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55EA" w:rsidRPr="00476FC9" w:rsidRDefault="00A955EA" w:rsidP="007D2ACE">
      <w:pPr>
        <w:keepNext w:val="0"/>
        <w:widowControl w:val="0"/>
        <w:kinsoku w:val="0"/>
        <w:overflowPunct w:val="0"/>
        <w:autoSpaceDE w:val="0"/>
        <w:autoSpaceDN w:val="0"/>
        <w:adjustRightInd w:val="0"/>
        <w:snapToGrid w:val="0"/>
        <w:spacing w:before="0" w:after="0" w:line="240" w:lineRule="auto"/>
        <w:jc w:val="center"/>
        <w:rPr>
          <w:b/>
          <w:color w:val="000000" w:themeColor="text1"/>
        </w:rPr>
      </w:pPr>
      <w:r w:rsidRPr="00476FC9">
        <w:rPr>
          <w:b/>
          <w:color w:val="000000" w:themeColor="text1"/>
        </w:rPr>
        <w:t xml:space="preserve">The </w:t>
      </w:r>
      <w:r w:rsidR="00663D4B" w:rsidRPr="00476FC9">
        <w:rPr>
          <w:b/>
          <w:color w:val="000000" w:themeColor="text1"/>
        </w:rPr>
        <w:t>Effects</w:t>
      </w:r>
      <w:r w:rsidRPr="00476FC9">
        <w:rPr>
          <w:b/>
          <w:color w:val="000000" w:themeColor="text1"/>
        </w:rPr>
        <w:t xml:space="preserve"> of Risk Disclosure in Direct-to-Consumer Prescription Drug Advertising (DTCA)</w:t>
      </w:r>
      <w:r w:rsidR="005E77A5" w:rsidRPr="00476FC9">
        <w:rPr>
          <w:b/>
          <w:color w:val="000000" w:themeColor="text1"/>
        </w:rPr>
        <w:t>: Prominence, DTCA Regulatory Knowledge, and Perceived Attention</w:t>
      </w:r>
    </w:p>
    <w:p w:rsidR="00236E6D" w:rsidRPr="00476FC9" w:rsidRDefault="00236E6D" w:rsidP="007D2ACE">
      <w:pPr>
        <w:keepNext w:val="0"/>
        <w:widowControl w:val="0"/>
        <w:kinsoku w:val="0"/>
        <w:overflowPunct w:val="0"/>
        <w:autoSpaceDE w:val="0"/>
        <w:autoSpaceDN w:val="0"/>
        <w:adjustRightInd w:val="0"/>
        <w:snapToGrid w:val="0"/>
        <w:spacing w:before="0" w:after="0"/>
        <w:jc w:val="center"/>
        <w:rPr>
          <w:color w:val="000000" w:themeColor="text1"/>
        </w:rPr>
      </w:pPr>
    </w:p>
    <w:p w:rsidR="00236E6D" w:rsidRPr="00476FC9" w:rsidRDefault="00236E6D" w:rsidP="007D2ACE">
      <w:pPr>
        <w:keepNext w:val="0"/>
        <w:widowControl w:val="0"/>
        <w:kinsoku w:val="0"/>
        <w:overflowPunct w:val="0"/>
        <w:autoSpaceDE w:val="0"/>
        <w:autoSpaceDN w:val="0"/>
        <w:adjustRightInd w:val="0"/>
        <w:snapToGrid w:val="0"/>
        <w:spacing w:before="0" w:after="0"/>
        <w:jc w:val="center"/>
        <w:rPr>
          <w:color w:val="000000" w:themeColor="text1"/>
        </w:rPr>
      </w:pPr>
    </w:p>
    <w:p w:rsidR="00236E6D" w:rsidRPr="00476FC9" w:rsidRDefault="00236E6D" w:rsidP="007D2ACE">
      <w:pPr>
        <w:keepNext w:val="0"/>
        <w:widowControl w:val="0"/>
        <w:kinsoku w:val="0"/>
        <w:overflowPunct w:val="0"/>
        <w:autoSpaceDE w:val="0"/>
        <w:autoSpaceDN w:val="0"/>
        <w:adjustRightInd w:val="0"/>
        <w:snapToGrid w:val="0"/>
        <w:spacing w:before="0" w:after="0"/>
        <w:jc w:val="center"/>
        <w:rPr>
          <w:color w:val="000000" w:themeColor="text1"/>
        </w:rPr>
      </w:pPr>
    </w:p>
    <w:p w:rsidR="00071957" w:rsidRPr="00476FC9" w:rsidRDefault="00B668DF" w:rsidP="007D2ACE">
      <w:pPr>
        <w:keepNext w:val="0"/>
        <w:widowControl w:val="0"/>
        <w:tabs>
          <w:tab w:val="left" w:pos="7855"/>
        </w:tabs>
        <w:kinsoku w:val="0"/>
        <w:overflowPunct w:val="0"/>
        <w:autoSpaceDE w:val="0"/>
        <w:autoSpaceDN w:val="0"/>
        <w:adjustRightInd w:val="0"/>
        <w:snapToGrid w:val="0"/>
        <w:spacing w:before="0" w:after="0"/>
        <w:rPr>
          <w:color w:val="000000" w:themeColor="text1"/>
        </w:rPr>
      </w:pPr>
      <w:r w:rsidRPr="00476FC9">
        <w:rPr>
          <w:color w:val="000000" w:themeColor="text1"/>
        </w:rPr>
        <w:tab/>
      </w:r>
    </w:p>
    <w:p w:rsidR="00071957" w:rsidRPr="00476FC9" w:rsidRDefault="00071957" w:rsidP="007D2ACE">
      <w:pPr>
        <w:keepNext w:val="0"/>
        <w:widowControl w:val="0"/>
        <w:kinsoku w:val="0"/>
        <w:overflowPunct w:val="0"/>
        <w:autoSpaceDE w:val="0"/>
        <w:autoSpaceDN w:val="0"/>
        <w:adjustRightInd w:val="0"/>
        <w:snapToGrid w:val="0"/>
        <w:spacing w:before="0" w:after="0"/>
        <w:jc w:val="center"/>
        <w:rPr>
          <w:color w:val="000000" w:themeColor="text1"/>
        </w:rPr>
      </w:pPr>
    </w:p>
    <w:p w:rsidR="00071957" w:rsidRPr="00476FC9" w:rsidRDefault="00071957" w:rsidP="007D2ACE">
      <w:pPr>
        <w:keepNext w:val="0"/>
        <w:widowControl w:val="0"/>
        <w:kinsoku w:val="0"/>
        <w:overflowPunct w:val="0"/>
        <w:autoSpaceDE w:val="0"/>
        <w:autoSpaceDN w:val="0"/>
        <w:adjustRightInd w:val="0"/>
        <w:snapToGrid w:val="0"/>
        <w:spacing w:before="0" w:after="0"/>
        <w:jc w:val="center"/>
        <w:rPr>
          <w:color w:val="000000" w:themeColor="text1"/>
        </w:rPr>
      </w:pPr>
    </w:p>
    <w:p w:rsidR="00236E6D" w:rsidRPr="00476FC9" w:rsidRDefault="009C755C"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 xml:space="preserve">A </w:t>
      </w:r>
      <w:r w:rsidR="00A955EA" w:rsidRPr="00476FC9">
        <w:rPr>
          <w:color w:val="000000" w:themeColor="text1"/>
        </w:rPr>
        <w:t>Dissertation</w:t>
      </w:r>
      <w:r w:rsidRPr="00476FC9">
        <w:rPr>
          <w:color w:val="000000" w:themeColor="text1"/>
        </w:rPr>
        <w:t xml:space="preserve"> Presented for</w:t>
      </w:r>
      <w:r w:rsidR="00C62680" w:rsidRPr="00476FC9">
        <w:rPr>
          <w:color w:val="000000" w:themeColor="text1"/>
        </w:rPr>
        <w:t xml:space="preserve"> the</w:t>
      </w:r>
    </w:p>
    <w:p w:rsidR="009C755C" w:rsidRPr="00476FC9" w:rsidRDefault="00A955EA"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Doctor of Philosophy</w:t>
      </w:r>
    </w:p>
    <w:p w:rsidR="009C755C" w:rsidRPr="00476FC9" w:rsidRDefault="009C755C"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Degree</w:t>
      </w:r>
    </w:p>
    <w:p w:rsidR="009C755C" w:rsidRPr="00476FC9" w:rsidRDefault="009C755C"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The University of Tennessee, Knoxville</w:t>
      </w:r>
    </w:p>
    <w:p w:rsidR="00236E6D" w:rsidRPr="00476FC9" w:rsidRDefault="00236E6D" w:rsidP="007D2ACE">
      <w:pPr>
        <w:keepNext w:val="0"/>
        <w:widowControl w:val="0"/>
        <w:kinsoku w:val="0"/>
        <w:overflowPunct w:val="0"/>
        <w:autoSpaceDE w:val="0"/>
        <w:autoSpaceDN w:val="0"/>
        <w:adjustRightInd w:val="0"/>
        <w:snapToGrid w:val="0"/>
        <w:spacing w:before="0" w:after="0"/>
        <w:jc w:val="center"/>
        <w:rPr>
          <w:color w:val="000000" w:themeColor="text1"/>
        </w:rPr>
      </w:pPr>
    </w:p>
    <w:p w:rsidR="00236E6D" w:rsidRPr="00476FC9" w:rsidRDefault="00236E6D" w:rsidP="007D2ACE">
      <w:pPr>
        <w:keepNext w:val="0"/>
        <w:widowControl w:val="0"/>
        <w:kinsoku w:val="0"/>
        <w:overflowPunct w:val="0"/>
        <w:autoSpaceDE w:val="0"/>
        <w:autoSpaceDN w:val="0"/>
        <w:adjustRightInd w:val="0"/>
        <w:snapToGrid w:val="0"/>
        <w:spacing w:before="0" w:after="0"/>
        <w:jc w:val="center"/>
        <w:rPr>
          <w:color w:val="000000" w:themeColor="text1"/>
        </w:rPr>
      </w:pPr>
    </w:p>
    <w:p w:rsidR="00236E6D" w:rsidRPr="00476FC9" w:rsidRDefault="00236E6D" w:rsidP="007D2ACE">
      <w:pPr>
        <w:keepNext w:val="0"/>
        <w:widowControl w:val="0"/>
        <w:kinsoku w:val="0"/>
        <w:overflowPunct w:val="0"/>
        <w:autoSpaceDE w:val="0"/>
        <w:autoSpaceDN w:val="0"/>
        <w:adjustRightInd w:val="0"/>
        <w:snapToGrid w:val="0"/>
        <w:spacing w:before="0" w:after="0"/>
        <w:jc w:val="center"/>
        <w:rPr>
          <w:color w:val="000000" w:themeColor="text1"/>
        </w:rPr>
      </w:pPr>
    </w:p>
    <w:p w:rsidR="00236E6D" w:rsidRPr="00476FC9" w:rsidRDefault="00236E6D" w:rsidP="007D2ACE">
      <w:pPr>
        <w:keepNext w:val="0"/>
        <w:widowControl w:val="0"/>
        <w:kinsoku w:val="0"/>
        <w:overflowPunct w:val="0"/>
        <w:autoSpaceDE w:val="0"/>
        <w:autoSpaceDN w:val="0"/>
        <w:adjustRightInd w:val="0"/>
        <w:snapToGrid w:val="0"/>
        <w:spacing w:before="0" w:after="0"/>
        <w:jc w:val="center"/>
        <w:rPr>
          <w:color w:val="000000" w:themeColor="text1"/>
        </w:rPr>
      </w:pPr>
    </w:p>
    <w:p w:rsidR="00236E6D" w:rsidRPr="00476FC9" w:rsidRDefault="00236E6D" w:rsidP="007D2ACE">
      <w:pPr>
        <w:keepNext w:val="0"/>
        <w:widowControl w:val="0"/>
        <w:kinsoku w:val="0"/>
        <w:overflowPunct w:val="0"/>
        <w:autoSpaceDE w:val="0"/>
        <w:autoSpaceDN w:val="0"/>
        <w:adjustRightInd w:val="0"/>
        <w:snapToGrid w:val="0"/>
        <w:spacing w:before="0" w:after="0"/>
        <w:jc w:val="center"/>
        <w:rPr>
          <w:color w:val="000000" w:themeColor="text1"/>
        </w:rPr>
      </w:pPr>
    </w:p>
    <w:p w:rsidR="00071957" w:rsidRPr="00476FC9" w:rsidRDefault="00071957" w:rsidP="007D2ACE">
      <w:pPr>
        <w:keepNext w:val="0"/>
        <w:widowControl w:val="0"/>
        <w:kinsoku w:val="0"/>
        <w:overflowPunct w:val="0"/>
        <w:autoSpaceDE w:val="0"/>
        <w:autoSpaceDN w:val="0"/>
        <w:adjustRightInd w:val="0"/>
        <w:snapToGrid w:val="0"/>
        <w:spacing w:before="0" w:after="0"/>
        <w:jc w:val="center"/>
        <w:rPr>
          <w:color w:val="000000" w:themeColor="text1"/>
        </w:rPr>
      </w:pPr>
    </w:p>
    <w:p w:rsidR="00071957" w:rsidRPr="00476FC9" w:rsidRDefault="00071957" w:rsidP="007D2ACE">
      <w:pPr>
        <w:keepNext w:val="0"/>
        <w:widowControl w:val="0"/>
        <w:kinsoku w:val="0"/>
        <w:overflowPunct w:val="0"/>
        <w:autoSpaceDE w:val="0"/>
        <w:autoSpaceDN w:val="0"/>
        <w:adjustRightInd w:val="0"/>
        <w:snapToGrid w:val="0"/>
        <w:spacing w:before="0" w:after="0"/>
        <w:jc w:val="center"/>
        <w:rPr>
          <w:color w:val="000000" w:themeColor="text1"/>
        </w:rPr>
      </w:pPr>
    </w:p>
    <w:p w:rsidR="00071957" w:rsidRPr="00476FC9" w:rsidRDefault="00071957" w:rsidP="007D2ACE">
      <w:pPr>
        <w:keepNext w:val="0"/>
        <w:widowControl w:val="0"/>
        <w:kinsoku w:val="0"/>
        <w:overflowPunct w:val="0"/>
        <w:autoSpaceDE w:val="0"/>
        <w:autoSpaceDN w:val="0"/>
        <w:adjustRightInd w:val="0"/>
        <w:snapToGrid w:val="0"/>
        <w:spacing w:before="0" w:after="0"/>
        <w:jc w:val="center"/>
        <w:rPr>
          <w:color w:val="000000" w:themeColor="text1"/>
        </w:rPr>
      </w:pPr>
    </w:p>
    <w:p w:rsidR="00071957" w:rsidRPr="00476FC9" w:rsidRDefault="00071957" w:rsidP="007D2ACE">
      <w:pPr>
        <w:keepNext w:val="0"/>
        <w:widowControl w:val="0"/>
        <w:kinsoku w:val="0"/>
        <w:overflowPunct w:val="0"/>
        <w:autoSpaceDE w:val="0"/>
        <w:autoSpaceDN w:val="0"/>
        <w:adjustRightInd w:val="0"/>
        <w:snapToGrid w:val="0"/>
        <w:spacing w:before="0" w:after="0"/>
        <w:jc w:val="center"/>
        <w:rPr>
          <w:color w:val="000000" w:themeColor="text1"/>
        </w:rPr>
      </w:pPr>
    </w:p>
    <w:p w:rsidR="00071957" w:rsidRPr="00476FC9" w:rsidRDefault="00071957" w:rsidP="007D2ACE">
      <w:pPr>
        <w:keepNext w:val="0"/>
        <w:widowControl w:val="0"/>
        <w:kinsoku w:val="0"/>
        <w:overflowPunct w:val="0"/>
        <w:autoSpaceDE w:val="0"/>
        <w:autoSpaceDN w:val="0"/>
        <w:adjustRightInd w:val="0"/>
        <w:snapToGrid w:val="0"/>
        <w:spacing w:before="0" w:after="0"/>
        <w:jc w:val="center"/>
        <w:rPr>
          <w:color w:val="000000" w:themeColor="text1"/>
        </w:rPr>
      </w:pPr>
    </w:p>
    <w:p w:rsidR="002141B9" w:rsidRPr="00476FC9" w:rsidRDefault="002141B9" w:rsidP="007D2ACE">
      <w:pPr>
        <w:keepNext w:val="0"/>
        <w:widowControl w:val="0"/>
        <w:kinsoku w:val="0"/>
        <w:overflowPunct w:val="0"/>
        <w:autoSpaceDE w:val="0"/>
        <w:autoSpaceDN w:val="0"/>
        <w:adjustRightInd w:val="0"/>
        <w:snapToGrid w:val="0"/>
        <w:spacing w:before="0" w:after="0"/>
        <w:jc w:val="center"/>
        <w:rPr>
          <w:color w:val="000000" w:themeColor="text1"/>
        </w:rPr>
      </w:pPr>
    </w:p>
    <w:p w:rsidR="00236E6D" w:rsidRPr="00476FC9" w:rsidRDefault="00A955EA"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Ilwoo Ju</w:t>
      </w:r>
    </w:p>
    <w:p w:rsidR="00B668DF" w:rsidRPr="00476FC9" w:rsidRDefault="00A133AE"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sectPr w:rsidR="00B668DF" w:rsidRPr="00476FC9" w:rsidSect="0099428C">
          <w:headerReference w:type="default" r:id="rId9"/>
          <w:footerReference w:type="default" r:id="rId10"/>
          <w:pgSz w:w="12240" w:h="15840" w:code="1"/>
          <w:pgMar w:top="1440" w:right="1440" w:bottom="1440" w:left="1440" w:header="0" w:footer="144" w:gutter="0"/>
          <w:pgNumType w:fmt="lowerRoman" w:start="1" w:chapStyle="1"/>
          <w:cols w:space="720"/>
          <w:noEndnote/>
          <w:titlePg/>
          <w:docGrid w:linePitch="326"/>
        </w:sectPr>
      </w:pPr>
      <w:r w:rsidRPr="00476FC9">
        <w:rPr>
          <w:color w:val="000000" w:themeColor="text1"/>
        </w:rPr>
        <w:t>August</w:t>
      </w:r>
      <w:r w:rsidR="009C755C" w:rsidRPr="00476FC9">
        <w:rPr>
          <w:color w:val="000000" w:themeColor="text1"/>
        </w:rPr>
        <w:t xml:space="preserve"> </w:t>
      </w:r>
      <w:r w:rsidR="00871346" w:rsidRPr="00476FC9">
        <w:rPr>
          <w:color w:val="000000" w:themeColor="text1"/>
        </w:rPr>
        <w:t>201</w:t>
      </w:r>
      <w:r w:rsidR="000A338E" w:rsidRPr="00476FC9">
        <w:rPr>
          <w:color w:val="000000" w:themeColor="text1"/>
        </w:rPr>
        <w:t>4</w:t>
      </w:r>
    </w:p>
    <w:p w:rsidR="00236E6D" w:rsidRPr="00476FC9" w:rsidRDefault="00073443"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lastRenderedPageBreak/>
        <w:t xml:space="preserve">Copyright © </w:t>
      </w:r>
      <w:r w:rsidR="000A338E" w:rsidRPr="00476FC9">
        <w:rPr>
          <w:color w:val="000000" w:themeColor="text1"/>
        </w:rPr>
        <w:t>2014</w:t>
      </w:r>
      <w:r w:rsidR="00236E6D" w:rsidRPr="00476FC9">
        <w:rPr>
          <w:color w:val="000000" w:themeColor="text1"/>
        </w:rPr>
        <w:t xml:space="preserve"> by </w:t>
      </w:r>
      <w:r w:rsidR="00A955EA" w:rsidRPr="00476FC9">
        <w:rPr>
          <w:color w:val="000000" w:themeColor="text1"/>
        </w:rPr>
        <w:t>Ilwoo Ju</w:t>
      </w:r>
    </w:p>
    <w:p w:rsidR="00236E6D" w:rsidRPr="00476FC9" w:rsidRDefault="00236E6D"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All rights reserved.</w:t>
      </w:r>
    </w:p>
    <w:p w:rsidR="00236E6D" w:rsidRPr="00476FC9" w:rsidRDefault="00236E6D" w:rsidP="007D2ACE">
      <w:pPr>
        <w:keepNext w:val="0"/>
        <w:widowControl w:val="0"/>
        <w:kinsoku w:val="0"/>
        <w:overflowPunct w:val="0"/>
        <w:autoSpaceDE w:val="0"/>
        <w:autoSpaceDN w:val="0"/>
        <w:adjustRightInd w:val="0"/>
        <w:snapToGrid w:val="0"/>
        <w:spacing w:before="0" w:after="0"/>
        <w:rPr>
          <w:color w:val="000000" w:themeColor="text1"/>
        </w:rPr>
      </w:pPr>
    </w:p>
    <w:p w:rsidR="00236E6D" w:rsidRPr="00476FC9" w:rsidRDefault="00236E6D" w:rsidP="007D2ACE">
      <w:pPr>
        <w:keepNext w:val="0"/>
        <w:widowControl w:val="0"/>
        <w:kinsoku w:val="0"/>
        <w:overflowPunct w:val="0"/>
        <w:autoSpaceDE w:val="0"/>
        <w:autoSpaceDN w:val="0"/>
        <w:adjustRightInd w:val="0"/>
        <w:snapToGrid w:val="0"/>
        <w:spacing w:before="0" w:after="0"/>
        <w:rPr>
          <w:color w:val="000000" w:themeColor="text1"/>
        </w:rPr>
      </w:pPr>
    </w:p>
    <w:p w:rsidR="00236E6D" w:rsidRPr="00476FC9" w:rsidRDefault="00236E6D" w:rsidP="007D2ACE">
      <w:pPr>
        <w:keepNext w:val="0"/>
        <w:widowControl w:val="0"/>
        <w:kinsoku w:val="0"/>
        <w:overflowPunct w:val="0"/>
        <w:autoSpaceDE w:val="0"/>
        <w:autoSpaceDN w:val="0"/>
        <w:adjustRightInd w:val="0"/>
        <w:snapToGrid w:val="0"/>
        <w:spacing w:before="0" w:after="0"/>
        <w:rPr>
          <w:color w:val="000000" w:themeColor="text1"/>
        </w:rPr>
      </w:pPr>
    </w:p>
    <w:p w:rsidR="00236E6D" w:rsidRPr="00476FC9" w:rsidRDefault="00236E6D" w:rsidP="007D2ACE">
      <w:pPr>
        <w:keepNext w:val="0"/>
        <w:widowControl w:val="0"/>
        <w:kinsoku w:val="0"/>
        <w:overflowPunct w:val="0"/>
        <w:autoSpaceDE w:val="0"/>
        <w:autoSpaceDN w:val="0"/>
        <w:adjustRightInd w:val="0"/>
        <w:snapToGrid w:val="0"/>
        <w:spacing w:before="0" w:after="0"/>
        <w:rPr>
          <w:color w:val="000000" w:themeColor="text1"/>
        </w:rPr>
      </w:pPr>
    </w:p>
    <w:p w:rsidR="00236E6D" w:rsidRPr="00476FC9" w:rsidRDefault="00236E6D" w:rsidP="007D2ACE">
      <w:pPr>
        <w:keepNext w:val="0"/>
        <w:widowControl w:val="0"/>
        <w:kinsoku w:val="0"/>
        <w:overflowPunct w:val="0"/>
        <w:autoSpaceDE w:val="0"/>
        <w:autoSpaceDN w:val="0"/>
        <w:adjustRightInd w:val="0"/>
        <w:snapToGrid w:val="0"/>
        <w:spacing w:before="0" w:after="0"/>
        <w:rPr>
          <w:color w:val="000000" w:themeColor="text1"/>
        </w:rPr>
      </w:pPr>
    </w:p>
    <w:p w:rsidR="00236E6D" w:rsidRPr="00476FC9" w:rsidRDefault="00236E6D" w:rsidP="007D2ACE">
      <w:pPr>
        <w:keepNext w:val="0"/>
        <w:widowControl w:val="0"/>
        <w:kinsoku w:val="0"/>
        <w:overflowPunct w:val="0"/>
        <w:autoSpaceDE w:val="0"/>
        <w:autoSpaceDN w:val="0"/>
        <w:adjustRightInd w:val="0"/>
        <w:snapToGrid w:val="0"/>
        <w:spacing w:before="0" w:after="0"/>
        <w:rPr>
          <w:color w:val="000000" w:themeColor="text1"/>
        </w:rPr>
      </w:pPr>
    </w:p>
    <w:p w:rsidR="00236E6D" w:rsidRPr="00476FC9" w:rsidRDefault="00236E6D" w:rsidP="007D2ACE">
      <w:pPr>
        <w:keepNext w:val="0"/>
        <w:widowControl w:val="0"/>
        <w:kinsoku w:val="0"/>
        <w:overflowPunct w:val="0"/>
        <w:autoSpaceDE w:val="0"/>
        <w:autoSpaceDN w:val="0"/>
        <w:adjustRightInd w:val="0"/>
        <w:snapToGrid w:val="0"/>
        <w:spacing w:before="0" w:after="0"/>
        <w:rPr>
          <w:color w:val="000000" w:themeColor="text1"/>
        </w:rPr>
      </w:pPr>
    </w:p>
    <w:p w:rsidR="00236E6D" w:rsidRPr="00476FC9" w:rsidRDefault="00236E6D" w:rsidP="007D2ACE">
      <w:pPr>
        <w:keepNext w:val="0"/>
        <w:widowControl w:val="0"/>
        <w:kinsoku w:val="0"/>
        <w:overflowPunct w:val="0"/>
        <w:autoSpaceDE w:val="0"/>
        <w:autoSpaceDN w:val="0"/>
        <w:adjustRightInd w:val="0"/>
        <w:snapToGrid w:val="0"/>
        <w:spacing w:before="0" w:after="0"/>
        <w:rPr>
          <w:color w:val="000000" w:themeColor="text1"/>
        </w:rPr>
      </w:pPr>
    </w:p>
    <w:p w:rsidR="00236E6D" w:rsidRPr="00476FC9" w:rsidRDefault="00236E6D" w:rsidP="007D2ACE">
      <w:pPr>
        <w:keepNext w:val="0"/>
        <w:widowControl w:val="0"/>
        <w:kinsoku w:val="0"/>
        <w:overflowPunct w:val="0"/>
        <w:autoSpaceDE w:val="0"/>
        <w:autoSpaceDN w:val="0"/>
        <w:adjustRightInd w:val="0"/>
        <w:snapToGrid w:val="0"/>
        <w:spacing w:before="0" w:after="0"/>
        <w:rPr>
          <w:color w:val="000000" w:themeColor="text1"/>
        </w:rPr>
      </w:pPr>
    </w:p>
    <w:p w:rsidR="00236E6D" w:rsidRPr="00476FC9" w:rsidRDefault="00236E6D" w:rsidP="007D2ACE">
      <w:pPr>
        <w:keepNext w:val="0"/>
        <w:widowControl w:val="0"/>
        <w:kinsoku w:val="0"/>
        <w:overflowPunct w:val="0"/>
        <w:autoSpaceDE w:val="0"/>
        <w:autoSpaceDN w:val="0"/>
        <w:adjustRightInd w:val="0"/>
        <w:snapToGrid w:val="0"/>
        <w:spacing w:before="0" w:after="0"/>
        <w:rPr>
          <w:color w:val="000000" w:themeColor="text1"/>
        </w:rPr>
      </w:pPr>
    </w:p>
    <w:p w:rsidR="005B2970" w:rsidRPr="00476FC9" w:rsidRDefault="00236E6D" w:rsidP="007D2ACE">
      <w:pPr>
        <w:keepNext w:val="0"/>
        <w:widowControl w:val="0"/>
        <w:kinsoku w:val="0"/>
        <w:overflowPunct w:val="0"/>
        <w:autoSpaceDE w:val="0"/>
        <w:autoSpaceDN w:val="0"/>
        <w:adjustRightInd w:val="0"/>
        <w:snapToGrid w:val="0"/>
        <w:spacing w:before="0" w:after="0"/>
        <w:jc w:val="center"/>
        <w:rPr>
          <w:b/>
          <w:color w:val="000000" w:themeColor="text1"/>
        </w:rPr>
      </w:pPr>
      <w:r w:rsidRPr="00476FC9">
        <w:rPr>
          <w:color w:val="000000" w:themeColor="text1"/>
          <w:sz w:val="36"/>
          <w:szCs w:val="36"/>
        </w:rPr>
        <w:br w:type="page"/>
      </w:r>
      <w:r w:rsidR="005B2970" w:rsidRPr="00476FC9">
        <w:rPr>
          <w:b/>
          <w:color w:val="000000" w:themeColor="text1"/>
        </w:rPr>
        <w:lastRenderedPageBreak/>
        <w:t>Dedication</w:t>
      </w:r>
    </w:p>
    <w:p w:rsidR="0051795B" w:rsidRPr="00476FC9" w:rsidRDefault="0051795B" w:rsidP="007D2ACE">
      <w:pPr>
        <w:keepNext w:val="0"/>
        <w:widowControl w:val="0"/>
        <w:kinsoku w:val="0"/>
        <w:overflowPunct w:val="0"/>
        <w:autoSpaceDE w:val="0"/>
        <w:autoSpaceDN w:val="0"/>
        <w:adjustRightInd w:val="0"/>
        <w:snapToGrid w:val="0"/>
        <w:spacing w:before="0" w:after="0"/>
        <w:rPr>
          <w:color w:val="000000" w:themeColor="text1"/>
        </w:rPr>
      </w:pPr>
      <w:r w:rsidRPr="00476FC9">
        <w:rPr>
          <w:b/>
          <w:color w:val="000000" w:themeColor="text1"/>
        </w:rPr>
        <w:tab/>
      </w:r>
      <w:r w:rsidRPr="00476FC9">
        <w:rPr>
          <w:color w:val="000000" w:themeColor="text1"/>
        </w:rPr>
        <w:t>I dedicate this dissertation to my family who has shared every moment and given me worthy opportunities for growth. This work could not have been completed without their love and prayer.</w:t>
      </w:r>
    </w:p>
    <w:p w:rsidR="005B2970" w:rsidRPr="00476FC9" w:rsidRDefault="005B2970" w:rsidP="007D2ACE">
      <w:pPr>
        <w:keepNext w:val="0"/>
        <w:widowControl w:val="0"/>
        <w:kinsoku w:val="0"/>
        <w:overflowPunct w:val="0"/>
        <w:autoSpaceDE w:val="0"/>
        <w:autoSpaceDN w:val="0"/>
        <w:adjustRightInd w:val="0"/>
        <w:snapToGrid w:val="0"/>
        <w:spacing w:before="0" w:after="0"/>
        <w:rPr>
          <w:color w:val="000000" w:themeColor="text1"/>
        </w:rPr>
      </w:pPr>
    </w:p>
    <w:p w:rsidR="00CD73A9" w:rsidRPr="00476FC9" w:rsidRDefault="005B2970" w:rsidP="007D2ACE">
      <w:pPr>
        <w:keepNext w:val="0"/>
        <w:widowControl w:val="0"/>
        <w:kinsoku w:val="0"/>
        <w:overflowPunct w:val="0"/>
        <w:autoSpaceDE w:val="0"/>
        <w:autoSpaceDN w:val="0"/>
        <w:adjustRightInd w:val="0"/>
        <w:snapToGrid w:val="0"/>
        <w:spacing w:before="0" w:after="0"/>
        <w:jc w:val="center"/>
        <w:rPr>
          <w:b/>
          <w:color w:val="000000" w:themeColor="text1"/>
        </w:rPr>
      </w:pPr>
      <w:r w:rsidRPr="00476FC9">
        <w:rPr>
          <w:color w:val="000000" w:themeColor="text1"/>
          <w:sz w:val="36"/>
          <w:szCs w:val="36"/>
        </w:rPr>
        <w:br w:type="page"/>
      </w:r>
      <w:r w:rsidR="00D067C3" w:rsidRPr="00476FC9">
        <w:rPr>
          <w:b/>
          <w:color w:val="000000" w:themeColor="text1"/>
        </w:rPr>
        <w:lastRenderedPageBreak/>
        <w:t>Acknowledgements</w:t>
      </w:r>
    </w:p>
    <w:p w:rsidR="0051795B" w:rsidRPr="00476FC9" w:rsidRDefault="0051795B" w:rsidP="007D2ACE">
      <w:pPr>
        <w:keepNext w:val="0"/>
        <w:widowControl w:val="0"/>
        <w:kinsoku w:val="0"/>
        <w:overflowPunct w:val="0"/>
        <w:autoSpaceDE w:val="0"/>
        <w:autoSpaceDN w:val="0"/>
        <w:adjustRightInd w:val="0"/>
        <w:snapToGrid w:val="0"/>
        <w:spacing w:before="0" w:after="0"/>
        <w:outlineLvl w:val="9"/>
        <w:rPr>
          <w:color w:val="000000" w:themeColor="text1"/>
        </w:rPr>
      </w:pPr>
      <w:r w:rsidRPr="00476FC9">
        <w:rPr>
          <w:color w:val="000000" w:themeColor="text1"/>
        </w:rPr>
        <w:tab/>
        <w:t>I would like to express my gratitude to a number of people who have influenced my dissertation. I could complete this intellectual journey with their wisdom, assistance, and contribution.</w:t>
      </w:r>
    </w:p>
    <w:p w:rsidR="0051795B" w:rsidRPr="00476FC9" w:rsidRDefault="0051795B" w:rsidP="007D2ACE">
      <w:pPr>
        <w:keepNext w:val="0"/>
        <w:widowControl w:val="0"/>
        <w:kinsoku w:val="0"/>
        <w:overflowPunct w:val="0"/>
        <w:autoSpaceDE w:val="0"/>
        <w:autoSpaceDN w:val="0"/>
        <w:adjustRightInd w:val="0"/>
        <w:snapToGrid w:val="0"/>
        <w:spacing w:before="0" w:after="0"/>
        <w:outlineLvl w:val="9"/>
        <w:rPr>
          <w:rFonts w:eastAsiaTheme="minorEastAsia"/>
          <w:color w:val="000000" w:themeColor="text1"/>
        </w:rPr>
      </w:pPr>
      <w:r w:rsidRPr="00476FC9">
        <w:rPr>
          <w:color w:val="000000" w:themeColor="text1"/>
        </w:rPr>
        <w:tab/>
        <w:t xml:space="preserve">In the course of this research, I would especially like to appreciate Dr. </w:t>
      </w:r>
      <w:r w:rsidR="001B51BD" w:rsidRPr="00476FC9">
        <w:rPr>
          <w:color w:val="000000" w:themeColor="text1"/>
        </w:rPr>
        <w:t xml:space="preserve">Jin-seong </w:t>
      </w:r>
      <w:r w:rsidRPr="00476FC9">
        <w:rPr>
          <w:color w:val="000000" w:themeColor="text1"/>
        </w:rPr>
        <w:t xml:space="preserve">Park's rigorous guidance as my </w:t>
      </w:r>
      <w:r w:rsidR="00934CA5" w:rsidRPr="00476FC9">
        <w:rPr>
          <w:color w:val="000000" w:themeColor="text1"/>
        </w:rPr>
        <w:t xml:space="preserve">academic </w:t>
      </w:r>
      <w:r w:rsidRPr="00476FC9">
        <w:rPr>
          <w:color w:val="000000" w:themeColor="text1"/>
        </w:rPr>
        <w:t>advisor. His insightful guidance, support, and patience for the last thre</w:t>
      </w:r>
      <w:r w:rsidR="005C7C16" w:rsidRPr="00476FC9">
        <w:rPr>
          <w:color w:val="000000" w:themeColor="text1"/>
        </w:rPr>
        <w:t>e years have</w:t>
      </w:r>
      <w:r w:rsidR="005C7C16" w:rsidRPr="00476FC9">
        <w:rPr>
          <w:rFonts w:eastAsiaTheme="minorEastAsia" w:hint="eastAsia"/>
          <w:color w:val="000000" w:themeColor="text1"/>
        </w:rPr>
        <w:t xml:space="preserve"> improved my scholarship. In addition, I would like to thank Dr. Ronald E. Taylor, my </w:t>
      </w:r>
      <w:r w:rsidR="00347B13" w:rsidRPr="00476FC9">
        <w:rPr>
          <w:rFonts w:eastAsiaTheme="minorEastAsia" w:hint="eastAsia"/>
          <w:color w:val="000000" w:themeColor="text1"/>
        </w:rPr>
        <w:t xml:space="preserve">mentor </w:t>
      </w:r>
      <w:r w:rsidR="00347B13" w:rsidRPr="00476FC9">
        <w:rPr>
          <w:rFonts w:eastAsiaTheme="minorEastAsia"/>
          <w:color w:val="000000" w:themeColor="text1"/>
        </w:rPr>
        <w:t xml:space="preserve">and </w:t>
      </w:r>
      <w:r w:rsidR="005C7C16" w:rsidRPr="00476FC9">
        <w:rPr>
          <w:rFonts w:eastAsiaTheme="minorEastAsia" w:hint="eastAsia"/>
          <w:color w:val="000000" w:themeColor="text1"/>
        </w:rPr>
        <w:t xml:space="preserve">former </w:t>
      </w:r>
      <w:r w:rsidR="00815379" w:rsidRPr="00476FC9">
        <w:rPr>
          <w:rFonts w:eastAsiaTheme="minorEastAsia"/>
          <w:color w:val="000000" w:themeColor="text1"/>
        </w:rPr>
        <w:t xml:space="preserve">academic </w:t>
      </w:r>
      <w:r w:rsidR="005C7C16" w:rsidRPr="00476FC9">
        <w:rPr>
          <w:rFonts w:eastAsiaTheme="minorEastAsia" w:hint="eastAsia"/>
          <w:color w:val="000000" w:themeColor="text1"/>
        </w:rPr>
        <w:t xml:space="preserve">advisor. He is a great </w:t>
      </w:r>
      <w:r w:rsidR="00476FC9">
        <w:rPr>
          <w:rFonts w:eastAsiaTheme="minorEastAsia"/>
          <w:color w:val="000000" w:themeColor="text1"/>
        </w:rPr>
        <w:t>mentor</w:t>
      </w:r>
      <w:r w:rsidR="005C7C16" w:rsidRPr="00476FC9">
        <w:rPr>
          <w:rFonts w:eastAsiaTheme="minorEastAsia" w:hint="eastAsia"/>
          <w:color w:val="000000" w:themeColor="text1"/>
        </w:rPr>
        <w:t xml:space="preserve"> and one of the </w:t>
      </w:r>
      <w:r w:rsidR="006060F5" w:rsidRPr="00476FC9">
        <w:rPr>
          <w:rFonts w:eastAsiaTheme="minorEastAsia" w:hint="eastAsia"/>
          <w:color w:val="000000" w:themeColor="text1"/>
        </w:rPr>
        <w:t xml:space="preserve">most </w:t>
      </w:r>
      <w:r w:rsidR="005C7C16" w:rsidRPr="00476FC9">
        <w:rPr>
          <w:rFonts w:eastAsiaTheme="minorEastAsia" w:hint="eastAsia"/>
          <w:color w:val="000000" w:themeColor="text1"/>
        </w:rPr>
        <w:t>respected advertising educator</w:t>
      </w:r>
      <w:r w:rsidR="006060F5" w:rsidRPr="00476FC9">
        <w:rPr>
          <w:rFonts w:eastAsiaTheme="minorEastAsia" w:hint="eastAsia"/>
          <w:color w:val="000000" w:themeColor="text1"/>
        </w:rPr>
        <w:t>s</w:t>
      </w:r>
      <w:r w:rsidR="00934CA5" w:rsidRPr="00476FC9">
        <w:rPr>
          <w:rFonts w:eastAsiaTheme="minorEastAsia"/>
          <w:color w:val="000000" w:themeColor="text1"/>
        </w:rPr>
        <w:t xml:space="preserve"> in the States</w:t>
      </w:r>
      <w:r w:rsidR="006060F5" w:rsidRPr="00476FC9">
        <w:rPr>
          <w:rFonts w:eastAsiaTheme="minorEastAsia" w:hint="eastAsia"/>
          <w:color w:val="000000" w:themeColor="text1"/>
        </w:rPr>
        <w:t>. Dr. Daniel Flint</w:t>
      </w:r>
      <w:r w:rsidR="00934CA5" w:rsidRPr="00476FC9">
        <w:rPr>
          <w:rFonts w:eastAsiaTheme="minorEastAsia"/>
          <w:color w:val="000000" w:themeColor="text1"/>
        </w:rPr>
        <w:t xml:space="preserve">, Regal Entertainment Group Professor of Marketing, </w:t>
      </w:r>
      <w:r w:rsidR="006060F5" w:rsidRPr="00476FC9">
        <w:rPr>
          <w:rFonts w:eastAsiaTheme="minorEastAsia" w:hint="eastAsia"/>
          <w:color w:val="000000" w:themeColor="text1"/>
        </w:rPr>
        <w:t xml:space="preserve">should </w:t>
      </w:r>
      <w:r w:rsidR="00815379" w:rsidRPr="00476FC9">
        <w:rPr>
          <w:rFonts w:eastAsiaTheme="minorEastAsia"/>
          <w:color w:val="000000" w:themeColor="text1"/>
        </w:rPr>
        <w:t xml:space="preserve">also </w:t>
      </w:r>
      <w:r w:rsidR="006060F5" w:rsidRPr="00476FC9">
        <w:rPr>
          <w:rFonts w:eastAsiaTheme="minorEastAsia" w:hint="eastAsia"/>
          <w:color w:val="000000" w:themeColor="text1"/>
        </w:rPr>
        <w:t xml:space="preserve">be acknowledged for </w:t>
      </w:r>
      <w:r w:rsidR="00564AF5" w:rsidRPr="00476FC9">
        <w:rPr>
          <w:rFonts w:eastAsiaTheme="minorEastAsia" w:hint="eastAsia"/>
          <w:color w:val="000000" w:themeColor="text1"/>
        </w:rPr>
        <w:t>his insightful comments and prec</w:t>
      </w:r>
      <w:r w:rsidR="006060F5" w:rsidRPr="00476FC9">
        <w:rPr>
          <w:rFonts w:eastAsiaTheme="minorEastAsia" w:hint="eastAsia"/>
          <w:color w:val="000000" w:themeColor="text1"/>
        </w:rPr>
        <w:t xml:space="preserve">ious time as </w:t>
      </w:r>
      <w:r w:rsidR="009E64C1" w:rsidRPr="00476FC9">
        <w:rPr>
          <w:rFonts w:eastAsiaTheme="minorEastAsia"/>
          <w:color w:val="000000" w:themeColor="text1"/>
        </w:rPr>
        <w:t>my</w:t>
      </w:r>
      <w:r w:rsidR="006060F5" w:rsidRPr="00476FC9">
        <w:rPr>
          <w:rFonts w:eastAsiaTheme="minorEastAsia" w:hint="eastAsia"/>
          <w:color w:val="000000" w:themeColor="text1"/>
        </w:rPr>
        <w:t xml:space="preserve"> committee member.</w:t>
      </w:r>
      <w:r w:rsidR="00F56D86" w:rsidRPr="00476FC9">
        <w:rPr>
          <w:rFonts w:eastAsiaTheme="minorEastAsia" w:hint="eastAsia"/>
          <w:color w:val="000000" w:themeColor="text1"/>
        </w:rPr>
        <w:t xml:space="preserve"> </w:t>
      </w:r>
      <w:r w:rsidR="002F4F62" w:rsidRPr="00476FC9">
        <w:rPr>
          <w:rFonts w:eastAsiaTheme="minorEastAsia"/>
          <w:color w:val="000000" w:themeColor="text1"/>
        </w:rPr>
        <w:t xml:space="preserve">Especially, </w:t>
      </w:r>
      <w:r w:rsidR="00260768" w:rsidRPr="00476FC9">
        <w:rPr>
          <w:rFonts w:eastAsiaTheme="minorEastAsia"/>
          <w:color w:val="000000" w:themeColor="text1"/>
        </w:rPr>
        <w:t xml:space="preserve">I do not know </w:t>
      </w:r>
      <w:r w:rsidR="00934CA5" w:rsidRPr="00476FC9">
        <w:rPr>
          <w:rFonts w:eastAsiaTheme="minorEastAsia"/>
          <w:color w:val="000000" w:themeColor="text1"/>
        </w:rPr>
        <w:t>how to</w:t>
      </w:r>
      <w:r w:rsidR="00260768" w:rsidRPr="00476FC9">
        <w:rPr>
          <w:rFonts w:eastAsiaTheme="minorEastAsia"/>
          <w:color w:val="000000" w:themeColor="text1"/>
        </w:rPr>
        <w:t xml:space="preserve"> express my thanks to Dr. Catherine Luther who is </w:t>
      </w:r>
      <w:r w:rsidR="00934CA5" w:rsidRPr="00476FC9">
        <w:rPr>
          <w:rFonts w:eastAsiaTheme="minorEastAsia"/>
          <w:color w:val="000000" w:themeColor="text1"/>
        </w:rPr>
        <w:t>the A</w:t>
      </w:r>
      <w:r w:rsidR="00260768" w:rsidRPr="00476FC9">
        <w:rPr>
          <w:rFonts w:eastAsiaTheme="minorEastAsia"/>
          <w:color w:val="000000" w:themeColor="text1"/>
        </w:rPr>
        <w:t xml:space="preserve">ssociate </w:t>
      </w:r>
      <w:r w:rsidR="00934CA5" w:rsidRPr="00476FC9">
        <w:rPr>
          <w:rFonts w:eastAsiaTheme="minorEastAsia"/>
          <w:color w:val="000000" w:themeColor="text1"/>
        </w:rPr>
        <w:t>D</w:t>
      </w:r>
      <w:r w:rsidR="00260768" w:rsidRPr="00476FC9">
        <w:rPr>
          <w:rFonts w:eastAsiaTheme="minorEastAsia"/>
          <w:color w:val="000000" w:themeColor="text1"/>
        </w:rPr>
        <w:t>ean of the College of Communication and Information, my mentor, my advisor, and my sincere friend.</w:t>
      </w:r>
      <w:r w:rsidR="00934CA5" w:rsidRPr="00476FC9">
        <w:rPr>
          <w:rFonts w:eastAsiaTheme="minorEastAsia"/>
          <w:color w:val="000000" w:themeColor="text1"/>
        </w:rPr>
        <w:t xml:space="preserve"> Without </w:t>
      </w:r>
      <w:r w:rsidR="00EA48ED">
        <w:rPr>
          <w:rFonts w:eastAsiaTheme="minorEastAsia"/>
          <w:color w:val="000000" w:themeColor="text1"/>
        </w:rPr>
        <w:t>her</w:t>
      </w:r>
      <w:r w:rsidR="00934CA5" w:rsidRPr="00476FC9">
        <w:rPr>
          <w:rFonts w:eastAsiaTheme="minorEastAsia"/>
          <w:color w:val="000000" w:themeColor="text1"/>
        </w:rPr>
        <w:t xml:space="preserve"> support, I could not </w:t>
      </w:r>
      <w:r w:rsidR="00EA48ED">
        <w:rPr>
          <w:rFonts w:eastAsiaTheme="minorEastAsia"/>
          <w:color w:val="000000" w:themeColor="text1"/>
        </w:rPr>
        <w:t>compete</w:t>
      </w:r>
      <w:r w:rsidR="00934CA5" w:rsidRPr="00476FC9">
        <w:rPr>
          <w:rFonts w:eastAsiaTheme="minorEastAsia"/>
          <w:color w:val="000000" w:themeColor="text1"/>
        </w:rPr>
        <w:t xml:space="preserve"> this though journey. </w:t>
      </w:r>
    </w:p>
    <w:p w:rsidR="003146DF" w:rsidRPr="00476FC9" w:rsidRDefault="006060F5" w:rsidP="007D2ACE">
      <w:pPr>
        <w:keepNext w:val="0"/>
        <w:widowControl w:val="0"/>
        <w:kinsoku w:val="0"/>
        <w:overflowPunct w:val="0"/>
        <w:autoSpaceDE w:val="0"/>
        <w:autoSpaceDN w:val="0"/>
        <w:adjustRightInd w:val="0"/>
        <w:snapToGrid w:val="0"/>
        <w:spacing w:before="0" w:after="0"/>
        <w:outlineLvl w:val="9"/>
        <w:rPr>
          <w:rFonts w:eastAsiaTheme="minorEastAsia"/>
          <w:color w:val="000000" w:themeColor="text1"/>
        </w:rPr>
      </w:pPr>
      <w:r w:rsidRPr="00476FC9">
        <w:rPr>
          <w:rFonts w:eastAsiaTheme="minorEastAsia" w:hint="eastAsia"/>
          <w:color w:val="000000" w:themeColor="text1"/>
        </w:rPr>
        <w:tab/>
        <w:t xml:space="preserve">I would like to thank my </w:t>
      </w:r>
      <w:r w:rsidR="009E64C1" w:rsidRPr="00476FC9">
        <w:rPr>
          <w:rFonts w:eastAsiaTheme="minorEastAsia"/>
          <w:color w:val="000000" w:themeColor="text1"/>
        </w:rPr>
        <w:t xml:space="preserve">other </w:t>
      </w:r>
      <w:r w:rsidRPr="00476FC9">
        <w:rPr>
          <w:rFonts w:eastAsiaTheme="minorEastAsia" w:hint="eastAsia"/>
          <w:color w:val="000000" w:themeColor="text1"/>
        </w:rPr>
        <w:t xml:space="preserve">mentors who have shared </w:t>
      </w:r>
      <w:r w:rsidR="00934CA5" w:rsidRPr="00476FC9">
        <w:rPr>
          <w:rFonts w:eastAsiaTheme="minorEastAsia"/>
          <w:color w:val="000000" w:themeColor="text1"/>
        </w:rPr>
        <w:t xml:space="preserve">valuable </w:t>
      </w:r>
      <w:r w:rsidRPr="00476FC9">
        <w:rPr>
          <w:rFonts w:eastAsiaTheme="minorEastAsia" w:hint="eastAsia"/>
          <w:color w:val="000000" w:themeColor="text1"/>
        </w:rPr>
        <w:t>insight and experience with me</w:t>
      </w:r>
      <w:r w:rsidR="009E64C1" w:rsidRPr="00476FC9">
        <w:rPr>
          <w:rFonts w:eastAsiaTheme="minorEastAsia"/>
          <w:color w:val="000000" w:themeColor="text1"/>
        </w:rPr>
        <w:t xml:space="preserve">. First, </w:t>
      </w:r>
      <w:r w:rsidRPr="00476FC9">
        <w:rPr>
          <w:rFonts w:eastAsiaTheme="minorEastAsia" w:hint="eastAsia"/>
          <w:color w:val="000000" w:themeColor="text1"/>
        </w:rPr>
        <w:t xml:space="preserve">Dr. </w:t>
      </w:r>
      <w:r w:rsidR="000A2356" w:rsidRPr="00476FC9">
        <w:rPr>
          <w:rFonts w:eastAsiaTheme="minorEastAsia" w:hint="eastAsia"/>
          <w:color w:val="000000" w:themeColor="text1"/>
        </w:rPr>
        <w:t xml:space="preserve">David </w:t>
      </w:r>
      <w:r w:rsidRPr="00476FC9">
        <w:rPr>
          <w:rFonts w:eastAsiaTheme="minorEastAsia" w:hint="eastAsia"/>
          <w:color w:val="000000" w:themeColor="text1"/>
        </w:rPr>
        <w:t>Schumann</w:t>
      </w:r>
      <w:r w:rsidR="00934CA5" w:rsidRPr="00476FC9">
        <w:rPr>
          <w:rFonts w:eastAsiaTheme="minorEastAsia"/>
          <w:color w:val="000000" w:themeColor="text1"/>
        </w:rPr>
        <w:t xml:space="preserve"> who is a legendary consumer researcher and well-known for his ELM contribution</w:t>
      </w:r>
      <w:r w:rsidR="009E64C1" w:rsidRPr="00476FC9">
        <w:rPr>
          <w:rFonts w:eastAsiaTheme="minorEastAsia"/>
          <w:color w:val="000000" w:themeColor="text1"/>
        </w:rPr>
        <w:t xml:space="preserve"> has provided me with an invaluable philosophical foundation for my educational career and emotional support as a human being</w:t>
      </w:r>
      <w:r w:rsidR="00934CA5" w:rsidRPr="00476FC9">
        <w:rPr>
          <w:rFonts w:eastAsiaTheme="minorEastAsia"/>
          <w:color w:val="000000" w:themeColor="text1"/>
        </w:rPr>
        <w:t>.</w:t>
      </w:r>
      <w:r w:rsidR="009E64C1" w:rsidRPr="00476FC9">
        <w:rPr>
          <w:rFonts w:eastAsiaTheme="minorEastAsia"/>
          <w:color w:val="000000" w:themeColor="text1"/>
        </w:rPr>
        <w:t xml:space="preserve"> </w:t>
      </w:r>
      <w:r w:rsidR="00EA48ED">
        <w:rPr>
          <w:rFonts w:eastAsiaTheme="minorEastAsia"/>
          <w:color w:val="000000" w:themeColor="text1"/>
        </w:rPr>
        <w:t>He</w:t>
      </w:r>
      <w:r w:rsidR="009E64C1" w:rsidRPr="00476FC9">
        <w:rPr>
          <w:rFonts w:eastAsiaTheme="minorEastAsia"/>
          <w:color w:val="000000" w:themeColor="text1"/>
        </w:rPr>
        <w:t xml:space="preserve"> is a great teacher </w:t>
      </w:r>
      <w:r w:rsidR="00934CA5" w:rsidRPr="00476FC9">
        <w:rPr>
          <w:rFonts w:eastAsiaTheme="minorEastAsia"/>
          <w:color w:val="000000" w:themeColor="text1"/>
        </w:rPr>
        <w:t xml:space="preserve">who taught me </w:t>
      </w:r>
      <w:r w:rsidR="009E64C1" w:rsidRPr="00476FC9">
        <w:rPr>
          <w:rFonts w:eastAsiaTheme="minorEastAsia"/>
          <w:color w:val="000000" w:themeColor="text1"/>
        </w:rPr>
        <w:t xml:space="preserve">about the </w:t>
      </w:r>
      <w:r w:rsidR="009E64C1" w:rsidRPr="00F6072B">
        <w:rPr>
          <w:rFonts w:eastAsiaTheme="minorEastAsia"/>
          <w:i/>
          <w:color w:val="000000" w:themeColor="text1"/>
        </w:rPr>
        <w:t>teacher-scholar model</w:t>
      </w:r>
      <w:r w:rsidR="009E64C1" w:rsidRPr="00476FC9">
        <w:rPr>
          <w:rFonts w:eastAsiaTheme="minorEastAsia"/>
          <w:color w:val="000000" w:themeColor="text1"/>
        </w:rPr>
        <w:t xml:space="preserve"> in the context of higher education</w:t>
      </w:r>
      <w:r w:rsidR="00F525C7" w:rsidRPr="00476FC9">
        <w:rPr>
          <w:rFonts w:eastAsiaTheme="minorEastAsia"/>
          <w:color w:val="000000" w:themeColor="text1"/>
        </w:rPr>
        <w:t xml:space="preserve">. </w:t>
      </w:r>
      <w:r w:rsidR="009E64C1" w:rsidRPr="00476FC9">
        <w:rPr>
          <w:rFonts w:eastAsiaTheme="minorEastAsia"/>
          <w:color w:val="000000" w:themeColor="text1"/>
        </w:rPr>
        <w:t>In addition, m</w:t>
      </w:r>
      <w:r w:rsidR="00D80AF2" w:rsidRPr="00476FC9">
        <w:rPr>
          <w:rFonts w:eastAsiaTheme="minorEastAsia"/>
          <w:color w:val="000000" w:themeColor="text1"/>
        </w:rPr>
        <w:t xml:space="preserve">y </w:t>
      </w:r>
      <w:r w:rsidR="000B5498" w:rsidRPr="00476FC9">
        <w:rPr>
          <w:rFonts w:eastAsiaTheme="minorEastAsia"/>
          <w:color w:val="000000" w:themeColor="text1"/>
        </w:rPr>
        <w:t>MA</w:t>
      </w:r>
      <w:r w:rsidR="00D80AF2" w:rsidRPr="00476FC9">
        <w:rPr>
          <w:rFonts w:eastAsiaTheme="minorEastAsia"/>
          <w:color w:val="000000" w:themeColor="text1"/>
        </w:rPr>
        <w:t xml:space="preserve"> study advisors, Dr. Spencer Tinkham, Dr. Karen King, and Dr. Leara Rhodes</w:t>
      </w:r>
      <w:r w:rsidR="009E64C1" w:rsidRPr="00476FC9">
        <w:rPr>
          <w:rFonts w:eastAsiaTheme="minorEastAsia"/>
          <w:color w:val="000000" w:themeColor="text1"/>
        </w:rPr>
        <w:t>,</w:t>
      </w:r>
      <w:r w:rsidR="00D80AF2" w:rsidRPr="00476FC9">
        <w:rPr>
          <w:rFonts w:eastAsiaTheme="minorEastAsia"/>
          <w:color w:val="000000" w:themeColor="text1"/>
        </w:rPr>
        <w:t xml:space="preserve"> </w:t>
      </w:r>
      <w:r w:rsidR="009E64C1" w:rsidRPr="00476FC9">
        <w:rPr>
          <w:rFonts w:eastAsiaTheme="minorEastAsia"/>
          <w:color w:val="000000" w:themeColor="text1"/>
        </w:rPr>
        <w:t xml:space="preserve">at the University of Georgia, </w:t>
      </w:r>
      <w:r w:rsidR="00D80AF2" w:rsidRPr="00476FC9">
        <w:rPr>
          <w:rFonts w:eastAsiaTheme="minorEastAsia"/>
          <w:color w:val="000000" w:themeColor="text1"/>
        </w:rPr>
        <w:t xml:space="preserve">were also great </w:t>
      </w:r>
      <w:r w:rsidR="008D2334" w:rsidRPr="00476FC9">
        <w:rPr>
          <w:rFonts w:eastAsiaTheme="minorEastAsia"/>
          <w:color w:val="000000" w:themeColor="text1"/>
        </w:rPr>
        <w:t xml:space="preserve">emotional and academic </w:t>
      </w:r>
      <w:r w:rsidR="00D80AF2" w:rsidRPr="00476FC9">
        <w:rPr>
          <w:rFonts w:eastAsiaTheme="minorEastAsia"/>
          <w:color w:val="000000" w:themeColor="text1"/>
        </w:rPr>
        <w:t xml:space="preserve">supporters. </w:t>
      </w:r>
      <w:r w:rsidR="00F525C7" w:rsidRPr="00476FC9">
        <w:rPr>
          <w:rFonts w:eastAsiaTheme="minorEastAsia"/>
          <w:color w:val="000000" w:themeColor="text1"/>
        </w:rPr>
        <w:t xml:space="preserve">In the same token, </w:t>
      </w:r>
      <w:r w:rsidRPr="00476FC9">
        <w:rPr>
          <w:rFonts w:eastAsiaTheme="minorEastAsia" w:hint="eastAsia"/>
          <w:color w:val="000000" w:themeColor="text1"/>
        </w:rPr>
        <w:t>Dr. Eric Haley</w:t>
      </w:r>
      <w:r w:rsidR="00F525C7" w:rsidRPr="00476FC9">
        <w:rPr>
          <w:rFonts w:eastAsiaTheme="minorEastAsia"/>
          <w:color w:val="000000" w:themeColor="text1"/>
        </w:rPr>
        <w:t xml:space="preserve"> was a very inf</w:t>
      </w:r>
      <w:r w:rsidR="00D80AF2" w:rsidRPr="00476FC9">
        <w:rPr>
          <w:rFonts w:eastAsiaTheme="minorEastAsia"/>
          <w:color w:val="000000" w:themeColor="text1"/>
        </w:rPr>
        <w:t>luential mentor</w:t>
      </w:r>
      <w:r w:rsidR="00F525C7" w:rsidRPr="00476FC9">
        <w:rPr>
          <w:rFonts w:eastAsiaTheme="minorEastAsia"/>
          <w:color w:val="000000" w:themeColor="text1"/>
        </w:rPr>
        <w:t xml:space="preserve"> during my PhD study. His succinct </w:t>
      </w:r>
      <w:r w:rsidR="00720B56">
        <w:rPr>
          <w:rFonts w:eastAsiaTheme="minorEastAsia"/>
          <w:color w:val="000000" w:themeColor="text1"/>
        </w:rPr>
        <w:t>and</w:t>
      </w:r>
      <w:r w:rsidR="00F525C7" w:rsidRPr="00476FC9">
        <w:rPr>
          <w:rFonts w:eastAsiaTheme="minorEastAsia"/>
          <w:color w:val="000000" w:themeColor="text1"/>
        </w:rPr>
        <w:t xml:space="preserve"> insightful comments were </w:t>
      </w:r>
      <w:r w:rsidR="00F525C7" w:rsidRPr="00476FC9">
        <w:rPr>
          <w:rFonts w:eastAsiaTheme="minorEastAsia"/>
          <w:color w:val="000000" w:themeColor="text1"/>
        </w:rPr>
        <w:lastRenderedPageBreak/>
        <w:t xml:space="preserve">always </w:t>
      </w:r>
      <w:r w:rsidR="000B5498" w:rsidRPr="00476FC9">
        <w:rPr>
          <w:rFonts w:eastAsiaTheme="minorEastAsia"/>
          <w:color w:val="000000" w:themeColor="text1"/>
        </w:rPr>
        <w:t>useful</w:t>
      </w:r>
      <w:r w:rsidR="00F525C7" w:rsidRPr="00476FC9">
        <w:rPr>
          <w:rFonts w:eastAsiaTheme="minorEastAsia"/>
          <w:color w:val="000000" w:themeColor="text1"/>
        </w:rPr>
        <w:t>.</w:t>
      </w:r>
      <w:r w:rsidR="00D80AF2" w:rsidRPr="00476FC9">
        <w:rPr>
          <w:rFonts w:eastAsiaTheme="minorEastAsia"/>
          <w:color w:val="000000" w:themeColor="text1"/>
        </w:rPr>
        <w:t xml:space="preserve"> I cannot forget Dr. Margaret Morrison who is a former director of UTK Advertising during my PhD study. Her decisive </w:t>
      </w:r>
      <w:r w:rsidR="00317EE7">
        <w:rPr>
          <w:rFonts w:eastAsiaTheme="minorEastAsia"/>
          <w:color w:val="000000" w:themeColor="text1"/>
        </w:rPr>
        <w:t>and</w:t>
      </w:r>
      <w:r w:rsidR="00D80AF2" w:rsidRPr="00476FC9">
        <w:rPr>
          <w:rFonts w:eastAsiaTheme="minorEastAsia"/>
          <w:color w:val="000000" w:themeColor="text1"/>
        </w:rPr>
        <w:t xml:space="preserve"> considerate advising was impressive.</w:t>
      </w:r>
      <w:r w:rsidR="00F525C7" w:rsidRPr="00476FC9">
        <w:rPr>
          <w:rFonts w:eastAsiaTheme="minorEastAsia"/>
          <w:color w:val="000000" w:themeColor="text1"/>
        </w:rPr>
        <w:t xml:space="preserve"> I thank</w:t>
      </w:r>
      <w:r w:rsidRPr="00476FC9">
        <w:rPr>
          <w:rFonts w:eastAsiaTheme="minorEastAsia" w:hint="eastAsia"/>
          <w:color w:val="000000" w:themeColor="text1"/>
        </w:rPr>
        <w:t xml:space="preserve"> Dr. Tae</w:t>
      </w:r>
      <w:r w:rsidR="00685F05" w:rsidRPr="00476FC9">
        <w:rPr>
          <w:rFonts w:eastAsiaTheme="minorEastAsia" w:hint="eastAsia"/>
          <w:color w:val="000000" w:themeColor="text1"/>
        </w:rPr>
        <w:t>-</w:t>
      </w:r>
      <w:r w:rsidRPr="00476FC9">
        <w:rPr>
          <w:rFonts w:eastAsiaTheme="minorEastAsia" w:hint="eastAsia"/>
          <w:color w:val="000000" w:themeColor="text1"/>
        </w:rPr>
        <w:t>hyun Baek</w:t>
      </w:r>
      <w:r w:rsidR="00F525C7" w:rsidRPr="00476FC9">
        <w:rPr>
          <w:rFonts w:eastAsiaTheme="minorEastAsia"/>
          <w:color w:val="000000" w:themeColor="text1"/>
        </w:rPr>
        <w:t xml:space="preserve"> </w:t>
      </w:r>
      <w:r w:rsidR="00B5336E">
        <w:rPr>
          <w:rFonts w:eastAsiaTheme="minorEastAsia"/>
          <w:color w:val="000000" w:themeColor="text1"/>
        </w:rPr>
        <w:t xml:space="preserve">(University of Kentucky Faculty) </w:t>
      </w:r>
      <w:r w:rsidR="00F525C7" w:rsidRPr="00476FC9">
        <w:rPr>
          <w:rFonts w:eastAsiaTheme="minorEastAsia"/>
          <w:color w:val="000000" w:themeColor="text1"/>
        </w:rPr>
        <w:t xml:space="preserve">and </w:t>
      </w:r>
      <w:r w:rsidRPr="00476FC9">
        <w:rPr>
          <w:rFonts w:eastAsiaTheme="minorEastAsia" w:hint="eastAsia"/>
          <w:color w:val="000000" w:themeColor="text1"/>
        </w:rPr>
        <w:t>Dr. Ho</w:t>
      </w:r>
      <w:r w:rsidR="00685F05" w:rsidRPr="00476FC9">
        <w:rPr>
          <w:rFonts w:eastAsiaTheme="minorEastAsia" w:hint="eastAsia"/>
          <w:color w:val="000000" w:themeColor="text1"/>
        </w:rPr>
        <w:t>-</w:t>
      </w:r>
      <w:r w:rsidRPr="00476FC9">
        <w:rPr>
          <w:rFonts w:eastAsiaTheme="minorEastAsia" w:hint="eastAsia"/>
          <w:color w:val="000000" w:themeColor="text1"/>
        </w:rPr>
        <w:t>joon Choi</w:t>
      </w:r>
      <w:r w:rsidR="00B5336E">
        <w:rPr>
          <w:rFonts w:eastAsiaTheme="minorEastAsia"/>
          <w:color w:val="000000" w:themeColor="text1"/>
        </w:rPr>
        <w:t xml:space="preserve"> (University of Houston Faculty)</w:t>
      </w:r>
      <w:r w:rsidR="00F525C7" w:rsidRPr="00476FC9">
        <w:rPr>
          <w:rFonts w:eastAsiaTheme="minorEastAsia"/>
          <w:color w:val="000000" w:themeColor="text1"/>
        </w:rPr>
        <w:t>, my trustworthy friends</w:t>
      </w:r>
      <w:r w:rsidR="003146DF" w:rsidRPr="00476FC9">
        <w:rPr>
          <w:rFonts w:eastAsiaTheme="minorEastAsia" w:hint="eastAsia"/>
          <w:color w:val="000000" w:themeColor="text1"/>
        </w:rPr>
        <w:t>.</w:t>
      </w:r>
      <w:r w:rsidR="00D04F8F" w:rsidRPr="00476FC9">
        <w:rPr>
          <w:rFonts w:eastAsiaTheme="minorEastAsia"/>
          <w:color w:val="000000" w:themeColor="text1"/>
        </w:rPr>
        <w:t xml:space="preserve"> They have shared many things with me during my graduate study in the States.</w:t>
      </w:r>
      <w:r w:rsidR="003146DF" w:rsidRPr="00476FC9">
        <w:rPr>
          <w:rFonts w:eastAsiaTheme="minorEastAsia" w:hint="eastAsia"/>
          <w:color w:val="000000" w:themeColor="text1"/>
        </w:rPr>
        <w:t xml:space="preserve"> I would like to express many thanks to my </w:t>
      </w:r>
      <w:r w:rsidR="00F525C7" w:rsidRPr="00476FC9">
        <w:rPr>
          <w:rFonts w:eastAsiaTheme="minorEastAsia"/>
          <w:color w:val="000000" w:themeColor="text1"/>
        </w:rPr>
        <w:t>boon companion</w:t>
      </w:r>
      <w:r w:rsidR="00D04F8F" w:rsidRPr="00476FC9">
        <w:rPr>
          <w:rFonts w:eastAsiaTheme="minorEastAsia"/>
          <w:color w:val="000000" w:themeColor="text1"/>
        </w:rPr>
        <w:t>s,</w:t>
      </w:r>
      <w:r w:rsidR="00F525C7" w:rsidRPr="00476FC9">
        <w:rPr>
          <w:rFonts w:eastAsiaTheme="minorEastAsia"/>
          <w:color w:val="000000" w:themeColor="text1"/>
        </w:rPr>
        <w:t xml:space="preserve"> </w:t>
      </w:r>
      <w:r w:rsidR="003146DF" w:rsidRPr="00476FC9">
        <w:rPr>
          <w:rFonts w:eastAsiaTheme="minorEastAsia" w:hint="eastAsia"/>
          <w:color w:val="000000" w:themeColor="text1"/>
        </w:rPr>
        <w:t>Jong</w:t>
      </w:r>
      <w:r w:rsidR="00685F05" w:rsidRPr="00476FC9">
        <w:rPr>
          <w:rFonts w:eastAsiaTheme="minorEastAsia" w:hint="eastAsia"/>
          <w:color w:val="000000" w:themeColor="text1"/>
        </w:rPr>
        <w:t>-</w:t>
      </w:r>
      <w:r w:rsidR="003146DF" w:rsidRPr="00476FC9">
        <w:rPr>
          <w:rFonts w:eastAsiaTheme="minorEastAsia" w:hint="eastAsia"/>
          <w:color w:val="000000" w:themeColor="text1"/>
        </w:rPr>
        <w:t>han Hyun</w:t>
      </w:r>
      <w:r w:rsidR="00D04F8F" w:rsidRPr="00476FC9">
        <w:rPr>
          <w:rFonts w:eastAsiaTheme="minorEastAsia"/>
          <w:color w:val="000000" w:themeColor="text1"/>
        </w:rPr>
        <w:t xml:space="preserve"> (</w:t>
      </w:r>
      <w:r w:rsidR="00317EE7">
        <w:rPr>
          <w:rFonts w:eastAsiaTheme="minorEastAsia"/>
          <w:color w:val="000000" w:themeColor="text1"/>
        </w:rPr>
        <w:t>Kent State Faculty</w:t>
      </w:r>
      <w:r w:rsidR="00D04F8F" w:rsidRPr="00476FC9">
        <w:rPr>
          <w:rFonts w:eastAsiaTheme="minorEastAsia"/>
          <w:color w:val="000000" w:themeColor="text1"/>
        </w:rPr>
        <w:t>)</w:t>
      </w:r>
      <w:r w:rsidR="003146DF" w:rsidRPr="00476FC9">
        <w:rPr>
          <w:rFonts w:eastAsiaTheme="minorEastAsia" w:hint="eastAsia"/>
          <w:color w:val="000000" w:themeColor="text1"/>
        </w:rPr>
        <w:t>, Kang</w:t>
      </w:r>
      <w:r w:rsidR="00685F05" w:rsidRPr="00476FC9">
        <w:rPr>
          <w:rFonts w:eastAsiaTheme="minorEastAsia" w:hint="eastAsia"/>
          <w:color w:val="000000" w:themeColor="text1"/>
        </w:rPr>
        <w:t>-</w:t>
      </w:r>
      <w:r w:rsidR="003146DF" w:rsidRPr="00476FC9">
        <w:rPr>
          <w:rFonts w:eastAsiaTheme="minorEastAsia" w:hint="eastAsia"/>
          <w:color w:val="000000" w:themeColor="text1"/>
        </w:rPr>
        <w:t>bok Lee</w:t>
      </w:r>
      <w:r w:rsidR="00704DF3" w:rsidRPr="00476FC9">
        <w:rPr>
          <w:rFonts w:eastAsiaTheme="minorEastAsia"/>
          <w:color w:val="000000" w:themeColor="text1"/>
        </w:rPr>
        <w:t xml:space="preserve"> (</w:t>
      </w:r>
      <w:r w:rsidR="00317EE7">
        <w:rPr>
          <w:rFonts w:eastAsiaTheme="minorEastAsia"/>
          <w:color w:val="000000" w:themeColor="text1"/>
        </w:rPr>
        <w:t>Auburn University Faculty</w:t>
      </w:r>
      <w:r w:rsidR="00704DF3" w:rsidRPr="00476FC9">
        <w:rPr>
          <w:rFonts w:eastAsiaTheme="minorEastAsia"/>
          <w:color w:val="000000" w:themeColor="text1"/>
        </w:rPr>
        <w:t>)</w:t>
      </w:r>
      <w:r w:rsidR="003146DF" w:rsidRPr="00476FC9">
        <w:rPr>
          <w:rFonts w:eastAsiaTheme="minorEastAsia" w:hint="eastAsia"/>
          <w:color w:val="000000" w:themeColor="text1"/>
        </w:rPr>
        <w:t xml:space="preserve">, </w:t>
      </w:r>
      <w:r w:rsidR="00F525C7" w:rsidRPr="00476FC9">
        <w:rPr>
          <w:rFonts w:eastAsiaTheme="minorEastAsia"/>
          <w:color w:val="000000" w:themeColor="text1"/>
        </w:rPr>
        <w:t xml:space="preserve">and </w:t>
      </w:r>
      <w:r w:rsidR="003146DF" w:rsidRPr="00476FC9">
        <w:rPr>
          <w:rFonts w:eastAsiaTheme="minorEastAsia" w:hint="eastAsia"/>
          <w:color w:val="000000" w:themeColor="text1"/>
        </w:rPr>
        <w:t>Shawn Starcher</w:t>
      </w:r>
      <w:r w:rsidR="003F7FBB" w:rsidRPr="00476FC9">
        <w:rPr>
          <w:rFonts w:eastAsiaTheme="minorEastAsia"/>
          <w:color w:val="000000" w:themeColor="text1"/>
        </w:rPr>
        <w:t xml:space="preserve"> (</w:t>
      </w:r>
      <w:r w:rsidR="00317EE7">
        <w:rPr>
          <w:rFonts w:eastAsiaTheme="minorEastAsia"/>
          <w:color w:val="000000" w:themeColor="text1"/>
        </w:rPr>
        <w:t>University of Akron Faculty</w:t>
      </w:r>
      <w:r w:rsidR="003F7FBB" w:rsidRPr="00476FC9">
        <w:rPr>
          <w:rFonts w:eastAsiaTheme="minorEastAsia"/>
          <w:color w:val="000000" w:themeColor="text1"/>
        </w:rPr>
        <w:t>)</w:t>
      </w:r>
      <w:r w:rsidR="00F525C7" w:rsidRPr="00476FC9">
        <w:rPr>
          <w:rFonts w:eastAsiaTheme="minorEastAsia"/>
          <w:color w:val="000000" w:themeColor="text1"/>
        </w:rPr>
        <w:t xml:space="preserve">. </w:t>
      </w:r>
      <w:r w:rsidR="00F32234" w:rsidRPr="00476FC9">
        <w:rPr>
          <w:rFonts w:eastAsiaTheme="minorEastAsia"/>
          <w:color w:val="000000" w:themeColor="text1"/>
        </w:rPr>
        <w:t xml:space="preserve">Plus, </w:t>
      </w:r>
      <w:r w:rsidR="00F525C7" w:rsidRPr="00476FC9">
        <w:rPr>
          <w:rFonts w:eastAsiaTheme="minorEastAsia"/>
          <w:color w:val="000000" w:themeColor="text1"/>
        </w:rPr>
        <w:t>I cannot forget my American daddy</w:t>
      </w:r>
      <w:r w:rsidR="003146DF" w:rsidRPr="00476FC9">
        <w:rPr>
          <w:rFonts w:eastAsiaTheme="minorEastAsia" w:hint="eastAsia"/>
          <w:color w:val="000000" w:themeColor="text1"/>
        </w:rPr>
        <w:t xml:space="preserve"> Glenn Hawes.</w:t>
      </w:r>
      <w:r w:rsidR="00F525C7" w:rsidRPr="00476FC9">
        <w:rPr>
          <w:rFonts w:eastAsiaTheme="minorEastAsia"/>
          <w:color w:val="000000" w:themeColor="text1"/>
        </w:rPr>
        <w:t xml:space="preserve"> </w:t>
      </w:r>
      <w:r w:rsidR="006F3548">
        <w:rPr>
          <w:rFonts w:eastAsiaTheme="minorEastAsia"/>
          <w:color w:val="000000" w:themeColor="text1"/>
        </w:rPr>
        <w:t>His</w:t>
      </w:r>
      <w:r w:rsidR="00F525C7" w:rsidRPr="00476FC9">
        <w:rPr>
          <w:rFonts w:eastAsiaTheme="minorEastAsia"/>
          <w:color w:val="000000" w:themeColor="text1"/>
        </w:rPr>
        <w:t xml:space="preserve"> emotional support and life experience shared with me were </w:t>
      </w:r>
      <w:r w:rsidR="00F32234" w:rsidRPr="00476FC9">
        <w:rPr>
          <w:rFonts w:eastAsiaTheme="minorEastAsia"/>
          <w:color w:val="000000" w:themeColor="text1"/>
        </w:rPr>
        <w:t xml:space="preserve">much </w:t>
      </w:r>
      <w:r w:rsidR="00F525C7" w:rsidRPr="00476FC9">
        <w:rPr>
          <w:rFonts w:eastAsiaTheme="minorEastAsia"/>
          <w:color w:val="000000" w:themeColor="text1"/>
        </w:rPr>
        <w:t>more valuable than any theory and method that I know.</w:t>
      </w:r>
    </w:p>
    <w:p w:rsidR="003146DF" w:rsidRPr="00476FC9" w:rsidRDefault="003146DF" w:rsidP="007D2ACE">
      <w:pPr>
        <w:keepNext w:val="0"/>
        <w:widowControl w:val="0"/>
        <w:kinsoku w:val="0"/>
        <w:overflowPunct w:val="0"/>
        <w:autoSpaceDE w:val="0"/>
        <w:autoSpaceDN w:val="0"/>
        <w:adjustRightInd w:val="0"/>
        <w:snapToGrid w:val="0"/>
        <w:spacing w:before="0" w:after="0"/>
        <w:outlineLvl w:val="9"/>
        <w:rPr>
          <w:rFonts w:eastAsiaTheme="minorEastAsia"/>
          <w:color w:val="000000" w:themeColor="text1"/>
        </w:rPr>
      </w:pPr>
      <w:r w:rsidRPr="00476FC9">
        <w:rPr>
          <w:rFonts w:eastAsiaTheme="minorEastAsia" w:hint="eastAsia"/>
          <w:color w:val="000000" w:themeColor="text1"/>
        </w:rPr>
        <w:tab/>
      </w:r>
      <w:r w:rsidRPr="00476FC9">
        <w:rPr>
          <w:rFonts w:eastAsiaTheme="minorEastAsia"/>
          <w:color w:val="000000" w:themeColor="text1"/>
        </w:rPr>
        <w:t>M</w:t>
      </w:r>
      <w:r w:rsidRPr="00476FC9">
        <w:rPr>
          <w:rFonts w:eastAsiaTheme="minorEastAsia" w:hint="eastAsia"/>
          <w:color w:val="000000" w:themeColor="text1"/>
        </w:rPr>
        <w:t>y special thank</w:t>
      </w:r>
      <w:r w:rsidR="00EB55C5" w:rsidRPr="00476FC9">
        <w:rPr>
          <w:rFonts w:eastAsiaTheme="minorEastAsia" w:hint="eastAsia"/>
          <w:color w:val="000000" w:themeColor="text1"/>
        </w:rPr>
        <w:t>s</w:t>
      </w:r>
      <w:r w:rsidRPr="00476FC9">
        <w:rPr>
          <w:rFonts w:eastAsiaTheme="minorEastAsia" w:hint="eastAsia"/>
          <w:color w:val="000000" w:themeColor="text1"/>
        </w:rPr>
        <w:t xml:space="preserve"> go </w:t>
      </w:r>
      <w:r w:rsidR="00EB55C5" w:rsidRPr="00476FC9">
        <w:rPr>
          <w:rFonts w:eastAsiaTheme="minorEastAsia" w:hint="eastAsia"/>
          <w:color w:val="000000" w:themeColor="text1"/>
        </w:rPr>
        <w:t xml:space="preserve">to </w:t>
      </w:r>
      <w:r w:rsidRPr="00476FC9">
        <w:rPr>
          <w:rFonts w:eastAsiaTheme="minorEastAsia" w:hint="eastAsia"/>
          <w:color w:val="000000" w:themeColor="text1"/>
        </w:rPr>
        <w:t>my family, especially my wife (Dr. Eun</w:t>
      </w:r>
      <w:r w:rsidR="00685F05" w:rsidRPr="00476FC9">
        <w:rPr>
          <w:rFonts w:eastAsiaTheme="minorEastAsia" w:hint="eastAsia"/>
          <w:color w:val="000000" w:themeColor="text1"/>
        </w:rPr>
        <w:t>-</w:t>
      </w:r>
      <w:r w:rsidRPr="00476FC9">
        <w:rPr>
          <w:rFonts w:eastAsiaTheme="minorEastAsia" w:hint="eastAsia"/>
          <w:color w:val="000000" w:themeColor="text1"/>
        </w:rPr>
        <w:t>ju Rho), son (Daniel Ju), mother (Bong</w:t>
      </w:r>
      <w:r w:rsidR="00685F05" w:rsidRPr="00476FC9">
        <w:rPr>
          <w:rFonts w:eastAsiaTheme="minorEastAsia" w:hint="eastAsia"/>
          <w:color w:val="000000" w:themeColor="text1"/>
        </w:rPr>
        <w:t>-</w:t>
      </w:r>
      <w:r w:rsidRPr="00476FC9">
        <w:rPr>
          <w:rFonts w:eastAsiaTheme="minorEastAsia" w:hint="eastAsia"/>
          <w:color w:val="000000" w:themeColor="text1"/>
        </w:rPr>
        <w:t>im Cho), father (So</w:t>
      </w:r>
      <w:r w:rsidR="00685F05" w:rsidRPr="00476FC9">
        <w:rPr>
          <w:rFonts w:eastAsiaTheme="minorEastAsia" w:hint="eastAsia"/>
          <w:color w:val="000000" w:themeColor="text1"/>
        </w:rPr>
        <w:t>-</w:t>
      </w:r>
      <w:r w:rsidRPr="00476FC9">
        <w:rPr>
          <w:rFonts w:eastAsiaTheme="minorEastAsia" w:hint="eastAsia"/>
          <w:color w:val="000000" w:themeColor="text1"/>
        </w:rPr>
        <w:t>ja Ju), sister (Joung</w:t>
      </w:r>
      <w:r w:rsidR="00685F05" w:rsidRPr="00476FC9">
        <w:rPr>
          <w:rFonts w:eastAsiaTheme="minorEastAsia" w:hint="eastAsia"/>
          <w:color w:val="000000" w:themeColor="text1"/>
        </w:rPr>
        <w:t>-</w:t>
      </w:r>
      <w:r w:rsidRPr="00476FC9">
        <w:rPr>
          <w:rFonts w:eastAsiaTheme="minorEastAsia" w:hint="eastAsia"/>
          <w:color w:val="000000" w:themeColor="text1"/>
        </w:rPr>
        <w:t xml:space="preserve">a Ju), </w:t>
      </w:r>
      <w:r w:rsidR="00EB55C5" w:rsidRPr="00476FC9">
        <w:rPr>
          <w:rFonts w:eastAsiaTheme="minorEastAsia" w:hint="eastAsia"/>
          <w:color w:val="000000" w:themeColor="text1"/>
        </w:rPr>
        <w:t xml:space="preserve">elder brother-in-law (Soohyun Jung), </w:t>
      </w:r>
      <w:r w:rsidRPr="00476FC9">
        <w:rPr>
          <w:rFonts w:eastAsiaTheme="minorEastAsia" w:hint="eastAsia"/>
          <w:color w:val="000000" w:themeColor="text1"/>
        </w:rPr>
        <w:t>father-in-law</w:t>
      </w:r>
      <w:r w:rsidR="00EB55C5" w:rsidRPr="00476FC9">
        <w:rPr>
          <w:rFonts w:eastAsiaTheme="minorEastAsia" w:hint="eastAsia"/>
          <w:color w:val="000000" w:themeColor="text1"/>
        </w:rPr>
        <w:t xml:space="preserve"> (</w:t>
      </w:r>
      <w:r w:rsidR="00685F05" w:rsidRPr="00476FC9">
        <w:rPr>
          <w:rFonts w:eastAsiaTheme="minorEastAsia" w:hint="eastAsia"/>
          <w:color w:val="000000" w:themeColor="text1"/>
        </w:rPr>
        <w:t>G</w:t>
      </w:r>
      <w:r w:rsidR="00EB55C5" w:rsidRPr="00476FC9">
        <w:rPr>
          <w:rFonts w:eastAsiaTheme="minorEastAsia" w:hint="eastAsia"/>
          <w:color w:val="000000" w:themeColor="text1"/>
        </w:rPr>
        <w:t>y</w:t>
      </w:r>
      <w:r w:rsidR="00685F05" w:rsidRPr="00476FC9">
        <w:rPr>
          <w:rFonts w:eastAsiaTheme="minorEastAsia" w:hint="eastAsia"/>
          <w:color w:val="000000" w:themeColor="text1"/>
        </w:rPr>
        <w:t>eong-seob</w:t>
      </w:r>
      <w:r w:rsidR="00EB55C5" w:rsidRPr="00476FC9">
        <w:rPr>
          <w:rFonts w:eastAsiaTheme="minorEastAsia" w:hint="eastAsia"/>
          <w:color w:val="000000" w:themeColor="text1"/>
        </w:rPr>
        <w:t xml:space="preserve"> Rho)</w:t>
      </w:r>
      <w:r w:rsidRPr="00476FC9">
        <w:rPr>
          <w:rFonts w:eastAsiaTheme="minorEastAsia" w:hint="eastAsia"/>
          <w:color w:val="000000" w:themeColor="text1"/>
        </w:rPr>
        <w:t>, mother-in-law</w:t>
      </w:r>
      <w:r w:rsidR="00EB55C5" w:rsidRPr="00476FC9">
        <w:rPr>
          <w:rFonts w:eastAsiaTheme="minorEastAsia" w:hint="eastAsia"/>
          <w:color w:val="000000" w:themeColor="text1"/>
        </w:rPr>
        <w:t xml:space="preserve"> (Keun</w:t>
      </w:r>
      <w:r w:rsidR="00685F05" w:rsidRPr="00476FC9">
        <w:rPr>
          <w:rFonts w:eastAsiaTheme="minorEastAsia" w:hint="eastAsia"/>
          <w:color w:val="000000" w:themeColor="text1"/>
        </w:rPr>
        <w:t>-</w:t>
      </w:r>
      <w:r w:rsidR="00EB55C5" w:rsidRPr="00476FC9">
        <w:rPr>
          <w:rFonts w:eastAsiaTheme="minorEastAsia" w:hint="eastAsia"/>
          <w:color w:val="000000" w:themeColor="text1"/>
        </w:rPr>
        <w:t>ki Lee)</w:t>
      </w:r>
      <w:r w:rsidRPr="00476FC9">
        <w:rPr>
          <w:rFonts w:eastAsiaTheme="minorEastAsia" w:hint="eastAsia"/>
          <w:color w:val="000000" w:themeColor="text1"/>
        </w:rPr>
        <w:t xml:space="preserve">, and </w:t>
      </w:r>
      <w:r w:rsidR="00EB55C5" w:rsidRPr="00476FC9">
        <w:rPr>
          <w:rFonts w:eastAsiaTheme="minorEastAsia" w:hint="eastAsia"/>
          <w:color w:val="000000" w:themeColor="text1"/>
        </w:rPr>
        <w:t>sister-in-law (Hye</w:t>
      </w:r>
      <w:r w:rsidR="00685F05" w:rsidRPr="00476FC9">
        <w:rPr>
          <w:rFonts w:eastAsiaTheme="minorEastAsia" w:hint="eastAsia"/>
          <w:color w:val="000000" w:themeColor="text1"/>
        </w:rPr>
        <w:t>-</w:t>
      </w:r>
      <w:r w:rsidR="00EB55C5" w:rsidRPr="00476FC9">
        <w:rPr>
          <w:rFonts w:eastAsiaTheme="minorEastAsia" w:hint="eastAsia"/>
          <w:color w:val="000000" w:themeColor="text1"/>
        </w:rPr>
        <w:t>ran Rho)</w:t>
      </w:r>
      <w:r w:rsidRPr="00476FC9">
        <w:rPr>
          <w:rFonts w:eastAsiaTheme="minorEastAsia" w:hint="eastAsia"/>
          <w:color w:val="000000" w:themeColor="text1"/>
        </w:rPr>
        <w:t>. My career as a doctoral student was not possible withou</w:t>
      </w:r>
      <w:r w:rsidR="00685F05" w:rsidRPr="00476FC9">
        <w:rPr>
          <w:rFonts w:eastAsiaTheme="minorEastAsia" w:hint="eastAsia"/>
          <w:color w:val="000000" w:themeColor="text1"/>
        </w:rPr>
        <w:t>t their devotion and sacrifice.</w:t>
      </w:r>
    </w:p>
    <w:p w:rsidR="0051795B" w:rsidRPr="00476FC9" w:rsidRDefault="00E755B0" w:rsidP="007D2ACE">
      <w:pPr>
        <w:keepNext w:val="0"/>
        <w:widowControl w:val="0"/>
        <w:kinsoku w:val="0"/>
        <w:overflowPunct w:val="0"/>
        <w:autoSpaceDE w:val="0"/>
        <w:autoSpaceDN w:val="0"/>
        <w:adjustRightInd w:val="0"/>
        <w:snapToGrid w:val="0"/>
        <w:spacing w:before="0" w:after="0"/>
        <w:outlineLvl w:val="9"/>
        <w:rPr>
          <w:color w:val="000000" w:themeColor="text1"/>
        </w:rPr>
      </w:pPr>
      <w:r w:rsidRPr="00476FC9">
        <w:rPr>
          <w:rFonts w:eastAsiaTheme="minorEastAsia" w:hint="eastAsia"/>
          <w:color w:val="000000" w:themeColor="text1"/>
        </w:rPr>
        <w:tab/>
        <w:t xml:space="preserve">Last, but not least, I truly and deeply thank my living God for giving me strength in the midst of trials, for being with us and helping us, for letting me know the joy of </w:t>
      </w:r>
      <w:r w:rsidR="00F525C7" w:rsidRPr="00476FC9">
        <w:rPr>
          <w:rFonts w:eastAsiaTheme="minorEastAsia"/>
          <w:color w:val="000000" w:themeColor="text1"/>
        </w:rPr>
        <w:t>walking</w:t>
      </w:r>
      <w:r w:rsidRPr="00476FC9">
        <w:rPr>
          <w:rFonts w:eastAsiaTheme="minorEastAsia" w:hint="eastAsia"/>
          <w:color w:val="000000" w:themeColor="text1"/>
        </w:rPr>
        <w:t xml:space="preserve"> with Him, and for all of His gifts.</w:t>
      </w:r>
    </w:p>
    <w:p w:rsidR="00F525C7" w:rsidRPr="00476FC9" w:rsidRDefault="00F525C7" w:rsidP="007D2ACE">
      <w:pPr>
        <w:keepNext w:val="0"/>
        <w:widowControl w:val="0"/>
        <w:kinsoku w:val="0"/>
        <w:overflowPunct w:val="0"/>
        <w:autoSpaceDE w:val="0"/>
        <w:autoSpaceDN w:val="0"/>
        <w:adjustRightInd w:val="0"/>
        <w:snapToGrid w:val="0"/>
        <w:spacing w:before="0" w:after="0" w:line="240" w:lineRule="auto"/>
        <w:outlineLvl w:val="9"/>
        <w:rPr>
          <w:b/>
          <w:color w:val="000000" w:themeColor="text1"/>
        </w:rPr>
      </w:pPr>
      <w:r w:rsidRPr="00476FC9">
        <w:rPr>
          <w:b/>
          <w:color w:val="000000" w:themeColor="text1"/>
        </w:rPr>
        <w:br w:type="page"/>
      </w:r>
    </w:p>
    <w:p w:rsidR="00236E6D" w:rsidRPr="00476FC9" w:rsidRDefault="00D067C3" w:rsidP="007D2ACE">
      <w:pPr>
        <w:keepNext w:val="0"/>
        <w:widowControl w:val="0"/>
        <w:kinsoku w:val="0"/>
        <w:overflowPunct w:val="0"/>
        <w:autoSpaceDE w:val="0"/>
        <w:autoSpaceDN w:val="0"/>
        <w:adjustRightInd w:val="0"/>
        <w:snapToGrid w:val="0"/>
        <w:spacing w:before="0" w:after="0"/>
        <w:jc w:val="center"/>
        <w:rPr>
          <w:color w:val="000000" w:themeColor="text1"/>
        </w:rPr>
      </w:pPr>
      <w:r w:rsidRPr="00476FC9">
        <w:rPr>
          <w:b/>
          <w:color w:val="000000" w:themeColor="text1"/>
        </w:rPr>
        <w:lastRenderedPageBreak/>
        <w:t>Abstract</w:t>
      </w:r>
    </w:p>
    <w:p w:rsidR="00FC3987" w:rsidRPr="00476FC9" w:rsidRDefault="005876E3"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FC3987" w:rsidRPr="00476FC9">
        <w:rPr>
          <w:i/>
          <w:color w:val="000000" w:themeColor="text1"/>
        </w:rPr>
        <w:t>Fair balance</w:t>
      </w:r>
      <w:r w:rsidR="00FC3987" w:rsidRPr="00476FC9">
        <w:rPr>
          <w:color w:val="000000" w:themeColor="text1"/>
        </w:rPr>
        <w:t xml:space="preserve"> of benefit and risk information in consumer prescription drug advertising (DTCA) has received much research attention. In this regard, it has been well-documented that varying levels of risk disclosure prominence have disproportional effects on consumer response to the DTC ad. However, little research has examined how the prominence effects can be maximized or minimized depending on consumers’ varying levels of knowledge of the FDA’s regulatory role for DTCA. In a similar vein, rare research has been conducted to investigate how such regulatory knowledge directly affects consumers’ risk disclosure coping strategies.</w:t>
      </w:r>
    </w:p>
    <w:p w:rsidR="00FC3987" w:rsidRPr="00476FC9" w:rsidRDefault="00FC3987"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Drawing on consumer information processing perspe</w:t>
      </w:r>
      <w:r w:rsidR="001B42C7" w:rsidRPr="00476FC9">
        <w:rPr>
          <w:color w:val="000000" w:themeColor="text1"/>
        </w:rPr>
        <w:t xml:space="preserve">ctives, this research employs an experimental approach </w:t>
      </w:r>
      <w:r w:rsidRPr="00476FC9">
        <w:rPr>
          <w:color w:val="000000" w:themeColor="text1"/>
        </w:rPr>
        <w:t>to examine one manipulated categorical variable, one measured continuous variable, and their interactive effects on consumer response to the ad, while controlling for potential covariates. Specifically, two levels of risk disclosure prominence are manipulated (high vs. low) and coded as a dummy variable, and DTCA regulatory knowledge is measured as a continuous variable. Further, based on the persuasion knowledge model (PKM) framework, DTCA regulatory knowledge is tested as a moderator of the prominence effects. Consumer memory such as unaided-recall and aided-recognition of the health risks of the medicine presented in the ad as well as self-reported perceived attention to risk disclosure are addressed as criterion variables.</w:t>
      </w:r>
    </w:p>
    <w:p w:rsidR="00FC3987" w:rsidRPr="00476FC9" w:rsidRDefault="00FC3987"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The major findings are summarized as follows: (1) both higher DTCA regulatory knowledge and higher prominence enhanced perceived attention to risk disclosure; (2) both higher DTCA regulatory knowledge and higher prominence enhanced consumer recognition of risk information; (3) DTCA regulatory knowledge moderated the prominence effects on </w:t>
      </w:r>
      <w:r w:rsidRPr="00476FC9">
        <w:rPr>
          <w:color w:val="000000" w:themeColor="text1"/>
        </w:rPr>
        <w:lastRenderedPageBreak/>
        <w:t>perceived attention to risk disclosure; (4) the main DTCA regulatory knowledge effects and the main prominence effects on consumer recall and recognition were mediated through perceive</w:t>
      </w:r>
      <w:r w:rsidR="00A56DCB" w:rsidRPr="00476FC9">
        <w:rPr>
          <w:color w:val="000000" w:themeColor="text1"/>
        </w:rPr>
        <w:t xml:space="preserve">d attention to risk disclosure; (5) </w:t>
      </w:r>
      <w:r w:rsidRPr="00476FC9">
        <w:rPr>
          <w:color w:val="000000" w:themeColor="text1"/>
        </w:rPr>
        <w:t>However, the moderated mediation effect analyses revealed that the</w:t>
      </w:r>
      <w:r w:rsidR="00AE4946" w:rsidRPr="00476FC9">
        <w:rPr>
          <w:color w:val="000000" w:themeColor="text1"/>
        </w:rPr>
        <w:t xml:space="preserve"> </w:t>
      </w:r>
      <w:r w:rsidRPr="00476FC9">
        <w:rPr>
          <w:color w:val="000000" w:themeColor="text1"/>
        </w:rPr>
        <w:t xml:space="preserve">effects of prominence on recall and recognition were mediated through perceived attention among low DTCA regulatory knowledge consumers, whereas the </w:t>
      </w:r>
      <w:r w:rsidR="00AE4946" w:rsidRPr="00476FC9">
        <w:rPr>
          <w:color w:val="000000" w:themeColor="text1"/>
        </w:rPr>
        <w:t xml:space="preserve">mediating </w:t>
      </w:r>
      <w:r w:rsidRPr="00476FC9">
        <w:rPr>
          <w:color w:val="000000" w:themeColor="text1"/>
        </w:rPr>
        <w:t>effects were minimal among high DTCA regulatory knowledge consumers.</w:t>
      </w:r>
    </w:p>
    <w:p w:rsidR="00FC3987" w:rsidRPr="00476FC9" w:rsidRDefault="00FC3987"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The overall findings support the current study’s </w:t>
      </w:r>
      <w:r w:rsidR="00045282" w:rsidRPr="00476FC9">
        <w:rPr>
          <w:color w:val="000000" w:themeColor="text1"/>
        </w:rPr>
        <w:t>conceptual</w:t>
      </w:r>
      <w:r w:rsidRPr="00476FC9">
        <w:rPr>
          <w:color w:val="000000" w:themeColor="text1"/>
        </w:rPr>
        <w:t xml:space="preserve"> framework. The theoretical, managerial, and consumer education/public health implications of this research are discussed.</w:t>
      </w:r>
    </w:p>
    <w:p w:rsidR="00CE1EAB" w:rsidRPr="00476FC9" w:rsidRDefault="00CE1EAB"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br w:type="page"/>
      </w:r>
      <w:bookmarkStart w:id="0" w:name="_GoBack"/>
      <w:bookmarkEnd w:id="0"/>
    </w:p>
    <w:p w:rsidR="003D6768" w:rsidRDefault="003D6768" w:rsidP="003D6768">
      <w:pPr>
        <w:pStyle w:val="TOC1"/>
      </w:pPr>
      <w:r>
        <w:lastRenderedPageBreak/>
        <w:t>Table of Contents</w:t>
      </w:r>
    </w:p>
    <w:p w:rsidR="003D6768" w:rsidRDefault="00E353AA" w:rsidP="003D6768">
      <w:pPr>
        <w:pStyle w:val="TOC1"/>
        <w:rPr>
          <w:rFonts w:asciiTheme="minorHAnsi" w:eastAsiaTheme="minorEastAsia" w:hAnsiTheme="minorHAnsi" w:cstheme="minorBidi"/>
          <w:noProof/>
          <w:sz w:val="22"/>
          <w:szCs w:val="22"/>
        </w:rPr>
      </w:pPr>
      <w:r w:rsidRPr="00476FC9">
        <w:rPr>
          <w:color w:val="000000" w:themeColor="text1"/>
        </w:rPr>
        <w:fldChar w:fldCharType="begin"/>
      </w:r>
      <w:r w:rsidR="00236E6D" w:rsidRPr="00476FC9">
        <w:rPr>
          <w:color w:val="000000" w:themeColor="text1"/>
        </w:rPr>
        <w:instrText xml:space="preserve"> TOC \o "1-3" \h \z </w:instrText>
      </w:r>
      <w:r w:rsidRPr="00476FC9">
        <w:rPr>
          <w:color w:val="000000" w:themeColor="text1"/>
        </w:rPr>
        <w:fldChar w:fldCharType="separate"/>
      </w:r>
      <w:hyperlink w:anchor="_Toc393800648" w:history="1">
        <w:r w:rsidR="003D6768" w:rsidRPr="00640D62">
          <w:rPr>
            <w:rStyle w:val="Hyperlink"/>
            <w:noProof/>
          </w:rPr>
          <w:t>CHAPTER 1: INTRODUCTION</w:t>
        </w:r>
        <w:r w:rsidR="003D6768">
          <w:rPr>
            <w:noProof/>
            <w:webHidden/>
          </w:rPr>
          <w:tab/>
        </w:r>
        <w:r w:rsidR="003D6768">
          <w:rPr>
            <w:noProof/>
            <w:webHidden/>
          </w:rPr>
          <w:fldChar w:fldCharType="begin"/>
        </w:r>
        <w:r w:rsidR="003D6768">
          <w:rPr>
            <w:noProof/>
            <w:webHidden/>
          </w:rPr>
          <w:instrText xml:space="preserve"> PAGEREF _Toc393800648 \h </w:instrText>
        </w:r>
        <w:r w:rsidR="003D6768">
          <w:rPr>
            <w:noProof/>
            <w:webHidden/>
          </w:rPr>
        </w:r>
        <w:r w:rsidR="003D6768">
          <w:rPr>
            <w:noProof/>
            <w:webHidden/>
          </w:rPr>
          <w:fldChar w:fldCharType="separate"/>
        </w:r>
        <w:r w:rsidR="003D6768">
          <w:rPr>
            <w:noProof/>
            <w:webHidden/>
          </w:rPr>
          <w:t>1</w:t>
        </w:r>
        <w:r w:rsidR="003D6768">
          <w:rPr>
            <w:noProof/>
            <w:webHidden/>
          </w:rPr>
          <w:fldChar w:fldCharType="end"/>
        </w:r>
      </w:hyperlink>
    </w:p>
    <w:p w:rsidR="003D6768" w:rsidRDefault="003D6768">
      <w:pPr>
        <w:pStyle w:val="TOC2"/>
        <w:rPr>
          <w:rFonts w:asciiTheme="minorHAnsi" w:eastAsiaTheme="minorEastAsia" w:hAnsiTheme="minorHAnsi" w:cstheme="minorBidi"/>
          <w:bCs w:val="0"/>
          <w:noProof/>
          <w:sz w:val="22"/>
          <w:szCs w:val="22"/>
        </w:rPr>
      </w:pPr>
      <w:hyperlink w:anchor="_Toc393800649" w:history="1">
        <w:r w:rsidRPr="00640D62">
          <w:rPr>
            <w:rStyle w:val="Hyperlink"/>
            <w:noProof/>
          </w:rPr>
          <w:t>Research Problem</w:t>
        </w:r>
        <w:r>
          <w:rPr>
            <w:noProof/>
            <w:webHidden/>
          </w:rPr>
          <w:tab/>
        </w:r>
        <w:r>
          <w:rPr>
            <w:noProof/>
            <w:webHidden/>
          </w:rPr>
          <w:fldChar w:fldCharType="begin"/>
        </w:r>
        <w:r>
          <w:rPr>
            <w:noProof/>
            <w:webHidden/>
          </w:rPr>
          <w:instrText xml:space="preserve"> PAGEREF _Toc393800649 \h </w:instrText>
        </w:r>
        <w:r>
          <w:rPr>
            <w:noProof/>
            <w:webHidden/>
          </w:rPr>
        </w:r>
        <w:r>
          <w:rPr>
            <w:noProof/>
            <w:webHidden/>
          </w:rPr>
          <w:fldChar w:fldCharType="separate"/>
        </w:r>
        <w:r>
          <w:rPr>
            <w:noProof/>
            <w:webHidden/>
          </w:rPr>
          <w:t>1</w:t>
        </w:r>
        <w:r>
          <w:rPr>
            <w:noProof/>
            <w:webHidden/>
          </w:rPr>
          <w:fldChar w:fldCharType="end"/>
        </w:r>
      </w:hyperlink>
    </w:p>
    <w:p w:rsidR="003D6768" w:rsidRDefault="003D6768">
      <w:pPr>
        <w:pStyle w:val="TOC2"/>
        <w:rPr>
          <w:rFonts w:asciiTheme="minorHAnsi" w:eastAsiaTheme="minorEastAsia" w:hAnsiTheme="minorHAnsi" w:cstheme="minorBidi"/>
          <w:bCs w:val="0"/>
          <w:noProof/>
          <w:sz w:val="22"/>
          <w:szCs w:val="22"/>
        </w:rPr>
      </w:pPr>
      <w:hyperlink w:anchor="_Toc393800650" w:history="1">
        <w:r w:rsidRPr="00640D62">
          <w:rPr>
            <w:rStyle w:val="Hyperlink"/>
            <w:noProof/>
          </w:rPr>
          <w:t>Purpose of the Study</w:t>
        </w:r>
        <w:r>
          <w:rPr>
            <w:noProof/>
            <w:webHidden/>
          </w:rPr>
          <w:tab/>
        </w:r>
        <w:r>
          <w:rPr>
            <w:noProof/>
            <w:webHidden/>
          </w:rPr>
          <w:fldChar w:fldCharType="begin"/>
        </w:r>
        <w:r>
          <w:rPr>
            <w:noProof/>
            <w:webHidden/>
          </w:rPr>
          <w:instrText xml:space="preserve"> PAGEREF _Toc393800650 \h </w:instrText>
        </w:r>
        <w:r>
          <w:rPr>
            <w:noProof/>
            <w:webHidden/>
          </w:rPr>
        </w:r>
        <w:r>
          <w:rPr>
            <w:noProof/>
            <w:webHidden/>
          </w:rPr>
          <w:fldChar w:fldCharType="separate"/>
        </w:r>
        <w:r>
          <w:rPr>
            <w:noProof/>
            <w:webHidden/>
          </w:rPr>
          <w:t>4</w:t>
        </w:r>
        <w:r>
          <w:rPr>
            <w:noProof/>
            <w:webHidden/>
          </w:rPr>
          <w:fldChar w:fldCharType="end"/>
        </w:r>
      </w:hyperlink>
    </w:p>
    <w:p w:rsidR="003D6768" w:rsidRDefault="003D6768">
      <w:pPr>
        <w:pStyle w:val="TOC2"/>
        <w:rPr>
          <w:rFonts w:asciiTheme="minorHAnsi" w:eastAsiaTheme="minorEastAsia" w:hAnsiTheme="minorHAnsi" w:cstheme="minorBidi"/>
          <w:bCs w:val="0"/>
          <w:noProof/>
          <w:sz w:val="22"/>
          <w:szCs w:val="22"/>
        </w:rPr>
      </w:pPr>
      <w:hyperlink w:anchor="_Toc393800651" w:history="1">
        <w:r w:rsidRPr="00640D62">
          <w:rPr>
            <w:rStyle w:val="Hyperlink"/>
            <w:noProof/>
          </w:rPr>
          <w:t>The Organization of Dissertation</w:t>
        </w:r>
        <w:r>
          <w:rPr>
            <w:noProof/>
            <w:webHidden/>
          </w:rPr>
          <w:tab/>
        </w:r>
        <w:r>
          <w:rPr>
            <w:noProof/>
            <w:webHidden/>
          </w:rPr>
          <w:fldChar w:fldCharType="begin"/>
        </w:r>
        <w:r>
          <w:rPr>
            <w:noProof/>
            <w:webHidden/>
          </w:rPr>
          <w:instrText xml:space="preserve"> PAGEREF _Toc393800651 \h </w:instrText>
        </w:r>
        <w:r>
          <w:rPr>
            <w:noProof/>
            <w:webHidden/>
          </w:rPr>
        </w:r>
        <w:r>
          <w:rPr>
            <w:noProof/>
            <w:webHidden/>
          </w:rPr>
          <w:fldChar w:fldCharType="separate"/>
        </w:r>
        <w:r>
          <w:rPr>
            <w:noProof/>
            <w:webHidden/>
          </w:rPr>
          <w:t>6</w:t>
        </w:r>
        <w:r>
          <w:rPr>
            <w:noProof/>
            <w:webHidden/>
          </w:rPr>
          <w:fldChar w:fldCharType="end"/>
        </w:r>
      </w:hyperlink>
    </w:p>
    <w:p w:rsidR="003D6768" w:rsidRDefault="003D6768" w:rsidP="003D6768">
      <w:pPr>
        <w:pStyle w:val="TOC1"/>
        <w:rPr>
          <w:rFonts w:asciiTheme="minorHAnsi" w:eastAsiaTheme="minorEastAsia" w:hAnsiTheme="minorHAnsi" w:cstheme="minorBidi"/>
          <w:noProof/>
          <w:sz w:val="22"/>
          <w:szCs w:val="22"/>
        </w:rPr>
      </w:pPr>
      <w:hyperlink w:anchor="_Toc393800652" w:history="1">
        <w:r w:rsidRPr="00640D62">
          <w:rPr>
            <w:rStyle w:val="Hyperlink"/>
            <w:noProof/>
          </w:rPr>
          <w:t>CHAPTER 2: LITERATURE REVIEW</w:t>
        </w:r>
        <w:r>
          <w:rPr>
            <w:noProof/>
            <w:webHidden/>
          </w:rPr>
          <w:tab/>
        </w:r>
        <w:r>
          <w:rPr>
            <w:noProof/>
            <w:webHidden/>
          </w:rPr>
          <w:fldChar w:fldCharType="begin"/>
        </w:r>
        <w:r>
          <w:rPr>
            <w:noProof/>
            <w:webHidden/>
          </w:rPr>
          <w:instrText xml:space="preserve"> PAGEREF _Toc393800652 \h </w:instrText>
        </w:r>
        <w:r>
          <w:rPr>
            <w:noProof/>
            <w:webHidden/>
          </w:rPr>
        </w:r>
        <w:r>
          <w:rPr>
            <w:noProof/>
            <w:webHidden/>
          </w:rPr>
          <w:fldChar w:fldCharType="separate"/>
        </w:r>
        <w:r>
          <w:rPr>
            <w:noProof/>
            <w:webHidden/>
          </w:rPr>
          <w:t>8</w:t>
        </w:r>
        <w:r>
          <w:rPr>
            <w:noProof/>
            <w:webHidden/>
          </w:rPr>
          <w:fldChar w:fldCharType="end"/>
        </w:r>
      </w:hyperlink>
    </w:p>
    <w:p w:rsidR="003D6768" w:rsidRDefault="003D6768">
      <w:pPr>
        <w:pStyle w:val="TOC2"/>
        <w:rPr>
          <w:rFonts w:asciiTheme="minorHAnsi" w:eastAsiaTheme="minorEastAsia" w:hAnsiTheme="minorHAnsi" w:cstheme="minorBidi"/>
          <w:bCs w:val="0"/>
          <w:noProof/>
          <w:sz w:val="22"/>
          <w:szCs w:val="22"/>
        </w:rPr>
      </w:pPr>
      <w:hyperlink w:anchor="_Toc393800653" w:history="1">
        <w:r w:rsidRPr="00640D62">
          <w:rPr>
            <w:rStyle w:val="Hyperlink"/>
            <w:noProof/>
          </w:rPr>
          <w:t>The DTCA Market</w:t>
        </w:r>
        <w:r>
          <w:rPr>
            <w:noProof/>
            <w:webHidden/>
          </w:rPr>
          <w:tab/>
        </w:r>
        <w:r>
          <w:rPr>
            <w:noProof/>
            <w:webHidden/>
          </w:rPr>
          <w:fldChar w:fldCharType="begin"/>
        </w:r>
        <w:r>
          <w:rPr>
            <w:noProof/>
            <w:webHidden/>
          </w:rPr>
          <w:instrText xml:space="preserve"> PAGEREF _Toc393800653 \h </w:instrText>
        </w:r>
        <w:r>
          <w:rPr>
            <w:noProof/>
            <w:webHidden/>
          </w:rPr>
        </w:r>
        <w:r>
          <w:rPr>
            <w:noProof/>
            <w:webHidden/>
          </w:rPr>
          <w:fldChar w:fldCharType="separate"/>
        </w:r>
        <w:r>
          <w:rPr>
            <w:noProof/>
            <w:webHidden/>
          </w:rPr>
          <w:t>8</w:t>
        </w:r>
        <w:r>
          <w:rPr>
            <w:noProof/>
            <w:webHidden/>
          </w:rPr>
          <w:fldChar w:fldCharType="end"/>
        </w:r>
      </w:hyperlink>
    </w:p>
    <w:p w:rsidR="003D6768" w:rsidRDefault="003D6768">
      <w:pPr>
        <w:pStyle w:val="TOC2"/>
        <w:rPr>
          <w:rFonts w:asciiTheme="minorHAnsi" w:eastAsiaTheme="minorEastAsia" w:hAnsiTheme="minorHAnsi" w:cstheme="minorBidi"/>
          <w:bCs w:val="0"/>
          <w:noProof/>
          <w:sz w:val="22"/>
          <w:szCs w:val="22"/>
        </w:rPr>
      </w:pPr>
      <w:hyperlink w:anchor="_Toc393800654" w:history="1">
        <w:r w:rsidRPr="00640D62">
          <w:rPr>
            <w:rStyle w:val="Hyperlink"/>
            <w:noProof/>
          </w:rPr>
          <w:t>The Context of DTCA</w:t>
        </w:r>
        <w:r>
          <w:rPr>
            <w:noProof/>
            <w:webHidden/>
          </w:rPr>
          <w:tab/>
        </w:r>
        <w:r>
          <w:rPr>
            <w:noProof/>
            <w:webHidden/>
          </w:rPr>
          <w:fldChar w:fldCharType="begin"/>
        </w:r>
        <w:r>
          <w:rPr>
            <w:noProof/>
            <w:webHidden/>
          </w:rPr>
          <w:instrText xml:space="preserve"> PAGEREF _Toc393800654 \h </w:instrText>
        </w:r>
        <w:r>
          <w:rPr>
            <w:noProof/>
            <w:webHidden/>
          </w:rPr>
        </w:r>
        <w:r>
          <w:rPr>
            <w:noProof/>
            <w:webHidden/>
          </w:rPr>
          <w:fldChar w:fldCharType="separate"/>
        </w:r>
        <w:r>
          <w:rPr>
            <w:noProof/>
            <w:webHidden/>
          </w:rPr>
          <w:t>9</w:t>
        </w:r>
        <w:r>
          <w:rPr>
            <w:noProof/>
            <w:webHidden/>
          </w:rPr>
          <w:fldChar w:fldCharType="end"/>
        </w:r>
      </w:hyperlink>
    </w:p>
    <w:p w:rsidR="003D6768" w:rsidRDefault="003D6768">
      <w:pPr>
        <w:pStyle w:val="TOC2"/>
        <w:rPr>
          <w:rFonts w:asciiTheme="minorHAnsi" w:eastAsiaTheme="minorEastAsia" w:hAnsiTheme="minorHAnsi" w:cstheme="minorBidi"/>
          <w:bCs w:val="0"/>
          <w:noProof/>
          <w:sz w:val="22"/>
          <w:szCs w:val="22"/>
        </w:rPr>
      </w:pPr>
      <w:hyperlink w:anchor="_Toc393800655" w:history="1">
        <w:r w:rsidRPr="00640D62">
          <w:rPr>
            <w:rStyle w:val="Hyperlink"/>
            <w:noProof/>
          </w:rPr>
          <w:t>Previous Research on DTCA</w:t>
        </w:r>
        <w:r>
          <w:rPr>
            <w:noProof/>
            <w:webHidden/>
          </w:rPr>
          <w:tab/>
        </w:r>
        <w:r>
          <w:rPr>
            <w:noProof/>
            <w:webHidden/>
          </w:rPr>
          <w:fldChar w:fldCharType="begin"/>
        </w:r>
        <w:r>
          <w:rPr>
            <w:noProof/>
            <w:webHidden/>
          </w:rPr>
          <w:instrText xml:space="preserve"> PAGEREF _Toc393800655 \h </w:instrText>
        </w:r>
        <w:r>
          <w:rPr>
            <w:noProof/>
            <w:webHidden/>
          </w:rPr>
        </w:r>
        <w:r>
          <w:rPr>
            <w:noProof/>
            <w:webHidden/>
          </w:rPr>
          <w:fldChar w:fldCharType="separate"/>
        </w:r>
        <w:r>
          <w:rPr>
            <w:noProof/>
            <w:webHidden/>
          </w:rPr>
          <w:t>12</w:t>
        </w:r>
        <w:r>
          <w:rPr>
            <w:noProof/>
            <w:webHidden/>
          </w:rPr>
          <w:fldChar w:fldCharType="end"/>
        </w:r>
      </w:hyperlink>
    </w:p>
    <w:p w:rsidR="003D6768" w:rsidRDefault="003D6768">
      <w:pPr>
        <w:pStyle w:val="TOC2"/>
        <w:rPr>
          <w:rFonts w:asciiTheme="minorHAnsi" w:eastAsiaTheme="minorEastAsia" w:hAnsiTheme="minorHAnsi" w:cstheme="minorBidi"/>
          <w:bCs w:val="0"/>
          <w:noProof/>
          <w:sz w:val="22"/>
          <w:szCs w:val="22"/>
        </w:rPr>
      </w:pPr>
      <w:hyperlink w:anchor="_Toc393800656" w:history="1">
        <w:r w:rsidRPr="00640D62">
          <w:rPr>
            <w:rStyle w:val="Hyperlink"/>
            <w:noProof/>
          </w:rPr>
          <w:t>The Fair Balance Requirement of DTCA</w:t>
        </w:r>
        <w:r>
          <w:rPr>
            <w:noProof/>
            <w:webHidden/>
          </w:rPr>
          <w:tab/>
        </w:r>
        <w:r>
          <w:rPr>
            <w:noProof/>
            <w:webHidden/>
          </w:rPr>
          <w:fldChar w:fldCharType="begin"/>
        </w:r>
        <w:r>
          <w:rPr>
            <w:noProof/>
            <w:webHidden/>
          </w:rPr>
          <w:instrText xml:space="preserve"> PAGEREF _Toc393800656 \h </w:instrText>
        </w:r>
        <w:r>
          <w:rPr>
            <w:noProof/>
            <w:webHidden/>
          </w:rPr>
        </w:r>
        <w:r>
          <w:rPr>
            <w:noProof/>
            <w:webHidden/>
          </w:rPr>
          <w:fldChar w:fldCharType="separate"/>
        </w:r>
        <w:r>
          <w:rPr>
            <w:noProof/>
            <w:webHidden/>
          </w:rPr>
          <w:t>14</w:t>
        </w:r>
        <w:r>
          <w:rPr>
            <w:noProof/>
            <w:webHidden/>
          </w:rPr>
          <w:fldChar w:fldCharType="end"/>
        </w:r>
      </w:hyperlink>
    </w:p>
    <w:p w:rsidR="003D6768" w:rsidRDefault="003D6768">
      <w:pPr>
        <w:pStyle w:val="TOC2"/>
        <w:rPr>
          <w:rFonts w:asciiTheme="minorHAnsi" w:eastAsiaTheme="minorEastAsia" w:hAnsiTheme="minorHAnsi" w:cstheme="minorBidi"/>
          <w:bCs w:val="0"/>
          <w:noProof/>
          <w:sz w:val="22"/>
          <w:szCs w:val="22"/>
        </w:rPr>
      </w:pPr>
      <w:hyperlink w:anchor="_Toc393800657" w:history="1">
        <w:r w:rsidRPr="00640D62">
          <w:rPr>
            <w:rStyle w:val="Hyperlink"/>
            <w:noProof/>
          </w:rPr>
          <w:t>Risk Disclosure in DTCA</w:t>
        </w:r>
        <w:r>
          <w:rPr>
            <w:noProof/>
            <w:webHidden/>
          </w:rPr>
          <w:tab/>
        </w:r>
        <w:r>
          <w:rPr>
            <w:noProof/>
            <w:webHidden/>
          </w:rPr>
          <w:fldChar w:fldCharType="begin"/>
        </w:r>
        <w:r>
          <w:rPr>
            <w:noProof/>
            <w:webHidden/>
          </w:rPr>
          <w:instrText xml:space="preserve"> PAGEREF _Toc393800657 \h </w:instrText>
        </w:r>
        <w:r>
          <w:rPr>
            <w:noProof/>
            <w:webHidden/>
          </w:rPr>
        </w:r>
        <w:r>
          <w:rPr>
            <w:noProof/>
            <w:webHidden/>
          </w:rPr>
          <w:fldChar w:fldCharType="separate"/>
        </w:r>
        <w:r>
          <w:rPr>
            <w:noProof/>
            <w:webHidden/>
          </w:rPr>
          <w:t>16</w:t>
        </w:r>
        <w:r>
          <w:rPr>
            <w:noProof/>
            <w:webHidden/>
          </w:rPr>
          <w:fldChar w:fldCharType="end"/>
        </w:r>
      </w:hyperlink>
    </w:p>
    <w:p w:rsidR="003D6768" w:rsidRDefault="003D6768">
      <w:pPr>
        <w:pStyle w:val="TOC2"/>
        <w:rPr>
          <w:rFonts w:asciiTheme="minorHAnsi" w:eastAsiaTheme="minorEastAsia" w:hAnsiTheme="minorHAnsi" w:cstheme="minorBidi"/>
          <w:bCs w:val="0"/>
          <w:noProof/>
          <w:sz w:val="22"/>
          <w:szCs w:val="22"/>
        </w:rPr>
      </w:pPr>
      <w:hyperlink w:anchor="_Toc393800658" w:history="1">
        <w:r w:rsidRPr="00640D62">
          <w:rPr>
            <w:rStyle w:val="Hyperlink"/>
            <w:noProof/>
          </w:rPr>
          <w:t>Consumer Information Processing and DTCA Disclosure Prominence</w:t>
        </w:r>
        <w:r>
          <w:rPr>
            <w:noProof/>
            <w:webHidden/>
          </w:rPr>
          <w:tab/>
        </w:r>
        <w:r>
          <w:rPr>
            <w:noProof/>
            <w:webHidden/>
          </w:rPr>
          <w:fldChar w:fldCharType="begin"/>
        </w:r>
        <w:r>
          <w:rPr>
            <w:noProof/>
            <w:webHidden/>
          </w:rPr>
          <w:instrText xml:space="preserve"> PAGEREF _Toc393800658 \h </w:instrText>
        </w:r>
        <w:r>
          <w:rPr>
            <w:noProof/>
            <w:webHidden/>
          </w:rPr>
        </w:r>
        <w:r>
          <w:rPr>
            <w:noProof/>
            <w:webHidden/>
          </w:rPr>
          <w:fldChar w:fldCharType="separate"/>
        </w:r>
        <w:r>
          <w:rPr>
            <w:noProof/>
            <w:webHidden/>
          </w:rPr>
          <w:t>18</w:t>
        </w:r>
        <w:r>
          <w:rPr>
            <w:noProof/>
            <w:webHidden/>
          </w:rPr>
          <w:fldChar w:fldCharType="end"/>
        </w:r>
      </w:hyperlink>
    </w:p>
    <w:p w:rsidR="003D6768" w:rsidRDefault="003D6768">
      <w:pPr>
        <w:pStyle w:val="TOC2"/>
        <w:rPr>
          <w:rFonts w:asciiTheme="minorHAnsi" w:eastAsiaTheme="minorEastAsia" w:hAnsiTheme="minorHAnsi" w:cstheme="minorBidi"/>
          <w:bCs w:val="0"/>
          <w:noProof/>
          <w:sz w:val="22"/>
          <w:szCs w:val="22"/>
        </w:rPr>
      </w:pPr>
      <w:hyperlink w:anchor="_Toc393800659" w:history="1">
        <w:r w:rsidRPr="00640D62">
          <w:rPr>
            <w:rStyle w:val="Hyperlink"/>
            <w:noProof/>
          </w:rPr>
          <w:t>Cognitive Fluency and Risk Disclosure Processing</w:t>
        </w:r>
        <w:r>
          <w:rPr>
            <w:noProof/>
            <w:webHidden/>
          </w:rPr>
          <w:tab/>
        </w:r>
        <w:r>
          <w:rPr>
            <w:noProof/>
            <w:webHidden/>
          </w:rPr>
          <w:fldChar w:fldCharType="begin"/>
        </w:r>
        <w:r>
          <w:rPr>
            <w:noProof/>
            <w:webHidden/>
          </w:rPr>
          <w:instrText xml:space="preserve"> PAGEREF _Toc393800659 \h </w:instrText>
        </w:r>
        <w:r>
          <w:rPr>
            <w:noProof/>
            <w:webHidden/>
          </w:rPr>
        </w:r>
        <w:r>
          <w:rPr>
            <w:noProof/>
            <w:webHidden/>
          </w:rPr>
          <w:fldChar w:fldCharType="separate"/>
        </w:r>
        <w:r>
          <w:rPr>
            <w:noProof/>
            <w:webHidden/>
          </w:rPr>
          <w:t>20</w:t>
        </w:r>
        <w:r>
          <w:rPr>
            <w:noProof/>
            <w:webHidden/>
          </w:rPr>
          <w:fldChar w:fldCharType="end"/>
        </w:r>
      </w:hyperlink>
    </w:p>
    <w:p w:rsidR="003D6768" w:rsidRDefault="003D6768">
      <w:pPr>
        <w:pStyle w:val="TOC2"/>
        <w:rPr>
          <w:rFonts w:asciiTheme="minorHAnsi" w:eastAsiaTheme="minorEastAsia" w:hAnsiTheme="minorHAnsi" w:cstheme="minorBidi"/>
          <w:bCs w:val="0"/>
          <w:noProof/>
          <w:sz w:val="22"/>
          <w:szCs w:val="22"/>
        </w:rPr>
      </w:pPr>
      <w:hyperlink w:anchor="_Toc393800660" w:history="1">
        <w:r w:rsidRPr="00640D62">
          <w:rPr>
            <w:rStyle w:val="Hyperlink"/>
            <w:noProof/>
          </w:rPr>
          <w:t>The Influence of Cognitive Structure</w:t>
        </w:r>
        <w:r>
          <w:rPr>
            <w:noProof/>
            <w:webHidden/>
          </w:rPr>
          <w:tab/>
        </w:r>
        <w:r>
          <w:rPr>
            <w:noProof/>
            <w:webHidden/>
          </w:rPr>
          <w:fldChar w:fldCharType="begin"/>
        </w:r>
        <w:r>
          <w:rPr>
            <w:noProof/>
            <w:webHidden/>
          </w:rPr>
          <w:instrText xml:space="preserve"> PAGEREF _Toc393800660 \h </w:instrText>
        </w:r>
        <w:r>
          <w:rPr>
            <w:noProof/>
            <w:webHidden/>
          </w:rPr>
        </w:r>
        <w:r>
          <w:rPr>
            <w:noProof/>
            <w:webHidden/>
          </w:rPr>
          <w:fldChar w:fldCharType="separate"/>
        </w:r>
        <w:r>
          <w:rPr>
            <w:noProof/>
            <w:webHidden/>
          </w:rPr>
          <w:t>22</w:t>
        </w:r>
        <w:r>
          <w:rPr>
            <w:noProof/>
            <w:webHidden/>
          </w:rPr>
          <w:fldChar w:fldCharType="end"/>
        </w:r>
      </w:hyperlink>
    </w:p>
    <w:p w:rsidR="003D6768" w:rsidRDefault="003D6768">
      <w:pPr>
        <w:pStyle w:val="TOC2"/>
        <w:rPr>
          <w:rFonts w:asciiTheme="minorHAnsi" w:eastAsiaTheme="minorEastAsia" w:hAnsiTheme="minorHAnsi" w:cstheme="minorBidi"/>
          <w:bCs w:val="0"/>
          <w:noProof/>
          <w:sz w:val="22"/>
          <w:szCs w:val="22"/>
        </w:rPr>
      </w:pPr>
      <w:hyperlink w:anchor="_Toc393800661" w:history="1">
        <w:r w:rsidRPr="00640D62">
          <w:rPr>
            <w:rStyle w:val="Hyperlink"/>
            <w:noProof/>
          </w:rPr>
          <w:t>DTCA Regulatory Knowledge and Risk Disclosure Prominence</w:t>
        </w:r>
        <w:r>
          <w:rPr>
            <w:noProof/>
            <w:webHidden/>
          </w:rPr>
          <w:tab/>
        </w:r>
        <w:r>
          <w:rPr>
            <w:noProof/>
            <w:webHidden/>
          </w:rPr>
          <w:fldChar w:fldCharType="begin"/>
        </w:r>
        <w:r>
          <w:rPr>
            <w:noProof/>
            <w:webHidden/>
          </w:rPr>
          <w:instrText xml:space="preserve"> PAGEREF _Toc393800661 \h </w:instrText>
        </w:r>
        <w:r>
          <w:rPr>
            <w:noProof/>
            <w:webHidden/>
          </w:rPr>
        </w:r>
        <w:r>
          <w:rPr>
            <w:noProof/>
            <w:webHidden/>
          </w:rPr>
          <w:fldChar w:fldCharType="separate"/>
        </w:r>
        <w:r>
          <w:rPr>
            <w:noProof/>
            <w:webHidden/>
          </w:rPr>
          <w:t>23</w:t>
        </w:r>
        <w:r>
          <w:rPr>
            <w:noProof/>
            <w:webHidden/>
          </w:rPr>
          <w:fldChar w:fldCharType="end"/>
        </w:r>
      </w:hyperlink>
    </w:p>
    <w:p w:rsidR="003D6768" w:rsidRDefault="003D6768" w:rsidP="003D6768">
      <w:pPr>
        <w:pStyle w:val="TOC1"/>
        <w:rPr>
          <w:rFonts w:asciiTheme="minorHAnsi" w:eastAsiaTheme="minorEastAsia" w:hAnsiTheme="minorHAnsi" w:cstheme="minorBidi"/>
          <w:noProof/>
          <w:sz w:val="22"/>
          <w:szCs w:val="22"/>
        </w:rPr>
      </w:pPr>
      <w:hyperlink w:anchor="_Toc393800662" w:history="1">
        <w:r w:rsidRPr="00640D62">
          <w:rPr>
            <w:rStyle w:val="Hyperlink"/>
            <w:noProof/>
          </w:rPr>
          <w:t>The Framework of Dissertation</w:t>
        </w:r>
        <w:r>
          <w:rPr>
            <w:noProof/>
            <w:webHidden/>
          </w:rPr>
          <w:tab/>
        </w:r>
        <w:r>
          <w:rPr>
            <w:noProof/>
            <w:webHidden/>
          </w:rPr>
          <w:fldChar w:fldCharType="begin"/>
        </w:r>
        <w:r>
          <w:rPr>
            <w:noProof/>
            <w:webHidden/>
          </w:rPr>
          <w:instrText xml:space="preserve"> PAGEREF _Toc393800662 \h </w:instrText>
        </w:r>
        <w:r>
          <w:rPr>
            <w:noProof/>
            <w:webHidden/>
          </w:rPr>
        </w:r>
        <w:r>
          <w:rPr>
            <w:noProof/>
            <w:webHidden/>
          </w:rPr>
          <w:fldChar w:fldCharType="separate"/>
        </w:r>
        <w:r>
          <w:rPr>
            <w:noProof/>
            <w:webHidden/>
          </w:rPr>
          <w:t>25</w:t>
        </w:r>
        <w:r>
          <w:rPr>
            <w:noProof/>
            <w:webHidden/>
          </w:rPr>
          <w:fldChar w:fldCharType="end"/>
        </w:r>
      </w:hyperlink>
    </w:p>
    <w:p w:rsidR="003D6768" w:rsidRDefault="003D6768">
      <w:pPr>
        <w:pStyle w:val="TOC2"/>
        <w:rPr>
          <w:rFonts w:asciiTheme="minorHAnsi" w:eastAsiaTheme="minorEastAsia" w:hAnsiTheme="minorHAnsi" w:cstheme="minorBidi"/>
          <w:bCs w:val="0"/>
          <w:noProof/>
          <w:sz w:val="22"/>
          <w:szCs w:val="22"/>
        </w:rPr>
      </w:pPr>
      <w:hyperlink w:anchor="_Toc393800663" w:history="1">
        <w:r w:rsidRPr="00640D62">
          <w:rPr>
            <w:rStyle w:val="Hyperlink"/>
            <w:noProof/>
          </w:rPr>
          <w:t>Conceptualization of Risk Disclosure Prominence in the Literature</w:t>
        </w:r>
        <w:r>
          <w:rPr>
            <w:noProof/>
            <w:webHidden/>
          </w:rPr>
          <w:tab/>
        </w:r>
        <w:r>
          <w:rPr>
            <w:noProof/>
            <w:webHidden/>
          </w:rPr>
          <w:fldChar w:fldCharType="begin"/>
        </w:r>
        <w:r>
          <w:rPr>
            <w:noProof/>
            <w:webHidden/>
          </w:rPr>
          <w:instrText xml:space="preserve"> PAGEREF _Toc393800663 \h </w:instrText>
        </w:r>
        <w:r>
          <w:rPr>
            <w:noProof/>
            <w:webHidden/>
          </w:rPr>
        </w:r>
        <w:r>
          <w:rPr>
            <w:noProof/>
            <w:webHidden/>
          </w:rPr>
          <w:fldChar w:fldCharType="separate"/>
        </w:r>
        <w:r>
          <w:rPr>
            <w:noProof/>
            <w:webHidden/>
          </w:rPr>
          <w:t>25</w:t>
        </w:r>
        <w:r>
          <w:rPr>
            <w:noProof/>
            <w:webHidden/>
          </w:rPr>
          <w:fldChar w:fldCharType="end"/>
        </w:r>
      </w:hyperlink>
    </w:p>
    <w:p w:rsidR="003D6768" w:rsidRDefault="003D6768">
      <w:pPr>
        <w:pStyle w:val="TOC3"/>
        <w:rPr>
          <w:rFonts w:asciiTheme="minorHAnsi" w:eastAsiaTheme="minorEastAsia" w:hAnsiTheme="minorHAnsi" w:cstheme="minorBidi"/>
          <w:bCs w:val="0"/>
          <w:noProof/>
          <w:sz w:val="22"/>
          <w:szCs w:val="22"/>
        </w:rPr>
      </w:pPr>
      <w:hyperlink w:anchor="_Toc393800664" w:history="1">
        <w:r w:rsidRPr="00640D62">
          <w:rPr>
            <w:rStyle w:val="Hyperlink"/>
            <w:noProof/>
          </w:rPr>
          <w:t>The FDA’s Conceptualization of Risk Disclosure Prominence in DTCA</w:t>
        </w:r>
        <w:r>
          <w:rPr>
            <w:noProof/>
            <w:webHidden/>
          </w:rPr>
          <w:tab/>
        </w:r>
        <w:r>
          <w:rPr>
            <w:noProof/>
            <w:webHidden/>
          </w:rPr>
          <w:fldChar w:fldCharType="begin"/>
        </w:r>
        <w:r>
          <w:rPr>
            <w:noProof/>
            <w:webHidden/>
          </w:rPr>
          <w:instrText xml:space="preserve"> PAGEREF _Toc393800664 \h </w:instrText>
        </w:r>
        <w:r>
          <w:rPr>
            <w:noProof/>
            <w:webHidden/>
          </w:rPr>
        </w:r>
        <w:r>
          <w:rPr>
            <w:noProof/>
            <w:webHidden/>
          </w:rPr>
          <w:fldChar w:fldCharType="separate"/>
        </w:r>
        <w:r>
          <w:rPr>
            <w:noProof/>
            <w:webHidden/>
          </w:rPr>
          <w:t>27</w:t>
        </w:r>
        <w:r>
          <w:rPr>
            <w:noProof/>
            <w:webHidden/>
          </w:rPr>
          <w:fldChar w:fldCharType="end"/>
        </w:r>
      </w:hyperlink>
    </w:p>
    <w:p w:rsidR="003D6768" w:rsidRDefault="003D6768">
      <w:pPr>
        <w:pStyle w:val="TOC2"/>
        <w:rPr>
          <w:rFonts w:asciiTheme="minorHAnsi" w:eastAsiaTheme="minorEastAsia" w:hAnsiTheme="minorHAnsi" w:cstheme="minorBidi"/>
          <w:bCs w:val="0"/>
          <w:noProof/>
          <w:sz w:val="22"/>
          <w:szCs w:val="22"/>
        </w:rPr>
      </w:pPr>
      <w:hyperlink w:anchor="_Toc393800665" w:history="1">
        <w:r w:rsidRPr="00640D62">
          <w:rPr>
            <w:rStyle w:val="Hyperlink"/>
            <w:noProof/>
          </w:rPr>
          <w:t>The Study</w:t>
        </w:r>
        <w:r>
          <w:rPr>
            <w:noProof/>
            <w:webHidden/>
          </w:rPr>
          <w:tab/>
        </w:r>
        <w:r>
          <w:rPr>
            <w:noProof/>
            <w:webHidden/>
          </w:rPr>
          <w:fldChar w:fldCharType="begin"/>
        </w:r>
        <w:r>
          <w:rPr>
            <w:noProof/>
            <w:webHidden/>
          </w:rPr>
          <w:instrText xml:space="preserve"> PAGEREF _Toc393800665 \h </w:instrText>
        </w:r>
        <w:r>
          <w:rPr>
            <w:noProof/>
            <w:webHidden/>
          </w:rPr>
        </w:r>
        <w:r>
          <w:rPr>
            <w:noProof/>
            <w:webHidden/>
          </w:rPr>
          <w:fldChar w:fldCharType="separate"/>
        </w:r>
        <w:r>
          <w:rPr>
            <w:noProof/>
            <w:webHidden/>
          </w:rPr>
          <w:t>29</w:t>
        </w:r>
        <w:r>
          <w:rPr>
            <w:noProof/>
            <w:webHidden/>
          </w:rPr>
          <w:fldChar w:fldCharType="end"/>
        </w:r>
      </w:hyperlink>
    </w:p>
    <w:p w:rsidR="003D6768" w:rsidRDefault="003D6768">
      <w:pPr>
        <w:pStyle w:val="TOC3"/>
        <w:rPr>
          <w:rFonts w:asciiTheme="minorHAnsi" w:eastAsiaTheme="minorEastAsia" w:hAnsiTheme="minorHAnsi" w:cstheme="minorBidi"/>
          <w:bCs w:val="0"/>
          <w:noProof/>
          <w:sz w:val="22"/>
          <w:szCs w:val="22"/>
        </w:rPr>
      </w:pPr>
      <w:hyperlink w:anchor="_Toc393800666" w:history="1">
        <w:r w:rsidRPr="00640D62">
          <w:rPr>
            <w:rStyle w:val="Hyperlink"/>
            <w:noProof/>
          </w:rPr>
          <w:t>Risk Disclosure Prominence as a Message Factor (Main Effects)</w:t>
        </w:r>
        <w:r>
          <w:rPr>
            <w:noProof/>
            <w:webHidden/>
          </w:rPr>
          <w:tab/>
        </w:r>
        <w:r>
          <w:rPr>
            <w:noProof/>
            <w:webHidden/>
          </w:rPr>
          <w:fldChar w:fldCharType="begin"/>
        </w:r>
        <w:r>
          <w:rPr>
            <w:noProof/>
            <w:webHidden/>
          </w:rPr>
          <w:instrText xml:space="preserve"> PAGEREF _Toc393800666 \h </w:instrText>
        </w:r>
        <w:r>
          <w:rPr>
            <w:noProof/>
            <w:webHidden/>
          </w:rPr>
        </w:r>
        <w:r>
          <w:rPr>
            <w:noProof/>
            <w:webHidden/>
          </w:rPr>
          <w:fldChar w:fldCharType="separate"/>
        </w:r>
        <w:r>
          <w:rPr>
            <w:noProof/>
            <w:webHidden/>
          </w:rPr>
          <w:t>29</w:t>
        </w:r>
        <w:r>
          <w:rPr>
            <w:noProof/>
            <w:webHidden/>
          </w:rPr>
          <w:fldChar w:fldCharType="end"/>
        </w:r>
      </w:hyperlink>
    </w:p>
    <w:p w:rsidR="003D6768" w:rsidRDefault="003D6768">
      <w:pPr>
        <w:pStyle w:val="TOC3"/>
        <w:rPr>
          <w:rFonts w:asciiTheme="minorHAnsi" w:eastAsiaTheme="minorEastAsia" w:hAnsiTheme="minorHAnsi" w:cstheme="minorBidi"/>
          <w:bCs w:val="0"/>
          <w:noProof/>
          <w:sz w:val="22"/>
          <w:szCs w:val="22"/>
        </w:rPr>
      </w:pPr>
      <w:hyperlink w:anchor="_Toc393800667" w:history="1">
        <w:r w:rsidRPr="00640D62">
          <w:rPr>
            <w:rStyle w:val="Hyperlink"/>
            <w:noProof/>
          </w:rPr>
          <w:t>Operationalization of Risk Disclosure Prominence</w:t>
        </w:r>
        <w:r>
          <w:rPr>
            <w:noProof/>
            <w:webHidden/>
          </w:rPr>
          <w:tab/>
        </w:r>
        <w:r>
          <w:rPr>
            <w:noProof/>
            <w:webHidden/>
          </w:rPr>
          <w:fldChar w:fldCharType="begin"/>
        </w:r>
        <w:r>
          <w:rPr>
            <w:noProof/>
            <w:webHidden/>
          </w:rPr>
          <w:instrText xml:space="preserve"> PAGEREF _Toc393800667 \h </w:instrText>
        </w:r>
        <w:r>
          <w:rPr>
            <w:noProof/>
            <w:webHidden/>
          </w:rPr>
        </w:r>
        <w:r>
          <w:rPr>
            <w:noProof/>
            <w:webHidden/>
          </w:rPr>
          <w:fldChar w:fldCharType="separate"/>
        </w:r>
        <w:r>
          <w:rPr>
            <w:noProof/>
            <w:webHidden/>
          </w:rPr>
          <w:t>31</w:t>
        </w:r>
        <w:r>
          <w:rPr>
            <w:noProof/>
            <w:webHidden/>
          </w:rPr>
          <w:fldChar w:fldCharType="end"/>
        </w:r>
      </w:hyperlink>
    </w:p>
    <w:p w:rsidR="003D6768" w:rsidRDefault="003D6768">
      <w:pPr>
        <w:pStyle w:val="TOC2"/>
        <w:rPr>
          <w:rFonts w:asciiTheme="minorHAnsi" w:eastAsiaTheme="minorEastAsia" w:hAnsiTheme="minorHAnsi" w:cstheme="minorBidi"/>
          <w:bCs w:val="0"/>
          <w:noProof/>
          <w:sz w:val="22"/>
          <w:szCs w:val="22"/>
        </w:rPr>
      </w:pPr>
      <w:hyperlink w:anchor="_Toc393800668" w:history="1">
        <w:r w:rsidRPr="00640D62">
          <w:rPr>
            <w:rStyle w:val="Hyperlink"/>
            <w:noProof/>
          </w:rPr>
          <w:t>Research Hypotheses</w:t>
        </w:r>
        <w:r>
          <w:rPr>
            <w:noProof/>
            <w:webHidden/>
          </w:rPr>
          <w:tab/>
        </w:r>
        <w:r>
          <w:rPr>
            <w:noProof/>
            <w:webHidden/>
          </w:rPr>
          <w:fldChar w:fldCharType="begin"/>
        </w:r>
        <w:r>
          <w:rPr>
            <w:noProof/>
            <w:webHidden/>
          </w:rPr>
          <w:instrText xml:space="preserve"> PAGEREF _Toc393800668 \h </w:instrText>
        </w:r>
        <w:r>
          <w:rPr>
            <w:noProof/>
            <w:webHidden/>
          </w:rPr>
        </w:r>
        <w:r>
          <w:rPr>
            <w:noProof/>
            <w:webHidden/>
          </w:rPr>
          <w:fldChar w:fldCharType="separate"/>
        </w:r>
        <w:r>
          <w:rPr>
            <w:noProof/>
            <w:webHidden/>
          </w:rPr>
          <w:t>32</w:t>
        </w:r>
        <w:r>
          <w:rPr>
            <w:noProof/>
            <w:webHidden/>
          </w:rPr>
          <w:fldChar w:fldCharType="end"/>
        </w:r>
      </w:hyperlink>
    </w:p>
    <w:p w:rsidR="003D6768" w:rsidRDefault="003D6768">
      <w:pPr>
        <w:pStyle w:val="TOC3"/>
        <w:rPr>
          <w:rFonts w:asciiTheme="minorHAnsi" w:eastAsiaTheme="minorEastAsia" w:hAnsiTheme="minorHAnsi" w:cstheme="minorBidi"/>
          <w:bCs w:val="0"/>
          <w:noProof/>
          <w:sz w:val="22"/>
          <w:szCs w:val="22"/>
        </w:rPr>
      </w:pPr>
      <w:hyperlink w:anchor="_Toc393800669" w:history="1">
        <w:r w:rsidRPr="00640D62">
          <w:rPr>
            <w:rStyle w:val="Hyperlink"/>
            <w:noProof/>
          </w:rPr>
          <w:t>Perceived Attention to Risk Disclosure</w:t>
        </w:r>
        <w:r>
          <w:rPr>
            <w:noProof/>
            <w:webHidden/>
          </w:rPr>
          <w:tab/>
        </w:r>
        <w:r>
          <w:rPr>
            <w:noProof/>
            <w:webHidden/>
          </w:rPr>
          <w:fldChar w:fldCharType="begin"/>
        </w:r>
        <w:r>
          <w:rPr>
            <w:noProof/>
            <w:webHidden/>
          </w:rPr>
          <w:instrText xml:space="preserve"> PAGEREF _Toc393800669 \h </w:instrText>
        </w:r>
        <w:r>
          <w:rPr>
            <w:noProof/>
            <w:webHidden/>
          </w:rPr>
        </w:r>
        <w:r>
          <w:rPr>
            <w:noProof/>
            <w:webHidden/>
          </w:rPr>
          <w:fldChar w:fldCharType="separate"/>
        </w:r>
        <w:r>
          <w:rPr>
            <w:noProof/>
            <w:webHidden/>
          </w:rPr>
          <w:t>32</w:t>
        </w:r>
        <w:r>
          <w:rPr>
            <w:noProof/>
            <w:webHidden/>
          </w:rPr>
          <w:fldChar w:fldCharType="end"/>
        </w:r>
      </w:hyperlink>
    </w:p>
    <w:p w:rsidR="003D6768" w:rsidRDefault="003D6768">
      <w:pPr>
        <w:pStyle w:val="TOC3"/>
        <w:rPr>
          <w:rFonts w:asciiTheme="minorHAnsi" w:eastAsiaTheme="minorEastAsia" w:hAnsiTheme="minorHAnsi" w:cstheme="minorBidi"/>
          <w:bCs w:val="0"/>
          <w:noProof/>
          <w:sz w:val="22"/>
          <w:szCs w:val="22"/>
        </w:rPr>
      </w:pPr>
      <w:hyperlink w:anchor="_Toc393800670" w:history="1">
        <w:r w:rsidRPr="00640D62">
          <w:rPr>
            <w:rStyle w:val="Hyperlink"/>
            <w:noProof/>
          </w:rPr>
          <w:t>Recall and Recognition of Risk Disclosure</w:t>
        </w:r>
        <w:r>
          <w:rPr>
            <w:noProof/>
            <w:webHidden/>
          </w:rPr>
          <w:tab/>
        </w:r>
        <w:r>
          <w:rPr>
            <w:noProof/>
            <w:webHidden/>
          </w:rPr>
          <w:fldChar w:fldCharType="begin"/>
        </w:r>
        <w:r>
          <w:rPr>
            <w:noProof/>
            <w:webHidden/>
          </w:rPr>
          <w:instrText xml:space="preserve"> PAGEREF _Toc393800670 \h </w:instrText>
        </w:r>
        <w:r>
          <w:rPr>
            <w:noProof/>
            <w:webHidden/>
          </w:rPr>
        </w:r>
        <w:r>
          <w:rPr>
            <w:noProof/>
            <w:webHidden/>
          </w:rPr>
          <w:fldChar w:fldCharType="separate"/>
        </w:r>
        <w:r>
          <w:rPr>
            <w:noProof/>
            <w:webHidden/>
          </w:rPr>
          <w:t>35</w:t>
        </w:r>
        <w:r>
          <w:rPr>
            <w:noProof/>
            <w:webHidden/>
          </w:rPr>
          <w:fldChar w:fldCharType="end"/>
        </w:r>
      </w:hyperlink>
    </w:p>
    <w:p w:rsidR="003D6768" w:rsidRDefault="003D6768">
      <w:pPr>
        <w:pStyle w:val="TOC3"/>
        <w:rPr>
          <w:rFonts w:asciiTheme="minorHAnsi" w:eastAsiaTheme="minorEastAsia" w:hAnsiTheme="minorHAnsi" w:cstheme="minorBidi"/>
          <w:bCs w:val="0"/>
          <w:noProof/>
          <w:sz w:val="22"/>
          <w:szCs w:val="22"/>
        </w:rPr>
      </w:pPr>
      <w:hyperlink w:anchor="_Toc393800671" w:history="1">
        <w:r w:rsidRPr="00640D62">
          <w:rPr>
            <w:rStyle w:val="Hyperlink"/>
            <w:noProof/>
          </w:rPr>
          <w:t>DTCA Regulatory Knowledge as a Consumer Factor (Main Effects)</w:t>
        </w:r>
        <w:r>
          <w:rPr>
            <w:noProof/>
            <w:webHidden/>
          </w:rPr>
          <w:tab/>
        </w:r>
        <w:r>
          <w:rPr>
            <w:noProof/>
            <w:webHidden/>
          </w:rPr>
          <w:fldChar w:fldCharType="begin"/>
        </w:r>
        <w:r>
          <w:rPr>
            <w:noProof/>
            <w:webHidden/>
          </w:rPr>
          <w:instrText xml:space="preserve"> PAGEREF _Toc393800671 \h </w:instrText>
        </w:r>
        <w:r>
          <w:rPr>
            <w:noProof/>
            <w:webHidden/>
          </w:rPr>
        </w:r>
        <w:r>
          <w:rPr>
            <w:noProof/>
            <w:webHidden/>
          </w:rPr>
          <w:fldChar w:fldCharType="separate"/>
        </w:r>
        <w:r>
          <w:rPr>
            <w:noProof/>
            <w:webHidden/>
          </w:rPr>
          <w:t>37</w:t>
        </w:r>
        <w:r>
          <w:rPr>
            <w:noProof/>
            <w:webHidden/>
          </w:rPr>
          <w:fldChar w:fldCharType="end"/>
        </w:r>
      </w:hyperlink>
    </w:p>
    <w:p w:rsidR="003D6768" w:rsidRDefault="003D6768">
      <w:pPr>
        <w:pStyle w:val="TOC3"/>
        <w:rPr>
          <w:rFonts w:asciiTheme="minorHAnsi" w:eastAsiaTheme="minorEastAsia" w:hAnsiTheme="minorHAnsi" w:cstheme="minorBidi"/>
          <w:bCs w:val="0"/>
          <w:noProof/>
          <w:sz w:val="22"/>
          <w:szCs w:val="22"/>
        </w:rPr>
      </w:pPr>
      <w:hyperlink w:anchor="_Toc393800672" w:history="1">
        <w:r w:rsidRPr="00640D62">
          <w:rPr>
            <w:rStyle w:val="Hyperlink"/>
            <w:noProof/>
          </w:rPr>
          <w:t>DTCA Regulatory Knowledge as a Consumer Factor (Moderating Effects)</w:t>
        </w:r>
        <w:r>
          <w:rPr>
            <w:noProof/>
            <w:webHidden/>
          </w:rPr>
          <w:tab/>
        </w:r>
        <w:r>
          <w:rPr>
            <w:noProof/>
            <w:webHidden/>
          </w:rPr>
          <w:fldChar w:fldCharType="begin"/>
        </w:r>
        <w:r>
          <w:rPr>
            <w:noProof/>
            <w:webHidden/>
          </w:rPr>
          <w:instrText xml:space="preserve"> PAGEREF _Toc393800672 \h </w:instrText>
        </w:r>
        <w:r>
          <w:rPr>
            <w:noProof/>
            <w:webHidden/>
          </w:rPr>
        </w:r>
        <w:r>
          <w:rPr>
            <w:noProof/>
            <w:webHidden/>
          </w:rPr>
          <w:fldChar w:fldCharType="separate"/>
        </w:r>
        <w:r>
          <w:rPr>
            <w:noProof/>
            <w:webHidden/>
          </w:rPr>
          <w:t>40</w:t>
        </w:r>
        <w:r>
          <w:rPr>
            <w:noProof/>
            <w:webHidden/>
          </w:rPr>
          <w:fldChar w:fldCharType="end"/>
        </w:r>
      </w:hyperlink>
    </w:p>
    <w:p w:rsidR="003D6768" w:rsidRDefault="003D6768">
      <w:pPr>
        <w:pStyle w:val="TOC3"/>
        <w:rPr>
          <w:rFonts w:asciiTheme="minorHAnsi" w:eastAsiaTheme="minorEastAsia" w:hAnsiTheme="minorHAnsi" w:cstheme="minorBidi"/>
          <w:bCs w:val="0"/>
          <w:noProof/>
          <w:sz w:val="22"/>
          <w:szCs w:val="22"/>
        </w:rPr>
      </w:pPr>
      <w:hyperlink w:anchor="_Toc393800673" w:history="1">
        <w:r w:rsidRPr="00640D62">
          <w:rPr>
            <w:rStyle w:val="Hyperlink"/>
            <w:noProof/>
          </w:rPr>
          <w:t>The Mediating Role of Perceived Attention (Mediating Effects)</w:t>
        </w:r>
        <w:r>
          <w:rPr>
            <w:noProof/>
            <w:webHidden/>
          </w:rPr>
          <w:tab/>
        </w:r>
        <w:r>
          <w:rPr>
            <w:noProof/>
            <w:webHidden/>
          </w:rPr>
          <w:fldChar w:fldCharType="begin"/>
        </w:r>
        <w:r>
          <w:rPr>
            <w:noProof/>
            <w:webHidden/>
          </w:rPr>
          <w:instrText xml:space="preserve"> PAGEREF _Toc393800673 \h </w:instrText>
        </w:r>
        <w:r>
          <w:rPr>
            <w:noProof/>
            <w:webHidden/>
          </w:rPr>
        </w:r>
        <w:r>
          <w:rPr>
            <w:noProof/>
            <w:webHidden/>
          </w:rPr>
          <w:fldChar w:fldCharType="separate"/>
        </w:r>
        <w:r>
          <w:rPr>
            <w:noProof/>
            <w:webHidden/>
          </w:rPr>
          <w:t>43</w:t>
        </w:r>
        <w:r>
          <w:rPr>
            <w:noProof/>
            <w:webHidden/>
          </w:rPr>
          <w:fldChar w:fldCharType="end"/>
        </w:r>
      </w:hyperlink>
    </w:p>
    <w:p w:rsidR="003D6768" w:rsidRDefault="003D6768" w:rsidP="003D6768">
      <w:pPr>
        <w:pStyle w:val="TOC1"/>
        <w:rPr>
          <w:rFonts w:asciiTheme="minorHAnsi" w:eastAsiaTheme="minorEastAsia" w:hAnsiTheme="minorHAnsi" w:cstheme="minorBidi"/>
          <w:noProof/>
          <w:sz w:val="22"/>
          <w:szCs w:val="22"/>
        </w:rPr>
      </w:pPr>
      <w:hyperlink w:anchor="_Toc393800674" w:history="1">
        <w:r w:rsidRPr="00640D62">
          <w:rPr>
            <w:rStyle w:val="Hyperlink"/>
            <w:noProof/>
          </w:rPr>
          <w:t>CHAPTER 3: METHOD</w:t>
        </w:r>
        <w:r>
          <w:rPr>
            <w:noProof/>
            <w:webHidden/>
          </w:rPr>
          <w:tab/>
        </w:r>
        <w:r>
          <w:rPr>
            <w:noProof/>
            <w:webHidden/>
          </w:rPr>
          <w:fldChar w:fldCharType="begin"/>
        </w:r>
        <w:r>
          <w:rPr>
            <w:noProof/>
            <w:webHidden/>
          </w:rPr>
          <w:instrText xml:space="preserve"> PAGEREF _Toc393800674 \h </w:instrText>
        </w:r>
        <w:r>
          <w:rPr>
            <w:noProof/>
            <w:webHidden/>
          </w:rPr>
        </w:r>
        <w:r>
          <w:rPr>
            <w:noProof/>
            <w:webHidden/>
          </w:rPr>
          <w:fldChar w:fldCharType="separate"/>
        </w:r>
        <w:r>
          <w:rPr>
            <w:noProof/>
            <w:webHidden/>
          </w:rPr>
          <w:t>47</w:t>
        </w:r>
        <w:r>
          <w:rPr>
            <w:noProof/>
            <w:webHidden/>
          </w:rPr>
          <w:fldChar w:fldCharType="end"/>
        </w:r>
      </w:hyperlink>
    </w:p>
    <w:p w:rsidR="003D6768" w:rsidRDefault="003D6768">
      <w:pPr>
        <w:pStyle w:val="TOC2"/>
        <w:rPr>
          <w:rFonts w:asciiTheme="minorHAnsi" w:eastAsiaTheme="minorEastAsia" w:hAnsiTheme="minorHAnsi" w:cstheme="minorBidi"/>
          <w:bCs w:val="0"/>
          <w:noProof/>
          <w:sz w:val="22"/>
          <w:szCs w:val="22"/>
        </w:rPr>
      </w:pPr>
      <w:hyperlink w:anchor="_Toc393800675" w:history="1">
        <w:r w:rsidRPr="00640D62">
          <w:rPr>
            <w:rStyle w:val="Hyperlink"/>
            <w:noProof/>
          </w:rPr>
          <w:t>Procedure and Sample</w:t>
        </w:r>
        <w:r>
          <w:rPr>
            <w:noProof/>
            <w:webHidden/>
          </w:rPr>
          <w:tab/>
        </w:r>
        <w:r>
          <w:rPr>
            <w:noProof/>
            <w:webHidden/>
          </w:rPr>
          <w:fldChar w:fldCharType="begin"/>
        </w:r>
        <w:r>
          <w:rPr>
            <w:noProof/>
            <w:webHidden/>
          </w:rPr>
          <w:instrText xml:space="preserve"> PAGEREF _Toc393800675 \h </w:instrText>
        </w:r>
        <w:r>
          <w:rPr>
            <w:noProof/>
            <w:webHidden/>
          </w:rPr>
        </w:r>
        <w:r>
          <w:rPr>
            <w:noProof/>
            <w:webHidden/>
          </w:rPr>
          <w:fldChar w:fldCharType="separate"/>
        </w:r>
        <w:r>
          <w:rPr>
            <w:noProof/>
            <w:webHidden/>
          </w:rPr>
          <w:t>47</w:t>
        </w:r>
        <w:r>
          <w:rPr>
            <w:noProof/>
            <w:webHidden/>
          </w:rPr>
          <w:fldChar w:fldCharType="end"/>
        </w:r>
      </w:hyperlink>
    </w:p>
    <w:p w:rsidR="003D6768" w:rsidRDefault="003D6768">
      <w:pPr>
        <w:pStyle w:val="TOC2"/>
        <w:rPr>
          <w:rFonts w:asciiTheme="minorHAnsi" w:eastAsiaTheme="minorEastAsia" w:hAnsiTheme="minorHAnsi" w:cstheme="minorBidi"/>
          <w:bCs w:val="0"/>
          <w:noProof/>
          <w:sz w:val="22"/>
          <w:szCs w:val="22"/>
        </w:rPr>
      </w:pPr>
      <w:hyperlink w:anchor="_Toc393800676" w:history="1">
        <w:r w:rsidRPr="00640D62">
          <w:rPr>
            <w:rStyle w:val="Hyperlink"/>
            <w:noProof/>
          </w:rPr>
          <w:t>Design</w:t>
        </w:r>
        <w:r>
          <w:rPr>
            <w:noProof/>
            <w:webHidden/>
          </w:rPr>
          <w:tab/>
        </w:r>
        <w:r>
          <w:rPr>
            <w:noProof/>
            <w:webHidden/>
          </w:rPr>
          <w:fldChar w:fldCharType="begin"/>
        </w:r>
        <w:r>
          <w:rPr>
            <w:noProof/>
            <w:webHidden/>
          </w:rPr>
          <w:instrText xml:space="preserve"> PAGEREF _Toc393800676 \h </w:instrText>
        </w:r>
        <w:r>
          <w:rPr>
            <w:noProof/>
            <w:webHidden/>
          </w:rPr>
        </w:r>
        <w:r>
          <w:rPr>
            <w:noProof/>
            <w:webHidden/>
          </w:rPr>
          <w:fldChar w:fldCharType="separate"/>
        </w:r>
        <w:r>
          <w:rPr>
            <w:noProof/>
            <w:webHidden/>
          </w:rPr>
          <w:t>51</w:t>
        </w:r>
        <w:r>
          <w:rPr>
            <w:noProof/>
            <w:webHidden/>
          </w:rPr>
          <w:fldChar w:fldCharType="end"/>
        </w:r>
      </w:hyperlink>
    </w:p>
    <w:p w:rsidR="003D6768" w:rsidRDefault="003D6768">
      <w:pPr>
        <w:pStyle w:val="TOC2"/>
        <w:rPr>
          <w:rFonts w:asciiTheme="minorHAnsi" w:eastAsiaTheme="minorEastAsia" w:hAnsiTheme="minorHAnsi" w:cstheme="minorBidi"/>
          <w:bCs w:val="0"/>
          <w:noProof/>
          <w:sz w:val="22"/>
          <w:szCs w:val="22"/>
        </w:rPr>
      </w:pPr>
      <w:hyperlink w:anchor="_Toc393800677" w:history="1">
        <w:r w:rsidRPr="00640D62">
          <w:rPr>
            <w:rStyle w:val="Hyperlink"/>
            <w:noProof/>
          </w:rPr>
          <w:t>Manipulation of Independent Variable: Prominence</w:t>
        </w:r>
        <w:r>
          <w:rPr>
            <w:noProof/>
            <w:webHidden/>
          </w:rPr>
          <w:tab/>
        </w:r>
        <w:r>
          <w:rPr>
            <w:noProof/>
            <w:webHidden/>
          </w:rPr>
          <w:fldChar w:fldCharType="begin"/>
        </w:r>
        <w:r>
          <w:rPr>
            <w:noProof/>
            <w:webHidden/>
          </w:rPr>
          <w:instrText xml:space="preserve"> PAGEREF _Toc393800677 \h </w:instrText>
        </w:r>
        <w:r>
          <w:rPr>
            <w:noProof/>
            <w:webHidden/>
          </w:rPr>
        </w:r>
        <w:r>
          <w:rPr>
            <w:noProof/>
            <w:webHidden/>
          </w:rPr>
          <w:fldChar w:fldCharType="separate"/>
        </w:r>
        <w:r>
          <w:rPr>
            <w:noProof/>
            <w:webHidden/>
          </w:rPr>
          <w:t>55</w:t>
        </w:r>
        <w:r>
          <w:rPr>
            <w:noProof/>
            <w:webHidden/>
          </w:rPr>
          <w:fldChar w:fldCharType="end"/>
        </w:r>
      </w:hyperlink>
    </w:p>
    <w:p w:rsidR="003D6768" w:rsidRDefault="003D6768">
      <w:pPr>
        <w:pStyle w:val="TOC3"/>
        <w:rPr>
          <w:rFonts w:asciiTheme="minorHAnsi" w:eastAsiaTheme="minorEastAsia" w:hAnsiTheme="minorHAnsi" w:cstheme="minorBidi"/>
          <w:bCs w:val="0"/>
          <w:noProof/>
          <w:sz w:val="22"/>
          <w:szCs w:val="22"/>
        </w:rPr>
      </w:pPr>
      <w:hyperlink w:anchor="_Toc393800678" w:history="1">
        <w:r w:rsidRPr="00640D62">
          <w:rPr>
            <w:rStyle w:val="Hyperlink"/>
            <w:noProof/>
          </w:rPr>
          <w:t>Pretests and Manipulation Checks</w:t>
        </w:r>
        <w:r>
          <w:rPr>
            <w:noProof/>
            <w:webHidden/>
          </w:rPr>
          <w:tab/>
        </w:r>
        <w:r>
          <w:rPr>
            <w:noProof/>
            <w:webHidden/>
          </w:rPr>
          <w:fldChar w:fldCharType="begin"/>
        </w:r>
        <w:r>
          <w:rPr>
            <w:noProof/>
            <w:webHidden/>
          </w:rPr>
          <w:instrText xml:space="preserve"> PAGEREF _Toc393800678 \h </w:instrText>
        </w:r>
        <w:r>
          <w:rPr>
            <w:noProof/>
            <w:webHidden/>
          </w:rPr>
        </w:r>
        <w:r>
          <w:rPr>
            <w:noProof/>
            <w:webHidden/>
          </w:rPr>
          <w:fldChar w:fldCharType="separate"/>
        </w:r>
        <w:r>
          <w:rPr>
            <w:noProof/>
            <w:webHidden/>
          </w:rPr>
          <w:t>55</w:t>
        </w:r>
        <w:r>
          <w:rPr>
            <w:noProof/>
            <w:webHidden/>
          </w:rPr>
          <w:fldChar w:fldCharType="end"/>
        </w:r>
      </w:hyperlink>
    </w:p>
    <w:p w:rsidR="003D6768" w:rsidRDefault="003D6768">
      <w:pPr>
        <w:pStyle w:val="TOC2"/>
        <w:rPr>
          <w:rFonts w:asciiTheme="minorHAnsi" w:eastAsiaTheme="minorEastAsia" w:hAnsiTheme="minorHAnsi" w:cstheme="minorBidi"/>
          <w:bCs w:val="0"/>
          <w:noProof/>
          <w:sz w:val="22"/>
          <w:szCs w:val="22"/>
        </w:rPr>
      </w:pPr>
      <w:hyperlink w:anchor="_Toc393800679" w:history="1">
        <w:r w:rsidRPr="00640D62">
          <w:rPr>
            <w:rStyle w:val="Hyperlink"/>
            <w:noProof/>
          </w:rPr>
          <w:t>Measurements</w:t>
        </w:r>
        <w:r>
          <w:rPr>
            <w:noProof/>
            <w:webHidden/>
          </w:rPr>
          <w:tab/>
        </w:r>
        <w:r>
          <w:rPr>
            <w:noProof/>
            <w:webHidden/>
          </w:rPr>
          <w:fldChar w:fldCharType="begin"/>
        </w:r>
        <w:r>
          <w:rPr>
            <w:noProof/>
            <w:webHidden/>
          </w:rPr>
          <w:instrText xml:space="preserve"> PAGEREF _Toc393800679 \h </w:instrText>
        </w:r>
        <w:r>
          <w:rPr>
            <w:noProof/>
            <w:webHidden/>
          </w:rPr>
        </w:r>
        <w:r>
          <w:rPr>
            <w:noProof/>
            <w:webHidden/>
          </w:rPr>
          <w:fldChar w:fldCharType="separate"/>
        </w:r>
        <w:r>
          <w:rPr>
            <w:noProof/>
            <w:webHidden/>
          </w:rPr>
          <w:t>62</w:t>
        </w:r>
        <w:r>
          <w:rPr>
            <w:noProof/>
            <w:webHidden/>
          </w:rPr>
          <w:fldChar w:fldCharType="end"/>
        </w:r>
      </w:hyperlink>
    </w:p>
    <w:p w:rsidR="003D6768" w:rsidRDefault="003D6768">
      <w:pPr>
        <w:pStyle w:val="TOC3"/>
        <w:rPr>
          <w:rFonts w:asciiTheme="minorHAnsi" w:eastAsiaTheme="minorEastAsia" w:hAnsiTheme="minorHAnsi" w:cstheme="minorBidi"/>
          <w:bCs w:val="0"/>
          <w:noProof/>
          <w:sz w:val="22"/>
          <w:szCs w:val="22"/>
        </w:rPr>
      </w:pPr>
      <w:hyperlink w:anchor="_Toc393800680" w:history="1">
        <w:r w:rsidRPr="00640D62">
          <w:rPr>
            <w:rStyle w:val="Hyperlink"/>
            <w:noProof/>
          </w:rPr>
          <w:t>Measured Independent Variable: DTCA Regulatory Knowledge</w:t>
        </w:r>
        <w:r>
          <w:rPr>
            <w:noProof/>
            <w:webHidden/>
          </w:rPr>
          <w:tab/>
        </w:r>
        <w:r>
          <w:rPr>
            <w:noProof/>
            <w:webHidden/>
          </w:rPr>
          <w:fldChar w:fldCharType="begin"/>
        </w:r>
        <w:r>
          <w:rPr>
            <w:noProof/>
            <w:webHidden/>
          </w:rPr>
          <w:instrText xml:space="preserve"> PAGEREF _Toc393800680 \h </w:instrText>
        </w:r>
        <w:r>
          <w:rPr>
            <w:noProof/>
            <w:webHidden/>
          </w:rPr>
        </w:r>
        <w:r>
          <w:rPr>
            <w:noProof/>
            <w:webHidden/>
          </w:rPr>
          <w:fldChar w:fldCharType="separate"/>
        </w:r>
        <w:r>
          <w:rPr>
            <w:noProof/>
            <w:webHidden/>
          </w:rPr>
          <w:t>62</w:t>
        </w:r>
        <w:r>
          <w:rPr>
            <w:noProof/>
            <w:webHidden/>
          </w:rPr>
          <w:fldChar w:fldCharType="end"/>
        </w:r>
      </w:hyperlink>
    </w:p>
    <w:p w:rsidR="003D6768" w:rsidRDefault="003D6768">
      <w:pPr>
        <w:pStyle w:val="TOC3"/>
        <w:rPr>
          <w:rFonts w:asciiTheme="minorHAnsi" w:eastAsiaTheme="minorEastAsia" w:hAnsiTheme="minorHAnsi" w:cstheme="minorBidi"/>
          <w:bCs w:val="0"/>
          <w:noProof/>
          <w:sz w:val="22"/>
          <w:szCs w:val="22"/>
        </w:rPr>
      </w:pPr>
      <w:hyperlink w:anchor="_Toc393800681" w:history="1">
        <w:r w:rsidRPr="00640D62">
          <w:rPr>
            <w:rStyle w:val="Hyperlink"/>
            <w:noProof/>
          </w:rPr>
          <w:t>Dependent Variable: Perceived Attention to Risk Disclosure</w:t>
        </w:r>
        <w:r>
          <w:rPr>
            <w:noProof/>
            <w:webHidden/>
          </w:rPr>
          <w:tab/>
        </w:r>
        <w:r>
          <w:rPr>
            <w:noProof/>
            <w:webHidden/>
          </w:rPr>
          <w:fldChar w:fldCharType="begin"/>
        </w:r>
        <w:r>
          <w:rPr>
            <w:noProof/>
            <w:webHidden/>
          </w:rPr>
          <w:instrText xml:space="preserve"> PAGEREF _Toc393800681 \h </w:instrText>
        </w:r>
        <w:r>
          <w:rPr>
            <w:noProof/>
            <w:webHidden/>
          </w:rPr>
        </w:r>
        <w:r>
          <w:rPr>
            <w:noProof/>
            <w:webHidden/>
          </w:rPr>
          <w:fldChar w:fldCharType="separate"/>
        </w:r>
        <w:r>
          <w:rPr>
            <w:noProof/>
            <w:webHidden/>
          </w:rPr>
          <w:t>64</w:t>
        </w:r>
        <w:r>
          <w:rPr>
            <w:noProof/>
            <w:webHidden/>
          </w:rPr>
          <w:fldChar w:fldCharType="end"/>
        </w:r>
      </w:hyperlink>
    </w:p>
    <w:p w:rsidR="003D6768" w:rsidRDefault="003D6768">
      <w:pPr>
        <w:pStyle w:val="TOC3"/>
        <w:rPr>
          <w:rFonts w:asciiTheme="minorHAnsi" w:eastAsiaTheme="minorEastAsia" w:hAnsiTheme="minorHAnsi" w:cstheme="minorBidi"/>
          <w:bCs w:val="0"/>
          <w:noProof/>
          <w:sz w:val="22"/>
          <w:szCs w:val="22"/>
        </w:rPr>
      </w:pPr>
      <w:hyperlink w:anchor="_Toc393800682" w:history="1">
        <w:r w:rsidRPr="00640D62">
          <w:rPr>
            <w:rStyle w:val="Hyperlink"/>
            <w:noProof/>
          </w:rPr>
          <w:t>Dependent Variables: Recall and Recognition</w:t>
        </w:r>
        <w:r>
          <w:rPr>
            <w:noProof/>
            <w:webHidden/>
          </w:rPr>
          <w:tab/>
        </w:r>
        <w:r>
          <w:rPr>
            <w:noProof/>
            <w:webHidden/>
          </w:rPr>
          <w:fldChar w:fldCharType="begin"/>
        </w:r>
        <w:r>
          <w:rPr>
            <w:noProof/>
            <w:webHidden/>
          </w:rPr>
          <w:instrText xml:space="preserve"> PAGEREF _Toc393800682 \h </w:instrText>
        </w:r>
        <w:r>
          <w:rPr>
            <w:noProof/>
            <w:webHidden/>
          </w:rPr>
        </w:r>
        <w:r>
          <w:rPr>
            <w:noProof/>
            <w:webHidden/>
          </w:rPr>
          <w:fldChar w:fldCharType="separate"/>
        </w:r>
        <w:r>
          <w:rPr>
            <w:noProof/>
            <w:webHidden/>
          </w:rPr>
          <w:t>67</w:t>
        </w:r>
        <w:r>
          <w:rPr>
            <w:noProof/>
            <w:webHidden/>
          </w:rPr>
          <w:fldChar w:fldCharType="end"/>
        </w:r>
      </w:hyperlink>
    </w:p>
    <w:p w:rsidR="003D6768" w:rsidRDefault="003D6768">
      <w:pPr>
        <w:pStyle w:val="TOC3"/>
        <w:rPr>
          <w:rFonts w:asciiTheme="minorHAnsi" w:eastAsiaTheme="minorEastAsia" w:hAnsiTheme="minorHAnsi" w:cstheme="minorBidi"/>
          <w:bCs w:val="0"/>
          <w:noProof/>
          <w:sz w:val="22"/>
          <w:szCs w:val="22"/>
        </w:rPr>
      </w:pPr>
      <w:hyperlink w:anchor="_Toc393800683" w:history="1">
        <w:r w:rsidRPr="00640D62">
          <w:rPr>
            <w:rStyle w:val="Hyperlink"/>
            <w:noProof/>
          </w:rPr>
          <w:t>Covariates</w:t>
        </w:r>
        <w:r>
          <w:rPr>
            <w:noProof/>
            <w:webHidden/>
          </w:rPr>
          <w:tab/>
        </w:r>
        <w:r>
          <w:rPr>
            <w:noProof/>
            <w:webHidden/>
          </w:rPr>
          <w:fldChar w:fldCharType="begin"/>
        </w:r>
        <w:r>
          <w:rPr>
            <w:noProof/>
            <w:webHidden/>
          </w:rPr>
          <w:instrText xml:space="preserve"> PAGEREF _Toc393800683 \h </w:instrText>
        </w:r>
        <w:r>
          <w:rPr>
            <w:noProof/>
            <w:webHidden/>
          </w:rPr>
        </w:r>
        <w:r>
          <w:rPr>
            <w:noProof/>
            <w:webHidden/>
          </w:rPr>
          <w:fldChar w:fldCharType="separate"/>
        </w:r>
        <w:r>
          <w:rPr>
            <w:noProof/>
            <w:webHidden/>
          </w:rPr>
          <w:t>70</w:t>
        </w:r>
        <w:r>
          <w:rPr>
            <w:noProof/>
            <w:webHidden/>
          </w:rPr>
          <w:fldChar w:fldCharType="end"/>
        </w:r>
      </w:hyperlink>
    </w:p>
    <w:p w:rsidR="003D6768" w:rsidRDefault="003D6768" w:rsidP="003D6768">
      <w:pPr>
        <w:pStyle w:val="TOC1"/>
        <w:rPr>
          <w:rFonts w:asciiTheme="minorHAnsi" w:eastAsiaTheme="minorEastAsia" w:hAnsiTheme="minorHAnsi" w:cstheme="minorBidi"/>
          <w:noProof/>
          <w:sz w:val="22"/>
          <w:szCs w:val="22"/>
        </w:rPr>
      </w:pPr>
      <w:hyperlink w:anchor="_Toc393800684" w:history="1">
        <w:r w:rsidRPr="00640D62">
          <w:rPr>
            <w:rStyle w:val="Hyperlink"/>
            <w:noProof/>
          </w:rPr>
          <w:t>CHAPTER 4: ANALYSIS AND RESULTS</w:t>
        </w:r>
        <w:r>
          <w:rPr>
            <w:noProof/>
            <w:webHidden/>
          </w:rPr>
          <w:tab/>
        </w:r>
        <w:r>
          <w:rPr>
            <w:noProof/>
            <w:webHidden/>
          </w:rPr>
          <w:fldChar w:fldCharType="begin"/>
        </w:r>
        <w:r>
          <w:rPr>
            <w:noProof/>
            <w:webHidden/>
          </w:rPr>
          <w:instrText xml:space="preserve"> PAGEREF _Toc393800684 \h </w:instrText>
        </w:r>
        <w:r>
          <w:rPr>
            <w:noProof/>
            <w:webHidden/>
          </w:rPr>
        </w:r>
        <w:r>
          <w:rPr>
            <w:noProof/>
            <w:webHidden/>
          </w:rPr>
          <w:fldChar w:fldCharType="separate"/>
        </w:r>
        <w:r>
          <w:rPr>
            <w:noProof/>
            <w:webHidden/>
          </w:rPr>
          <w:t>73</w:t>
        </w:r>
        <w:r>
          <w:rPr>
            <w:noProof/>
            <w:webHidden/>
          </w:rPr>
          <w:fldChar w:fldCharType="end"/>
        </w:r>
      </w:hyperlink>
    </w:p>
    <w:p w:rsidR="003D6768" w:rsidRDefault="003D6768">
      <w:pPr>
        <w:pStyle w:val="TOC2"/>
        <w:rPr>
          <w:rFonts w:asciiTheme="minorHAnsi" w:eastAsiaTheme="minorEastAsia" w:hAnsiTheme="minorHAnsi" w:cstheme="minorBidi"/>
          <w:bCs w:val="0"/>
          <w:noProof/>
          <w:sz w:val="22"/>
          <w:szCs w:val="22"/>
        </w:rPr>
      </w:pPr>
      <w:hyperlink w:anchor="_Toc393800685" w:history="1">
        <w:r w:rsidRPr="00640D62">
          <w:rPr>
            <w:rStyle w:val="Hyperlink"/>
            <w:noProof/>
          </w:rPr>
          <w:t>Analysis Approach</w:t>
        </w:r>
        <w:r>
          <w:rPr>
            <w:noProof/>
            <w:webHidden/>
          </w:rPr>
          <w:tab/>
        </w:r>
        <w:r>
          <w:rPr>
            <w:noProof/>
            <w:webHidden/>
          </w:rPr>
          <w:fldChar w:fldCharType="begin"/>
        </w:r>
        <w:r>
          <w:rPr>
            <w:noProof/>
            <w:webHidden/>
          </w:rPr>
          <w:instrText xml:space="preserve"> PAGEREF _Toc393800685 \h </w:instrText>
        </w:r>
        <w:r>
          <w:rPr>
            <w:noProof/>
            <w:webHidden/>
          </w:rPr>
        </w:r>
        <w:r>
          <w:rPr>
            <w:noProof/>
            <w:webHidden/>
          </w:rPr>
          <w:fldChar w:fldCharType="separate"/>
        </w:r>
        <w:r>
          <w:rPr>
            <w:noProof/>
            <w:webHidden/>
          </w:rPr>
          <w:t>73</w:t>
        </w:r>
        <w:r>
          <w:rPr>
            <w:noProof/>
            <w:webHidden/>
          </w:rPr>
          <w:fldChar w:fldCharType="end"/>
        </w:r>
      </w:hyperlink>
    </w:p>
    <w:p w:rsidR="003D6768" w:rsidRDefault="003D6768">
      <w:pPr>
        <w:pStyle w:val="TOC2"/>
        <w:rPr>
          <w:rFonts w:asciiTheme="minorHAnsi" w:eastAsiaTheme="minorEastAsia" w:hAnsiTheme="minorHAnsi" w:cstheme="minorBidi"/>
          <w:bCs w:val="0"/>
          <w:noProof/>
          <w:sz w:val="22"/>
          <w:szCs w:val="22"/>
        </w:rPr>
      </w:pPr>
      <w:hyperlink w:anchor="_Toc393800686" w:history="1">
        <w:r w:rsidRPr="00640D62">
          <w:rPr>
            <w:rStyle w:val="Hyperlink"/>
            <w:noProof/>
          </w:rPr>
          <w:t>The Results of Hypothesis Tests</w:t>
        </w:r>
        <w:r>
          <w:rPr>
            <w:noProof/>
            <w:webHidden/>
          </w:rPr>
          <w:tab/>
        </w:r>
        <w:r>
          <w:rPr>
            <w:noProof/>
            <w:webHidden/>
          </w:rPr>
          <w:fldChar w:fldCharType="begin"/>
        </w:r>
        <w:r>
          <w:rPr>
            <w:noProof/>
            <w:webHidden/>
          </w:rPr>
          <w:instrText xml:space="preserve"> PAGEREF _Toc393800686 \h </w:instrText>
        </w:r>
        <w:r>
          <w:rPr>
            <w:noProof/>
            <w:webHidden/>
          </w:rPr>
        </w:r>
        <w:r>
          <w:rPr>
            <w:noProof/>
            <w:webHidden/>
          </w:rPr>
          <w:fldChar w:fldCharType="separate"/>
        </w:r>
        <w:r>
          <w:rPr>
            <w:noProof/>
            <w:webHidden/>
          </w:rPr>
          <w:t>74</w:t>
        </w:r>
        <w:r>
          <w:rPr>
            <w:noProof/>
            <w:webHidden/>
          </w:rPr>
          <w:fldChar w:fldCharType="end"/>
        </w:r>
      </w:hyperlink>
    </w:p>
    <w:p w:rsidR="003D6768" w:rsidRDefault="003D6768">
      <w:pPr>
        <w:pStyle w:val="TOC3"/>
        <w:rPr>
          <w:rFonts w:asciiTheme="minorHAnsi" w:eastAsiaTheme="minorEastAsia" w:hAnsiTheme="minorHAnsi" w:cstheme="minorBidi"/>
          <w:bCs w:val="0"/>
          <w:noProof/>
          <w:sz w:val="22"/>
          <w:szCs w:val="22"/>
        </w:rPr>
      </w:pPr>
      <w:hyperlink w:anchor="_Toc393800687" w:history="1">
        <w:r w:rsidRPr="00640D62">
          <w:rPr>
            <w:rStyle w:val="Hyperlink"/>
            <w:noProof/>
          </w:rPr>
          <w:t>Hypotheses 1 through 6: Prominence and DTCA Knowledge Main Effects</w:t>
        </w:r>
        <w:r>
          <w:rPr>
            <w:noProof/>
            <w:webHidden/>
          </w:rPr>
          <w:tab/>
        </w:r>
        <w:r>
          <w:rPr>
            <w:noProof/>
            <w:webHidden/>
          </w:rPr>
          <w:fldChar w:fldCharType="begin"/>
        </w:r>
        <w:r>
          <w:rPr>
            <w:noProof/>
            <w:webHidden/>
          </w:rPr>
          <w:instrText xml:space="preserve"> PAGEREF _Toc393800687 \h </w:instrText>
        </w:r>
        <w:r>
          <w:rPr>
            <w:noProof/>
            <w:webHidden/>
          </w:rPr>
        </w:r>
        <w:r>
          <w:rPr>
            <w:noProof/>
            <w:webHidden/>
          </w:rPr>
          <w:fldChar w:fldCharType="separate"/>
        </w:r>
        <w:r>
          <w:rPr>
            <w:noProof/>
            <w:webHidden/>
          </w:rPr>
          <w:t>74</w:t>
        </w:r>
        <w:r>
          <w:rPr>
            <w:noProof/>
            <w:webHidden/>
          </w:rPr>
          <w:fldChar w:fldCharType="end"/>
        </w:r>
      </w:hyperlink>
    </w:p>
    <w:p w:rsidR="003D6768" w:rsidRDefault="003D6768">
      <w:pPr>
        <w:pStyle w:val="TOC3"/>
        <w:rPr>
          <w:rFonts w:asciiTheme="minorHAnsi" w:eastAsiaTheme="minorEastAsia" w:hAnsiTheme="minorHAnsi" w:cstheme="minorBidi"/>
          <w:bCs w:val="0"/>
          <w:noProof/>
          <w:sz w:val="22"/>
          <w:szCs w:val="22"/>
        </w:rPr>
      </w:pPr>
      <w:hyperlink w:anchor="_Toc393800688" w:history="1">
        <w:r w:rsidRPr="00640D62">
          <w:rPr>
            <w:rStyle w:val="Hyperlink"/>
            <w:noProof/>
          </w:rPr>
          <w:t>Hypotheses 7a, 7b, and 7c: Moderating Effects of DTCA Regulatory Knowledge</w:t>
        </w:r>
        <w:r>
          <w:rPr>
            <w:noProof/>
            <w:webHidden/>
          </w:rPr>
          <w:tab/>
        </w:r>
        <w:r>
          <w:rPr>
            <w:noProof/>
            <w:webHidden/>
          </w:rPr>
          <w:fldChar w:fldCharType="begin"/>
        </w:r>
        <w:r>
          <w:rPr>
            <w:noProof/>
            <w:webHidden/>
          </w:rPr>
          <w:instrText xml:space="preserve"> PAGEREF _Toc393800688 \h </w:instrText>
        </w:r>
        <w:r>
          <w:rPr>
            <w:noProof/>
            <w:webHidden/>
          </w:rPr>
        </w:r>
        <w:r>
          <w:rPr>
            <w:noProof/>
            <w:webHidden/>
          </w:rPr>
          <w:fldChar w:fldCharType="separate"/>
        </w:r>
        <w:r>
          <w:rPr>
            <w:noProof/>
            <w:webHidden/>
          </w:rPr>
          <w:t>77</w:t>
        </w:r>
        <w:r>
          <w:rPr>
            <w:noProof/>
            <w:webHidden/>
          </w:rPr>
          <w:fldChar w:fldCharType="end"/>
        </w:r>
      </w:hyperlink>
    </w:p>
    <w:p w:rsidR="003D6768" w:rsidRDefault="003D6768">
      <w:pPr>
        <w:pStyle w:val="TOC3"/>
        <w:rPr>
          <w:rFonts w:asciiTheme="minorHAnsi" w:eastAsiaTheme="minorEastAsia" w:hAnsiTheme="minorHAnsi" w:cstheme="minorBidi"/>
          <w:bCs w:val="0"/>
          <w:noProof/>
          <w:sz w:val="22"/>
          <w:szCs w:val="22"/>
        </w:rPr>
      </w:pPr>
      <w:hyperlink w:anchor="_Toc393800689" w:history="1">
        <w:r w:rsidRPr="00640D62">
          <w:rPr>
            <w:rStyle w:val="Hyperlink"/>
            <w:noProof/>
          </w:rPr>
          <w:t>Hypotheses 8, 9, and 10: Mediating Effects of Perceived Attention</w:t>
        </w:r>
        <w:r>
          <w:rPr>
            <w:noProof/>
            <w:webHidden/>
          </w:rPr>
          <w:tab/>
        </w:r>
        <w:r>
          <w:rPr>
            <w:noProof/>
            <w:webHidden/>
          </w:rPr>
          <w:fldChar w:fldCharType="begin"/>
        </w:r>
        <w:r>
          <w:rPr>
            <w:noProof/>
            <w:webHidden/>
          </w:rPr>
          <w:instrText xml:space="preserve"> PAGEREF _Toc393800689 \h </w:instrText>
        </w:r>
        <w:r>
          <w:rPr>
            <w:noProof/>
            <w:webHidden/>
          </w:rPr>
        </w:r>
        <w:r>
          <w:rPr>
            <w:noProof/>
            <w:webHidden/>
          </w:rPr>
          <w:fldChar w:fldCharType="separate"/>
        </w:r>
        <w:r>
          <w:rPr>
            <w:noProof/>
            <w:webHidden/>
          </w:rPr>
          <w:t>79</w:t>
        </w:r>
        <w:r>
          <w:rPr>
            <w:noProof/>
            <w:webHidden/>
          </w:rPr>
          <w:fldChar w:fldCharType="end"/>
        </w:r>
      </w:hyperlink>
    </w:p>
    <w:p w:rsidR="003D6768" w:rsidRDefault="003D6768" w:rsidP="003D6768">
      <w:pPr>
        <w:pStyle w:val="TOC1"/>
        <w:rPr>
          <w:rFonts w:asciiTheme="minorHAnsi" w:eastAsiaTheme="minorEastAsia" w:hAnsiTheme="minorHAnsi" w:cstheme="minorBidi"/>
          <w:noProof/>
          <w:sz w:val="22"/>
          <w:szCs w:val="22"/>
        </w:rPr>
      </w:pPr>
      <w:hyperlink w:anchor="_Toc393800690" w:history="1">
        <w:r w:rsidRPr="00640D62">
          <w:rPr>
            <w:rStyle w:val="Hyperlink"/>
            <w:noProof/>
          </w:rPr>
          <w:t>CHPATER 5: DISCUSSION</w:t>
        </w:r>
        <w:r>
          <w:rPr>
            <w:noProof/>
            <w:webHidden/>
          </w:rPr>
          <w:tab/>
        </w:r>
        <w:r>
          <w:rPr>
            <w:noProof/>
            <w:webHidden/>
          </w:rPr>
          <w:fldChar w:fldCharType="begin"/>
        </w:r>
        <w:r>
          <w:rPr>
            <w:noProof/>
            <w:webHidden/>
          </w:rPr>
          <w:instrText xml:space="preserve"> PAGEREF _Toc393800690 \h </w:instrText>
        </w:r>
        <w:r>
          <w:rPr>
            <w:noProof/>
            <w:webHidden/>
          </w:rPr>
        </w:r>
        <w:r>
          <w:rPr>
            <w:noProof/>
            <w:webHidden/>
          </w:rPr>
          <w:fldChar w:fldCharType="separate"/>
        </w:r>
        <w:r>
          <w:rPr>
            <w:noProof/>
            <w:webHidden/>
          </w:rPr>
          <w:t>85</w:t>
        </w:r>
        <w:r>
          <w:rPr>
            <w:noProof/>
            <w:webHidden/>
          </w:rPr>
          <w:fldChar w:fldCharType="end"/>
        </w:r>
      </w:hyperlink>
    </w:p>
    <w:p w:rsidR="003D6768" w:rsidRDefault="003D6768">
      <w:pPr>
        <w:pStyle w:val="TOC2"/>
        <w:rPr>
          <w:rFonts w:asciiTheme="minorHAnsi" w:eastAsiaTheme="minorEastAsia" w:hAnsiTheme="minorHAnsi" w:cstheme="minorBidi"/>
          <w:bCs w:val="0"/>
          <w:noProof/>
          <w:sz w:val="22"/>
          <w:szCs w:val="22"/>
        </w:rPr>
      </w:pPr>
      <w:hyperlink w:anchor="_Toc393800691" w:history="1">
        <w:r w:rsidRPr="00640D62">
          <w:rPr>
            <w:rStyle w:val="Hyperlink"/>
            <w:noProof/>
          </w:rPr>
          <w:t>Summary of Major Findings</w:t>
        </w:r>
        <w:r>
          <w:rPr>
            <w:noProof/>
            <w:webHidden/>
          </w:rPr>
          <w:tab/>
        </w:r>
        <w:r>
          <w:rPr>
            <w:noProof/>
            <w:webHidden/>
          </w:rPr>
          <w:fldChar w:fldCharType="begin"/>
        </w:r>
        <w:r>
          <w:rPr>
            <w:noProof/>
            <w:webHidden/>
          </w:rPr>
          <w:instrText xml:space="preserve"> PAGEREF _Toc393800691 \h </w:instrText>
        </w:r>
        <w:r>
          <w:rPr>
            <w:noProof/>
            <w:webHidden/>
          </w:rPr>
        </w:r>
        <w:r>
          <w:rPr>
            <w:noProof/>
            <w:webHidden/>
          </w:rPr>
          <w:fldChar w:fldCharType="separate"/>
        </w:r>
        <w:r>
          <w:rPr>
            <w:noProof/>
            <w:webHidden/>
          </w:rPr>
          <w:t>85</w:t>
        </w:r>
        <w:r>
          <w:rPr>
            <w:noProof/>
            <w:webHidden/>
          </w:rPr>
          <w:fldChar w:fldCharType="end"/>
        </w:r>
      </w:hyperlink>
    </w:p>
    <w:p w:rsidR="003D6768" w:rsidRDefault="003D6768">
      <w:pPr>
        <w:pStyle w:val="TOC2"/>
        <w:rPr>
          <w:rFonts w:asciiTheme="minorHAnsi" w:eastAsiaTheme="minorEastAsia" w:hAnsiTheme="minorHAnsi" w:cstheme="minorBidi"/>
          <w:bCs w:val="0"/>
          <w:noProof/>
          <w:sz w:val="22"/>
          <w:szCs w:val="22"/>
        </w:rPr>
      </w:pPr>
      <w:hyperlink w:anchor="_Toc393800692" w:history="1">
        <w:r w:rsidRPr="00640D62">
          <w:rPr>
            <w:rStyle w:val="Hyperlink"/>
            <w:noProof/>
          </w:rPr>
          <w:t>Theoretical Implications</w:t>
        </w:r>
        <w:r>
          <w:rPr>
            <w:noProof/>
            <w:webHidden/>
          </w:rPr>
          <w:tab/>
        </w:r>
        <w:r>
          <w:rPr>
            <w:noProof/>
            <w:webHidden/>
          </w:rPr>
          <w:fldChar w:fldCharType="begin"/>
        </w:r>
        <w:r>
          <w:rPr>
            <w:noProof/>
            <w:webHidden/>
          </w:rPr>
          <w:instrText xml:space="preserve"> PAGEREF _Toc393800692 \h </w:instrText>
        </w:r>
        <w:r>
          <w:rPr>
            <w:noProof/>
            <w:webHidden/>
          </w:rPr>
        </w:r>
        <w:r>
          <w:rPr>
            <w:noProof/>
            <w:webHidden/>
          </w:rPr>
          <w:fldChar w:fldCharType="separate"/>
        </w:r>
        <w:r>
          <w:rPr>
            <w:noProof/>
            <w:webHidden/>
          </w:rPr>
          <w:t>88</w:t>
        </w:r>
        <w:r>
          <w:rPr>
            <w:noProof/>
            <w:webHidden/>
          </w:rPr>
          <w:fldChar w:fldCharType="end"/>
        </w:r>
      </w:hyperlink>
    </w:p>
    <w:p w:rsidR="003D6768" w:rsidRDefault="003D6768">
      <w:pPr>
        <w:pStyle w:val="TOC2"/>
        <w:rPr>
          <w:rFonts w:asciiTheme="minorHAnsi" w:eastAsiaTheme="minorEastAsia" w:hAnsiTheme="minorHAnsi" w:cstheme="minorBidi"/>
          <w:bCs w:val="0"/>
          <w:noProof/>
          <w:sz w:val="22"/>
          <w:szCs w:val="22"/>
        </w:rPr>
      </w:pPr>
      <w:hyperlink w:anchor="_Toc393800693" w:history="1">
        <w:r w:rsidRPr="00640D62">
          <w:rPr>
            <w:rStyle w:val="Hyperlink"/>
            <w:noProof/>
          </w:rPr>
          <w:t>Managerial Implications</w:t>
        </w:r>
        <w:r>
          <w:rPr>
            <w:noProof/>
            <w:webHidden/>
          </w:rPr>
          <w:tab/>
        </w:r>
        <w:r>
          <w:rPr>
            <w:noProof/>
            <w:webHidden/>
          </w:rPr>
          <w:fldChar w:fldCharType="begin"/>
        </w:r>
        <w:r>
          <w:rPr>
            <w:noProof/>
            <w:webHidden/>
          </w:rPr>
          <w:instrText xml:space="preserve"> PAGEREF _Toc393800693 \h </w:instrText>
        </w:r>
        <w:r>
          <w:rPr>
            <w:noProof/>
            <w:webHidden/>
          </w:rPr>
        </w:r>
        <w:r>
          <w:rPr>
            <w:noProof/>
            <w:webHidden/>
          </w:rPr>
          <w:fldChar w:fldCharType="separate"/>
        </w:r>
        <w:r>
          <w:rPr>
            <w:noProof/>
            <w:webHidden/>
          </w:rPr>
          <w:t>92</w:t>
        </w:r>
        <w:r>
          <w:rPr>
            <w:noProof/>
            <w:webHidden/>
          </w:rPr>
          <w:fldChar w:fldCharType="end"/>
        </w:r>
      </w:hyperlink>
    </w:p>
    <w:p w:rsidR="003D6768" w:rsidRDefault="003D6768">
      <w:pPr>
        <w:pStyle w:val="TOC2"/>
        <w:rPr>
          <w:rFonts w:asciiTheme="minorHAnsi" w:eastAsiaTheme="minorEastAsia" w:hAnsiTheme="minorHAnsi" w:cstheme="minorBidi"/>
          <w:bCs w:val="0"/>
          <w:noProof/>
          <w:sz w:val="22"/>
          <w:szCs w:val="22"/>
        </w:rPr>
      </w:pPr>
      <w:hyperlink w:anchor="_Toc393800694" w:history="1">
        <w:r w:rsidRPr="00640D62">
          <w:rPr>
            <w:rStyle w:val="Hyperlink"/>
            <w:noProof/>
          </w:rPr>
          <w:t>Consumer Education and Public Health Implications</w:t>
        </w:r>
        <w:r>
          <w:rPr>
            <w:noProof/>
            <w:webHidden/>
          </w:rPr>
          <w:tab/>
        </w:r>
        <w:r>
          <w:rPr>
            <w:noProof/>
            <w:webHidden/>
          </w:rPr>
          <w:fldChar w:fldCharType="begin"/>
        </w:r>
        <w:r>
          <w:rPr>
            <w:noProof/>
            <w:webHidden/>
          </w:rPr>
          <w:instrText xml:space="preserve"> PAGEREF _Toc393800694 \h </w:instrText>
        </w:r>
        <w:r>
          <w:rPr>
            <w:noProof/>
            <w:webHidden/>
          </w:rPr>
        </w:r>
        <w:r>
          <w:rPr>
            <w:noProof/>
            <w:webHidden/>
          </w:rPr>
          <w:fldChar w:fldCharType="separate"/>
        </w:r>
        <w:r>
          <w:rPr>
            <w:noProof/>
            <w:webHidden/>
          </w:rPr>
          <w:t>94</w:t>
        </w:r>
        <w:r>
          <w:rPr>
            <w:noProof/>
            <w:webHidden/>
          </w:rPr>
          <w:fldChar w:fldCharType="end"/>
        </w:r>
      </w:hyperlink>
    </w:p>
    <w:p w:rsidR="003D6768" w:rsidRDefault="003D6768" w:rsidP="003D6768">
      <w:pPr>
        <w:pStyle w:val="TOC1"/>
        <w:rPr>
          <w:rFonts w:asciiTheme="minorHAnsi" w:eastAsiaTheme="minorEastAsia" w:hAnsiTheme="minorHAnsi" w:cstheme="minorBidi"/>
          <w:noProof/>
          <w:sz w:val="22"/>
          <w:szCs w:val="22"/>
        </w:rPr>
      </w:pPr>
      <w:hyperlink w:anchor="_Toc393800695" w:history="1">
        <w:r w:rsidRPr="00640D62">
          <w:rPr>
            <w:rStyle w:val="Hyperlink"/>
            <w:noProof/>
          </w:rPr>
          <w:t>CHAPTER 6: LIMITATIONS AND FUTURE RESEARCH RECOMMENDATIONS</w:t>
        </w:r>
        <w:r>
          <w:rPr>
            <w:noProof/>
            <w:webHidden/>
          </w:rPr>
          <w:tab/>
        </w:r>
        <w:r>
          <w:rPr>
            <w:noProof/>
            <w:webHidden/>
          </w:rPr>
          <w:fldChar w:fldCharType="begin"/>
        </w:r>
        <w:r>
          <w:rPr>
            <w:noProof/>
            <w:webHidden/>
          </w:rPr>
          <w:instrText xml:space="preserve"> PAGEREF _Toc393800695 \h </w:instrText>
        </w:r>
        <w:r>
          <w:rPr>
            <w:noProof/>
            <w:webHidden/>
          </w:rPr>
        </w:r>
        <w:r>
          <w:rPr>
            <w:noProof/>
            <w:webHidden/>
          </w:rPr>
          <w:fldChar w:fldCharType="separate"/>
        </w:r>
        <w:r>
          <w:rPr>
            <w:noProof/>
            <w:webHidden/>
          </w:rPr>
          <w:t>101</w:t>
        </w:r>
        <w:r>
          <w:rPr>
            <w:noProof/>
            <w:webHidden/>
          </w:rPr>
          <w:fldChar w:fldCharType="end"/>
        </w:r>
      </w:hyperlink>
    </w:p>
    <w:p w:rsidR="003D6768" w:rsidRDefault="003D6768" w:rsidP="003D6768">
      <w:pPr>
        <w:pStyle w:val="TOC1"/>
        <w:rPr>
          <w:rFonts w:asciiTheme="minorHAnsi" w:eastAsiaTheme="minorEastAsia" w:hAnsiTheme="minorHAnsi" w:cstheme="minorBidi"/>
          <w:noProof/>
          <w:sz w:val="22"/>
          <w:szCs w:val="22"/>
        </w:rPr>
      </w:pPr>
      <w:hyperlink w:anchor="_Toc393800696" w:history="1">
        <w:r w:rsidRPr="00640D62">
          <w:rPr>
            <w:rStyle w:val="Hyperlink"/>
            <w:noProof/>
          </w:rPr>
          <w:t>LIST OF REFERENCES</w:t>
        </w:r>
        <w:r>
          <w:rPr>
            <w:noProof/>
            <w:webHidden/>
          </w:rPr>
          <w:tab/>
        </w:r>
        <w:r>
          <w:rPr>
            <w:noProof/>
            <w:webHidden/>
          </w:rPr>
          <w:fldChar w:fldCharType="begin"/>
        </w:r>
        <w:r>
          <w:rPr>
            <w:noProof/>
            <w:webHidden/>
          </w:rPr>
          <w:instrText xml:space="preserve"> PAGEREF _Toc393800696 \h </w:instrText>
        </w:r>
        <w:r>
          <w:rPr>
            <w:noProof/>
            <w:webHidden/>
          </w:rPr>
        </w:r>
        <w:r>
          <w:rPr>
            <w:noProof/>
            <w:webHidden/>
          </w:rPr>
          <w:fldChar w:fldCharType="separate"/>
        </w:r>
        <w:r>
          <w:rPr>
            <w:noProof/>
            <w:webHidden/>
          </w:rPr>
          <w:t>109</w:t>
        </w:r>
        <w:r>
          <w:rPr>
            <w:noProof/>
            <w:webHidden/>
          </w:rPr>
          <w:fldChar w:fldCharType="end"/>
        </w:r>
      </w:hyperlink>
    </w:p>
    <w:p w:rsidR="003D6768" w:rsidRDefault="003D6768" w:rsidP="003D6768">
      <w:pPr>
        <w:pStyle w:val="TOC1"/>
        <w:rPr>
          <w:rFonts w:asciiTheme="minorHAnsi" w:eastAsiaTheme="minorEastAsia" w:hAnsiTheme="minorHAnsi" w:cstheme="minorBidi"/>
          <w:noProof/>
          <w:sz w:val="22"/>
          <w:szCs w:val="22"/>
        </w:rPr>
      </w:pPr>
      <w:hyperlink w:anchor="_Toc393800697" w:history="1">
        <w:r w:rsidRPr="00640D62">
          <w:rPr>
            <w:rStyle w:val="Hyperlink"/>
            <w:noProof/>
          </w:rPr>
          <w:t>APPENDICES</w:t>
        </w:r>
        <w:r>
          <w:rPr>
            <w:noProof/>
            <w:webHidden/>
          </w:rPr>
          <w:tab/>
        </w:r>
        <w:r>
          <w:rPr>
            <w:noProof/>
            <w:webHidden/>
          </w:rPr>
          <w:fldChar w:fldCharType="begin"/>
        </w:r>
        <w:r>
          <w:rPr>
            <w:noProof/>
            <w:webHidden/>
          </w:rPr>
          <w:instrText xml:space="preserve"> PAGEREF _Toc393800697 \h </w:instrText>
        </w:r>
        <w:r>
          <w:rPr>
            <w:noProof/>
            <w:webHidden/>
          </w:rPr>
        </w:r>
        <w:r>
          <w:rPr>
            <w:noProof/>
            <w:webHidden/>
          </w:rPr>
          <w:fldChar w:fldCharType="separate"/>
        </w:r>
        <w:r>
          <w:rPr>
            <w:noProof/>
            <w:webHidden/>
          </w:rPr>
          <w:t>146</w:t>
        </w:r>
        <w:r>
          <w:rPr>
            <w:noProof/>
            <w:webHidden/>
          </w:rPr>
          <w:fldChar w:fldCharType="end"/>
        </w:r>
      </w:hyperlink>
    </w:p>
    <w:p w:rsidR="003D6768" w:rsidRDefault="003D6768">
      <w:pPr>
        <w:pStyle w:val="TOC2"/>
        <w:rPr>
          <w:rFonts w:asciiTheme="minorHAnsi" w:eastAsiaTheme="minorEastAsia" w:hAnsiTheme="minorHAnsi" w:cstheme="minorBidi"/>
          <w:bCs w:val="0"/>
          <w:noProof/>
          <w:sz w:val="22"/>
          <w:szCs w:val="22"/>
        </w:rPr>
      </w:pPr>
      <w:hyperlink w:anchor="_Toc393800698" w:history="1">
        <w:r w:rsidRPr="00640D62">
          <w:rPr>
            <w:rStyle w:val="Hyperlink"/>
            <w:noProof/>
          </w:rPr>
          <w:t>Appendix A: Survey Questionnaire</w:t>
        </w:r>
        <w:r>
          <w:rPr>
            <w:noProof/>
            <w:webHidden/>
          </w:rPr>
          <w:tab/>
        </w:r>
        <w:r>
          <w:rPr>
            <w:noProof/>
            <w:webHidden/>
          </w:rPr>
          <w:fldChar w:fldCharType="begin"/>
        </w:r>
        <w:r>
          <w:rPr>
            <w:noProof/>
            <w:webHidden/>
          </w:rPr>
          <w:instrText xml:space="preserve"> PAGEREF _Toc393800698 \h </w:instrText>
        </w:r>
        <w:r>
          <w:rPr>
            <w:noProof/>
            <w:webHidden/>
          </w:rPr>
        </w:r>
        <w:r>
          <w:rPr>
            <w:noProof/>
            <w:webHidden/>
          </w:rPr>
          <w:fldChar w:fldCharType="separate"/>
        </w:r>
        <w:r>
          <w:rPr>
            <w:noProof/>
            <w:webHidden/>
          </w:rPr>
          <w:t>147</w:t>
        </w:r>
        <w:r>
          <w:rPr>
            <w:noProof/>
            <w:webHidden/>
          </w:rPr>
          <w:fldChar w:fldCharType="end"/>
        </w:r>
      </w:hyperlink>
    </w:p>
    <w:p w:rsidR="003D6768" w:rsidRDefault="003D6768">
      <w:pPr>
        <w:pStyle w:val="TOC2"/>
        <w:rPr>
          <w:rFonts w:asciiTheme="minorHAnsi" w:eastAsiaTheme="minorEastAsia" w:hAnsiTheme="minorHAnsi" w:cstheme="minorBidi"/>
          <w:bCs w:val="0"/>
          <w:noProof/>
          <w:sz w:val="22"/>
          <w:szCs w:val="22"/>
        </w:rPr>
      </w:pPr>
      <w:hyperlink w:anchor="_Toc393800699" w:history="1">
        <w:r w:rsidRPr="00640D62">
          <w:rPr>
            <w:rStyle w:val="Hyperlink"/>
            <w:noProof/>
          </w:rPr>
          <w:t>Appendix B: Low Prominence Ad Stimulus</w:t>
        </w:r>
        <w:r>
          <w:rPr>
            <w:noProof/>
            <w:webHidden/>
          </w:rPr>
          <w:tab/>
        </w:r>
        <w:r>
          <w:rPr>
            <w:noProof/>
            <w:webHidden/>
          </w:rPr>
          <w:fldChar w:fldCharType="begin"/>
        </w:r>
        <w:r>
          <w:rPr>
            <w:noProof/>
            <w:webHidden/>
          </w:rPr>
          <w:instrText xml:space="preserve"> PAGEREF _Toc393800699 \h </w:instrText>
        </w:r>
        <w:r>
          <w:rPr>
            <w:noProof/>
            <w:webHidden/>
          </w:rPr>
        </w:r>
        <w:r>
          <w:rPr>
            <w:noProof/>
            <w:webHidden/>
          </w:rPr>
          <w:fldChar w:fldCharType="separate"/>
        </w:r>
        <w:r>
          <w:rPr>
            <w:noProof/>
            <w:webHidden/>
          </w:rPr>
          <w:t>157</w:t>
        </w:r>
        <w:r>
          <w:rPr>
            <w:noProof/>
            <w:webHidden/>
          </w:rPr>
          <w:fldChar w:fldCharType="end"/>
        </w:r>
      </w:hyperlink>
    </w:p>
    <w:p w:rsidR="003D6768" w:rsidRDefault="003D6768">
      <w:pPr>
        <w:pStyle w:val="TOC2"/>
        <w:rPr>
          <w:rFonts w:asciiTheme="minorHAnsi" w:eastAsiaTheme="minorEastAsia" w:hAnsiTheme="minorHAnsi" w:cstheme="minorBidi"/>
          <w:bCs w:val="0"/>
          <w:noProof/>
          <w:sz w:val="22"/>
          <w:szCs w:val="22"/>
        </w:rPr>
      </w:pPr>
      <w:hyperlink w:anchor="_Toc393800700" w:history="1">
        <w:r w:rsidRPr="00640D62">
          <w:rPr>
            <w:rStyle w:val="Hyperlink"/>
            <w:noProof/>
          </w:rPr>
          <w:t>Appendix C: High Prominence Ad Stimulus</w:t>
        </w:r>
        <w:r>
          <w:rPr>
            <w:noProof/>
            <w:webHidden/>
          </w:rPr>
          <w:tab/>
        </w:r>
        <w:r>
          <w:rPr>
            <w:noProof/>
            <w:webHidden/>
          </w:rPr>
          <w:fldChar w:fldCharType="begin"/>
        </w:r>
        <w:r>
          <w:rPr>
            <w:noProof/>
            <w:webHidden/>
          </w:rPr>
          <w:instrText xml:space="preserve"> PAGEREF _Toc393800700 \h </w:instrText>
        </w:r>
        <w:r>
          <w:rPr>
            <w:noProof/>
            <w:webHidden/>
          </w:rPr>
        </w:r>
        <w:r>
          <w:rPr>
            <w:noProof/>
            <w:webHidden/>
          </w:rPr>
          <w:fldChar w:fldCharType="separate"/>
        </w:r>
        <w:r>
          <w:rPr>
            <w:noProof/>
            <w:webHidden/>
          </w:rPr>
          <w:t>158</w:t>
        </w:r>
        <w:r>
          <w:rPr>
            <w:noProof/>
            <w:webHidden/>
          </w:rPr>
          <w:fldChar w:fldCharType="end"/>
        </w:r>
      </w:hyperlink>
    </w:p>
    <w:p w:rsidR="003D6768" w:rsidRDefault="003D6768">
      <w:pPr>
        <w:pStyle w:val="TOC2"/>
        <w:rPr>
          <w:rFonts w:asciiTheme="minorHAnsi" w:eastAsiaTheme="minorEastAsia" w:hAnsiTheme="minorHAnsi" w:cstheme="minorBidi"/>
          <w:bCs w:val="0"/>
          <w:noProof/>
          <w:sz w:val="22"/>
          <w:szCs w:val="22"/>
        </w:rPr>
      </w:pPr>
      <w:hyperlink w:anchor="_Toc393800701" w:history="1">
        <w:r w:rsidRPr="00640D62">
          <w:rPr>
            <w:rStyle w:val="Hyperlink"/>
            <w:noProof/>
          </w:rPr>
          <w:t>Appendix D: Exploratory Ad Stimulus</w:t>
        </w:r>
        <w:r>
          <w:rPr>
            <w:noProof/>
            <w:webHidden/>
          </w:rPr>
          <w:tab/>
        </w:r>
        <w:r>
          <w:rPr>
            <w:noProof/>
            <w:webHidden/>
          </w:rPr>
          <w:fldChar w:fldCharType="begin"/>
        </w:r>
        <w:r>
          <w:rPr>
            <w:noProof/>
            <w:webHidden/>
          </w:rPr>
          <w:instrText xml:space="preserve"> PAGEREF _Toc393800701 \h </w:instrText>
        </w:r>
        <w:r>
          <w:rPr>
            <w:noProof/>
            <w:webHidden/>
          </w:rPr>
        </w:r>
        <w:r>
          <w:rPr>
            <w:noProof/>
            <w:webHidden/>
          </w:rPr>
          <w:fldChar w:fldCharType="separate"/>
        </w:r>
        <w:r>
          <w:rPr>
            <w:noProof/>
            <w:webHidden/>
          </w:rPr>
          <w:t>159</w:t>
        </w:r>
        <w:r>
          <w:rPr>
            <w:noProof/>
            <w:webHidden/>
          </w:rPr>
          <w:fldChar w:fldCharType="end"/>
        </w:r>
      </w:hyperlink>
    </w:p>
    <w:p w:rsidR="003D6768" w:rsidRDefault="003D6768" w:rsidP="003D6768">
      <w:pPr>
        <w:pStyle w:val="TOC1"/>
        <w:rPr>
          <w:rFonts w:asciiTheme="minorHAnsi" w:eastAsiaTheme="minorEastAsia" w:hAnsiTheme="minorHAnsi" w:cstheme="minorBidi"/>
          <w:noProof/>
          <w:sz w:val="22"/>
          <w:szCs w:val="22"/>
        </w:rPr>
      </w:pPr>
      <w:hyperlink w:anchor="_Toc393800702" w:history="1">
        <w:r w:rsidRPr="00640D62">
          <w:rPr>
            <w:rStyle w:val="Hyperlink"/>
            <w:noProof/>
          </w:rPr>
          <w:t>VITA</w:t>
        </w:r>
        <w:r>
          <w:rPr>
            <w:noProof/>
            <w:webHidden/>
          </w:rPr>
          <w:tab/>
        </w:r>
        <w:r>
          <w:rPr>
            <w:noProof/>
            <w:webHidden/>
          </w:rPr>
          <w:fldChar w:fldCharType="begin"/>
        </w:r>
        <w:r>
          <w:rPr>
            <w:noProof/>
            <w:webHidden/>
          </w:rPr>
          <w:instrText xml:space="preserve"> PAGEREF _Toc393800702 \h </w:instrText>
        </w:r>
        <w:r>
          <w:rPr>
            <w:noProof/>
            <w:webHidden/>
          </w:rPr>
        </w:r>
        <w:r>
          <w:rPr>
            <w:noProof/>
            <w:webHidden/>
          </w:rPr>
          <w:fldChar w:fldCharType="separate"/>
        </w:r>
        <w:r>
          <w:rPr>
            <w:noProof/>
            <w:webHidden/>
          </w:rPr>
          <w:t>160</w:t>
        </w:r>
        <w:r>
          <w:rPr>
            <w:noProof/>
            <w:webHidden/>
          </w:rPr>
          <w:fldChar w:fldCharType="end"/>
        </w:r>
      </w:hyperlink>
    </w:p>
    <w:p w:rsidR="00236E6D" w:rsidRPr="00476FC9" w:rsidRDefault="00E353AA" w:rsidP="007D2ACE">
      <w:pPr>
        <w:keepNext w:val="0"/>
        <w:widowControl w:val="0"/>
        <w:kinsoku w:val="0"/>
        <w:overflowPunct w:val="0"/>
        <w:autoSpaceDE w:val="0"/>
        <w:autoSpaceDN w:val="0"/>
        <w:adjustRightInd w:val="0"/>
        <w:snapToGrid w:val="0"/>
        <w:spacing w:before="0" w:after="0"/>
        <w:jc w:val="right"/>
        <w:rPr>
          <w:color w:val="000000" w:themeColor="text1"/>
          <w:sz w:val="28"/>
        </w:rPr>
      </w:pPr>
      <w:r w:rsidRPr="00476FC9">
        <w:rPr>
          <w:color w:val="000000" w:themeColor="text1"/>
        </w:rPr>
        <w:fldChar w:fldCharType="end"/>
      </w:r>
    </w:p>
    <w:p w:rsidR="00FE4EFC" w:rsidRPr="00476FC9" w:rsidRDefault="009C755C" w:rsidP="007D2ACE">
      <w:pPr>
        <w:keepNext w:val="0"/>
        <w:widowControl w:val="0"/>
        <w:kinsoku w:val="0"/>
        <w:overflowPunct w:val="0"/>
        <w:autoSpaceDE w:val="0"/>
        <w:autoSpaceDN w:val="0"/>
        <w:adjustRightInd w:val="0"/>
        <w:snapToGrid w:val="0"/>
        <w:spacing w:before="0" w:after="0" w:line="240" w:lineRule="auto"/>
        <w:jc w:val="center"/>
        <w:rPr>
          <w:color w:val="000000" w:themeColor="text1"/>
          <w:sz w:val="28"/>
        </w:rPr>
      </w:pPr>
      <w:r w:rsidRPr="00476FC9">
        <w:rPr>
          <w:color w:val="000000" w:themeColor="text1"/>
          <w:sz w:val="28"/>
        </w:rPr>
        <w:br w:type="page"/>
      </w:r>
    </w:p>
    <w:p w:rsidR="00236E6D" w:rsidRPr="00476FC9" w:rsidRDefault="00D067C3" w:rsidP="007D2ACE">
      <w:pPr>
        <w:keepNext w:val="0"/>
        <w:widowControl w:val="0"/>
        <w:kinsoku w:val="0"/>
        <w:overflowPunct w:val="0"/>
        <w:autoSpaceDE w:val="0"/>
        <w:autoSpaceDN w:val="0"/>
        <w:adjustRightInd w:val="0"/>
        <w:snapToGrid w:val="0"/>
        <w:spacing w:before="0" w:after="0"/>
        <w:jc w:val="center"/>
        <w:rPr>
          <w:b/>
          <w:color w:val="000000" w:themeColor="text1"/>
        </w:rPr>
      </w:pPr>
      <w:r w:rsidRPr="00476FC9">
        <w:rPr>
          <w:b/>
          <w:color w:val="000000" w:themeColor="text1"/>
        </w:rPr>
        <w:lastRenderedPageBreak/>
        <w:t>List of Tables</w:t>
      </w:r>
    </w:p>
    <w:p w:rsidR="003D6768" w:rsidRDefault="00E353AA">
      <w:pPr>
        <w:pStyle w:val="TableofFigures"/>
        <w:tabs>
          <w:tab w:val="right" w:leader="dot" w:pos="9350"/>
        </w:tabs>
        <w:rPr>
          <w:rFonts w:asciiTheme="minorHAnsi" w:eastAsiaTheme="minorEastAsia" w:hAnsiTheme="minorHAnsi" w:cstheme="minorBidi"/>
          <w:bCs w:val="0"/>
          <w:noProof/>
          <w:sz w:val="22"/>
          <w:szCs w:val="22"/>
        </w:rPr>
      </w:pPr>
      <w:r w:rsidRPr="00476FC9">
        <w:rPr>
          <w:color w:val="000000" w:themeColor="text1"/>
          <w:szCs w:val="24"/>
        </w:rPr>
        <w:fldChar w:fldCharType="begin"/>
      </w:r>
      <w:r w:rsidR="00FE4EFC" w:rsidRPr="00476FC9">
        <w:rPr>
          <w:color w:val="000000" w:themeColor="text1"/>
          <w:szCs w:val="24"/>
        </w:rPr>
        <w:instrText xml:space="preserve"> TOC \h \z \c "Table" </w:instrText>
      </w:r>
      <w:r w:rsidRPr="00476FC9">
        <w:rPr>
          <w:color w:val="000000" w:themeColor="text1"/>
          <w:szCs w:val="24"/>
        </w:rPr>
        <w:fldChar w:fldCharType="separate"/>
      </w:r>
      <w:hyperlink w:anchor="_Toc393800633" w:history="1">
        <w:r w:rsidR="003D6768" w:rsidRPr="00894EA9">
          <w:rPr>
            <w:rStyle w:val="Hyperlink"/>
            <w:noProof/>
          </w:rPr>
          <w:t>Table 1. Summary of Research Hypotheses</w:t>
        </w:r>
        <w:r w:rsidR="003D6768">
          <w:rPr>
            <w:noProof/>
            <w:webHidden/>
          </w:rPr>
          <w:tab/>
        </w:r>
        <w:r w:rsidR="003D6768">
          <w:rPr>
            <w:noProof/>
            <w:webHidden/>
          </w:rPr>
          <w:fldChar w:fldCharType="begin"/>
        </w:r>
        <w:r w:rsidR="003D6768">
          <w:rPr>
            <w:noProof/>
            <w:webHidden/>
          </w:rPr>
          <w:instrText xml:space="preserve"> PAGEREF _Toc393800633 \h </w:instrText>
        </w:r>
        <w:r w:rsidR="003D6768">
          <w:rPr>
            <w:noProof/>
            <w:webHidden/>
          </w:rPr>
        </w:r>
        <w:r w:rsidR="003D6768">
          <w:rPr>
            <w:noProof/>
            <w:webHidden/>
          </w:rPr>
          <w:fldChar w:fldCharType="separate"/>
        </w:r>
        <w:r w:rsidR="003D6768">
          <w:rPr>
            <w:noProof/>
            <w:webHidden/>
          </w:rPr>
          <w:t>45</w:t>
        </w:r>
        <w:r w:rsidR="003D6768">
          <w:rPr>
            <w:noProof/>
            <w:webHidden/>
          </w:rPr>
          <w:fldChar w:fldCharType="end"/>
        </w:r>
      </w:hyperlink>
    </w:p>
    <w:p w:rsidR="003D6768" w:rsidRDefault="003D6768">
      <w:pPr>
        <w:pStyle w:val="TableofFigures"/>
        <w:tabs>
          <w:tab w:val="right" w:leader="dot" w:pos="9350"/>
        </w:tabs>
        <w:rPr>
          <w:rFonts w:asciiTheme="minorHAnsi" w:eastAsiaTheme="minorEastAsia" w:hAnsiTheme="minorHAnsi" w:cstheme="minorBidi"/>
          <w:bCs w:val="0"/>
          <w:noProof/>
          <w:sz w:val="22"/>
          <w:szCs w:val="22"/>
        </w:rPr>
      </w:pPr>
      <w:hyperlink w:anchor="_Toc393800634" w:history="1">
        <w:r w:rsidRPr="00894EA9">
          <w:rPr>
            <w:rStyle w:val="Hyperlink"/>
            <w:noProof/>
          </w:rPr>
          <w:t>Table 2. The Sample Profile of Study Respondents (</w:t>
        </w:r>
        <w:r w:rsidRPr="00894EA9">
          <w:rPr>
            <w:rStyle w:val="Hyperlink"/>
            <w:i/>
            <w:noProof/>
          </w:rPr>
          <w:t>N</w:t>
        </w:r>
        <w:r w:rsidRPr="00894EA9">
          <w:rPr>
            <w:rStyle w:val="Hyperlink"/>
            <w:noProof/>
          </w:rPr>
          <w:t xml:space="preserve"> = 264)</w:t>
        </w:r>
        <w:r>
          <w:rPr>
            <w:noProof/>
            <w:webHidden/>
          </w:rPr>
          <w:tab/>
        </w:r>
        <w:r>
          <w:rPr>
            <w:noProof/>
            <w:webHidden/>
          </w:rPr>
          <w:fldChar w:fldCharType="begin"/>
        </w:r>
        <w:r>
          <w:rPr>
            <w:noProof/>
            <w:webHidden/>
          </w:rPr>
          <w:instrText xml:space="preserve"> PAGEREF _Toc393800634 \h </w:instrText>
        </w:r>
        <w:r>
          <w:rPr>
            <w:noProof/>
            <w:webHidden/>
          </w:rPr>
        </w:r>
        <w:r>
          <w:rPr>
            <w:noProof/>
            <w:webHidden/>
          </w:rPr>
          <w:fldChar w:fldCharType="separate"/>
        </w:r>
        <w:r>
          <w:rPr>
            <w:noProof/>
            <w:webHidden/>
          </w:rPr>
          <w:t>54</w:t>
        </w:r>
        <w:r>
          <w:rPr>
            <w:noProof/>
            <w:webHidden/>
          </w:rPr>
          <w:fldChar w:fldCharType="end"/>
        </w:r>
      </w:hyperlink>
    </w:p>
    <w:p w:rsidR="003D6768" w:rsidRDefault="003D6768">
      <w:pPr>
        <w:pStyle w:val="TableofFigures"/>
        <w:tabs>
          <w:tab w:val="right" w:leader="dot" w:pos="9350"/>
        </w:tabs>
        <w:rPr>
          <w:rFonts w:asciiTheme="minorHAnsi" w:eastAsiaTheme="minorEastAsia" w:hAnsiTheme="minorHAnsi" w:cstheme="minorBidi"/>
          <w:bCs w:val="0"/>
          <w:noProof/>
          <w:sz w:val="22"/>
          <w:szCs w:val="22"/>
        </w:rPr>
      </w:pPr>
      <w:hyperlink w:anchor="_Toc393800635" w:history="1">
        <w:r w:rsidRPr="00894EA9">
          <w:rPr>
            <w:rStyle w:val="Hyperlink"/>
            <w:noProof/>
          </w:rPr>
          <w:t>Table 3. Percentage of Right Answers for DTCA Regulatory Knowledge</w:t>
        </w:r>
        <w:r>
          <w:rPr>
            <w:noProof/>
            <w:webHidden/>
          </w:rPr>
          <w:tab/>
        </w:r>
        <w:r>
          <w:rPr>
            <w:noProof/>
            <w:webHidden/>
          </w:rPr>
          <w:fldChar w:fldCharType="begin"/>
        </w:r>
        <w:r>
          <w:rPr>
            <w:noProof/>
            <w:webHidden/>
          </w:rPr>
          <w:instrText xml:space="preserve"> PAGEREF _Toc393800635 \h </w:instrText>
        </w:r>
        <w:r>
          <w:rPr>
            <w:noProof/>
            <w:webHidden/>
          </w:rPr>
        </w:r>
        <w:r>
          <w:rPr>
            <w:noProof/>
            <w:webHidden/>
          </w:rPr>
          <w:fldChar w:fldCharType="separate"/>
        </w:r>
        <w:r>
          <w:rPr>
            <w:noProof/>
            <w:webHidden/>
          </w:rPr>
          <w:t>64</w:t>
        </w:r>
        <w:r>
          <w:rPr>
            <w:noProof/>
            <w:webHidden/>
          </w:rPr>
          <w:fldChar w:fldCharType="end"/>
        </w:r>
      </w:hyperlink>
    </w:p>
    <w:p w:rsidR="003D6768" w:rsidRDefault="003D6768">
      <w:pPr>
        <w:pStyle w:val="TableofFigures"/>
        <w:tabs>
          <w:tab w:val="right" w:leader="dot" w:pos="9350"/>
        </w:tabs>
        <w:rPr>
          <w:rFonts w:asciiTheme="minorHAnsi" w:eastAsiaTheme="minorEastAsia" w:hAnsiTheme="minorHAnsi" w:cstheme="minorBidi"/>
          <w:bCs w:val="0"/>
          <w:noProof/>
          <w:sz w:val="22"/>
          <w:szCs w:val="22"/>
        </w:rPr>
      </w:pPr>
      <w:hyperlink w:anchor="_Toc393800636" w:history="1">
        <w:r w:rsidRPr="00894EA9">
          <w:rPr>
            <w:rStyle w:val="Hyperlink"/>
            <w:noProof/>
          </w:rPr>
          <w:t>Table 4. Descriptives for DTCA Regulatory Knowledge</w:t>
        </w:r>
        <w:r>
          <w:rPr>
            <w:noProof/>
            <w:webHidden/>
          </w:rPr>
          <w:tab/>
        </w:r>
        <w:r>
          <w:rPr>
            <w:noProof/>
            <w:webHidden/>
          </w:rPr>
          <w:fldChar w:fldCharType="begin"/>
        </w:r>
        <w:r>
          <w:rPr>
            <w:noProof/>
            <w:webHidden/>
          </w:rPr>
          <w:instrText xml:space="preserve"> PAGEREF _Toc393800636 \h </w:instrText>
        </w:r>
        <w:r>
          <w:rPr>
            <w:noProof/>
            <w:webHidden/>
          </w:rPr>
        </w:r>
        <w:r>
          <w:rPr>
            <w:noProof/>
            <w:webHidden/>
          </w:rPr>
          <w:fldChar w:fldCharType="separate"/>
        </w:r>
        <w:r>
          <w:rPr>
            <w:noProof/>
            <w:webHidden/>
          </w:rPr>
          <w:t>64</w:t>
        </w:r>
        <w:r>
          <w:rPr>
            <w:noProof/>
            <w:webHidden/>
          </w:rPr>
          <w:fldChar w:fldCharType="end"/>
        </w:r>
      </w:hyperlink>
    </w:p>
    <w:p w:rsidR="003D6768" w:rsidRDefault="003D6768">
      <w:pPr>
        <w:pStyle w:val="TableofFigures"/>
        <w:tabs>
          <w:tab w:val="right" w:leader="dot" w:pos="9350"/>
        </w:tabs>
        <w:rPr>
          <w:rFonts w:asciiTheme="minorHAnsi" w:eastAsiaTheme="minorEastAsia" w:hAnsiTheme="minorHAnsi" w:cstheme="minorBidi"/>
          <w:bCs w:val="0"/>
          <w:noProof/>
          <w:sz w:val="22"/>
          <w:szCs w:val="22"/>
        </w:rPr>
      </w:pPr>
      <w:hyperlink w:anchor="_Toc393800637" w:history="1">
        <w:r w:rsidRPr="00894EA9">
          <w:rPr>
            <w:rStyle w:val="Hyperlink"/>
            <w:noProof/>
          </w:rPr>
          <w:t>Table 5. Descriptives for Perceived Attention</w:t>
        </w:r>
        <w:r>
          <w:rPr>
            <w:noProof/>
            <w:webHidden/>
          </w:rPr>
          <w:tab/>
        </w:r>
        <w:r>
          <w:rPr>
            <w:noProof/>
            <w:webHidden/>
          </w:rPr>
          <w:fldChar w:fldCharType="begin"/>
        </w:r>
        <w:r>
          <w:rPr>
            <w:noProof/>
            <w:webHidden/>
          </w:rPr>
          <w:instrText xml:space="preserve"> PAGEREF _Toc393800637 \h </w:instrText>
        </w:r>
        <w:r>
          <w:rPr>
            <w:noProof/>
            <w:webHidden/>
          </w:rPr>
        </w:r>
        <w:r>
          <w:rPr>
            <w:noProof/>
            <w:webHidden/>
          </w:rPr>
          <w:fldChar w:fldCharType="separate"/>
        </w:r>
        <w:r>
          <w:rPr>
            <w:noProof/>
            <w:webHidden/>
          </w:rPr>
          <w:t>68</w:t>
        </w:r>
        <w:r>
          <w:rPr>
            <w:noProof/>
            <w:webHidden/>
          </w:rPr>
          <w:fldChar w:fldCharType="end"/>
        </w:r>
      </w:hyperlink>
    </w:p>
    <w:p w:rsidR="003D6768" w:rsidRDefault="003D6768">
      <w:pPr>
        <w:pStyle w:val="TableofFigures"/>
        <w:tabs>
          <w:tab w:val="right" w:leader="dot" w:pos="9350"/>
        </w:tabs>
        <w:rPr>
          <w:rFonts w:asciiTheme="minorHAnsi" w:eastAsiaTheme="minorEastAsia" w:hAnsiTheme="minorHAnsi" w:cstheme="minorBidi"/>
          <w:bCs w:val="0"/>
          <w:noProof/>
          <w:sz w:val="22"/>
          <w:szCs w:val="22"/>
        </w:rPr>
      </w:pPr>
      <w:hyperlink w:anchor="_Toc393800638" w:history="1">
        <w:r w:rsidRPr="00894EA9">
          <w:rPr>
            <w:rStyle w:val="Hyperlink"/>
            <w:noProof/>
          </w:rPr>
          <w:t>Table 6. Descriptives for Recognition</w:t>
        </w:r>
        <w:r>
          <w:rPr>
            <w:noProof/>
            <w:webHidden/>
          </w:rPr>
          <w:tab/>
        </w:r>
        <w:r>
          <w:rPr>
            <w:noProof/>
            <w:webHidden/>
          </w:rPr>
          <w:fldChar w:fldCharType="begin"/>
        </w:r>
        <w:r>
          <w:rPr>
            <w:noProof/>
            <w:webHidden/>
          </w:rPr>
          <w:instrText xml:space="preserve"> PAGEREF _Toc393800638 \h </w:instrText>
        </w:r>
        <w:r>
          <w:rPr>
            <w:noProof/>
            <w:webHidden/>
          </w:rPr>
        </w:r>
        <w:r>
          <w:rPr>
            <w:noProof/>
            <w:webHidden/>
          </w:rPr>
          <w:fldChar w:fldCharType="separate"/>
        </w:r>
        <w:r>
          <w:rPr>
            <w:noProof/>
            <w:webHidden/>
          </w:rPr>
          <w:t>70</w:t>
        </w:r>
        <w:r>
          <w:rPr>
            <w:noProof/>
            <w:webHidden/>
          </w:rPr>
          <w:fldChar w:fldCharType="end"/>
        </w:r>
      </w:hyperlink>
    </w:p>
    <w:p w:rsidR="003D6768" w:rsidRDefault="003D6768">
      <w:pPr>
        <w:pStyle w:val="TableofFigures"/>
        <w:tabs>
          <w:tab w:val="right" w:leader="dot" w:pos="9350"/>
        </w:tabs>
        <w:rPr>
          <w:rFonts w:asciiTheme="minorHAnsi" w:eastAsiaTheme="minorEastAsia" w:hAnsiTheme="minorHAnsi" w:cstheme="minorBidi"/>
          <w:bCs w:val="0"/>
          <w:noProof/>
          <w:sz w:val="22"/>
          <w:szCs w:val="22"/>
        </w:rPr>
      </w:pPr>
      <w:hyperlink w:anchor="_Toc393800639" w:history="1">
        <w:r w:rsidRPr="00894EA9">
          <w:rPr>
            <w:rStyle w:val="Hyperlink"/>
            <w:noProof/>
          </w:rPr>
          <w:t>Table 7. Descrptives for Recall</w:t>
        </w:r>
        <w:r>
          <w:rPr>
            <w:noProof/>
            <w:webHidden/>
          </w:rPr>
          <w:tab/>
        </w:r>
        <w:r>
          <w:rPr>
            <w:noProof/>
            <w:webHidden/>
          </w:rPr>
          <w:fldChar w:fldCharType="begin"/>
        </w:r>
        <w:r>
          <w:rPr>
            <w:noProof/>
            <w:webHidden/>
          </w:rPr>
          <w:instrText xml:space="preserve"> PAGEREF _Toc393800639 \h </w:instrText>
        </w:r>
        <w:r>
          <w:rPr>
            <w:noProof/>
            <w:webHidden/>
          </w:rPr>
        </w:r>
        <w:r>
          <w:rPr>
            <w:noProof/>
            <w:webHidden/>
          </w:rPr>
          <w:fldChar w:fldCharType="separate"/>
        </w:r>
        <w:r>
          <w:rPr>
            <w:noProof/>
            <w:webHidden/>
          </w:rPr>
          <w:t>70</w:t>
        </w:r>
        <w:r>
          <w:rPr>
            <w:noProof/>
            <w:webHidden/>
          </w:rPr>
          <w:fldChar w:fldCharType="end"/>
        </w:r>
      </w:hyperlink>
    </w:p>
    <w:p w:rsidR="003D6768" w:rsidRDefault="003D6768">
      <w:pPr>
        <w:pStyle w:val="TableofFigures"/>
        <w:tabs>
          <w:tab w:val="right" w:leader="dot" w:pos="9350"/>
        </w:tabs>
        <w:rPr>
          <w:rFonts w:asciiTheme="minorHAnsi" w:eastAsiaTheme="minorEastAsia" w:hAnsiTheme="minorHAnsi" w:cstheme="minorBidi"/>
          <w:bCs w:val="0"/>
          <w:noProof/>
          <w:sz w:val="22"/>
          <w:szCs w:val="22"/>
        </w:rPr>
      </w:pPr>
      <w:hyperlink w:anchor="_Toc393800640" w:history="1">
        <w:r w:rsidRPr="00894EA9">
          <w:rPr>
            <w:rStyle w:val="Hyperlink"/>
            <w:noProof/>
          </w:rPr>
          <w:t>Table 8. Inter-Correlations among Major Variables of Study</w:t>
        </w:r>
        <w:r>
          <w:rPr>
            <w:noProof/>
            <w:webHidden/>
          </w:rPr>
          <w:tab/>
        </w:r>
        <w:r>
          <w:rPr>
            <w:noProof/>
            <w:webHidden/>
          </w:rPr>
          <w:fldChar w:fldCharType="begin"/>
        </w:r>
        <w:r>
          <w:rPr>
            <w:noProof/>
            <w:webHidden/>
          </w:rPr>
          <w:instrText xml:space="preserve"> PAGEREF _Toc393800640 \h </w:instrText>
        </w:r>
        <w:r>
          <w:rPr>
            <w:noProof/>
            <w:webHidden/>
          </w:rPr>
        </w:r>
        <w:r>
          <w:rPr>
            <w:noProof/>
            <w:webHidden/>
          </w:rPr>
          <w:fldChar w:fldCharType="separate"/>
        </w:r>
        <w:r>
          <w:rPr>
            <w:noProof/>
            <w:webHidden/>
          </w:rPr>
          <w:t>74</w:t>
        </w:r>
        <w:r>
          <w:rPr>
            <w:noProof/>
            <w:webHidden/>
          </w:rPr>
          <w:fldChar w:fldCharType="end"/>
        </w:r>
      </w:hyperlink>
    </w:p>
    <w:p w:rsidR="003D6768" w:rsidRDefault="003D6768">
      <w:pPr>
        <w:pStyle w:val="TableofFigures"/>
        <w:tabs>
          <w:tab w:val="right" w:leader="dot" w:pos="9350"/>
        </w:tabs>
        <w:rPr>
          <w:rFonts w:asciiTheme="minorHAnsi" w:eastAsiaTheme="minorEastAsia" w:hAnsiTheme="minorHAnsi" w:cstheme="minorBidi"/>
          <w:bCs w:val="0"/>
          <w:noProof/>
          <w:sz w:val="22"/>
          <w:szCs w:val="22"/>
        </w:rPr>
      </w:pPr>
      <w:hyperlink w:anchor="_Toc393800641" w:history="1">
        <w:r w:rsidRPr="00894EA9">
          <w:rPr>
            <w:rStyle w:val="Hyperlink"/>
            <w:noProof/>
          </w:rPr>
          <w:t>Table 9. Moderated Hierarchical Regression on Perceived Attention (</w:t>
        </w:r>
        <w:r w:rsidRPr="00894EA9">
          <w:rPr>
            <w:rStyle w:val="Hyperlink"/>
            <w:i/>
            <w:noProof/>
          </w:rPr>
          <w:t>N</w:t>
        </w:r>
        <w:r w:rsidRPr="00894EA9">
          <w:rPr>
            <w:rStyle w:val="Hyperlink"/>
            <w:noProof/>
          </w:rPr>
          <w:t xml:space="preserve"> = 264)</w:t>
        </w:r>
        <w:r>
          <w:rPr>
            <w:noProof/>
            <w:webHidden/>
          </w:rPr>
          <w:tab/>
        </w:r>
        <w:r>
          <w:rPr>
            <w:noProof/>
            <w:webHidden/>
          </w:rPr>
          <w:fldChar w:fldCharType="begin"/>
        </w:r>
        <w:r>
          <w:rPr>
            <w:noProof/>
            <w:webHidden/>
          </w:rPr>
          <w:instrText xml:space="preserve"> PAGEREF _Toc393800641 \h </w:instrText>
        </w:r>
        <w:r>
          <w:rPr>
            <w:noProof/>
            <w:webHidden/>
          </w:rPr>
        </w:r>
        <w:r>
          <w:rPr>
            <w:noProof/>
            <w:webHidden/>
          </w:rPr>
          <w:fldChar w:fldCharType="separate"/>
        </w:r>
        <w:r>
          <w:rPr>
            <w:noProof/>
            <w:webHidden/>
          </w:rPr>
          <w:t>75</w:t>
        </w:r>
        <w:r>
          <w:rPr>
            <w:noProof/>
            <w:webHidden/>
          </w:rPr>
          <w:fldChar w:fldCharType="end"/>
        </w:r>
      </w:hyperlink>
    </w:p>
    <w:p w:rsidR="003D6768" w:rsidRDefault="003D6768">
      <w:pPr>
        <w:pStyle w:val="TableofFigures"/>
        <w:tabs>
          <w:tab w:val="right" w:leader="dot" w:pos="9350"/>
        </w:tabs>
        <w:rPr>
          <w:rFonts w:asciiTheme="minorHAnsi" w:eastAsiaTheme="minorEastAsia" w:hAnsiTheme="minorHAnsi" w:cstheme="minorBidi"/>
          <w:bCs w:val="0"/>
          <w:noProof/>
          <w:sz w:val="22"/>
          <w:szCs w:val="22"/>
        </w:rPr>
      </w:pPr>
      <w:hyperlink w:anchor="_Toc393800642" w:history="1">
        <w:r w:rsidRPr="00894EA9">
          <w:rPr>
            <w:rStyle w:val="Hyperlink"/>
            <w:noProof/>
          </w:rPr>
          <w:t>Table 10. Moderated Hierarchical Regression on Recall (</w:t>
        </w:r>
        <w:r w:rsidRPr="00894EA9">
          <w:rPr>
            <w:rStyle w:val="Hyperlink"/>
            <w:i/>
            <w:noProof/>
          </w:rPr>
          <w:t>N</w:t>
        </w:r>
        <w:r w:rsidRPr="00894EA9">
          <w:rPr>
            <w:rStyle w:val="Hyperlink"/>
            <w:noProof/>
          </w:rPr>
          <w:t xml:space="preserve"> = 264)</w:t>
        </w:r>
        <w:r>
          <w:rPr>
            <w:noProof/>
            <w:webHidden/>
          </w:rPr>
          <w:tab/>
        </w:r>
        <w:r>
          <w:rPr>
            <w:noProof/>
            <w:webHidden/>
          </w:rPr>
          <w:fldChar w:fldCharType="begin"/>
        </w:r>
        <w:r>
          <w:rPr>
            <w:noProof/>
            <w:webHidden/>
          </w:rPr>
          <w:instrText xml:space="preserve"> PAGEREF _Toc393800642 \h </w:instrText>
        </w:r>
        <w:r>
          <w:rPr>
            <w:noProof/>
            <w:webHidden/>
          </w:rPr>
        </w:r>
        <w:r>
          <w:rPr>
            <w:noProof/>
            <w:webHidden/>
          </w:rPr>
          <w:fldChar w:fldCharType="separate"/>
        </w:r>
        <w:r>
          <w:rPr>
            <w:noProof/>
            <w:webHidden/>
          </w:rPr>
          <w:t>76</w:t>
        </w:r>
        <w:r>
          <w:rPr>
            <w:noProof/>
            <w:webHidden/>
          </w:rPr>
          <w:fldChar w:fldCharType="end"/>
        </w:r>
      </w:hyperlink>
    </w:p>
    <w:p w:rsidR="003D6768" w:rsidRDefault="003D6768">
      <w:pPr>
        <w:pStyle w:val="TableofFigures"/>
        <w:tabs>
          <w:tab w:val="right" w:leader="dot" w:pos="9350"/>
        </w:tabs>
        <w:rPr>
          <w:rFonts w:asciiTheme="minorHAnsi" w:eastAsiaTheme="minorEastAsia" w:hAnsiTheme="minorHAnsi" w:cstheme="minorBidi"/>
          <w:bCs w:val="0"/>
          <w:noProof/>
          <w:sz w:val="22"/>
          <w:szCs w:val="22"/>
        </w:rPr>
      </w:pPr>
      <w:hyperlink w:anchor="_Toc393800643" w:history="1">
        <w:r w:rsidRPr="00894EA9">
          <w:rPr>
            <w:rStyle w:val="Hyperlink"/>
            <w:noProof/>
          </w:rPr>
          <w:t>Table 11. Moderated Hierarchical Regression on Recognition (</w:t>
        </w:r>
        <w:r w:rsidRPr="00894EA9">
          <w:rPr>
            <w:rStyle w:val="Hyperlink"/>
            <w:i/>
            <w:noProof/>
          </w:rPr>
          <w:t>N</w:t>
        </w:r>
        <w:r w:rsidRPr="00894EA9">
          <w:rPr>
            <w:rStyle w:val="Hyperlink"/>
            <w:noProof/>
          </w:rPr>
          <w:t xml:space="preserve"> = 264)</w:t>
        </w:r>
        <w:r>
          <w:rPr>
            <w:noProof/>
            <w:webHidden/>
          </w:rPr>
          <w:tab/>
        </w:r>
        <w:r>
          <w:rPr>
            <w:noProof/>
            <w:webHidden/>
          </w:rPr>
          <w:fldChar w:fldCharType="begin"/>
        </w:r>
        <w:r>
          <w:rPr>
            <w:noProof/>
            <w:webHidden/>
          </w:rPr>
          <w:instrText xml:space="preserve"> PAGEREF _Toc393800643 \h </w:instrText>
        </w:r>
        <w:r>
          <w:rPr>
            <w:noProof/>
            <w:webHidden/>
          </w:rPr>
        </w:r>
        <w:r>
          <w:rPr>
            <w:noProof/>
            <w:webHidden/>
          </w:rPr>
          <w:fldChar w:fldCharType="separate"/>
        </w:r>
        <w:r>
          <w:rPr>
            <w:noProof/>
            <w:webHidden/>
          </w:rPr>
          <w:t>77</w:t>
        </w:r>
        <w:r>
          <w:rPr>
            <w:noProof/>
            <w:webHidden/>
          </w:rPr>
          <w:fldChar w:fldCharType="end"/>
        </w:r>
      </w:hyperlink>
    </w:p>
    <w:p w:rsidR="003D6768" w:rsidRDefault="003D6768">
      <w:pPr>
        <w:pStyle w:val="TableofFigures"/>
        <w:tabs>
          <w:tab w:val="right" w:leader="dot" w:pos="9350"/>
        </w:tabs>
        <w:rPr>
          <w:rFonts w:asciiTheme="minorHAnsi" w:eastAsiaTheme="minorEastAsia" w:hAnsiTheme="minorHAnsi" w:cstheme="minorBidi"/>
          <w:bCs w:val="0"/>
          <w:noProof/>
          <w:sz w:val="22"/>
          <w:szCs w:val="22"/>
        </w:rPr>
      </w:pPr>
      <w:hyperlink w:anchor="_Toc393800644" w:history="1">
        <w:r w:rsidRPr="00894EA9">
          <w:rPr>
            <w:rStyle w:val="Hyperlink"/>
            <w:noProof/>
          </w:rPr>
          <w:t>Table 12. Summary of the Main and Moderating Effect Hypotheses</w:t>
        </w:r>
        <w:r>
          <w:rPr>
            <w:noProof/>
            <w:webHidden/>
          </w:rPr>
          <w:tab/>
        </w:r>
        <w:r>
          <w:rPr>
            <w:noProof/>
            <w:webHidden/>
          </w:rPr>
          <w:fldChar w:fldCharType="begin"/>
        </w:r>
        <w:r>
          <w:rPr>
            <w:noProof/>
            <w:webHidden/>
          </w:rPr>
          <w:instrText xml:space="preserve"> PAGEREF _Toc393800644 \h </w:instrText>
        </w:r>
        <w:r>
          <w:rPr>
            <w:noProof/>
            <w:webHidden/>
          </w:rPr>
        </w:r>
        <w:r>
          <w:rPr>
            <w:noProof/>
            <w:webHidden/>
          </w:rPr>
          <w:fldChar w:fldCharType="separate"/>
        </w:r>
        <w:r>
          <w:rPr>
            <w:noProof/>
            <w:webHidden/>
          </w:rPr>
          <w:t>81</w:t>
        </w:r>
        <w:r>
          <w:rPr>
            <w:noProof/>
            <w:webHidden/>
          </w:rPr>
          <w:fldChar w:fldCharType="end"/>
        </w:r>
      </w:hyperlink>
    </w:p>
    <w:p w:rsidR="003D6768" w:rsidRDefault="003D6768">
      <w:pPr>
        <w:pStyle w:val="TableofFigures"/>
        <w:tabs>
          <w:tab w:val="right" w:leader="dot" w:pos="9350"/>
        </w:tabs>
        <w:rPr>
          <w:rFonts w:asciiTheme="minorHAnsi" w:eastAsiaTheme="minorEastAsia" w:hAnsiTheme="minorHAnsi" w:cstheme="minorBidi"/>
          <w:bCs w:val="0"/>
          <w:noProof/>
          <w:sz w:val="22"/>
          <w:szCs w:val="22"/>
        </w:rPr>
      </w:pPr>
      <w:hyperlink w:anchor="_Toc393800645" w:history="1">
        <w:r w:rsidRPr="00894EA9">
          <w:rPr>
            <w:rStyle w:val="Hyperlink"/>
            <w:noProof/>
          </w:rPr>
          <w:t>Table 13. Summary of the Bootstrap Mediation Test Results</w:t>
        </w:r>
        <w:r>
          <w:rPr>
            <w:noProof/>
            <w:webHidden/>
          </w:rPr>
          <w:tab/>
        </w:r>
        <w:r>
          <w:rPr>
            <w:noProof/>
            <w:webHidden/>
          </w:rPr>
          <w:fldChar w:fldCharType="begin"/>
        </w:r>
        <w:r>
          <w:rPr>
            <w:noProof/>
            <w:webHidden/>
          </w:rPr>
          <w:instrText xml:space="preserve"> PAGEREF _Toc393800645 \h </w:instrText>
        </w:r>
        <w:r>
          <w:rPr>
            <w:noProof/>
            <w:webHidden/>
          </w:rPr>
        </w:r>
        <w:r>
          <w:rPr>
            <w:noProof/>
            <w:webHidden/>
          </w:rPr>
          <w:fldChar w:fldCharType="separate"/>
        </w:r>
        <w:r>
          <w:rPr>
            <w:noProof/>
            <w:webHidden/>
          </w:rPr>
          <w:t>84</w:t>
        </w:r>
        <w:r>
          <w:rPr>
            <w:noProof/>
            <w:webHidden/>
          </w:rPr>
          <w:fldChar w:fldCharType="end"/>
        </w:r>
      </w:hyperlink>
    </w:p>
    <w:p w:rsidR="000754AE" w:rsidRPr="00476FC9" w:rsidRDefault="00E353AA"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rPr>
      </w:pPr>
      <w:r w:rsidRPr="00476FC9">
        <w:rPr>
          <w:color w:val="000000" w:themeColor="text1"/>
        </w:rPr>
        <w:fldChar w:fldCharType="end"/>
      </w:r>
    </w:p>
    <w:p w:rsidR="000754AE" w:rsidRPr="00476FC9" w:rsidRDefault="000754AE" w:rsidP="007D2ACE">
      <w:pPr>
        <w:keepNext w:val="0"/>
        <w:widowControl w:val="0"/>
        <w:kinsoku w:val="0"/>
        <w:overflowPunct w:val="0"/>
        <w:autoSpaceDE w:val="0"/>
        <w:autoSpaceDN w:val="0"/>
        <w:adjustRightInd w:val="0"/>
        <w:snapToGrid w:val="0"/>
        <w:spacing w:before="0" w:after="0" w:line="240" w:lineRule="auto"/>
        <w:outlineLvl w:val="9"/>
        <w:rPr>
          <w:color w:val="000000" w:themeColor="text1"/>
        </w:rPr>
      </w:pPr>
      <w:r w:rsidRPr="00476FC9">
        <w:rPr>
          <w:color w:val="000000" w:themeColor="text1"/>
        </w:rPr>
        <w:br w:type="page"/>
      </w:r>
    </w:p>
    <w:p w:rsidR="00E00741" w:rsidRPr="00476FC9" w:rsidRDefault="00E00741" w:rsidP="007D2ACE">
      <w:pPr>
        <w:keepNext w:val="0"/>
        <w:widowControl w:val="0"/>
        <w:kinsoku w:val="0"/>
        <w:overflowPunct w:val="0"/>
        <w:autoSpaceDE w:val="0"/>
        <w:autoSpaceDN w:val="0"/>
        <w:adjustRightInd w:val="0"/>
        <w:snapToGrid w:val="0"/>
        <w:spacing w:before="0" w:after="0" w:line="240" w:lineRule="auto"/>
        <w:jc w:val="center"/>
        <w:outlineLvl w:val="9"/>
        <w:rPr>
          <w:b/>
          <w:color w:val="000000" w:themeColor="text1"/>
        </w:rPr>
      </w:pPr>
      <w:r w:rsidRPr="00476FC9">
        <w:rPr>
          <w:b/>
          <w:color w:val="000000" w:themeColor="text1"/>
        </w:rPr>
        <w:lastRenderedPageBreak/>
        <w:t>List of Figures</w:t>
      </w:r>
    </w:p>
    <w:p w:rsidR="00C77B30" w:rsidRPr="00476FC9" w:rsidRDefault="00C77B30" w:rsidP="007D2ACE">
      <w:pPr>
        <w:keepNext w:val="0"/>
        <w:widowControl w:val="0"/>
        <w:kinsoku w:val="0"/>
        <w:overflowPunct w:val="0"/>
        <w:autoSpaceDE w:val="0"/>
        <w:autoSpaceDN w:val="0"/>
        <w:adjustRightInd w:val="0"/>
        <w:snapToGrid w:val="0"/>
        <w:spacing w:before="0" w:after="0" w:line="240" w:lineRule="auto"/>
        <w:jc w:val="center"/>
        <w:outlineLvl w:val="9"/>
        <w:rPr>
          <w:b/>
          <w:color w:val="000000" w:themeColor="text1"/>
        </w:rPr>
      </w:pPr>
    </w:p>
    <w:p w:rsidR="003D6768" w:rsidRDefault="00E353AA">
      <w:pPr>
        <w:pStyle w:val="TableofFigures"/>
        <w:tabs>
          <w:tab w:val="right" w:leader="dot" w:pos="9350"/>
        </w:tabs>
        <w:rPr>
          <w:rFonts w:asciiTheme="minorHAnsi" w:eastAsiaTheme="minorEastAsia" w:hAnsiTheme="minorHAnsi" w:cstheme="minorBidi"/>
          <w:bCs w:val="0"/>
          <w:noProof/>
          <w:sz w:val="22"/>
          <w:szCs w:val="22"/>
        </w:rPr>
      </w:pPr>
      <w:r w:rsidRPr="00476FC9">
        <w:rPr>
          <w:color w:val="000000" w:themeColor="text1"/>
        </w:rPr>
        <w:fldChar w:fldCharType="begin"/>
      </w:r>
      <w:r w:rsidR="00E00741" w:rsidRPr="00476FC9">
        <w:rPr>
          <w:color w:val="000000" w:themeColor="text1"/>
        </w:rPr>
        <w:instrText xml:space="preserve"> TOC \f F \h \z \c "Figure" </w:instrText>
      </w:r>
      <w:r w:rsidRPr="00476FC9">
        <w:rPr>
          <w:color w:val="000000" w:themeColor="text1"/>
        </w:rPr>
        <w:fldChar w:fldCharType="separate"/>
      </w:r>
      <w:hyperlink w:anchor="_Toc393800646" w:history="1">
        <w:r w:rsidR="003D6768" w:rsidRPr="000E110B">
          <w:rPr>
            <w:rStyle w:val="Hyperlink"/>
            <w:noProof/>
          </w:rPr>
          <w:t>Figure 1. The Conceptual Framework of Dissertation</w:t>
        </w:r>
        <w:r w:rsidR="003D6768">
          <w:rPr>
            <w:noProof/>
            <w:webHidden/>
          </w:rPr>
          <w:tab/>
        </w:r>
        <w:r w:rsidR="003D6768">
          <w:rPr>
            <w:noProof/>
            <w:webHidden/>
          </w:rPr>
          <w:fldChar w:fldCharType="begin"/>
        </w:r>
        <w:r w:rsidR="003D6768">
          <w:rPr>
            <w:noProof/>
            <w:webHidden/>
          </w:rPr>
          <w:instrText xml:space="preserve"> PAGEREF _Toc393800646 \h </w:instrText>
        </w:r>
        <w:r w:rsidR="003D6768">
          <w:rPr>
            <w:noProof/>
            <w:webHidden/>
          </w:rPr>
        </w:r>
        <w:r w:rsidR="003D6768">
          <w:rPr>
            <w:noProof/>
            <w:webHidden/>
          </w:rPr>
          <w:fldChar w:fldCharType="separate"/>
        </w:r>
        <w:r w:rsidR="003D6768">
          <w:rPr>
            <w:noProof/>
            <w:webHidden/>
          </w:rPr>
          <w:t>46</w:t>
        </w:r>
        <w:r w:rsidR="003D6768">
          <w:rPr>
            <w:noProof/>
            <w:webHidden/>
          </w:rPr>
          <w:fldChar w:fldCharType="end"/>
        </w:r>
      </w:hyperlink>
    </w:p>
    <w:p w:rsidR="003D6768" w:rsidRDefault="003D6768">
      <w:pPr>
        <w:pStyle w:val="TableofFigures"/>
        <w:tabs>
          <w:tab w:val="right" w:leader="dot" w:pos="9350"/>
        </w:tabs>
        <w:rPr>
          <w:rFonts w:asciiTheme="minorHAnsi" w:eastAsiaTheme="minorEastAsia" w:hAnsiTheme="minorHAnsi" w:cstheme="minorBidi"/>
          <w:bCs w:val="0"/>
          <w:noProof/>
          <w:sz w:val="22"/>
          <w:szCs w:val="22"/>
        </w:rPr>
      </w:pPr>
      <w:hyperlink w:anchor="_Toc393800647" w:history="1">
        <w:r w:rsidRPr="000E110B">
          <w:rPr>
            <w:rStyle w:val="Hyperlink"/>
            <w:noProof/>
          </w:rPr>
          <w:t xml:space="preserve">Figure 2. Prominence </w:t>
        </w:r>
        <w:r w:rsidRPr="000E110B">
          <w:rPr>
            <w:rStyle w:val="Hyperlink"/>
            <w:rFonts w:ascii="MTSYN" w:eastAsia="MTSYN" w:cs="MTSYN"/>
            <w:noProof/>
          </w:rPr>
          <w:t>×</w:t>
        </w:r>
        <w:r w:rsidRPr="000E110B">
          <w:rPr>
            <w:rStyle w:val="Hyperlink"/>
            <w:rFonts w:ascii="MTSYN" w:eastAsia="MTSYN" w:cs="MTSYN"/>
            <w:noProof/>
          </w:rPr>
          <w:t xml:space="preserve"> </w:t>
        </w:r>
        <w:r w:rsidRPr="000E110B">
          <w:rPr>
            <w:rStyle w:val="Hyperlink"/>
            <w:noProof/>
          </w:rPr>
          <w:t>DTCA Regulatory Knowledge on Perceived Attention</w:t>
        </w:r>
        <w:r>
          <w:rPr>
            <w:noProof/>
            <w:webHidden/>
          </w:rPr>
          <w:tab/>
        </w:r>
        <w:r>
          <w:rPr>
            <w:noProof/>
            <w:webHidden/>
          </w:rPr>
          <w:fldChar w:fldCharType="begin"/>
        </w:r>
        <w:r>
          <w:rPr>
            <w:noProof/>
            <w:webHidden/>
          </w:rPr>
          <w:instrText xml:space="preserve"> PAGEREF _Toc393800647 \h </w:instrText>
        </w:r>
        <w:r>
          <w:rPr>
            <w:noProof/>
            <w:webHidden/>
          </w:rPr>
        </w:r>
        <w:r>
          <w:rPr>
            <w:noProof/>
            <w:webHidden/>
          </w:rPr>
          <w:fldChar w:fldCharType="separate"/>
        </w:r>
        <w:r>
          <w:rPr>
            <w:noProof/>
            <w:webHidden/>
          </w:rPr>
          <w:t>80</w:t>
        </w:r>
        <w:r>
          <w:rPr>
            <w:noProof/>
            <w:webHidden/>
          </w:rPr>
          <w:fldChar w:fldCharType="end"/>
        </w:r>
      </w:hyperlink>
    </w:p>
    <w:p w:rsidR="00E41A01" w:rsidRPr="00476FC9" w:rsidRDefault="00E353AA" w:rsidP="007D2ACE">
      <w:pPr>
        <w:keepNext w:val="0"/>
        <w:widowControl w:val="0"/>
        <w:kinsoku w:val="0"/>
        <w:overflowPunct w:val="0"/>
        <w:autoSpaceDE w:val="0"/>
        <w:autoSpaceDN w:val="0"/>
        <w:adjustRightInd w:val="0"/>
        <w:snapToGrid w:val="0"/>
        <w:spacing w:before="0" w:after="0" w:line="240" w:lineRule="auto"/>
        <w:outlineLvl w:val="9"/>
        <w:rPr>
          <w:color w:val="000000" w:themeColor="text1"/>
        </w:rPr>
        <w:sectPr w:rsidR="00E41A01" w:rsidRPr="00476FC9" w:rsidSect="00E00741">
          <w:pgSz w:w="12240" w:h="15840" w:code="1"/>
          <w:pgMar w:top="1440" w:right="1440" w:bottom="1440" w:left="1440" w:header="0" w:footer="144" w:gutter="0"/>
          <w:pgNumType w:fmt="lowerRoman" w:chapStyle="1"/>
          <w:cols w:space="720"/>
          <w:noEndnote/>
          <w:docGrid w:linePitch="326"/>
        </w:sectPr>
      </w:pPr>
      <w:r w:rsidRPr="00476FC9">
        <w:rPr>
          <w:color w:val="000000" w:themeColor="text1"/>
        </w:rPr>
        <w:fldChar w:fldCharType="end"/>
      </w:r>
    </w:p>
    <w:p w:rsidR="00236E6D" w:rsidRPr="00476FC9" w:rsidRDefault="00E353AA" w:rsidP="007D2ACE">
      <w:pPr>
        <w:pStyle w:val="Heading1"/>
        <w:rPr>
          <w:color w:val="000000" w:themeColor="text1"/>
        </w:rPr>
      </w:pPr>
      <w:r w:rsidRPr="00476FC9">
        <w:rPr>
          <w:color w:val="000000" w:themeColor="text1"/>
        </w:rPr>
        <w:lastRenderedPageBreak/>
        <w:fldChar w:fldCharType="begin"/>
      </w:r>
      <w:r w:rsidR="00764127" w:rsidRPr="00476FC9">
        <w:rPr>
          <w:color w:val="000000" w:themeColor="text1"/>
        </w:rPr>
        <w:instrText xml:space="preserve"> TOC \h \z \c "Figure" </w:instrText>
      </w:r>
      <w:r w:rsidRPr="00476FC9">
        <w:rPr>
          <w:color w:val="000000" w:themeColor="text1"/>
        </w:rPr>
        <w:fldChar w:fldCharType="end"/>
      </w:r>
      <w:bookmarkStart w:id="1" w:name="_Toc393800648"/>
      <w:r w:rsidR="001069A7" w:rsidRPr="00476FC9">
        <w:rPr>
          <w:color w:val="000000" w:themeColor="text1"/>
        </w:rPr>
        <w:t>CHAPTER 1: INTRODUCTION</w:t>
      </w:r>
      <w:bookmarkEnd w:id="1"/>
    </w:p>
    <w:p w:rsidR="008D18DF" w:rsidRPr="00476FC9" w:rsidRDefault="006756B2" w:rsidP="007D2ACE">
      <w:pPr>
        <w:pStyle w:val="Heading2"/>
        <w:rPr>
          <w:color w:val="000000" w:themeColor="text1"/>
        </w:rPr>
      </w:pPr>
      <w:bookmarkStart w:id="2" w:name="_Toc393800649"/>
      <w:r w:rsidRPr="00476FC9">
        <w:rPr>
          <w:color w:val="000000" w:themeColor="text1"/>
        </w:rPr>
        <w:t>Research Problem</w:t>
      </w:r>
      <w:bookmarkEnd w:id="2"/>
    </w:p>
    <w:p w:rsidR="00271B62" w:rsidRPr="00476FC9" w:rsidRDefault="00136E97"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CA7EDC" w:rsidRPr="00476FC9">
        <w:rPr>
          <w:color w:val="000000" w:themeColor="text1"/>
        </w:rPr>
        <w:t>Given that</w:t>
      </w:r>
      <w:r w:rsidR="00F26DA5" w:rsidRPr="00476FC9">
        <w:rPr>
          <w:color w:val="000000" w:themeColor="text1"/>
        </w:rPr>
        <w:t xml:space="preserve"> </w:t>
      </w:r>
      <w:r w:rsidR="0082700A" w:rsidRPr="00476FC9">
        <w:rPr>
          <w:color w:val="000000" w:themeColor="text1"/>
        </w:rPr>
        <w:t xml:space="preserve">today’s </w:t>
      </w:r>
      <w:r w:rsidR="00CA27F2" w:rsidRPr="00476FC9">
        <w:rPr>
          <w:color w:val="000000" w:themeColor="text1"/>
        </w:rPr>
        <w:t xml:space="preserve">health care </w:t>
      </w:r>
      <w:r w:rsidR="00F26DA5" w:rsidRPr="00476FC9">
        <w:rPr>
          <w:color w:val="000000" w:themeColor="text1"/>
        </w:rPr>
        <w:t>p</w:t>
      </w:r>
      <w:r w:rsidR="00953833" w:rsidRPr="00476FC9">
        <w:rPr>
          <w:color w:val="000000" w:themeColor="text1"/>
        </w:rPr>
        <w:t>atients</w:t>
      </w:r>
      <w:r w:rsidR="00F26DA5" w:rsidRPr="00476FC9">
        <w:rPr>
          <w:color w:val="000000" w:themeColor="text1"/>
        </w:rPr>
        <w:t xml:space="preserve"> </w:t>
      </w:r>
      <w:r w:rsidR="00953833" w:rsidRPr="00476FC9">
        <w:rPr>
          <w:color w:val="000000" w:themeColor="text1"/>
        </w:rPr>
        <w:t xml:space="preserve">are increasingly referred to as </w:t>
      </w:r>
      <w:r w:rsidR="00953833" w:rsidRPr="00476FC9">
        <w:rPr>
          <w:i/>
          <w:color w:val="000000" w:themeColor="text1"/>
        </w:rPr>
        <w:t>consumers</w:t>
      </w:r>
      <w:r w:rsidR="00CA7EDC" w:rsidRPr="00476FC9">
        <w:rPr>
          <w:i/>
          <w:color w:val="000000" w:themeColor="text1"/>
        </w:rPr>
        <w:t xml:space="preserve"> </w:t>
      </w:r>
      <w:r w:rsidR="00CA7EDC" w:rsidRPr="00476FC9">
        <w:rPr>
          <w:color w:val="000000" w:themeColor="text1"/>
        </w:rPr>
        <w:t>(Hibbard &amp; Weeks, 1987</w:t>
      </w:r>
      <w:r w:rsidR="00CA27F2" w:rsidRPr="00476FC9">
        <w:rPr>
          <w:color w:val="000000" w:themeColor="text1"/>
        </w:rPr>
        <w:t>; Tomes, 2006</w:t>
      </w:r>
      <w:r w:rsidR="00CA7EDC" w:rsidRPr="00476FC9">
        <w:rPr>
          <w:color w:val="000000" w:themeColor="text1"/>
        </w:rPr>
        <w:t>)</w:t>
      </w:r>
      <w:r w:rsidR="00953833" w:rsidRPr="00476FC9">
        <w:rPr>
          <w:color w:val="000000" w:themeColor="text1"/>
        </w:rPr>
        <w:t xml:space="preserve">, </w:t>
      </w:r>
      <w:r w:rsidR="00F60820" w:rsidRPr="00476FC9">
        <w:rPr>
          <w:i/>
          <w:color w:val="000000" w:themeColor="text1"/>
        </w:rPr>
        <w:t>he</w:t>
      </w:r>
      <w:r w:rsidR="00072979" w:rsidRPr="00476FC9">
        <w:rPr>
          <w:i/>
          <w:color w:val="000000" w:themeColor="text1"/>
        </w:rPr>
        <w:t>alth care consumerism</w:t>
      </w:r>
      <w:r w:rsidR="00072979" w:rsidRPr="00476FC9">
        <w:rPr>
          <w:color w:val="000000" w:themeColor="text1"/>
        </w:rPr>
        <w:t xml:space="preserve"> </w:t>
      </w:r>
      <w:r w:rsidR="00CA27F2" w:rsidRPr="00476FC9">
        <w:rPr>
          <w:color w:val="000000" w:themeColor="text1"/>
        </w:rPr>
        <w:t xml:space="preserve">is </w:t>
      </w:r>
      <w:r w:rsidR="00271B62" w:rsidRPr="00476FC9">
        <w:rPr>
          <w:color w:val="000000" w:themeColor="text1"/>
        </w:rPr>
        <w:t xml:space="preserve">defined </w:t>
      </w:r>
      <w:r w:rsidR="00E23A4A" w:rsidRPr="00476FC9">
        <w:rPr>
          <w:color w:val="000000" w:themeColor="text1"/>
        </w:rPr>
        <w:t xml:space="preserve">as </w:t>
      </w:r>
      <w:r w:rsidR="00072979" w:rsidRPr="00476FC9">
        <w:rPr>
          <w:color w:val="000000" w:themeColor="text1"/>
        </w:rPr>
        <w:t xml:space="preserve">consumers’ </w:t>
      </w:r>
      <w:r w:rsidR="00072979" w:rsidRPr="00476FC9">
        <w:rPr>
          <w:i/>
          <w:color w:val="000000" w:themeColor="text1"/>
        </w:rPr>
        <w:t>autonomy</w:t>
      </w:r>
      <w:r w:rsidR="00072979" w:rsidRPr="00476FC9">
        <w:rPr>
          <w:color w:val="000000" w:themeColor="text1"/>
        </w:rPr>
        <w:t xml:space="preserve"> in their health care </w:t>
      </w:r>
      <w:r w:rsidR="007C39ED" w:rsidRPr="00476FC9">
        <w:rPr>
          <w:color w:val="000000" w:themeColor="text1"/>
        </w:rPr>
        <w:t xml:space="preserve">management </w:t>
      </w:r>
      <w:r w:rsidR="00072979" w:rsidRPr="00476FC9">
        <w:rPr>
          <w:color w:val="000000" w:themeColor="text1"/>
        </w:rPr>
        <w:t>(Hibbard &amp; Weeks, 1987)</w:t>
      </w:r>
      <w:r w:rsidR="00173D57" w:rsidRPr="00476FC9">
        <w:rPr>
          <w:color w:val="000000" w:themeColor="text1"/>
        </w:rPr>
        <w:t>.</w:t>
      </w:r>
      <w:r w:rsidR="00E748DD" w:rsidRPr="00476FC9">
        <w:rPr>
          <w:color w:val="000000" w:themeColor="text1"/>
        </w:rPr>
        <w:t xml:space="preserve"> </w:t>
      </w:r>
      <w:r w:rsidR="00173D57" w:rsidRPr="00476FC9">
        <w:rPr>
          <w:color w:val="000000" w:themeColor="text1"/>
        </w:rPr>
        <w:t xml:space="preserve">In this regard, </w:t>
      </w:r>
      <w:r w:rsidR="00072979" w:rsidRPr="00476FC9">
        <w:rPr>
          <w:color w:val="000000" w:themeColor="text1"/>
        </w:rPr>
        <w:t xml:space="preserve">Almond (2001) </w:t>
      </w:r>
      <w:r w:rsidR="00F26DA5" w:rsidRPr="00476FC9">
        <w:rPr>
          <w:color w:val="000000" w:themeColor="text1"/>
        </w:rPr>
        <w:t xml:space="preserve">suggests that </w:t>
      </w:r>
      <w:r w:rsidR="00953833" w:rsidRPr="00476FC9">
        <w:rPr>
          <w:color w:val="000000" w:themeColor="text1"/>
        </w:rPr>
        <w:t xml:space="preserve">the </w:t>
      </w:r>
      <w:r w:rsidR="00215D07" w:rsidRPr="00476FC9">
        <w:rPr>
          <w:color w:val="000000" w:themeColor="text1"/>
        </w:rPr>
        <w:t>terms</w:t>
      </w:r>
      <w:r w:rsidR="00173D57" w:rsidRPr="00476FC9">
        <w:rPr>
          <w:color w:val="000000" w:themeColor="text1"/>
        </w:rPr>
        <w:t xml:space="preserve"> </w:t>
      </w:r>
      <w:r w:rsidR="00953833" w:rsidRPr="00476FC9">
        <w:rPr>
          <w:i/>
          <w:color w:val="000000" w:themeColor="text1"/>
        </w:rPr>
        <w:t>partnership</w:t>
      </w:r>
      <w:r w:rsidR="00953833" w:rsidRPr="00476FC9">
        <w:rPr>
          <w:color w:val="000000" w:themeColor="text1"/>
        </w:rPr>
        <w:t xml:space="preserve"> and </w:t>
      </w:r>
      <w:r w:rsidR="00953833" w:rsidRPr="00476FC9">
        <w:rPr>
          <w:i/>
          <w:color w:val="000000" w:themeColor="text1"/>
        </w:rPr>
        <w:t>participation</w:t>
      </w:r>
      <w:r w:rsidR="00953833" w:rsidRPr="00476FC9">
        <w:rPr>
          <w:color w:val="000000" w:themeColor="text1"/>
        </w:rPr>
        <w:t xml:space="preserve"> </w:t>
      </w:r>
      <w:r w:rsidR="00740C01" w:rsidRPr="00476FC9">
        <w:rPr>
          <w:color w:val="000000" w:themeColor="text1"/>
        </w:rPr>
        <w:t>are</w:t>
      </w:r>
      <w:r w:rsidR="006F653F" w:rsidRPr="00476FC9">
        <w:rPr>
          <w:color w:val="000000" w:themeColor="text1"/>
        </w:rPr>
        <w:t xml:space="preserve"> </w:t>
      </w:r>
      <w:r w:rsidR="00953833" w:rsidRPr="00476FC9">
        <w:rPr>
          <w:color w:val="000000" w:themeColor="text1"/>
        </w:rPr>
        <w:t>regarded as</w:t>
      </w:r>
      <w:r w:rsidR="00271B62" w:rsidRPr="00476FC9">
        <w:rPr>
          <w:color w:val="000000" w:themeColor="text1"/>
        </w:rPr>
        <w:t xml:space="preserve"> </w:t>
      </w:r>
      <w:r w:rsidR="00953833" w:rsidRPr="00476FC9">
        <w:rPr>
          <w:color w:val="000000" w:themeColor="text1"/>
        </w:rPr>
        <w:t>appropriate</w:t>
      </w:r>
      <w:r w:rsidR="00271B62" w:rsidRPr="00476FC9">
        <w:rPr>
          <w:color w:val="000000" w:themeColor="text1"/>
        </w:rPr>
        <w:t xml:space="preserve"> label</w:t>
      </w:r>
      <w:r w:rsidR="008E24C9" w:rsidRPr="00476FC9">
        <w:rPr>
          <w:color w:val="000000" w:themeColor="text1"/>
        </w:rPr>
        <w:t>s</w:t>
      </w:r>
      <w:r w:rsidR="00362E5B" w:rsidRPr="00476FC9">
        <w:rPr>
          <w:color w:val="000000" w:themeColor="text1"/>
        </w:rPr>
        <w:t xml:space="preserve"> </w:t>
      </w:r>
      <w:r w:rsidR="006F653F" w:rsidRPr="00476FC9">
        <w:rPr>
          <w:color w:val="000000" w:themeColor="text1"/>
        </w:rPr>
        <w:t xml:space="preserve">for </w:t>
      </w:r>
      <w:r w:rsidR="00362E5B" w:rsidRPr="00476FC9">
        <w:rPr>
          <w:color w:val="000000" w:themeColor="text1"/>
        </w:rPr>
        <w:t xml:space="preserve">the </w:t>
      </w:r>
      <w:r w:rsidR="00215D07" w:rsidRPr="00476FC9">
        <w:rPr>
          <w:color w:val="000000" w:themeColor="text1"/>
        </w:rPr>
        <w:t xml:space="preserve">consumer-oriented </w:t>
      </w:r>
      <w:r w:rsidR="00362E5B" w:rsidRPr="00476FC9">
        <w:rPr>
          <w:color w:val="000000" w:themeColor="text1"/>
        </w:rPr>
        <w:t xml:space="preserve">contemporary health </w:t>
      </w:r>
      <w:r w:rsidR="006F653F" w:rsidRPr="00476FC9">
        <w:rPr>
          <w:color w:val="000000" w:themeColor="text1"/>
        </w:rPr>
        <w:t xml:space="preserve">care </w:t>
      </w:r>
      <w:r w:rsidR="00CA1788" w:rsidRPr="00476FC9">
        <w:rPr>
          <w:color w:val="000000" w:themeColor="text1"/>
        </w:rPr>
        <w:t>context</w:t>
      </w:r>
      <w:r w:rsidR="00953833" w:rsidRPr="00476FC9">
        <w:rPr>
          <w:color w:val="000000" w:themeColor="text1"/>
        </w:rPr>
        <w:t>.</w:t>
      </w:r>
      <w:r w:rsidR="00362E5B" w:rsidRPr="00476FC9">
        <w:rPr>
          <w:color w:val="000000" w:themeColor="text1"/>
        </w:rPr>
        <w:t xml:space="preserve"> </w:t>
      </w:r>
      <w:r w:rsidR="00B64B2D" w:rsidRPr="00476FC9">
        <w:rPr>
          <w:color w:val="000000" w:themeColor="text1"/>
        </w:rPr>
        <w:t xml:space="preserve">In order to </w:t>
      </w:r>
      <w:r w:rsidR="00CA1788" w:rsidRPr="00476FC9">
        <w:rPr>
          <w:color w:val="000000" w:themeColor="text1"/>
        </w:rPr>
        <w:t xml:space="preserve">achieve </w:t>
      </w:r>
      <w:r w:rsidR="00B64B2D" w:rsidRPr="00476FC9">
        <w:rPr>
          <w:color w:val="000000" w:themeColor="text1"/>
        </w:rPr>
        <w:t>sound</w:t>
      </w:r>
      <w:r w:rsidR="00271B62" w:rsidRPr="00476FC9">
        <w:rPr>
          <w:color w:val="000000" w:themeColor="text1"/>
        </w:rPr>
        <w:t xml:space="preserve"> </w:t>
      </w:r>
      <w:r w:rsidR="008E24C9" w:rsidRPr="00476FC9">
        <w:rPr>
          <w:color w:val="000000" w:themeColor="text1"/>
        </w:rPr>
        <w:t xml:space="preserve">healthcare </w:t>
      </w:r>
      <w:r w:rsidR="00CA1788" w:rsidRPr="00476FC9">
        <w:rPr>
          <w:color w:val="000000" w:themeColor="text1"/>
        </w:rPr>
        <w:t>partnership participation</w:t>
      </w:r>
      <w:r w:rsidR="00E77F7F" w:rsidRPr="00476FC9">
        <w:rPr>
          <w:color w:val="000000" w:themeColor="text1"/>
        </w:rPr>
        <w:t xml:space="preserve">, </w:t>
      </w:r>
      <w:r w:rsidR="00953833" w:rsidRPr="00476FC9">
        <w:rPr>
          <w:color w:val="000000" w:themeColor="text1"/>
        </w:rPr>
        <w:t xml:space="preserve">consumers </w:t>
      </w:r>
      <w:r w:rsidR="00CA1788" w:rsidRPr="00476FC9">
        <w:rPr>
          <w:color w:val="000000" w:themeColor="text1"/>
        </w:rPr>
        <w:t>must</w:t>
      </w:r>
      <w:r w:rsidR="00953833" w:rsidRPr="00476FC9">
        <w:rPr>
          <w:color w:val="000000" w:themeColor="text1"/>
        </w:rPr>
        <w:t xml:space="preserve"> be provided with </w:t>
      </w:r>
      <w:r w:rsidR="00173D57" w:rsidRPr="00476FC9">
        <w:rPr>
          <w:color w:val="000000" w:themeColor="text1"/>
        </w:rPr>
        <w:t>accurate</w:t>
      </w:r>
      <w:r w:rsidR="00953833" w:rsidRPr="00476FC9">
        <w:rPr>
          <w:color w:val="000000" w:themeColor="text1"/>
        </w:rPr>
        <w:t xml:space="preserve"> </w:t>
      </w:r>
      <w:r w:rsidR="00E77F7F" w:rsidRPr="00476FC9">
        <w:rPr>
          <w:color w:val="000000" w:themeColor="text1"/>
        </w:rPr>
        <w:t xml:space="preserve">and </w:t>
      </w:r>
      <w:r w:rsidR="00271B62" w:rsidRPr="00476FC9">
        <w:rPr>
          <w:color w:val="000000" w:themeColor="text1"/>
        </w:rPr>
        <w:t>comprehensive</w:t>
      </w:r>
      <w:r w:rsidR="00E77F7F" w:rsidRPr="00476FC9">
        <w:rPr>
          <w:color w:val="000000" w:themeColor="text1"/>
        </w:rPr>
        <w:t xml:space="preserve"> </w:t>
      </w:r>
      <w:r w:rsidR="00953833" w:rsidRPr="00476FC9">
        <w:rPr>
          <w:color w:val="000000" w:themeColor="text1"/>
        </w:rPr>
        <w:t>health information</w:t>
      </w:r>
      <w:r w:rsidR="00E77F7F" w:rsidRPr="00476FC9">
        <w:rPr>
          <w:color w:val="000000" w:themeColor="text1"/>
        </w:rPr>
        <w:t xml:space="preserve"> to </w:t>
      </w:r>
      <w:r w:rsidR="00FE68B6" w:rsidRPr="00476FC9">
        <w:rPr>
          <w:color w:val="000000" w:themeColor="text1"/>
        </w:rPr>
        <w:t xml:space="preserve">make </w:t>
      </w:r>
      <w:r w:rsidR="008E24C9" w:rsidRPr="00476FC9">
        <w:rPr>
          <w:color w:val="000000" w:themeColor="text1"/>
        </w:rPr>
        <w:t>informed</w:t>
      </w:r>
      <w:r w:rsidR="00FE68B6" w:rsidRPr="00476FC9">
        <w:rPr>
          <w:color w:val="000000" w:themeColor="text1"/>
        </w:rPr>
        <w:t xml:space="preserve"> health choices</w:t>
      </w:r>
      <w:r w:rsidR="00362E5B" w:rsidRPr="00476FC9">
        <w:rPr>
          <w:color w:val="000000" w:themeColor="text1"/>
        </w:rPr>
        <w:t xml:space="preserve">, including </w:t>
      </w:r>
      <w:r w:rsidR="00EF33B6" w:rsidRPr="00476FC9">
        <w:rPr>
          <w:color w:val="000000" w:themeColor="text1"/>
        </w:rPr>
        <w:t xml:space="preserve">information about </w:t>
      </w:r>
      <w:r w:rsidR="006756B2" w:rsidRPr="00476FC9">
        <w:rPr>
          <w:color w:val="000000" w:themeColor="text1"/>
        </w:rPr>
        <w:t>available</w:t>
      </w:r>
      <w:r w:rsidR="00362E5B" w:rsidRPr="00476FC9">
        <w:rPr>
          <w:color w:val="000000" w:themeColor="text1"/>
        </w:rPr>
        <w:t xml:space="preserve"> </w:t>
      </w:r>
      <w:r w:rsidR="00EF33B6" w:rsidRPr="00476FC9">
        <w:rPr>
          <w:color w:val="000000" w:themeColor="text1"/>
        </w:rPr>
        <w:t xml:space="preserve">medical </w:t>
      </w:r>
      <w:r w:rsidR="00173D57" w:rsidRPr="00476FC9">
        <w:rPr>
          <w:color w:val="000000" w:themeColor="text1"/>
        </w:rPr>
        <w:t>remedies</w:t>
      </w:r>
      <w:r w:rsidR="00362E5B" w:rsidRPr="00476FC9">
        <w:rPr>
          <w:color w:val="000000" w:themeColor="text1"/>
        </w:rPr>
        <w:t xml:space="preserve"> and </w:t>
      </w:r>
      <w:r w:rsidR="008E24C9" w:rsidRPr="00476FC9">
        <w:rPr>
          <w:color w:val="000000" w:themeColor="text1"/>
        </w:rPr>
        <w:t xml:space="preserve">their </w:t>
      </w:r>
      <w:r w:rsidR="003D375D" w:rsidRPr="00476FC9">
        <w:rPr>
          <w:color w:val="000000" w:themeColor="text1"/>
        </w:rPr>
        <w:t xml:space="preserve">potential </w:t>
      </w:r>
      <w:r w:rsidR="00362E5B" w:rsidRPr="00476FC9">
        <w:rPr>
          <w:color w:val="000000" w:themeColor="text1"/>
        </w:rPr>
        <w:t>health risks</w:t>
      </w:r>
      <w:r w:rsidR="00953833" w:rsidRPr="00476FC9">
        <w:rPr>
          <w:color w:val="000000" w:themeColor="text1"/>
        </w:rPr>
        <w:t xml:space="preserve">. </w:t>
      </w:r>
      <w:r w:rsidR="00173D57" w:rsidRPr="00476FC9">
        <w:rPr>
          <w:color w:val="000000" w:themeColor="text1"/>
        </w:rPr>
        <w:t>D</w:t>
      </w:r>
      <w:r w:rsidR="00331210" w:rsidRPr="00476FC9">
        <w:rPr>
          <w:color w:val="000000" w:themeColor="text1"/>
        </w:rPr>
        <w:t xml:space="preserve">irect-to-consumer prescription drug advertising (DTCA) </w:t>
      </w:r>
      <w:r w:rsidR="00FE68B6" w:rsidRPr="00476FC9">
        <w:rPr>
          <w:color w:val="000000" w:themeColor="text1"/>
        </w:rPr>
        <w:t>represent</w:t>
      </w:r>
      <w:r w:rsidR="00331210" w:rsidRPr="00476FC9">
        <w:rPr>
          <w:color w:val="000000" w:themeColor="text1"/>
        </w:rPr>
        <w:t>s</w:t>
      </w:r>
      <w:r w:rsidR="00FE68B6" w:rsidRPr="00476FC9">
        <w:rPr>
          <w:color w:val="000000" w:themeColor="text1"/>
        </w:rPr>
        <w:t xml:space="preserve"> one </w:t>
      </w:r>
      <w:r w:rsidR="00173D57" w:rsidRPr="00476FC9">
        <w:rPr>
          <w:color w:val="000000" w:themeColor="text1"/>
        </w:rPr>
        <w:t xml:space="preserve">important health information source </w:t>
      </w:r>
      <w:r w:rsidR="00D83DFE" w:rsidRPr="00476FC9">
        <w:rPr>
          <w:color w:val="000000" w:themeColor="text1"/>
        </w:rPr>
        <w:t>(Royne &amp; Myers, 2008; Macias, Pashupati, &amp; Lewis, 2007; Macias, Lewis, &amp; Baek, 2010)</w:t>
      </w:r>
      <w:r w:rsidR="004E5859" w:rsidRPr="00476FC9">
        <w:rPr>
          <w:color w:val="000000" w:themeColor="text1"/>
        </w:rPr>
        <w:t>,</w:t>
      </w:r>
      <w:r w:rsidR="00DB2AA6" w:rsidRPr="00476FC9">
        <w:rPr>
          <w:color w:val="000000" w:themeColor="text1"/>
        </w:rPr>
        <w:t xml:space="preserve"> and </w:t>
      </w:r>
      <w:r w:rsidR="006756B2" w:rsidRPr="00476FC9">
        <w:rPr>
          <w:color w:val="000000" w:themeColor="text1"/>
        </w:rPr>
        <w:t xml:space="preserve">therefore </w:t>
      </w:r>
      <w:r w:rsidR="00DB2AA6" w:rsidRPr="00476FC9">
        <w:rPr>
          <w:color w:val="000000" w:themeColor="text1"/>
        </w:rPr>
        <w:t xml:space="preserve">it </w:t>
      </w:r>
      <w:r w:rsidR="00666695" w:rsidRPr="00476FC9">
        <w:rPr>
          <w:color w:val="000000" w:themeColor="text1"/>
        </w:rPr>
        <w:t xml:space="preserve">is </w:t>
      </w:r>
      <w:r w:rsidR="00BE1A9D" w:rsidRPr="00476FC9">
        <w:rPr>
          <w:color w:val="000000" w:themeColor="text1"/>
        </w:rPr>
        <w:t>critical</w:t>
      </w:r>
      <w:r w:rsidR="00666695" w:rsidRPr="00476FC9">
        <w:rPr>
          <w:color w:val="000000" w:themeColor="text1"/>
        </w:rPr>
        <w:t xml:space="preserve"> to consider how </w:t>
      </w:r>
      <w:r w:rsidR="00DB2AA6" w:rsidRPr="00476FC9">
        <w:rPr>
          <w:color w:val="000000" w:themeColor="text1"/>
        </w:rPr>
        <w:t>consumer</w:t>
      </w:r>
      <w:r w:rsidR="002712BF" w:rsidRPr="00476FC9">
        <w:rPr>
          <w:color w:val="000000" w:themeColor="text1"/>
        </w:rPr>
        <w:t>s</w:t>
      </w:r>
      <w:r w:rsidR="00271B62" w:rsidRPr="00476FC9">
        <w:rPr>
          <w:color w:val="000000" w:themeColor="text1"/>
        </w:rPr>
        <w:t xml:space="preserve">’ </w:t>
      </w:r>
      <w:r w:rsidR="00666695" w:rsidRPr="00476FC9">
        <w:rPr>
          <w:color w:val="000000" w:themeColor="text1"/>
        </w:rPr>
        <w:t xml:space="preserve">perception regarding health issues are </w:t>
      </w:r>
      <w:r w:rsidR="00B76E93" w:rsidRPr="00476FC9">
        <w:rPr>
          <w:color w:val="000000" w:themeColor="text1"/>
        </w:rPr>
        <w:t>influenced</w:t>
      </w:r>
      <w:r w:rsidR="00EF25DB" w:rsidRPr="00476FC9">
        <w:rPr>
          <w:color w:val="000000" w:themeColor="text1"/>
        </w:rPr>
        <w:t xml:space="preserve"> by DTCA health</w:t>
      </w:r>
      <w:r w:rsidR="00666695" w:rsidRPr="00476FC9">
        <w:rPr>
          <w:color w:val="000000" w:themeColor="text1"/>
        </w:rPr>
        <w:t xml:space="preserve"> information</w:t>
      </w:r>
      <w:r w:rsidR="00DB2AA6" w:rsidRPr="00476FC9">
        <w:rPr>
          <w:color w:val="000000" w:themeColor="text1"/>
        </w:rPr>
        <w:t xml:space="preserve"> (Park, Ju, &amp; Kim, 2013; Ju &amp; Park, 2013)</w:t>
      </w:r>
      <w:r w:rsidR="00666695" w:rsidRPr="00476FC9">
        <w:rPr>
          <w:color w:val="000000" w:themeColor="text1"/>
        </w:rPr>
        <w:t xml:space="preserve">. </w:t>
      </w:r>
    </w:p>
    <w:p w:rsidR="00271B62" w:rsidRPr="00476FC9" w:rsidRDefault="001D6FD3"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However, despite the </w:t>
      </w:r>
      <w:r w:rsidR="000B5696" w:rsidRPr="00476FC9">
        <w:rPr>
          <w:color w:val="000000" w:themeColor="text1"/>
        </w:rPr>
        <w:t>presumed</w:t>
      </w:r>
      <w:r w:rsidRPr="00476FC9">
        <w:rPr>
          <w:color w:val="000000" w:themeColor="text1"/>
        </w:rPr>
        <w:t xml:space="preserve"> importance of DTCA</w:t>
      </w:r>
      <w:r w:rsidR="00271B62" w:rsidRPr="00476FC9">
        <w:rPr>
          <w:color w:val="000000" w:themeColor="text1"/>
        </w:rPr>
        <w:t xml:space="preserve">, </w:t>
      </w:r>
      <w:r w:rsidR="000B5696" w:rsidRPr="00476FC9">
        <w:rPr>
          <w:color w:val="000000" w:themeColor="text1"/>
        </w:rPr>
        <w:t xml:space="preserve">the literature </w:t>
      </w:r>
      <w:r w:rsidRPr="00476FC9">
        <w:rPr>
          <w:color w:val="000000" w:themeColor="text1"/>
        </w:rPr>
        <w:t xml:space="preserve">has </w:t>
      </w:r>
      <w:r w:rsidR="00B40B08" w:rsidRPr="00476FC9">
        <w:rPr>
          <w:color w:val="000000" w:themeColor="text1"/>
        </w:rPr>
        <w:t xml:space="preserve">found that most DTC ads </w:t>
      </w:r>
      <w:r w:rsidR="00EF25DB" w:rsidRPr="00476FC9">
        <w:rPr>
          <w:color w:val="000000" w:themeColor="text1"/>
        </w:rPr>
        <w:t xml:space="preserve">tend to </w:t>
      </w:r>
      <w:r w:rsidR="00B40B08" w:rsidRPr="00476FC9">
        <w:rPr>
          <w:color w:val="000000" w:themeColor="text1"/>
        </w:rPr>
        <w:t xml:space="preserve">present information </w:t>
      </w:r>
      <w:r w:rsidR="001C5E9B" w:rsidRPr="00476FC9">
        <w:rPr>
          <w:color w:val="000000" w:themeColor="text1"/>
        </w:rPr>
        <w:t xml:space="preserve">about </w:t>
      </w:r>
      <w:r w:rsidR="00EF25DB" w:rsidRPr="00476FC9">
        <w:rPr>
          <w:color w:val="000000" w:themeColor="text1"/>
        </w:rPr>
        <w:t xml:space="preserve">the uses and </w:t>
      </w:r>
      <w:r w:rsidR="00B40B08" w:rsidRPr="00476FC9">
        <w:rPr>
          <w:color w:val="000000" w:themeColor="text1"/>
        </w:rPr>
        <w:t>efficacy</w:t>
      </w:r>
      <w:r w:rsidR="00EF25DB" w:rsidRPr="00476FC9">
        <w:rPr>
          <w:color w:val="000000" w:themeColor="text1"/>
        </w:rPr>
        <w:t xml:space="preserve"> of the </w:t>
      </w:r>
      <w:r w:rsidR="00B40B08" w:rsidRPr="00476FC9">
        <w:rPr>
          <w:color w:val="000000" w:themeColor="text1"/>
        </w:rPr>
        <w:t xml:space="preserve">medicine more prominently than its </w:t>
      </w:r>
      <w:r w:rsidR="000B5696" w:rsidRPr="00476FC9">
        <w:rPr>
          <w:color w:val="000000" w:themeColor="text1"/>
        </w:rPr>
        <w:t xml:space="preserve">possible </w:t>
      </w:r>
      <w:r w:rsidR="00B40B08" w:rsidRPr="00476FC9">
        <w:rPr>
          <w:color w:val="000000" w:themeColor="text1"/>
        </w:rPr>
        <w:t>health risks</w:t>
      </w:r>
      <w:r w:rsidR="00EF25DB" w:rsidRPr="00476FC9">
        <w:rPr>
          <w:color w:val="000000" w:themeColor="text1"/>
        </w:rPr>
        <w:t xml:space="preserve"> </w:t>
      </w:r>
      <w:r w:rsidR="00D83DFE" w:rsidRPr="00476FC9">
        <w:rPr>
          <w:color w:val="000000" w:themeColor="text1"/>
        </w:rPr>
        <w:t xml:space="preserve">(e.g., </w:t>
      </w:r>
      <w:r w:rsidR="0037059D" w:rsidRPr="00476FC9">
        <w:rPr>
          <w:color w:val="000000" w:themeColor="text1"/>
        </w:rPr>
        <w:t>Avery, Eisenberg, &amp; Simon, 2012</w:t>
      </w:r>
      <w:r w:rsidR="00D83DFE" w:rsidRPr="00476FC9">
        <w:rPr>
          <w:color w:val="000000" w:themeColor="text1"/>
        </w:rPr>
        <w:t>; Davis, Cross, &amp; Crowley, 2007; Davis &amp; Meader, 2009; Huh &amp; Cude, 2004; Kaphingst, Dejong, Rudd, &amp; Daltroy, 2004; Macias et al., 2007; Macias et al., 2010; Sheehan, 2007)</w:t>
      </w:r>
      <w:r w:rsidR="00EF25DB" w:rsidRPr="00476FC9">
        <w:rPr>
          <w:color w:val="000000" w:themeColor="text1"/>
        </w:rPr>
        <w:t>.</w:t>
      </w:r>
      <w:r w:rsidR="00271B62" w:rsidRPr="00476FC9">
        <w:rPr>
          <w:color w:val="000000" w:themeColor="text1"/>
        </w:rPr>
        <w:t xml:space="preserve"> </w:t>
      </w:r>
      <w:r w:rsidR="002138B9" w:rsidRPr="00476FC9">
        <w:rPr>
          <w:color w:val="000000" w:themeColor="text1"/>
        </w:rPr>
        <w:t xml:space="preserve">In </w:t>
      </w:r>
      <w:r w:rsidR="00B40B08" w:rsidRPr="00476FC9">
        <w:rPr>
          <w:color w:val="000000" w:themeColor="text1"/>
        </w:rPr>
        <w:t>line with this</w:t>
      </w:r>
      <w:r w:rsidR="004E5859" w:rsidRPr="00476FC9">
        <w:rPr>
          <w:color w:val="000000" w:themeColor="text1"/>
        </w:rPr>
        <w:t xml:space="preserve"> </w:t>
      </w:r>
      <w:r w:rsidRPr="00476FC9">
        <w:rPr>
          <w:color w:val="000000" w:themeColor="text1"/>
        </w:rPr>
        <w:t>finding</w:t>
      </w:r>
      <w:r w:rsidR="002138B9" w:rsidRPr="00476FC9">
        <w:rPr>
          <w:color w:val="000000" w:themeColor="text1"/>
        </w:rPr>
        <w:t>, t</w:t>
      </w:r>
      <w:r w:rsidR="004C7919" w:rsidRPr="00476FC9">
        <w:rPr>
          <w:color w:val="000000" w:themeColor="text1"/>
        </w:rPr>
        <w:t>he Federal Food, Drug, and Cosmetic Act (</w:t>
      </w:r>
      <w:r w:rsidR="001143C9" w:rsidRPr="00476FC9">
        <w:rPr>
          <w:i/>
          <w:color w:val="000000" w:themeColor="text1"/>
        </w:rPr>
        <w:t>hereinafter</w:t>
      </w:r>
      <w:r w:rsidR="001143C9" w:rsidRPr="00476FC9">
        <w:rPr>
          <w:color w:val="000000" w:themeColor="text1"/>
        </w:rPr>
        <w:t xml:space="preserve">, </w:t>
      </w:r>
      <w:r w:rsidR="004C7919" w:rsidRPr="00476FC9">
        <w:rPr>
          <w:color w:val="000000" w:themeColor="text1"/>
        </w:rPr>
        <w:t>FFD&amp;C Act</w:t>
      </w:r>
      <w:r w:rsidR="001143C9" w:rsidRPr="00476FC9">
        <w:rPr>
          <w:color w:val="000000" w:themeColor="text1"/>
        </w:rPr>
        <w:t>; 21 U.S.C. 352</w:t>
      </w:r>
      <w:r w:rsidR="004C7919" w:rsidRPr="00476FC9">
        <w:rPr>
          <w:color w:val="000000" w:themeColor="text1"/>
        </w:rPr>
        <w:t xml:space="preserve">) requires pharmaceutical </w:t>
      </w:r>
      <w:r w:rsidR="00EF25DB" w:rsidRPr="00476FC9">
        <w:rPr>
          <w:color w:val="000000" w:themeColor="text1"/>
        </w:rPr>
        <w:t>advertisers</w:t>
      </w:r>
      <w:r w:rsidR="004C7919" w:rsidRPr="00476FC9">
        <w:rPr>
          <w:color w:val="000000" w:themeColor="text1"/>
        </w:rPr>
        <w:t xml:space="preserve"> to present any word, statement, or other information </w:t>
      </w:r>
      <w:r w:rsidR="004C7919" w:rsidRPr="00476FC9">
        <w:rPr>
          <w:i/>
          <w:color w:val="000000" w:themeColor="text1"/>
        </w:rPr>
        <w:t>prominently</w:t>
      </w:r>
      <w:r w:rsidR="004C7919" w:rsidRPr="00476FC9">
        <w:rPr>
          <w:color w:val="000000" w:themeColor="text1"/>
        </w:rPr>
        <w:t xml:space="preserve"> to be </w:t>
      </w:r>
      <w:r w:rsidR="004E5859" w:rsidRPr="00476FC9">
        <w:rPr>
          <w:color w:val="000000" w:themeColor="text1"/>
        </w:rPr>
        <w:t xml:space="preserve">noticed, </w:t>
      </w:r>
      <w:r w:rsidR="006756B2" w:rsidRPr="00476FC9">
        <w:rPr>
          <w:color w:val="000000" w:themeColor="text1"/>
        </w:rPr>
        <w:t xml:space="preserve">attended and processed </w:t>
      </w:r>
      <w:r w:rsidR="004C7919" w:rsidRPr="00476FC9">
        <w:rPr>
          <w:color w:val="000000" w:themeColor="text1"/>
        </w:rPr>
        <w:t xml:space="preserve">by the ordinary individual under customary conditions of </w:t>
      </w:r>
      <w:r w:rsidR="004C7919" w:rsidRPr="00476FC9">
        <w:rPr>
          <w:color w:val="000000" w:themeColor="text1"/>
        </w:rPr>
        <w:lastRenderedPageBreak/>
        <w:t xml:space="preserve">purchase and use. </w:t>
      </w:r>
      <w:r w:rsidR="00153F6B" w:rsidRPr="00476FC9">
        <w:rPr>
          <w:color w:val="000000" w:themeColor="text1"/>
        </w:rPr>
        <w:t>Especially, r</w:t>
      </w:r>
      <w:r w:rsidR="00EF25DB" w:rsidRPr="00476FC9">
        <w:rPr>
          <w:color w:val="000000" w:themeColor="text1"/>
        </w:rPr>
        <w:t>egarding important health risk information</w:t>
      </w:r>
      <w:r w:rsidR="00153F6B" w:rsidRPr="00476FC9">
        <w:rPr>
          <w:color w:val="000000" w:themeColor="text1"/>
        </w:rPr>
        <w:t xml:space="preserve"> in DTC ads</w:t>
      </w:r>
      <w:r w:rsidR="00EF25DB" w:rsidRPr="00476FC9">
        <w:rPr>
          <w:color w:val="000000" w:themeColor="text1"/>
        </w:rPr>
        <w:t xml:space="preserve">, </w:t>
      </w:r>
      <w:r w:rsidR="004C7919" w:rsidRPr="00476FC9">
        <w:rPr>
          <w:color w:val="000000" w:themeColor="text1"/>
        </w:rPr>
        <w:t xml:space="preserve">pharmaceutical </w:t>
      </w:r>
      <w:r w:rsidR="00EF25DB" w:rsidRPr="00476FC9">
        <w:rPr>
          <w:color w:val="000000" w:themeColor="text1"/>
        </w:rPr>
        <w:t xml:space="preserve">advertisers </w:t>
      </w:r>
      <w:r w:rsidR="004C7919" w:rsidRPr="00476FC9">
        <w:rPr>
          <w:color w:val="000000" w:themeColor="text1"/>
        </w:rPr>
        <w:t xml:space="preserve">are obligated to </w:t>
      </w:r>
      <w:r w:rsidR="006756B2" w:rsidRPr="00476FC9">
        <w:rPr>
          <w:color w:val="000000" w:themeColor="text1"/>
        </w:rPr>
        <w:t xml:space="preserve">prominently </w:t>
      </w:r>
      <w:r w:rsidR="004C7919" w:rsidRPr="00476FC9">
        <w:rPr>
          <w:color w:val="000000" w:themeColor="text1"/>
        </w:rPr>
        <w:t xml:space="preserve">provide </w:t>
      </w:r>
      <w:r w:rsidR="00153F6B" w:rsidRPr="00476FC9">
        <w:rPr>
          <w:color w:val="000000" w:themeColor="text1"/>
        </w:rPr>
        <w:t xml:space="preserve">risk disclosure </w:t>
      </w:r>
      <w:r w:rsidR="00596DF0" w:rsidRPr="00476FC9">
        <w:rPr>
          <w:color w:val="000000" w:themeColor="text1"/>
        </w:rPr>
        <w:t xml:space="preserve">to be </w:t>
      </w:r>
      <w:r w:rsidR="00EF25DB" w:rsidRPr="00476FC9">
        <w:rPr>
          <w:color w:val="000000" w:themeColor="text1"/>
        </w:rPr>
        <w:t xml:space="preserve">comparable with benefit and use information </w:t>
      </w:r>
      <w:r w:rsidR="004C7919" w:rsidRPr="00476FC9">
        <w:rPr>
          <w:color w:val="000000" w:themeColor="text1"/>
        </w:rPr>
        <w:t>in their promotional materials</w:t>
      </w:r>
      <w:r w:rsidR="007F115A" w:rsidRPr="00476FC9">
        <w:rPr>
          <w:color w:val="000000" w:themeColor="text1"/>
        </w:rPr>
        <w:t xml:space="preserve">, </w:t>
      </w:r>
      <w:r w:rsidR="00235821" w:rsidRPr="00476FC9">
        <w:rPr>
          <w:color w:val="000000" w:themeColor="text1"/>
        </w:rPr>
        <w:t xml:space="preserve">a policy commonly </w:t>
      </w:r>
      <w:r w:rsidR="00DB2AA6" w:rsidRPr="00476FC9">
        <w:rPr>
          <w:color w:val="000000" w:themeColor="text1"/>
        </w:rPr>
        <w:t>referred to as</w:t>
      </w:r>
      <w:r w:rsidR="007F115A" w:rsidRPr="00476FC9">
        <w:rPr>
          <w:color w:val="000000" w:themeColor="text1"/>
        </w:rPr>
        <w:t xml:space="preserve"> the </w:t>
      </w:r>
      <w:r w:rsidR="007F115A" w:rsidRPr="00476FC9">
        <w:rPr>
          <w:i/>
          <w:color w:val="000000" w:themeColor="text1"/>
        </w:rPr>
        <w:t>fair balance</w:t>
      </w:r>
      <w:r w:rsidR="007F115A" w:rsidRPr="00476FC9">
        <w:rPr>
          <w:color w:val="000000" w:themeColor="text1"/>
        </w:rPr>
        <w:t xml:space="preserve"> requirement</w:t>
      </w:r>
      <w:r w:rsidR="004C7919" w:rsidRPr="00476FC9">
        <w:rPr>
          <w:color w:val="000000" w:themeColor="text1"/>
        </w:rPr>
        <w:t xml:space="preserve"> (21 C</w:t>
      </w:r>
      <w:r w:rsidR="00153F6B" w:rsidRPr="00476FC9">
        <w:rPr>
          <w:color w:val="000000" w:themeColor="text1"/>
        </w:rPr>
        <w:t>ode of Federal Regulation</w:t>
      </w:r>
      <w:r w:rsidR="004C7919" w:rsidRPr="00476FC9">
        <w:rPr>
          <w:color w:val="000000" w:themeColor="text1"/>
        </w:rPr>
        <w:t xml:space="preserve"> 202.1</w:t>
      </w:r>
      <w:r w:rsidR="00153F6B" w:rsidRPr="00476FC9">
        <w:rPr>
          <w:color w:val="000000" w:themeColor="text1"/>
        </w:rPr>
        <w:t xml:space="preserve">; </w:t>
      </w:r>
      <w:r w:rsidR="001143C9" w:rsidRPr="00476FC9">
        <w:rPr>
          <w:i/>
          <w:color w:val="000000" w:themeColor="text1"/>
        </w:rPr>
        <w:t>hereinafter</w:t>
      </w:r>
      <w:r w:rsidR="001143C9" w:rsidRPr="00476FC9">
        <w:rPr>
          <w:color w:val="000000" w:themeColor="text1"/>
        </w:rPr>
        <w:t>,</w:t>
      </w:r>
      <w:r w:rsidR="00153F6B" w:rsidRPr="00476FC9">
        <w:rPr>
          <w:color w:val="000000" w:themeColor="text1"/>
        </w:rPr>
        <w:t xml:space="preserve"> 21 CFR 202.1</w:t>
      </w:r>
      <w:r w:rsidR="004C7919" w:rsidRPr="00476FC9">
        <w:rPr>
          <w:color w:val="000000" w:themeColor="text1"/>
        </w:rPr>
        <w:t>)</w:t>
      </w:r>
      <w:r w:rsidR="00EF25DB" w:rsidRPr="00476FC9">
        <w:rPr>
          <w:color w:val="000000" w:themeColor="text1"/>
        </w:rPr>
        <w:t>.</w:t>
      </w:r>
      <w:r w:rsidR="002712BF" w:rsidRPr="00476FC9">
        <w:rPr>
          <w:color w:val="000000" w:themeColor="text1"/>
        </w:rPr>
        <w:t xml:space="preserve"> </w:t>
      </w:r>
    </w:p>
    <w:p w:rsidR="00120061" w:rsidRPr="00476FC9" w:rsidRDefault="001D6FD3"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The</w:t>
      </w:r>
      <w:r w:rsidR="002712BF" w:rsidRPr="00476FC9">
        <w:rPr>
          <w:color w:val="000000" w:themeColor="text1"/>
        </w:rPr>
        <w:t xml:space="preserve"> FDA (2009) provides specific guidance to pharmaceutical advertisers regarding how they </w:t>
      </w:r>
      <w:r w:rsidR="006C33C8" w:rsidRPr="00476FC9">
        <w:rPr>
          <w:color w:val="000000" w:themeColor="text1"/>
        </w:rPr>
        <w:t>must</w:t>
      </w:r>
      <w:r w:rsidR="002712BF" w:rsidRPr="00476FC9">
        <w:rPr>
          <w:color w:val="000000" w:themeColor="text1"/>
        </w:rPr>
        <w:t xml:space="preserve"> present important health risks of the medicine in DTCA. </w:t>
      </w:r>
      <w:r w:rsidRPr="00476FC9">
        <w:rPr>
          <w:color w:val="000000" w:themeColor="text1"/>
        </w:rPr>
        <w:t>For instance, r</w:t>
      </w:r>
      <w:r w:rsidR="002712BF" w:rsidRPr="00476FC9">
        <w:rPr>
          <w:color w:val="000000" w:themeColor="text1"/>
        </w:rPr>
        <w:t xml:space="preserve">isk information </w:t>
      </w:r>
      <w:r w:rsidR="002712BF" w:rsidRPr="00476FC9">
        <w:rPr>
          <w:i/>
          <w:color w:val="000000" w:themeColor="text1"/>
        </w:rPr>
        <w:t>prominence</w:t>
      </w:r>
      <w:r w:rsidR="002712BF" w:rsidRPr="00476FC9">
        <w:rPr>
          <w:color w:val="000000" w:themeColor="text1"/>
        </w:rPr>
        <w:t xml:space="preserve"> </w:t>
      </w:r>
      <w:r w:rsidRPr="00476FC9">
        <w:rPr>
          <w:color w:val="000000" w:themeColor="text1"/>
        </w:rPr>
        <w:t xml:space="preserve">is considered an important </w:t>
      </w:r>
      <w:r w:rsidR="006C33C8" w:rsidRPr="00476FC9">
        <w:rPr>
          <w:color w:val="000000" w:themeColor="text1"/>
        </w:rPr>
        <w:t>aspect</w:t>
      </w:r>
      <w:r w:rsidRPr="00476FC9">
        <w:rPr>
          <w:color w:val="000000" w:themeColor="text1"/>
        </w:rPr>
        <w:t xml:space="preserve">, and it </w:t>
      </w:r>
      <w:r w:rsidR="002712BF" w:rsidRPr="00476FC9">
        <w:rPr>
          <w:color w:val="000000" w:themeColor="text1"/>
        </w:rPr>
        <w:t xml:space="preserve">could consist of various message </w:t>
      </w:r>
      <w:r w:rsidR="00C62434" w:rsidRPr="00476FC9">
        <w:rPr>
          <w:color w:val="000000" w:themeColor="text1"/>
        </w:rPr>
        <w:t xml:space="preserve">execution </w:t>
      </w:r>
      <w:r w:rsidR="00FD55C4" w:rsidRPr="00476FC9">
        <w:rPr>
          <w:color w:val="000000" w:themeColor="text1"/>
        </w:rPr>
        <w:t>factors</w:t>
      </w:r>
      <w:r w:rsidR="002712BF" w:rsidRPr="00476FC9">
        <w:rPr>
          <w:color w:val="000000" w:themeColor="text1"/>
        </w:rPr>
        <w:t xml:space="preserve"> such as typography, layout, contrast, headlines, paragraphing, white space, and other </w:t>
      </w:r>
      <w:r w:rsidR="00FD55C4" w:rsidRPr="00476FC9">
        <w:rPr>
          <w:color w:val="000000" w:themeColor="text1"/>
        </w:rPr>
        <w:t xml:space="preserve">techniques </w:t>
      </w:r>
      <w:r w:rsidR="002712BF" w:rsidRPr="00476FC9">
        <w:rPr>
          <w:color w:val="000000" w:themeColor="text1"/>
        </w:rPr>
        <w:t>used to achieve emphasis (US Department of Health and Human Services [DHHS], 2010).</w:t>
      </w:r>
      <w:r w:rsidR="00271B62" w:rsidRPr="00476FC9">
        <w:rPr>
          <w:color w:val="000000" w:themeColor="text1"/>
        </w:rPr>
        <w:t xml:space="preserve"> However, little research has empirically examined </w:t>
      </w:r>
      <w:r w:rsidR="00120061" w:rsidRPr="00476FC9">
        <w:rPr>
          <w:color w:val="000000" w:themeColor="text1"/>
        </w:rPr>
        <w:t xml:space="preserve">how the effects of such </w:t>
      </w:r>
      <w:r w:rsidR="00271B62" w:rsidRPr="00476FC9">
        <w:rPr>
          <w:color w:val="000000" w:themeColor="text1"/>
        </w:rPr>
        <w:t xml:space="preserve">message execution factors </w:t>
      </w:r>
      <w:r w:rsidR="00120061" w:rsidRPr="00476FC9">
        <w:rPr>
          <w:color w:val="000000" w:themeColor="text1"/>
        </w:rPr>
        <w:t xml:space="preserve">can be </w:t>
      </w:r>
      <w:r w:rsidR="00DA5392" w:rsidRPr="00476FC9">
        <w:rPr>
          <w:color w:val="000000" w:themeColor="text1"/>
        </w:rPr>
        <w:t xml:space="preserve">influenced </w:t>
      </w:r>
      <w:r w:rsidR="00120061" w:rsidRPr="00476FC9">
        <w:rPr>
          <w:color w:val="000000" w:themeColor="text1"/>
        </w:rPr>
        <w:t xml:space="preserve">by consumer characteristics </w:t>
      </w:r>
      <w:r w:rsidR="00D83DFE" w:rsidRPr="00476FC9">
        <w:rPr>
          <w:color w:val="000000" w:themeColor="text1"/>
        </w:rPr>
        <w:t>(Davis, 2010; Macias et al., 2007; Sheehan, 2007).</w:t>
      </w:r>
      <w:r w:rsidRPr="00476FC9">
        <w:rPr>
          <w:color w:val="000000" w:themeColor="text1"/>
        </w:rPr>
        <w:t xml:space="preserve"> </w:t>
      </w:r>
      <w:r w:rsidR="0079647A" w:rsidRPr="00476FC9">
        <w:rPr>
          <w:color w:val="000000" w:themeColor="text1"/>
        </w:rPr>
        <w:t xml:space="preserve">This </w:t>
      </w:r>
      <w:r w:rsidR="0092470A" w:rsidRPr="00476FC9">
        <w:rPr>
          <w:color w:val="000000" w:themeColor="text1"/>
        </w:rPr>
        <w:t xml:space="preserve">limitation in the literature </w:t>
      </w:r>
      <w:r w:rsidRPr="00476FC9">
        <w:rPr>
          <w:color w:val="000000" w:themeColor="text1"/>
        </w:rPr>
        <w:t>poses</w:t>
      </w:r>
      <w:r w:rsidR="003B6CE7" w:rsidRPr="00476FC9">
        <w:rPr>
          <w:color w:val="000000" w:themeColor="text1"/>
        </w:rPr>
        <w:t xml:space="preserve"> a necessity </w:t>
      </w:r>
      <w:r w:rsidRPr="00476FC9">
        <w:rPr>
          <w:color w:val="000000" w:themeColor="text1"/>
        </w:rPr>
        <w:t xml:space="preserve">to </w:t>
      </w:r>
      <w:r w:rsidR="003B6CE7" w:rsidRPr="00476FC9">
        <w:rPr>
          <w:color w:val="000000" w:themeColor="text1"/>
        </w:rPr>
        <w:t>investigat</w:t>
      </w:r>
      <w:r w:rsidRPr="00476FC9">
        <w:rPr>
          <w:color w:val="000000" w:themeColor="text1"/>
        </w:rPr>
        <w:t xml:space="preserve">e how the </w:t>
      </w:r>
      <w:r w:rsidR="00CE32F5" w:rsidRPr="00476FC9">
        <w:rPr>
          <w:color w:val="000000" w:themeColor="text1"/>
        </w:rPr>
        <w:t xml:space="preserve">risk </w:t>
      </w:r>
      <w:r w:rsidR="008A7220" w:rsidRPr="00476FC9">
        <w:rPr>
          <w:color w:val="000000" w:themeColor="text1"/>
        </w:rPr>
        <w:t>disclosure</w:t>
      </w:r>
      <w:r w:rsidR="00CE32F5" w:rsidRPr="00476FC9">
        <w:rPr>
          <w:color w:val="000000" w:themeColor="text1"/>
        </w:rPr>
        <w:t xml:space="preserve"> </w:t>
      </w:r>
      <w:r w:rsidR="0079647A" w:rsidRPr="00476FC9">
        <w:rPr>
          <w:color w:val="000000" w:themeColor="text1"/>
        </w:rPr>
        <w:t>prominence</w:t>
      </w:r>
      <w:r w:rsidR="00CE32F5" w:rsidRPr="00476FC9">
        <w:rPr>
          <w:color w:val="000000" w:themeColor="text1"/>
        </w:rPr>
        <w:t xml:space="preserve"> </w:t>
      </w:r>
      <w:r w:rsidR="00ED0035" w:rsidRPr="00476FC9">
        <w:rPr>
          <w:color w:val="000000" w:themeColor="text1"/>
        </w:rPr>
        <w:t>effects</w:t>
      </w:r>
      <w:r w:rsidR="003B6CE7" w:rsidRPr="00476FC9">
        <w:rPr>
          <w:color w:val="000000" w:themeColor="text1"/>
        </w:rPr>
        <w:t xml:space="preserve"> on consumer response to the </w:t>
      </w:r>
      <w:r w:rsidR="00594811" w:rsidRPr="00476FC9">
        <w:rPr>
          <w:color w:val="000000" w:themeColor="text1"/>
        </w:rPr>
        <w:t xml:space="preserve">DTC </w:t>
      </w:r>
      <w:r w:rsidR="003B6CE7" w:rsidRPr="00476FC9">
        <w:rPr>
          <w:color w:val="000000" w:themeColor="text1"/>
        </w:rPr>
        <w:t>ad</w:t>
      </w:r>
      <w:r w:rsidRPr="00476FC9">
        <w:rPr>
          <w:color w:val="000000" w:themeColor="text1"/>
        </w:rPr>
        <w:t xml:space="preserve"> can be affected by </w:t>
      </w:r>
      <w:r w:rsidR="00120061" w:rsidRPr="00476FC9">
        <w:rPr>
          <w:color w:val="000000" w:themeColor="text1"/>
        </w:rPr>
        <w:t xml:space="preserve">individual differences in </w:t>
      </w:r>
      <w:r w:rsidRPr="00476FC9">
        <w:rPr>
          <w:color w:val="000000" w:themeColor="text1"/>
        </w:rPr>
        <w:t>consumer characteristics</w:t>
      </w:r>
      <w:r w:rsidR="00782833" w:rsidRPr="00476FC9">
        <w:rPr>
          <w:color w:val="000000" w:themeColor="text1"/>
        </w:rPr>
        <w:t xml:space="preserve">. </w:t>
      </w:r>
      <w:r w:rsidR="00365CBF" w:rsidRPr="00476FC9">
        <w:rPr>
          <w:color w:val="000000" w:themeColor="text1"/>
        </w:rPr>
        <w:t>That is, u</w:t>
      </w:r>
      <w:r w:rsidR="00510F41" w:rsidRPr="00476FC9">
        <w:rPr>
          <w:color w:val="000000" w:themeColor="text1"/>
        </w:rPr>
        <w:t>nderstanding</w:t>
      </w:r>
      <w:r w:rsidR="00782833" w:rsidRPr="00476FC9">
        <w:rPr>
          <w:color w:val="000000" w:themeColor="text1"/>
        </w:rPr>
        <w:t xml:space="preserve"> </w:t>
      </w:r>
      <w:r w:rsidR="0079647A" w:rsidRPr="00476FC9">
        <w:rPr>
          <w:color w:val="000000" w:themeColor="text1"/>
        </w:rPr>
        <w:t>in which situations the effects could be enhanced or diluted, and in what mechanisms the effects operat</w:t>
      </w:r>
      <w:r w:rsidR="000B2C2A" w:rsidRPr="00476FC9">
        <w:rPr>
          <w:color w:val="000000" w:themeColor="text1"/>
        </w:rPr>
        <w:t>e remain as understudied areas.</w:t>
      </w:r>
    </w:p>
    <w:p w:rsidR="003B6CE7" w:rsidRPr="00476FC9" w:rsidRDefault="001D6FD3"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Furthermore, the </w:t>
      </w:r>
      <w:r w:rsidR="00120061" w:rsidRPr="00476FC9">
        <w:rPr>
          <w:color w:val="000000" w:themeColor="text1"/>
        </w:rPr>
        <w:t xml:space="preserve">direct </w:t>
      </w:r>
      <w:r w:rsidRPr="00476FC9">
        <w:rPr>
          <w:color w:val="000000" w:themeColor="text1"/>
        </w:rPr>
        <w:t>effects of consumer characteristic</w:t>
      </w:r>
      <w:r w:rsidR="00120061" w:rsidRPr="00476FC9">
        <w:rPr>
          <w:color w:val="000000" w:themeColor="text1"/>
        </w:rPr>
        <w:t>s</w:t>
      </w:r>
      <w:r w:rsidR="00193C5F" w:rsidRPr="00476FC9">
        <w:rPr>
          <w:color w:val="000000" w:themeColor="text1"/>
        </w:rPr>
        <w:t xml:space="preserve"> on consumer response to the DTC ad</w:t>
      </w:r>
      <w:r w:rsidRPr="00476FC9">
        <w:rPr>
          <w:color w:val="000000" w:themeColor="text1"/>
        </w:rPr>
        <w:t xml:space="preserve"> </w:t>
      </w:r>
      <w:r w:rsidR="004E31E8" w:rsidRPr="00476FC9">
        <w:rPr>
          <w:color w:val="000000" w:themeColor="text1"/>
        </w:rPr>
        <w:t xml:space="preserve">have </w:t>
      </w:r>
      <w:r w:rsidR="00120061" w:rsidRPr="00476FC9">
        <w:rPr>
          <w:color w:val="000000" w:themeColor="text1"/>
        </w:rPr>
        <w:t xml:space="preserve">also </w:t>
      </w:r>
      <w:r w:rsidR="004E31E8" w:rsidRPr="00476FC9">
        <w:rPr>
          <w:color w:val="000000" w:themeColor="text1"/>
        </w:rPr>
        <w:t xml:space="preserve">been rarely examined. </w:t>
      </w:r>
      <w:r w:rsidR="00CE32F5" w:rsidRPr="00476FC9">
        <w:rPr>
          <w:color w:val="000000" w:themeColor="text1"/>
        </w:rPr>
        <w:t xml:space="preserve">To </w:t>
      </w:r>
      <w:r w:rsidR="008A7220" w:rsidRPr="00476FC9">
        <w:rPr>
          <w:color w:val="000000" w:themeColor="text1"/>
        </w:rPr>
        <w:t>address t</w:t>
      </w:r>
      <w:r w:rsidR="0079647A" w:rsidRPr="00476FC9">
        <w:rPr>
          <w:color w:val="000000" w:themeColor="text1"/>
        </w:rPr>
        <w:t>his void in the DTCA literature</w:t>
      </w:r>
      <w:r w:rsidR="008A7220" w:rsidRPr="00476FC9">
        <w:rPr>
          <w:color w:val="000000" w:themeColor="text1"/>
        </w:rPr>
        <w:t xml:space="preserve">, </w:t>
      </w:r>
      <w:r w:rsidR="001C7E27" w:rsidRPr="00476FC9">
        <w:rPr>
          <w:color w:val="000000" w:themeColor="text1"/>
        </w:rPr>
        <w:t>t</w:t>
      </w:r>
      <w:r w:rsidR="004131CA" w:rsidRPr="00476FC9">
        <w:rPr>
          <w:color w:val="000000" w:themeColor="text1"/>
        </w:rPr>
        <w:t xml:space="preserve">he current </w:t>
      </w:r>
      <w:r w:rsidR="008A7220" w:rsidRPr="00476FC9">
        <w:rPr>
          <w:color w:val="000000" w:themeColor="text1"/>
        </w:rPr>
        <w:t>research</w:t>
      </w:r>
      <w:r w:rsidR="004131CA" w:rsidRPr="00476FC9">
        <w:rPr>
          <w:color w:val="000000" w:themeColor="text1"/>
        </w:rPr>
        <w:t xml:space="preserve"> </w:t>
      </w:r>
      <w:r w:rsidR="00666280" w:rsidRPr="00476FC9">
        <w:rPr>
          <w:color w:val="000000" w:themeColor="text1"/>
        </w:rPr>
        <w:t xml:space="preserve">addresses </w:t>
      </w:r>
      <w:r w:rsidR="0079647A" w:rsidRPr="00476FC9">
        <w:rPr>
          <w:color w:val="000000" w:themeColor="text1"/>
        </w:rPr>
        <w:t xml:space="preserve">the </w:t>
      </w:r>
      <w:r w:rsidR="004E31E8" w:rsidRPr="00476FC9">
        <w:rPr>
          <w:color w:val="000000" w:themeColor="text1"/>
        </w:rPr>
        <w:t xml:space="preserve">direct effects of DTCA regulatory knowledge, its moderating </w:t>
      </w:r>
      <w:r w:rsidR="00120061" w:rsidRPr="00476FC9">
        <w:rPr>
          <w:color w:val="000000" w:themeColor="text1"/>
        </w:rPr>
        <w:t>role of the r</w:t>
      </w:r>
      <w:r w:rsidR="004E31E8" w:rsidRPr="00476FC9">
        <w:rPr>
          <w:color w:val="000000" w:themeColor="text1"/>
        </w:rPr>
        <w:t>isk disclosure prominence</w:t>
      </w:r>
      <w:r w:rsidR="00120061" w:rsidRPr="00476FC9">
        <w:rPr>
          <w:color w:val="000000" w:themeColor="text1"/>
        </w:rPr>
        <w:t xml:space="preserve"> effects</w:t>
      </w:r>
      <w:r w:rsidR="004E31E8" w:rsidRPr="00476FC9">
        <w:rPr>
          <w:color w:val="000000" w:themeColor="text1"/>
        </w:rPr>
        <w:t xml:space="preserve">, along with the direct effects of risk disclosure prominence on </w:t>
      </w:r>
      <w:r w:rsidR="0079647A" w:rsidRPr="00476FC9">
        <w:rPr>
          <w:color w:val="000000" w:themeColor="text1"/>
        </w:rPr>
        <w:t xml:space="preserve">consumer response to the </w:t>
      </w:r>
      <w:r w:rsidR="00666280" w:rsidRPr="00476FC9">
        <w:rPr>
          <w:color w:val="000000" w:themeColor="text1"/>
        </w:rPr>
        <w:t xml:space="preserve">DTC </w:t>
      </w:r>
      <w:r w:rsidR="0079647A" w:rsidRPr="00476FC9">
        <w:rPr>
          <w:color w:val="000000" w:themeColor="text1"/>
        </w:rPr>
        <w:t>ad</w:t>
      </w:r>
      <w:r w:rsidR="004E31E8" w:rsidRPr="00476FC9">
        <w:rPr>
          <w:color w:val="000000" w:themeColor="text1"/>
        </w:rPr>
        <w:t>.</w:t>
      </w:r>
      <w:r w:rsidR="00CE32F5" w:rsidRPr="00476FC9">
        <w:rPr>
          <w:color w:val="000000" w:themeColor="text1"/>
        </w:rPr>
        <w:t xml:space="preserve"> </w:t>
      </w:r>
      <w:r w:rsidR="003114C9" w:rsidRPr="00476FC9">
        <w:rPr>
          <w:color w:val="000000" w:themeColor="text1"/>
        </w:rPr>
        <w:t>To do so</w:t>
      </w:r>
      <w:r w:rsidR="004E31E8" w:rsidRPr="00476FC9">
        <w:rPr>
          <w:color w:val="000000" w:themeColor="text1"/>
        </w:rPr>
        <w:t xml:space="preserve">, </w:t>
      </w:r>
      <w:r w:rsidR="0079647A" w:rsidRPr="00476FC9">
        <w:rPr>
          <w:color w:val="000000" w:themeColor="text1"/>
        </w:rPr>
        <w:t>t</w:t>
      </w:r>
      <w:r w:rsidR="008A7220" w:rsidRPr="00476FC9">
        <w:rPr>
          <w:color w:val="000000" w:themeColor="text1"/>
        </w:rPr>
        <w:t xml:space="preserve">he current </w:t>
      </w:r>
      <w:r w:rsidR="00CE32F5" w:rsidRPr="00476FC9">
        <w:rPr>
          <w:color w:val="000000" w:themeColor="text1"/>
        </w:rPr>
        <w:t xml:space="preserve">research </w:t>
      </w:r>
      <w:r w:rsidR="00120061" w:rsidRPr="00476FC9">
        <w:rPr>
          <w:color w:val="000000" w:themeColor="text1"/>
        </w:rPr>
        <w:t xml:space="preserve">borrows from the persuasion knowledge model (PKM) to conceptualize the direct and moderating influences of DTCA </w:t>
      </w:r>
      <w:r w:rsidR="00120061" w:rsidRPr="00476FC9">
        <w:rPr>
          <w:color w:val="000000" w:themeColor="text1"/>
        </w:rPr>
        <w:lastRenderedPageBreak/>
        <w:t xml:space="preserve">regulatory knowledge, and </w:t>
      </w:r>
      <w:r w:rsidR="00CE32F5" w:rsidRPr="00476FC9">
        <w:rPr>
          <w:color w:val="000000" w:themeColor="text1"/>
        </w:rPr>
        <w:t xml:space="preserve">draws on the FDA’s </w:t>
      </w:r>
      <w:r w:rsidR="00DD0A52" w:rsidRPr="00476FC9">
        <w:rPr>
          <w:color w:val="000000" w:themeColor="text1"/>
        </w:rPr>
        <w:t xml:space="preserve">(2009) conceptualization of </w:t>
      </w:r>
      <w:r w:rsidR="00CE32F5" w:rsidRPr="00476FC9">
        <w:rPr>
          <w:color w:val="000000" w:themeColor="text1"/>
        </w:rPr>
        <w:t xml:space="preserve">risk disclosure prominence </w:t>
      </w:r>
      <w:r w:rsidR="004E31E8" w:rsidRPr="00476FC9">
        <w:rPr>
          <w:color w:val="000000" w:themeColor="text1"/>
        </w:rPr>
        <w:t xml:space="preserve">to test </w:t>
      </w:r>
      <w:r w:rsidR="0079647A" w:rsidRPr="00476FC9">
        <w:rPr>
          <w:color w:val="000000" w:themeColor="text1"/>
        </w:rPr>
        <w:t>the</w:t>
      </w:r>
      <w:r w:rsidR="00DD0A52" w:rsidRPr="00476FC9">
        <w:rPr>
          <w:color w:val="000000" w:themeColor="text1"/>
        </w:rPr>
        <w:t xml:space="preserve"> effects of varying levels of risk disclosure prominence</w:t>
      </w:r>
      <w:r w:rsidR="004E31E8" w:rsidRPr="00476FC9">
        <w:rPr>
          <w:color w:val="000000" w:themeColor="text1"/>
        </w:rPr>
        <w:t>.</w:t>
      </w:r>
    </w:p>
    <w:p w:rsidR="0079647A" w:rsidRPr="00476FC9" w:rsidRDefault="003B6CE7"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8A7220" w:rsidRPr="00476FC9">
        <w:rPr>
          <w:color w:val="000000" w:themeColor="text1"/>
        </w:rPr>
        <w:t>A</w:t>
      </w:r>
      <w:r w:rsidRPr="00476FC9">
        <w:rPr>
          <w:color w:val="000000" w:themeColor="text1"/>
        </w:rPr>
        <w:t xml:space="preserve">lthough a body of </w:t>
      </w:r>
      <w:r w:rsidR="00CE32F5" w:rsidRPr="00476FC9">
        <w:rPr>
          <w:color w:val="000000" w:themeColor="text1"/>
        </w:rPr>
        <w:t xml:space="preserve">DTCA </w:t>
      </w:r>
      <w:r w:rsidRPr="00476FC9">
        <w:rPr>
          <w:color w:val="000000" w:themeColor="text1"/>
        </w:rPr>
        <w:t xml:space="preserve">research has examined the content of </w:t>
      </w:r>
      <w:r w:rsidR="00CE32F5" w:rsidRPr="00476FC9">
        <w:rPr>
          <w:color w:val="000000" w:themeColor="text1"/>
        </w:rPr>
        <w:t>DTC ads in</w:t>
      </w:r>
      <w:r w:rsidRPr="00476FC9">
        <w:rPr>
          <w:color w:val="000000" w:themeColor="text1"/>
        </w:rPr>
        <w:t xml:space="preserve"> terms of </w:t>
      </w:r>
      <w:r w:rsidRPr="00476FC9">
        <w:rPr>
          <w:i/>
          <w:color w:val="000000" w:themeColor="text1"/>
        </w:rPr>
        <w:t>fair balance</w:t>
      </w:r>
      <w:r w:rsidRPr="00476FC9">
        <w:rPr>
          <w:color w:val="000000" w:themeColor="text1"/>
        </w:rPr>
        <w:t xml:space="preserve"> </w:t>
      </w:r>
      <w:r w:rsidR="00184F21" w:rsidRPr="00476FC9">
        <w:rPr>
          <w:color w:val="000000" w:themeColor="text1"/>
        </w:rPr>
        <w:t>between</w:t>
      </w:r>
      <w:r w:rsidRPr="00476FC9">
        <w:rPr>
          <w:color w:val="000000" w:themeColor="text1"/>
        </w:rPr>
        <w:t xml:space="preserve"> benefit and risk information, </w:t>
      </w:r>
      <w:r w:rsidR="008A7220" w:rsidRPr="00476FC9">
        <w:rPr>
          <w:color w:val="000000" w:themeColor="text1"/>
        </w:rPr>
        <w:t>most</w:t>
      </w:r>
      <w:r w:rsidR="00BA586A" w:rsidRPr="00476FC9">
        <w:rPr>
          <w:color w:val="000000" w:themeColor="text1"/>
        </w:rPr>
        <w:t xml:space="preserve"> of the studies </w:t>
      </w:r>
      <w:r w:rsidRPr="00476FC9">
        <w:rPr>
          <w:color w:val="000000" w:themeColor="text1"/>
        </w:rPr>
        <w:t>ha</w:t>
      </w:r>
      <w:r w:rsidR="00705E8B" w:rsidRPr="00476FC9">
        <w:rPr>
          <w:color w:val="000000" w:themeColor="text1"/>
        </w:rPr>
        <w:t xml:space="preserve">ve </w:t>
      </w:r>
      <w:r w:rsidR="008A7220" w:rsidRPr="00476FC9">
        <w:rPr>
          <w:color w:val="000000" w:themeColor="text1"/>
        </w:rPr>
        <w:t xml:space="preserve">exclusively </w:t>
      </w:r>
      <w:r w:rsidR="00DD0A52" w:rsidRPr="00476FC9">
        <w:rPr>
          <w:color w:val="000000" w:themeColor="text1"/>
        </w:rPr>
        <w:t>relied</w:t>
      </w:r>
      <w:r w:rsidR="00BA586A" w:rsidRPr="00476FC9">
        <w:rPr>
          <w:color w:val="000000" w:themeColor="text1"/>
        </w:rPr>
        <w:t xml:space="preserve"> </w:t>
      </w:r>
      <w:r w:rsidR="00DD0A52" w:rsidRPr="00476FC9">
        <w:rPr>
          <w:color w:val="000000" w:themeColor="text1"/>
        </w:rPr>
        <w:t xml:space="preserve">on </w:t>
      </w:r>
      <w:r w:rsidR="00BA586A" w:rsidRPr="00476FC9">
        <w:rPr>
          <w:color w:val="000000" w:themeColor="text1"/>
        </w:rPr>
        <w:t>d</w:t>
      </w:r>
      <w:r w:rsidRPr="00476FC9">
        <w:rPr>
          <w:color w:val="000000" w:themeColor="text1"/>
        </w:rPr>
        <w:t xml:space="preserve">escriptive content </w:t>
      </w:r>
      <w:r w:rsidR="008A7220" w:rsidRPr="00476FC9">
        <w:rPr>
          <w:color w:val="000000" w:themeColor="text1"/>
        </w:rPr>
        <w:t>analysis</w:t>
      </w:r>
      <w:r w:rsidRPr="00476FC9">
        <w:rPr>
          <w:color w:val="000000" w:themeColor="text1"/>
        </w:rPr>
        <w:t xml:space="preserve"> </w:t>
      </w:r>
      <w:r w:rsidR="00963C9D" w:rsidRPr="00476FC9">
        <w:rPr>
          <w:color w:val="000000" w:themeColor="text1"/>
        </w:rPr>
        <w:t xml:space="preserve">to </w:t>
      </w:r>
      <w:r w:rsidRPr="00476FC9">
        <w:rPr>
          <w:color w:val="000000" w:themeColor="text1"/>
        </w:rPr>
        <w:t xml:space="preserve">determine the relative </w:t>
      </w:r>
      <w:r w:rsidR="00DD0A52" w:rsidRPr="00476FC9">
        <w:rPr>
          <w:color w:val="000000" w:themeColor="text1"/>
        </w:rPr>
        <w:t xml:space="preserve">quantity </w:t>
      </w:r>
      <w:r w:rsidRPr="00476FC9">
        <w:rPr>
          <w:color w:val="000000" w:themeColor="text1"/>
        </w:rPr>
        <w:t xml:space="preserve">of risk information </w:t>
      </w:r>
      <w:r w:rsidR="00BA586A" w:rsidRPr="00476FC9">
        <w:rPr>
          <w:color w:val="000000" w:themeColor="text1"/>
        </w:rPr>
        <w:t xml:space="preserve">compared to </w:t>
      </w:r>
      <w:r w:rsidRPr="00476FC9">
        <w:rPr>
          <w:color w:val="000000" w:themeColor="text1"/>
        </w:rPr>
        <w:t>benefit information</w:t>
      </w:r>
      <w:r w:rsidR="00867AA0" w:rsidRPr="00476FC9">
        <w:rPr>
          <w:color w:val="000000" w:themeColor="text1"/>
        </w:rPr>
        <w:t xml:space="preserve"> </w:t>
      </w:r>
      <w:r w:rsidR="00D83DFE" w:rsidRPr="00476FC9">
        <w:rPr>
          <w:color w:val="000000" w:themeColor="text1"/>
        </w:rPr>
        <w:t>(Davis, 2010; Davis &amp; Meader, 2009; Huh &amp; Cude, 2004; Macias et al., 2007, 2010).</w:t>
      </w:r>
      <w:r w:rsidR="004E31E8" w:rsidRPr="00476FC9">
        <w:rPr>
          <w:color w:val="000000" w:themeColor="text1"/>
        </w:rPr>
        <w:t xml:space="preserve"> </w:t>
      </w:r>
      <w:r w:rsidR="00120061" w:rsidRPr="00476FC9">
        <w:rPr>
          <w:color w:val="000000" w:themeColor="text1"/>
        </w:rPr>
        <w:t>However, t</w:t>
      </w:r>
      <w:r w:rsidR="00DD0A52" w:rsidRPr="00476FC9">
        <w:rPr>
          <w:color w:val="000000" w:themeColor="text1"/>
        </w:rPr>
        <w:t xml:space="preserve">o better understand the </w:t>
      </w:r>
      <w:r w:rsidR="004E31E8" w:rsidRPr="00476FC9">
        <w:rPr>
          <w:color w:val="000000" w:themeColor="text1"/>
        </w:rPr>
        <w:t>dynamic</w:t>
      </w:r>
      <w:r w:rsidR="00DD0A52" w:rsidRPr="00476FC9">
        <w:rPr>
          <w:color w:val="000000" w:themeColor="text1"/>
        </w:rPr>
        <w:t xml:space="preserve"> consumer </w:t>
      </w:r>
      <w:r w:rsidR="004E31E8" w:rsidRPr="00476FC9">
        <w:rPr>
          <w:color w:val="000000" w:themeColor="text1"/>
        </w:rPr>
        <w:t>information processing of DTCA risk disclosure</w:t>
      </w:r>
      <w:r w:rsidR="00DD0A52" w:rsidRPr="00476FC9">
        <w:rPr>
          <w:color w:val="000000" w:themeColor="text1"/>
        </w:rPr>
        <w:t xml:space="preserve">, </w:t>
      </w:r>
      <w:r w:rsidR="004E31E8" w:rsidRPr="00476FC9">
        <w:rPr>
          <w:color w:val="000000" w:themeColor="text1"/>
        </w:rPr>
        <w:t>one</w:t>
      </w:r>
      <w:r w:rsidR="00DD0A52" w:rsidRPr="00476FC9">
        <w:rPr>
          <w:color w:val="000000" w:themeColor="text1"/>
        </w:rPr>
        <w:t xml:space="preserve"> needs to examine </w:t>
      </w:r>
      <w:r w:rsidR="004E31E8" w:rsidRPr="00476FC9">
        <w:rPr>
          <w:color w:val="000000" w:themeColor="text1"/>
        </w:rPr>
        <w:t>under which conditions</w:t>
      </w:r>
      <w:r w:rsidR="007E41A5" w:rsidRPr="00476FC9">
        <w:rPr>
          <w:color w:val="000000" w:themeColor="text1"/>
        </w:rPr>
        <w:t xml:space="preserve"> consumers </w:t>
      </w:r>
      <w:r w:rsidR="0079647A" w:rsidRPr="00476FC9">
        <w:rPr>
          <w:color w:val="000000" w:themeColor="text1"/>
        </w:rPr>
        <w:t xml:space="preserve">could </w:t>
      </w:r>
      <w:r w:rsidR="007E41A5" w:rsidRPr="00476FC9">
        <w:rPr>
          <w:color w:val="000000" w:themeColor="text1"/>
        </w:rPr>
        <w:t xml:space="preserve">benefit from </w:t>
      </w:r>
      <w:r w:rsidR="0079647A" w:rsidRPr="00476FC9">
        <w:rPr>
          <w:color w:val="000000" w:themeColor="text1"/>
        </w:rPr>
        <w:t xml:space="preserve">risk disclosure provision </w:t>
      </w:r>
      <w:r w:rsidR="004E31E8" w:rsidRPr="00476FC9">
        <w:rPr>
          <w:color w:val="000000" w:themeColor="text1"/>
        </w:rPr>
        <w:t>more or less</w:t>
      </w:r>
      <w:r w:rsidR="000732B0" w:rsidRPr="00476FC9">
        <w:rPr>
          <w:color w:val="000000" w:themeColor="text1"/>
        </w:rPr>
        <w:t xml:space="preserve"> (Harker &amp; Harker, 2007)</w:t>
      </w:r>
      <w:r w:rsidR="00DD0A52" w:rsidRPr="00476FC9">
        <w:rPr>
          <w:color w:val="000000" w:themeColor="text1"/>
        </w:rPr>
        <w:t xml:space="preserve">. </w:t>
      </w:r>
    </w:p>
    <w:p w:rsidR="006A3B12" w:rsidRPr="00476FC9" w:rsidRDefault="008E4E72"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R</w:t>
      </w:r>
      <w:r w:rsidR="0079647A" w:rsidRPr="00476FC9">
        <w:rPr>
          <w:color w:val="000000" w:themeColor="text1"/>
        </w:rPr>
        <w:t xml:space="preserve">esearch has </w:t>
      </w:r>
      <w:r w:rsidR="002B4711" w:rsidRPr="00476FC9">
        <w:rPr>
          <w:color w:val="000000" w:themeColor="text1"/>
        </w:rPr>
        <w:t xml:space="preserve">rarely </w:t>
      </w:r>
      <w:r w:rsidR="0079647A" w:rsidRPr="00476FC9">
        <w:rPr>
          <w:color w:val="000000" w:themeColor="text1"/>
        </w:rPr>
        <w:t>examined how consumer</w:t>
      </w:r>
      <w:r w:rsidR="002B4711" w:rsidRPr="00476FC9">
        <w:rPr>
          <w:color w:val="000000" w:themeColor="text1"/>
        </w:rPr>
        <w:t>’s</w:t>
      </w:r>
      <w:r w:rsidR="0079647A" w:rsidRPr="00476FC9">
        <w:rPr>
          <w:color w:val="000000" w:themeColor="text1"/>
        </w:rPr>
        <w:t xml:space="preserve"> cognitive factors</w:t>
      </w:r>
      <w:r w:rsidR="002B4711" w:rsidRPr="00476FC9">
        <w:rPr>
          <w:color w:val="000000" w:themeColor="text1"/>
        </w:rPr>
        <w:t xml:space="preserve"> </w:t>
      </w:r>
      <w:r w:rsidR="004E31E8" w:rsidRPr="00476FC9">
        <w:rPr>
          <w:color w:val="000000" w:themeColor="text1"/>
        </w:rPr>
        <w:t xml:space="preserve">affect </w:t>
      </w:r>
      <w:r w:rsidR="0079647A" w:rsidRPr="00476FC9">
        <w:rPr>
          <w:color w:val="000000" w:themeColor="text1"/>
        </w:rPr>
        <w:t xml:space="preserve">their information processing of risk disclosure. </w:t>
      </w:r>
      <w:r w:rsidR="004E31E8" w:rsidRPr="00476FC9">
        <w:rPr>
          <w:color w:val="000000" w:themeColor="text1"/>
        </w:rPr>
        <w:t>C</w:t>
      </w:r>
      <w:r w:rsidR="0079647A" w:rsidRPr="00476FC9">
        <w:rPr>
          <w:color w:val="000000" w:themeColor="text1"/>
        </w:rPr>
        <w:t xml:space="preserve">onsumers’ </w:t>
      </w:r>
      <w:r w:rsidR="004E31E8" w:rsidRPr="00476FC9">
        <w:rPr>
          <w:color w:val="000000" w:themeColor="text1"/>
        </w:rPr>
        <w:t xml:space="preserve">knowledge of </w:t>
      </w:r>
      <w:r w:rsidR="00466724" w:rsidRPr="00476FC9">
        <w:rPr>
          <w:color w:val="000000" w:themeColor="text1"/>
        </w:rPr>
        <w:t xml:space="preserve">the FDA’s regulatory role for </w:t>
      </w:r>
      <w:r w:rsidR="004E31E8" w:rsidRPr="00476FC9">
        <w:rPr>
          <w:color w:val="000000" w:themeColor="text1"/>
        </w:rPr>
        <w:t xml:space="preserve">DTCA may be one </w:t>
      </w:r>
      <w:r w:rsidR="00466724" w:rsidRPr="00476FC9">
        <w:rPr>
          <w:color w:val="000000" w:themeColor="text1"/>
        </w:rPr>
        <w:t>critical variable</w:t>
      </w:r>
      <w:r w:rsidR="004E31E8" w:rsidRPr="00476FC9">
        <w:rPr>
          <w:color w:val="000000" w:themeColor="text1"/>
        </w:rPr>
        <w:t xml:space="preserve"> that </w:t>
      </w:r>
      <w:r w:rsidR="0079647A" w:rsidRPr="00476FC9">
        <w:rPr>
          <w:color w:val="000000" w:themeColor="text1"/>
        </w:rPr>
        <w:t>ha</w:t>
      </w:r>
      <w:r w:rsidR="00466724" w:rsidRPr="00476FC9">
        <w:rPr>
          <w:color w:val="000000" w:themeColor="text1"/>
        </w:rPr>
        <w:t>s not</w:t>
      </w:r>
      <w:r w:rsidR="004E31E8" w:rsidRPr="00476FC9">
        <w:rPr>
          <w:color w:val="000000" w:themeColor="text1"/>
        </w:rPr>
        <w:t xml:space="preserve"> </w:t>
      </w:r>
      <w:r w:rsidR="0079647A" w:rsidRPr="00476FC9">
        <w:rPr>
          <w:color w:val="000000" w:themeColor="text1"/>
        </w:rPr>
        <w:t xml:space="preserve">been explored in terms of consumers’ DTCA risk disclosure coping strategies. Given that it has been </w:t>
      </w:r>
      <w:r w:rsidR="00F83E2D" w:rsidRPr="00476FC9">
        <w:rPr>
          <w:color w:val="000000" w:themeColor="text1"/>
        </w:rPr>
        <w:t xml:space="preserve">well-documented </w:t>
      </w:r>
      <w:r w:rsidR="0079647A" w:rsidRPr="00476FC9">
        <w:rPr>
          <w:color w:val="000000" w:themeColor="text1"/>
        </w:rPr>
        <w:t xml:space="preserve">that consumers’ cognitive structure such as </w:t>
      </w:r>
      <w:r w:rsidR="00682353" w:rsidRPr="00476FC9">
        <w:rPr>
          <w:color w:val="000000" w:themeColor="text1"/>
        </w:rPr>
        <w:t xml:space="preserve">marketplace </w:t>
      </w:r>
      <w:r w:rsidR="0079647A" w:rsidRPr="00476FC9">
        <w:rPr>
          <w:color w:val="000000" w:themeColor="text1"/>
        </w:rPr>
        <w:t xml:space="preserve">knowledge </w:t>
      </w:r>
      <w:r w:rsidR="00F83E2D" w:rsidRPr="00476FC9">
        <w:rPr>
          <w:color w:val="000000" w:themeColor="text1"/>
        </w:rPr>
        <w:t xml:space="preserve">or beliefs </w:t>
      </w:r>
      <w:r w:rsidR="0079647A" w:rsidRPr="00476FC9">
        <w:rPr>
          <w:color w:val="000000" w:themeColor="text1"/>
        </w:rPr>
        <w:t xml:space="preserve">may exert considerable influence on consumers’ persuasive message coping strategies </w:t>
      </w:r>
      <w:r w:rsidR="00D83DFE" w:rsidRPr="00476FC9">
        <w:rPr>
          <w:color w:val="000000" w:themeColor="text1"/>
        </w:rPr>
        <w:t xml:space="preserve">(Boush, Friestad, &amp; Wright, 2009; Friestad &amp; Wright, 1994; Obermiller &amp; Spangenberg, 1998; Obermiller, Spangenberg, &amp; MacLachlan, 2005), </w:t>
      </w:r>
      <w:r w:rsidR="00F83E2D" w:rsidRPr="00476FC9">
        <w:rPr>
          <w:color w:val="000000" w:themeColor="text1"/>
        </w:rPr>
        <w:t>the lack of research addressing th</w:t>
      </w:r>
      <w:r w:rsidR="002B4711" w:rsidRPr="00476FC9">
        <w:rPr>
          <w:color w:val="000000" w:themeColor="text1"/>
        </w:rPr>
        <w:t>is perspective</w:t>
      </w:r>
      <w:r w:rsidR="009C4E80" w:rsidRPr="00476FC9">
        <w:rPr>
          <w:color w:val="000000" w:themeColor="text1"/>
        </w:rPr>
        <w:t xml:space="preserve"> </w:t>
      </w:r>
      <w:r w:rsidR="00F509F0" w:rsidRPr="00476FC9">
        <w:rPr>
          <w:color w:val="000000" w:themeColor="text1"/>
        </w:rPr>
        <w:t xml:space="preserve">in the DTCA literature </w:t>
      </w:r>
      <w:r w:rsidR="009C4E80" w:rsidRPr="00476FC9">
        <w:rPr>
          <w:color w:val="000000" w:themeColor="text1"/>
        </w:rPr>
        <w:t>is undesirable.</w:t>
      </w:r>
    </w:p>
    <w:p w:rsidR="003B6CE7" w:rsidRPr="00476FC9" w:rsidRDefault="00F83E2D"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Additionally, </w:t>
      </w:r>
      <w:r w:rsidR="009D2FB1" w:rsidRPr="00476FC9">
        <w:rPr>
          <w:color w:val="000000" w:themeColor="text1"/>
        </w:rPr>
        <w:t>little</w:t>
      </w:r>
      <w:r w:rsidR="002B4711" w:rsidRPr="00476FC9">
        <w:rPr>
          <w:color w:val="000000" w:themeColor="text1"/>
        </w:rPr>
        <w:t xml:space="preserve"> research has </w:t>
      </w:r>
      <w:r w:rsidR="000F51D7" w:rsidRPr="00476FC9">
        <w:rPr>
          <w:color w:val="000000" w:themeColor="text1"/>
        </w:rPr>
        <w:t>explored</w:t>
      </w:r>
      <w:r w:rsidR="002B4711" w:rsidRPr="00476FC9">
        <w:rPr>
          <w:color w:val="000000" w:themeColor="text1"/>
        </w:rPr>
        <w:t xml:space="preserve"> a psychological mechanism whereby</w:t>
      </w:r>
      <w:r w:rsidRPr="00476FC9">
        <w:rPr>
          <w:color w:val="000000" w:themeColor="text1"/>
        </w:rPr>
        <w:t xml:space="preserve"> </w:t>
      </w:r>
      <w:r w:rsidR="002106C0" w:rsidRPr="00476FC9">
        <w:rPr>
          <w:color w:val="000000" w:themeColor="text1"/>
        </w:rPr>
        <w:t xml:space="preserve">DTCA regulatory knowledge, </w:t>
      </w:r>
      <w:r w:rsidR="006A3B12" w:rsidRPr="00476FC9">
        <w:rPr>
          <w:color w:val="000000" w:themeColor="text1"/>
        </w:rPr>
        <w:t xml:space="preserve">DTCA </w:t>
      </w:r>
      <w:r w:rsidR="008E759F" w:rsidRPr="00476FC9">
        <w:rPr>
          <w:color w:val="000000" w:themeColor="text1"/>
        </w:rPr>
        <w:t xml:space="preserve">risk disclosure prominence, and their </w:t>
      </w:r>
      <w:r w:rsidR="0098299B" w:rsidRPr="00476FC9">
        <w:rPr>
          <w:color w:val="000000" w:themeColor="text1"/>
        </w:rPr>
        <w:t>interplay</w:t>
      </w:r>
      <w:r w:rsidR="008E759F" w:rsidRPr="00476FC9">
        <w:rPr>
          <w:color w:val="000000" w:themeColor="text1"/>
        </w:rPr>
        <w:t xml:space="preserve"> </w:t>
      </w:r>
      <w:r w:rsidRPr="00476FC9">
        <w:rPr>
          <w:color w:val="000000" w:themeColor="text1"/>
        </w:rPr>
        <w:t xml:space="preserve">may </w:t>
      </w:r>
      <w:r w:rsidR="002B4711" w:rsidRPr="00476FC9">
        <w:rPr>
          <w:color w:val="000000" w:themeColor="text1"/>
        </w:rPr>
        <w:t>influence recall and recognition o</w:t>
      </w:r>
      <w:r w:rsidR="0098299B" w:rsidRPr="00476FC9">
        <w:rPr>
          <w:color w:val="000000" w:themeColor="text1"/>
        </w:rPr>
        <w:t>f</w:t>
      </w:r>
      <w:r w:rsidR="002B4711" w:rsidRPr="00476FC9">
        <w:rPr>
          <w:color w:val="000000" w:themeColor="text1"/>
        </w:rPr>
        <w:t xml:space="preserve"> </w:t>
      </w:r>
      <w:r w:rsidR="0098299B" w:rsidRPr="00476FC9">
        <w:rPr>
          <w:color w:val="000000" w:themeColor="text1"/>
        </w:rPr>
        <w:t>risk</w:t>
      </w:r>
      <w:r w:rsidR="002B4711" w:rsidRPr="00476FC9">
        <w:rPr>
          <w:color w:val="000000" w:themeColor="text1"/>
        </w:rPr>
        <w:t xml:space="preserve"> information</w:t>
      </w:r>
      <w:r w:rsidRPr="00476FC9">
        <w:rPr>
          <w:color w:val="000000" w:themeColor="text1"/>
        </w:rPr>
        <w:t xml:space="preserve">. Although we know that </w:t>
      </w:r>
      <w:r w:rsidR="006A3B12" w:rsidRPr="00476FC9">
        <w:rPr>
          <w:color w:val="000000" w:themeColor="text1"/>
        </w:rPr>
        <w:t xml:space="preserve">in general </w:t>
      </w:r>
      <w:r w:rsidRPr="00476FC9">
        <w:rPr>
          <w:color w:val="000000" w:themeColor="text1"/>
        </w:rPr>
        <w:t>enhanced cognitive fluency may improve information processing outcomes</w:t>
      </w:r>
      <w:r w:rsidR="006A3B12" w:rsidRPr="00476FC9">
        <w:rPr>
          <w:color w:val="000000" w:themeColor="text1"/>
        </w:rPr>
        <w:t xml:space="preserve"> </w:t>
      </w:r>
      <w:r w:rsidR="00D83DFE" w:rsidRPr="00476FC9">
        <w:rPr>
          <w:color w:val="000000" w:themeColor="text1"/>
        </w:rPr>
        <w:t>(e.g., Alba &amp; Hutchinson, 1987; Kardes, Posavac, &amp; Cronley, 2004; Lynch &amp; Srull, 1982),</w:t>
      </w:r>
      <w:r w:rsidRPr="00476FC9">
        <w:rPr>
          <w:color w:val="000000" w:themeColor="text1"/>
        </w:rPr>
        <w:t xml:space="preserve"> </w:t>
      </w:r>
      <w:r w:rsidR="006A3B12" w:rsidRPr="00476FC9">
        <w:rPr>
          <w:color w:val="000000" w:themeColor="text1"/>
        </w:rPr>
        <w:t xml:space="preserve">a theory-driven research should provide </w:t>
      </w:r>
      <w:r w:rsidR="006A3B12" w:rsidRPr="00476FC9">
        <w:rPr>
          <w:color w:val="000000" w:themeColor="text1"/>
        </w:rPr>
        <w:lastRenderedPageBreak/>
        <w:t xml:space="preserve">convincing evidence </w:t>
      </w:r>
      <w:r w:rsidR="00DC6734" w:rsidRPr="00476FC9">
        <w:rPr>
          <w:color w:val="000000" w:themeColor="text1"/>
        </w:rPr>
        <w:t>regarding the process</w:t>
      </w:r>
      <w:r w:rsidR="00A03F4A" w:rsidRPr="00476FC9">
        <w:rPr>
          <w:color w:val="000000" w:themeColor="text1"/>
        </w:rPr>
        <w:t xml:space="preserve"> in the DTCA context</w:t>
      </w:r>
      <w:r w:rsidR="006A3B12" w:rsidRPr="00476FC9">
        <w:rPr>
          <w:color w:val="000000" w:themeColor="text1"/>
        </w:rPr>
        <w:t xml:space="preserve">. By revealing the </w:t>
      </w:r>
      <w:r w:rsidRPr="00476FC9">
        <w:rPr>
          <w:color w:val="000000" w:themeColor="text1"/>
        </w:rPr>
        <w:t>black box</w:t>
      </w:r>
      <w:r w:rsidR="006A3B12" w:rsidRPr="00476FC9">
        <w:rPr>
          <w:color w:val="000000" w:themeColor="text1"/>
        </w:rPr>
        <w:t xml:space="preserve"> in consumers’ risk disclosure processing mechanism, those involved in DTCA will benefit from the current study’s findings</w:t>
      </w:r>
      <w:r w:rsidRPr="00476FC9">
        <w:rPr>
          <w:color w:val="000000" w:themeColor="text1"/>
        </w:rPr>
        <w:t>.</w:t>
      </w:r>
    </w:p>
    <w:p w:rsidR="00136E97" w:rsidRPr="00476FC9" w:rsidRDefault="00136E97" w:rsidP="007D2ACE">
      <w:pPr>
        <w:pStyle w:val="Heading2"/>
        <w:rPr>
          <w:color w:val="000000" w:themeColor="text1"/>
        </w:rPr>
      </w:pPr>
    </w:p>
    <w:p w:rsidR="003B6CE7" w:rsidRPr="00476FC9" w:rsidRDefault="003B6CE7" w:rsidP="007D2ACE">
      <w:pPr>
        <w:pStyle w:val="Heading2"/>
        <w:rPr>
          <w:color w:val="000000" w:themeColor="text1"/>
        </w:rPr>
      </w:pPr>
      <w:bookmarkStart w:id="3" w:name="_Toc393800650"/>
      <w:r w:rsidRPr="00476FC9">
        <w:rPr>
          <w:color w:val="000000" w:themeColor="text1"/>
        </w:rPr>
        <w:t>Purpose of the Study</w:t>
      </w:r>
      <w:bookmarkEnd w:id="3"/>
    </w:p>
    <w:p w:rsidR="003B6CE7" w:rsidRPr="00476FC9" w:rsidRDefault="003B6CE7"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t>The prescription drug industry is considered a high consequence area that affect</w:t>
      </w:r>
      <w:r w:rsidR="00731E65" w:rsidRPr="00476FC9">
        <w:rPr>
          <w:color w:val="000000" w:themeColor="text1"/>
        </w:rPr>
        <w:t>s</w:t>
      </w:r>
      <w:r w:rsidRPr="00476FC9">
        <w:rPr>
          <w:color w:val="000000" w:themeColor="text1"/>
        </w:rPr>
        <w:t xml:space="preserve"> </w:t>
      </w:r>
      <w:r w:rsidR="0064711E" w:rsidRPr="00476FC9">
        <w:rPr>
          <w:color w:val="000000" w:themeColor="text1"/>
        </w:rPr>
        <w:t>public</w:t>
      </w:r>
      <w:r w:rsidRPr="00476FC9">
        <w:rPr>
          <w:color w:val="000000" w:themeColor="text1"/>
        </w:rPr>
        <w:t xml:space="preserve"> health </w:t>
      </w:r>
      <w:r w:rsidR="00731E65" w:rsidRPr="00476FC9">
        <w:rPr>
          <w:color w:val="000000" w:themeColor="text1"/>
        </w:rPr>
        <w:t>considerably</w:t>
      </w:r>
      <w:r w:rsidRPr="00476FC9">
        <w:rPr>
          <w:color w:val="000000" w:themeColor="text1"/>
        </w:rPr>
        <w:t xml:space="preserve">. </w:t>
      </w:r>
      <w:r w:rsidR="00290362" w:rsidRPr="00476FC9">
        <w:rPr>
          <w:color w:val="000000" w:themeColor="text1"/>
        </w:rPr>
        <w:t xml:space="preserve">A number of </w:t>
      </w:r>
      <w:r w:rsidR="00FC1729" w:rsidRPr="00476FC9">
        <w:rPr>
          <w:color w:val="000000" w:themeColor="text1"/>
        </w:rPr>
        <w:t xml:space="preserve">consumer </w:t>
      </w:r>
      <w:r w:rsidR="00290362" w:rsidRPr="00476FC9">
        <w:rPr>
          <w:color w:val="000000" w:themeColor="text1"/>
        </w:rPr>
        <w:t>r</w:t>
      </w:r>
      <w:r w:rsidRPr="00476FC9">
        <w:rPr>
          <w:color w:val="000000" w:themeColor="text1"/>
        </w:rPr>
        <w:t>esearch</w:t>
      </w:r>
      <w:r w:rsidR="00290362" w:rsidRPr="00476FC9">
        <w:rPr>
          <w:color w:val="000000" w:themeColor="text1"/>
        </w:rPr>
        <w:t>ers</w:t>
      </w:r>
      <w:r w:rsidRPr="00476FC9">
        <w:rPr>
          <w:color w:val="000000" w:themeColor="text1"/>
        </w:rPr>
        <w:t xml:space="preserve"> ha</w:t>
      </w:r>
      <w:r w:rsidR="0092783B" w:rsidRPr="00476FC9">
        <w:rPr>
          <w:color w:val="000000" w:themeColor="text1"/>
        </w:rPr>
        <w:t xml:space="preserve">ve </w:t>
      </w:r>
      <w:r w:rsidRPr="00476FC9">
        <w:rPr>
          <w:color w:val="000000" w:themeColor="text1"/>
        </w:rPr>
        <w:t xml:space="preserve">voiced that the examination of DTCA </w:t>
      </w:r>
      <w:r w:rsidR="00731E65" w:rsidRPr="00476FC9">
        <w:rPr>
          <w:color w:val="000000" w:themeColor="text1"/>
        </w:rPr>
        <w:t xml:space="preserve">impact on </w:t>
      </w:r>
      <w:r w:rsidR="00D45CC7" w:rsidRPr="00476FC9">
        <w:rPr>
          <w:color w:val="000000" w:themeColor="text1"/>
        </w:rPr>
        <w:t>consumers</w:t>
      </w:r>
      <w:r w:rsidR="0012413F" w:rsidRPr="00476FC9">
        <w:rPr>
          <w:color w:val="000000" w:themeColor="text1"/>
        </w:rPr>
        <w:t xml:space="preserve"> </w:t>
      </w:r>
      <w:r w:rsidRPr="00476FC9">
        <w:rPr>
          <w:color w:val="000000" w:themeColor="text1"/>
        </w:rPr>
        <w:t xml:space="preserve">should be based on observation of consumers' actual response to </w:t>
      </w:r>
      <w:r w:rsidR="009757FC" w:rsidRPr="00476FC9">
        <w:rPr>
          <w:color w:val="000000" w:themeColor="text1"/>
        </w:rPr>
        <w:t>DTCA</w:t>
      </w:r>
      <w:r w:rsidRPr="00476FC9">
        <w:rPr>
          <w:color w:val="000000" w:themeColor="text1"/>
        </w:rPr>
        <w:t xml:space="preserve"> </w:t>
      </w:r>
      <w:r w:rsidR="00D83DFE" w:rsidRPr="00476FC9">
        <w:rPr>
          <w:color w:val="000000" w:themeColor="text1"/>
        </w:rPr>
        <w:t>(e.g., Beltramini, 2010; Hoek, Gendall, Rapson, &amp; Louviere, 2011; Kavadas, Katsanis, &amp; LeBel, 2007; Myers, Royne, &amp; Deitz, 2011).</w:t>
      </w:r>
      <w:r w:rsidRPr="00476FC9">
        <w:rPr>
          <w:color w:val="000000" w:themeColor="text1"/>
        </w:rPr>
        <w:t xml:space="preserve"> </w:t>
      </w:r>
      <w:r w:rsidR="00175C20" w:rsidRPr="00476FC9">
        <w:rPr>
          <w:color w:val="000000" w:themeColor="text1"/>
        </w:rPr>
        <w:t xml:space="preserve">Such consumer-oriented approach </w:t>
      </w:r>
      <w:r w:rsidRPr="00476FC9">
        <w:rPr>
          <w:color w:val="000000" w:themeColor="text1"/>
        </w:rPr>
        <w:t xml:space="preserve">will provide insight into how </w:t>
      </w:r>
      <w:r w:rsidR="00411BC8" w:rsidRPr="00476FC9">
        <w:rPr>
          <w:color w:val="000000" w:themeColor="text1"/>
        </w:rPr>
        <w:t xml:space="preserve">to </w:t>
      </w:r>
      <w:r w:rsidR="00E366A5" w:rsidRPr="00476FC9">
        <w:rPr>
          <w:color w:val="000000" w:themeColor="text1"/>
        </w:rPr>
        <w:t xml:space="preserve">better </w:t>
      </w:r>
      <w:r w:rsidR="00411BC8" w:rsidRPr="00476FC9">
        <w:rPr>
          <w:color w:val="000000" w:themeColor="text1"/>
        </w:rPr>
        <w:t xml:space="preserve">encourage consumers to </w:t>
      </w:r>
      <w:r w:rsidR="00E366A5" w:rsidRPr="00476FC9">
        <w:rPr>
          <w:color w:val="000000" w:themeColor="text1"/>
        </w:rPr>
        <w:t>p</w:t>
      </w:r>
      <w:r w:rsidR="00411BC8" w:rsidRPr="00476FC9">
        <w:rPr>
          <w:color w:val="000000" w:themeColor="text1"/>
        </w:rPr>
        <w:t xml:space="preserve">rocess </w:t>
      </w:r>
      <w:r w:rsidR="008D5E91" w:rsidRPr="00476FC9">
        <w:rPr>
          <w:color w:val="000000" w:themeColor="text1"/>
        </w:rPr>
        <w:t xml:space="preserve">information about </w:t>
      </w:r>
      <w:r w:rsidR="00411BC8" w:rsidRPr="00476FC9">
        <w:rPr>
          <w:color w:val="000000" w:themeColor="text1"/>
        </w:rPr>
        <w:t>the benefits and risks of the drug in a balanced manner</w:t>
      </w:r>
      <w:r w:rsidR="00731E65" w:rsidRPr="00476FC9">
        <w:rPr>
          <w:color w:val="000000" w:themeColor="text1"/>
        </w:rPr>
        <w:t xml:space="preserve">. Further, the approach </w:t>
      </w:r>
      <w:r w:rsidR="00193882" w:rsidRPr="00476FC9">
        <w:rPr>
          <w:color w:val="000000" w:themeColor="text1"/>
        </w:rPr>
        <w:t xml:space="preserve">will </w:t>
      </w:r>
      <w:r w:rsidR="000E4EAC" w:rsidRPr="00476FC9">
        <w:rPr>
          <w:color w:val="000000" w:themeColor="text1"/>
        </w:rPr>
        <w:t xml:space="preserve">offer </w:t>
      </w:r>
      <w:r w:rsidR="003569BA" w:rsidRPr="00476FC9">
        <w:rPr>
          <w:color w:val="000000" w:themeColor="text1"/>
        </w:rPr>
        <w:t xml:space="preserve">useful </w:t>
      </w:r>
      <w:r w:rsidR="00731E65" w:rsidRPr="00476FC9">
        <w:rPr>
          <w:color w:val="000000" w:themeColor="text1"/>
        </w:rPr>
        <w:t xml:space="preserve">guidance for the </w:t>
      </w:r>
      <w:r w:rsidR="00193882" w:rsidRPr="00476FC9">
        <w:rPr>
          <w:color w:val="000000" w:themeColor="text1"/>
        </w:rPr>
        <w:t>development of effective</w:t>
      </w:r>
      <w:r w:rsidR="002E4FFE" w:rsidRPr="00476FC9">
        <w:rPr>
          <w:color w:val="000000" w:themeColor="text1"/>
        </w:rPr>
        <w:t xml:space="preserve"> risk disclosure communication</w:t>
      </w:r>
      <w:r w:rsidR="005B3800" w:rsidRPr="00476FC9">
        <w:rPr>
          <w:color w:val="000000" w:themeColor="text1"/>
        </w:rPr>
        <w:t xml:space="preserve"> and consumer education </w:t>
      </w:r>
      <w:r w:rsidR="00FE30BC" w:rsidRPr="00476FC9">
        <w:rPr>
          <w:color w:val="000000" w:themeColor="text1"/>
        </w:rPr>
        <w:t xml:space="preserve">program </w:t>
      </w:r>
      <w:r w:rsidR="005B3800" w:rsidRPr="00476FC9">
        <w:rPr>
          <w:color w:val="000000" w:themeColor="text1"/>
        </w:rPr>
        <w:t>by the FDA and pharmaceutical marketers</w:t>
      </w:r>
      <w:r w:rsidR="00731E65" w:rsidRPr="00476FC9">
        <w:rPr>
          <w:color w:val="000000" w:themeColor="text1"/>
        </w:rPr>
        <w:t xml:space="preserve">, which </w:t>
      </w:r>
      <w:r w:rsidR="00FE30BC" w:rsidRPr="00476FC9">
        <w:rPr>
          <w:color w:val="000000" w:themeColor="text1"/>
        </w:rPr>
        <w:t xml:space="preserve">have been </w:t>
      </w:r>
      <w:r w:rsidR="002E4FFE" w:rsidRPr="00476FC9">
        <w:rPr>
          <w:color w:val="000000" w:themeColor="text1"/>
        </w:rPr>
        <w:t>underexplored in the literature</w:t>
      </w:r>
      <w:r w:rsidRPr="00476FC9">
        <w:rPr>
          <w:color w:val="000000" w:themeColor="text1"/>
        </w:rPr>
        <w:t>.</w:t>
      </w:r>
    </w:p>
    <w:p w:rsidR="00225BE6" w:rsidRPr="00476FC9" w:rsidRDefault="003B6CE7"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AE2D20" w:rsidRPr="00476FC9">
        <w:rPr>
          <w:color w:val="000000" w:themeColor="text1"/>
        </w:rPr>
        <w:t>F</w:t>
      </w:r>
      <w:r w:rsidRPr="00476FC9">
        <w:rPr>
          <w:color w:val="000000" w:themeColor="text1"/>
        </w:rPr>
        <w:t xml:space="preserve">rom </w:t>
      </w:r>
      <w:r w:rsidR="00D1381A" w:rsidRPr="00476FC9">
        <w:rPr>
          <w:color w:val="000000" w:themeColor="text1"/>
        </w:rPr>
        <w:t xml:space="preserve">consumer education and </w:t>
      </w:r>
      <w:r w:rsidRPr="00476FC9">
        <w:rPr>
          <w:color w:val="000000" w:themeColor="text1"/>
        </w:rPr>
        <w:t>public health perspective</w:t>
      </w:r>
      <w:r w:rsidR="00D1381A" w:rsidRPr="00476FC9">
        <w:rPr>
          <w:color w:val="000000" w:themeColor="text1"/>
        </w:rPr>
        <w:t>s</w:t>
      </w:r>
      <w:r w:rsidRPr="00476FC9">
        <w:rPr>
          <w:color w:val="000000" w:themeColor="text1"/>
        </w:rPr>
        <w:t xml:space="preserve">, effective health risk information provision </w:t>
      </w:r>
      <w:r w:rsidR="00163251" w:rsidRPr="00476FC9">
        <w:rPr>
          <w:color w:val="000000" w:themeColor="text1"/>
        </w:rPr>
        <w:t>through</w:t>
      </w:r>
      <w:r w:rsidR="00856172" w:rsidRPr="00476FC9">
        <w:rPr>
          <w:color w:val="000000" w:themeColor="text1"/>
        </w:rPr>
        <w:t xml:space="preserve"> DTCA </w:t>
      </w:r>
      <w:r w:rsidRPr="00476FC9">
        <w:rPr>
          <w:color w:val="000000" w:themeColor="text1"/>
        </w:rPr>
        <w:t xml:space="preserve">has an important implication. Considering </w:t>
      </w:r>
      <w:r w:rsidR="003A3CCF" w:rsidRPr="00476FC9">
        <w:rPr>
          <w:color w:val="000000" w:themeColor="text1"/>
        </w:rPr>
        <w:t xml:space="preserve">that </w:t>
      </w:r>
      <w:r w:rsidR="00A86B4F" w:rsidRPr="00476FC9">
        <w:rPr>
          <w:color w:val="000000" w:themeColor="text1"/>
        </w:rPr>
        <w:t xml:space="preserve">consumers' </w:t>
      </w:r>
      <w:r w:rsidRPr="00476FC9">
        <w:rPr>
          <w:color w:val="000000" w:themeColor="text1"/>
        </w:rPr>
        <w:t xml:space="preserve">sound </w:t>
      </w:r>
      <w:r w:rsidR="00A86B4F" w:rsidRPr="00476FC9">
        <w:rPr>
          <w:color w:val="000000" w:themeColor="text1"/>
        </w:rPr>
        <w:t xml:space="preserve">health </w:t>
      </w:r>
      <w:r w:rsidRPr="00476FC9">
        <w:rPr>
          <w:color w:val="000000" w:themeColor="text1"/>
        </w:rPr>
        <w:t>decision</w:t>
      </w:r>
      <w:r w:rsidR="00731E65" w:rsidRPr="00476FC9">
        <w:rPr>
          <w:color w:val="000000" w:themeColor="text1"/>
        </w:rPr>
        <w:t>s</w:t>
      </w:r>
      <w:r w:rsidRPr="00476FC9">
        <w:rPr>
          <w:color w:val="000000" w:themeColor="text1"/>
        </w:rPr>
        <w:t xml:space="preserve"> </w:t>
      </w:r>
      <w:r w:rsidR="00A86B4F" w:rsidRPr="00476FC9">
        <w:rPr>
          <w:color w:val="000000" w:themeColor="text1"/>
        </w:rPr>
        <w:t xml:space="preserve">hinge </w:t>
      </w:r>
      <w:r w:rsidR="006A3B12" w:rsidRPr="00476FC9">
        <w:rPr>
          <w:color w:val="000000" w:themeColor="text1"/>
        </w:rPr>
        <w:t xml:space="preserve">largely </w:t>
      </w:r>
      <w:r w:rsidR="00A86B4F" w:rsidRPr="00476FC9">
        <w:rPr>
          <w:color w:val="000000" w:themeColor="text1"/>
        </w:rPr>
        <w:t>up</w:t>
      </w:r>
      <w:r w:rsidRPr="00476FC9">
        <w:rPr>
          <w:color w:val="000000" w:themeColor="text1"/>
        </w:rPr>
        <w:t xml:space="preserve">on </w:t>
      </w:r>
      <w:r w:rsidR="00A86B4F" w:rsidRPr="00476FC9">
        <w:rPr>
          <w:color w:val="000000" w:themeColor="text1"/>
        </w:rPr>
        <w:t>their</w:t>
      </w:r>
      <w:r w:rsidRPr="00476FC9">
        <w:rPr>
          <w:color w:val="000000" w:themeColor="text1"/>
        </w:rPr>
        <w:t xml:space="preserve"> appropriate </w:t>
      </w:r>
      <w:r w:rsidR="00DF3205" w:rsidRPr="00476FC9">
        <w:rPr>
          <w:color w:val="000000" w:themeColor="text1"/>
        </w:rPr>
        <w:t>use</w:t>
      </w:r>
      <w:r w:rsidRPr="00476FC9">
        <w:rPr>
          <w:color w:val="000000" w:themeColor="text1"/>
        </w:rPr>
        <w:t xml:space="preserve"> of </w:t>
      </w:r>
      <w:r w:rsidR="008D18DF" w:rsidRPr="00476FC9">
        <w:rPr>
          <w:color w:val="000000" w:themeColor="text1"/>
        </w:rPr>
        <w:t xml:space="preserve">health </w:t>
      </w:r>
      <w:r w:rsidRPr="00476FC9">
        <w:rPr>
          <w:color w:val="000000" w:themeColor="text1"/>
        </w:rPr>
        <w:t xml:space="preserve">information, the current </w:t>
      </w:r>
      <w:r w:rsidR="00731E65" w:rsidRPr="00476FC9">
        <w:rPr>
          <w:color w:val="000000" w:themeColor="text1"/>
        </w:rPr>
        <w:t>research</w:t>
      </w:r>
      <w:r w:rsidRPr="00476FC9">
        <w:rPr>
          <w:color w:val="000000" w:themeColor="text1"/>
        </w:rPr>
        <w:t xml:space="preserve"> will </w:t>
      </w:r>
      <w:r w:rsidR="00731E65" w:rsidRPr="00476FC9">
        <w:rPr>
          <w:color w:val="000000" w:themeColor="text1"/>
        </w:rPr>
        <w:t xml:space="preserve">elucidate </w:t>
      </w:r>
      <w:r w:rsidRPr="00476FC9">
        <w:rPr>
          <w:color w:val="000000" w:themeColor="text1"/>
        </w:rPr>
        <w:t xml:space="preserve">how risk disclosure </w:t>
      </w:r>
      <w:r w:rsidR="00731E65" w:rsidRPr="00476FC9">
        <w:rPr>
          <w:color w:val="000000" w:themeColor="text1"/>
        </w:rPr>
        <w:t xml:space="preserve">in DTCA </w:t>
      </w:r>
      <w:r w:rsidRPr="00476FC9">
        <w:rPr>
          <w:color w:val="000000" w:themeColor="text1"/>
        </w:rPr>
        <w:t xml:space="preserve">can be </w:t>
      </w:r>
      <w:r w:rsidR="00731E65" w:rsidRPr="00476FC9">
        <w:rPr>
          <w:color w:val="000000" w:themeColor="text1"/>
        </w:rPr>
        <w:t>more effective</w:t>
      </w:r>
      <w:r w:rsidR="008D18DF" w:rsidRPr="00476FC9">
        <w:rPr>
          <w:color w:val="000000" w:themeColor="text1"/>
        </w:rPr>
        <w:t>ly</w:t>
      </w:r>
      <w:r w:rsidR="00731E65" w:rsidRPr="00476FC9">
        <w:rPr>
          <w:color w:val="000000" w:themeColor="text1"/>
        </w:rPr>
        <w:t xml:space="preserve"> presented</w:t>
      </w:r>
      <w:r w:rsidRPr="00476FC9">
        <w:rPr>
          <w:color w:val="000000" w:themeColor="text1"/>
        </w:rPr>
        <w:t xml:space="preserve"> </w:t>
      </w:r>
      <w:r w:rsidR="000F0289" w:rsidRPr="00476FC9">
        <w:rPr>
          <w:color w:val="000000" w:themeColor="text1"/>
        </w:rPr>
        <w:t xml:space="preserve">in order </w:t>
      </w:r>
      <w:r w:rsidR="00731E65" w:rsidRPr="00476FC9">
        <w:rPr>
          <w:color w:val="000000" w:themeColor="text1"/>
        </w:rPr>
        <w:t>to enhance consumer</w:t>
      </w:r>
      <w:r w:rsidR="00D1381A" w:rsidRPr="00476FC9">
        <w:rPr>
          <w:color w:val="000000" w:themeColor="text1"/>
        </w:rPr>
        <w:t>s’</w:t>
      </w:r>
      <w:r w:rsidR="00731E65" w:rsidRPr="00476FC9">
        <w:rPr>
          <w:color w:val="000000" w:themeColor="text1"/>
        </w:rPr>
        <w:t xml:space="preserve"> cognitive </w:t>
      </w:r>
      <w:r w:rsidR="00D1381A" w:rsidRPr="00476FC9">
        <w:rPr>
          <w:color w:val="000000" w:themeColor="text1"/>
        </w:rPr>
        <w:t>memory performance</w:t>
      </w:r>
      <w:r w:rsidR="000004C1" w:rsidRPr="00476FC9">
        <w:rPr>
          <w:color w:val="000000" w:themeColor="text1"/>
        </w:rPr>
        <w:t xml:space="preserve"> regarding risk information in the ad</w:t>
      </w:r>
      <w:r w:rsidR="00D1381A" w:rsidRPr="00476FC9">
        <w:rPr>
          <w:color w:val="000000" w:themeColor="text1"/>
        </w:rPr>
        <w:t xml:space="preserve">. </w:t>
      </w:r>
    </w:p>
    <w:p w:rsidR="003B6CE7" w:rsidRPr="00476FC9" w:rsidRDefault="00042952"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I</w:t>
      </w:r>
      <w:r w:rsidR="00731E65" w:rsidRPr="00476FC9">
        <w:rPr>
          <w:color w:val="000000" w:themeColor="text1"/>
        </w:rPr>
        <w:t>t is worth noting that</w:t>
      </w:r>
      <w:r w:rsidR="006A3B12" w:rsidRPr="00476FC9">
        <w:rPr>
          <w:color w:val="000000" w:themeColor="text1"/>
        </w:rPr>
        <w:t>,</w:t>
      </w:r>
      <w:r w:rsidR="00731E65" w:rsidRPr="00476FC9">
        <w:rPr>
          <w:color w:val="000000" w:themeColor="text1"/>
        </w:rPr>
        <w:t xml:space="preserve"> </w:t>
      </w:r>
      <w:r w:rsidR="003B6CE7" w:rsidRPr="00476FC9">
        <w:rPr>
          <w:color w:val="000000" w:themeColor="text1"/>
        </w:rPr>
        <w:t>during the last decades</w:t>
      </w:r>
      <w:r w:rsidR="006A3B12" w:rsidRPr="00476FC9">
        <w:rPr>
          <w:color w:val="000000" w:themeColor="text1"/>
        </w:rPr>
        <w:t>,</w:t>
      </w:r>
      <w:r w:rsidR="003B6CE7" w:rsidRPr="00476FC9">
        <w:rPr>
          <w:color w:val="000000" w:themeColor="text1"/>
        </w:rPr>
        <w:t xml:space="preserve"> the </w:t>
      </w:r>
      <w:r w:rsidR="002E4FFE" w:rsidRPr="00476FC9">
        <w:rPr>
          <w:color w:val="000000" w:themeColor="text1"/>
        </w:rPr>
        <w:t xml:space="preserve">FDA’s </w:t>
      </w:r>
      <w:r w:rsidR="003B6CE7" w:rsidRPr="00476FC9">
        <w:rPr>
          <w:color w:val="000000" w:themeColor="text1"/>
        </w:rPr>
        <w:t xml:space="preserve">DTCA </w:t>
      </w:r>
      <w:r w:rsidR="00B7030F" w:rsidRPr="00476FC9">
        <w:rPr>
          <w:color w:val="000000" w:themeColor="text1"/>
        </w:rPr>
        <w:t xml:space="preserve">public policy </w:t>
      </w:r>
      <w:r w:rsidR="003B6CE7" w:rsidRPr="00476FC9">
        <w:rPr>
          <w:color w:val="000000" w:themeColor="text1"/>
        </w:rPr>
        <w:t xml:space="preserve">has shifted its focus from </w:t>
      </w:r>
      <w:r w:rsidR="00F05BBD" w:rsidRPr="00476FC9">
        <w:rPr>
          <w:color w:val="000000" w:themeColor="text1"/>
        </w:rPr>
        <w:t xml:space="preserve">DTCA </w:t>
      </w:r>
      <w:r w:rsidR="003B6CE7" w:rsidRPr="00476FC9">
        <w:rPr>
          <w:color w:val="000000" w:themeColor="text1"/>
        </w:rPr>
        <w:t xml:space="preserve">content </w:t>
      </w:r>
      <w:r w:rsidR="00F760CC" w:rsidRPr="00476FC9">
        <w:rPr>
          <w:color w:val="000000" w:themeColor="text1"/>
        </w:rPr>
        <w:t xml:space="preserve">per se </w:t>
      </w:r>
      <w:r w:rsidR="00731E65" w:rsidRPr="00476FC9">
        <w:rPr>
          <w:color w:val="000000" w:themeColor="text1"/>
        </w:rPr>
        <w:t xml:space="preserve">to consumers’ actual </w:t>
      </w:r>
      <w:r w:rsidR="003B6CE7" w:rsidRPr="00476FC9">
        <w:rPr>
          <w:color w:val="000000" w:themeColor="text1"/>
        </w:rPr>
        <w:t>perception</w:t>
      </w:r>
      <w:r w:rsidR="00DD1E11" w:rsidRPr="00476FC9">
        <w:rPr>
          <w:color w:val="000000" w:themeColor="text1"/>
        </w:rPr>
        <w:t xml:space="preserve"> about the </w:t>
      </w:r>
      <w:r w:rsidR="000F0289" w:rsidRPr="00476FC9">
        <w:rPr>
          <w:color w:val="000000" w:themeColor="text1"/>
        </w:rPr>
        <w:t>promoted medicine</w:t>
      </w:r>
      <w:r w:rsidR="00731E65" w:rsidRPr="00476FC9">
        <w:rPr>
          <w:color w:val="000000" w:themeColor="text1"/>
        </w:rPr>
        <w:t xml:space="preserve"> (Davis &amp; Meader, 2009</w:t>
      </w:r>
      <w:r w:rsidR="006A3B12" w:rsidRPr="00476FC9">
        <w:rPr>
          <w:color w:val="000000" w:themeColor="text1"/>
        </w:rPr>
        <w:t>; FDA, 2009</w:t>
      </w:r>
      <w:r w:rsidR="00731E65" w:rsidRPr="00476FC9">
        <w:rPr>
          <w:color w:val="000000" w:themeColor="text1"/>
        </w:rPr>
        <w:t>). D</w:t>
      </w:r>
      <w:r w:rsidR="00A85967" w:rsidRPr="00476FC9">
        <w:rPr>
          <w:color w:val="000000" w:themeColor="text1"/>
        </w:rPr>
        <w:t xml:space="preserve">espite </w:t>
      </w:r>
      <w:r w:rsidR="00F02CF0" w:rsidRPr="00476FC9">
        <w:rPr>
          <w:color w:val="000000" w:themeColor="text1"/>
        </w:rPr>
        <w:t>a line of</w:t>
      </w:r>
      <w:r w:rsidR="00225BE6" w:rsidRPr="00476FC9">
        <w:rPr>
          <w:color w:val="000000" w:themeColor="text1"/>
        </w:rPr>
        <w:t xml:space="preserve"> </w:t>
      </w:r>
      <w:r w:rsidR="003B6CE7" w:rsidRPr="00476FC9">
        <w:rPr>
          <w:color w:val="000000" w:themeColor="text1"/>
        </w:rPr>
        <w:t xml:space="preserve">research on DTCA </w:t>
      </w:r>
      <w:r w:rsidR="00A85967" w:rsidRPr="00476FC9">
        <w:rPr>
          <w:color w:val="000000" w:themeColor="text1"/>
        </w:rPr>
        <w:t xml:space="preserve">that has </w:t>
      </w:r>
      <w:r w:rsidR="003B6CE7" w:rsidRPr="00476FC9">
        <w:rPr>
          <w:color w:val="000000" w:themeColor="text1"/>
        </w:rPr>
        <w:lastRenderedPageBreak/>
        <w:t>examined consumer</w:t>
      </w:r>
      <w:r w:rsidR="00731E65" w:rsidRPr="00476FC9">
        <w:rPr>
          <w:color w:val="000000" w:themeColor="text1"/>
        </w:rPr>
        <w:t xml:space="preserve"> perception such as </w:t>
      </w:r>
      <w:r w:rsidR="00481B03" w:rsidRPr="00476FC9">
        <w:rPr>
          <w:color w:val="000000" w:themeColor="text1"/>
        </w:rPr>
        <w:t xml:space="preserve">general </w:t>
      </w:r>
      <w:r w:rsidR="003B6CE7" w:rsidRPr="00476FC9">
        <w:rPr>
          <w:color w:val="000000" w:themeColor="text1"/>
        </w:rPr>
        <w:t>attitudes toward DTCA</w:t>
      </w:r>
      <w:r w:rsidR="0089020F" w:rsidRPr="00476FC9">
        <w:rPr>
          <w:color w:val="000000" w:themeColor="text1"/>
        </w:rPr>
        <w:t xml:space="preserve"> </w:t>
      </w:r>
      <w:r w:rsidR="00D83DFE" w:rsidRPr="00476FC9">
        <w:rPr>
          <w:color w:val="000000" w:themeColor="text1"/>
        </w:rPr>
        <w:t>(e.g., Sumpradit, Ascione, &amp; Bagozzi, 2004)</w:t>
      </w:r>
      <w:r w:rsidR="00225BE6" w:rsidRPr="00476FC9">
        <w:rPr>
          <w:color w:val="000000" w:themeColor="text1"/>
        </w:rPr>
        <w:t xml:space="preserve"> and </w:t>
      </w:r>
      <w:r w:rsidR="00F8550E" w:rsidRPr="00476FC9">
        <w:rPr>
          <w:color w:val="000000" w:themeColor="text1"/>
        </w:rPr>
        <w:t>preferences for communicating risk information (Davis, 2007)</w:t>
      </w:r>
      <w:r w:rsidR="003B6CE7" w:rsidRPr="00476FC9">
        <w:rPr>
          <w:color w:val="000000" w:themeColor="text1"/>
        </w:rPr>
        <w:t xml:space="preserve">, </w:t>
      </w:r>
      <w:r w:rsidR="008854BF" w:rsidRPr="00476FC9">
        <w:rPr>
          <w:color w:val="000000" w:themeColor="text1"/>
        </w:rPr>
        <w:t>how consumer</w:t>
      </w:r>
      <w:r w:rsidR="00225BE6" w:rsidRPr="00476FC9">
        <w:rPr>
          <w:color w:val="000000" w:themeColor="text1"/>
        </w:rPr>
        <w:t>s’</w:t>
      </w:r>
      <w:r w:rsidR="008854BF" w:rsidRPr="00476FC9">
        <w:rPr>
          <w:color w:val="000000" w:themeColor="text1"/>
        </w:rPr>
        <w:t xml:space="preserve"> cognitive </w:t>
      </w:r>
      <w:r w:rsidR="00225BE6" w:rsidRPr="00476FC9">
        <w:rPr>
          <w:color w:val="000000" w:themeColor="text1"/>
        </w:rPr>
        <w:t xml:space="preserve">knowledge </w:t>
      </w:r>
      <w:r w:rsidR="008854BF" w:rsidRPr="00476FC9">
        <w:rPr>
          <w:color w:val="000000" w:themeColor="text1"/>
        </w:rPr>
        <w:t xml:space="preserve">structure can affect </w:t>
      </w:r>
      <w:r w:rsidR="00731E65" w:rsidRPr="00476FC9">
        <w:rPr>
          <w:color w:val="000000" w:themeColor="text1"/>
        </w:rPr>
        <w:t xml:space="preserve">the </w:t>
      </w:r>
      <w:r w:rsidR="008854BF" w:rsidRPr="00476FC9">
        <w:rPr>
          <w:color w:val="000000" w:themeColor="text1"/>
        </w:rPr>
        <w:t xml:space="preserve">dynamic </w:t>
      </w:r>
      <w:r w:rsidR="003B6CE7" w:rsidRPr="00476FC9">
        <w:rPr>
          <w:color w:val="000000" w:themeColor="text1"/>
        </w:rPr>
        <w:t xml:space="preserve">mechanism of risk disclosure </w:t>
      </w:r>
      <w:r w:rsidR="00225BE6" w:rsidRPr="00476FC9">
        <w:rPr>
          <w:color w:val="000000" w:themeColor="text1"/>
        </w:rPr>
        <w:t>coping strategies</w:t>
      </w:r>
      <w:r w:rsidR="003B6CE7" w:rsidRPr="00476FC9">
        <w:rPr>
          <w:color w:val="000000" w:themeColor="text1"/>
        </w:rPr>
        <w:t xml:space="preserve"> </w:t>
      </w:r>
      <w:r w:rsidR="00722C68" w:rsidRPr="00476FC9">
        <w:rPr>
          <w:color w:val="000000" w:themeColor="text1"/>
        </w:rPr>
        <w:t xml:space="preserve">has received little research attention to date. </w:t>
      </w:r>
      <w:r w:rsidR="00BC1A4C" w:rsidRPr="00476FC9">
        <w:rPr>
          <w:color w:val="000000" w:themeColor="text1"/>
        </w:rPr>
        <w:t xml:space="preserve">By addressing </w:t>
      </w:r>
      <w:r w:rsidR="00F8550E" w:rsidRPr="00476FC9">
        <w:rPr>
          <w:color w:val="000000" w:themeColor="text1"/>
        </w:rPr>
        <w:t>this</w:t>
      </w:r>
      <w:r w:rsidR="00BC1A4C" w:rsidRPr="00476FC9">
        <w:rPr>
          <w:color w:val="000000" w:themeColor="text1"/>
        </w:rPr>
        <w:t xml:space="preserve"> gap in the literature, </w:t>
      </w:r>
      <w:r w:rsidR="00F02CF0" w:rsidRPr="00476FC9">
        <w:rPr>
          <w:color w:val="000000" w:themeColor="text1"/>
        </w:rPr>
        <w:t xml:space="preserve">consumer educators, </w:t>
      </w:r>
      <w:r w:rsidR="00BC1A4C" w:rsidRPr="00476FC9">
        <w:rPr>
          <w:color w:val="000000" w:themeColor="text1"/>
        </w:rPr>
        <w:t>p</w:t>
      </w:r>
      <w:r w:rsidR="00722C68" w:rsidRPr="00476FC9">
        <w:rPr>
          <w:color w:val="000000" w:themeColor="text1"/>
        </w:rPr>
        <w:t xml:space="preserve">harmaceutical </w:t>
      </w:r>
      <w:r w:rsidR="008854BF" w:rsidRPr="00476FC9">
        <w:rPr>
          <w:color w:val="000000" w:themeColor="text1"/>
        </w:rPr>
        <w:t>marketers</w:t>
      </w:r>
      <w:r w:rsidR="00722C68" w:rsidRPr="00476FC9">
        <w:rPr>
          <w:color w:val="000000" w:themeColor="text1"/>
        </w:rPr>
        <w:t xml:space="preserve">, </w:t>
      </w:r>
      <w:r w:rsidR="00F02CF0" w:rsidRPr="00476FC9">
        <w:rPr>
          <w:color w:val="000000" w:themeColor="text1"/>
        </w:rPr>
        <w:t xml:space="preserve">and </w:t>
      </w:r>
      <w:r w:rsidR="00722C68" w:rsidRPr="00476FC9">
        <w:rPr>
          <w:color w:val="000000" w:themeColor="text1"/>
        </w:rPr>
        <w:t xml:space="preserve">health communication researchers will benefit from the current </w:t>
      </w:r>
      <w:r w:rsidR="002E4FFE" w:rsidRPr="00476FC9">
        <w:rPr>
          <w:color w:val="000000" w:themeColor="text1"/>
        </w:rPr>
        <w:t>research’s</w:t>
      </w:r>
      <w:r w:rsidR="00722C68" w:rsidRPr="00476FC9">
        <w:rPr>
          <w:color w:val="000000" w:themeColor="text1"/>
        </w:rPr>
        <w:t xml:space="preserve"> findings</w:t>
      </w:r>
      <w:r w:rsidR="002E4FFE" w:rsidRPr="00476FC9">
        <w:rPr>
          <w:color w:val="000000" w:themeColor="text1"/>
        </w:rPr>
        <w:t>.</w:t>
      </w:r>
    </w:p>
    <w:p w:rsidR="004C156B" w:rsidRPr="00476FC9" w:rsidRDefault="008854BF"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Specifically, t</w:t>
      </w:r>
      <w:r w:rsidR="008D18DF" w:rsidRPr="00476FC9">
        <w:rPr>
          <w:color w:val="000000" w:themeColor="text1"/>
        </w:rPr>
        <w:t xml:space="preserve">he current research attempts to examine the </w:t>
      </w:r>
      <w:r w:rsidRPr="00476FC9">
        <w:rPr>
          <w:color w:val="000000" w:themeColor="text1"/>
        </w:rPr>
        <w:t xml:space="preserve">effects of </w:t>
      </w:r>
      <w:r w:rsidR="00060B9F" w:rsidRPr="00476FC9">
        <w:rPr>
          <w:color w:val="000000" w:themeColor="text1"/>
        </w:rPr>
        <w:t>consumer knowledge of the FDA’s regulatory role for DTCA (hereinafter, DTCA regulatory knowledge)</w:t>
      </w:r>
      <w:r w:rsidRPr="00476FC9">
        <w:rPr>
          <w:color w:val="000000" w:themeColor="text1"/>
        </w:rPr>
        <w:t xml:space="preserve">, </w:t>
      </w:r>
      <w:r w:rsidR="008D18DF" w:rsidRPr="00476FC9">
        <w:rPr>
          <w:color w:val="000000" w:themeColor="text1"/>
        </w:rPr>
        <w:t>risk disclosure prominence</w:t>
      </w:r>
      <w:r w:rsidRPr="00476FC9">
        <w:rPr>
          <w:color w:val="000000" w:themeColor="text1"/>
        </w:rPr>
        <w:t xml:space="preserve">, and their interplay </w:t>
      </w:r>
      <w:r w:rsidR="008D18DF" w:rsidRPr="00476FC9">
        <w:rPr>
          <w:color w:val="000000" w:themeColor="text1"/>
        </w:rPr>
        <w:t xml:space="preserve">on consumer </w:t>
      </w:r>
      <w:r w:rsidR="00F8550E" w:rsidRPr="00476FC9">
        <w:rPr>
          <w:color w:val="000000" w:themeColor="text1"/>
        </w:rPr>
        <w:t xml:space="preserve">response to the </w:t>
      </w:r>
      <w:r w:rsidR="00CA4970" w:rsidRPr="00476FC9">
        <w:rPr>
          <w:color w:val="000000" w:themeColor="text1"/>
        </w:rPr>
        <w:t xml:space="preserve">DTC </w:t>
      </w:r>
      <w:r w:rsidR="00F8550E" w:rsidRPr="00476FC9">
        <w:rPr>
          <w:color w:val="000000" w:themeColor="text1"/>
        </w:rPr>
        <w:t>ad, including perceived attention to</w:t>
      </w:r>
      <w:r w:rsidRPr="00476FC9">
        <w:rPr>
          <w:color w:val="000000" w:themeColor="text1"/>
        </w:rPr>
        <w:t xml:space="preserve">, recall, and recognition of risk information in the DTC ad. </w:t>
      </w:r>
      <w:r w:rsidR="00225BE6" w:rsidRPr="00476FC9">
        <w:rPr>
          <w:color w:val="000000" w:themeColor="text1"/>
        </w:rPr>
        <w:t>B</w:t>
      </w:r>
      <w:r w:rsidR="00F8550E" w:rsidRPr="00476FC9">
        <w:rPr>
          <w:color w:val="000000" w:themeColor="text1"/>
        </w:rPr>
        <w:t xml:space="preserve">ased on the </w:t>
      </w:r>
      <w:r w:rsidR="004C156B" w:rsidRPr="00476FC9">
        <w:rPr>
          <w:color w:val="000000" w:themeColor="text1"/>
        </w:rPr>
        <w:t xml:space="preserve">PKM perspective, </w:t>
      </w:r>
      <w:r w:rsidR="00060B9F" w:rsidRPr="00476FC9">
        <w:rPr>
          <w:color w:val="000000" w:themeColor="text1"/>
        </w:rPr>
        <w:t xml:space="preserve">DTCA regulatory knowledge </w:t>
      </w:r>
      <w:r w:rsidR="004C156B" w:rsidRPr="00476FC9">
        <w:rPr>
          <w:color w:val="000000" w:themeColor="text1"/>
        </w:rPr>
        <w:t xml:space="preserve">is </w:t>
      </w:r>
      <w:r w:rsidR="00CA4970" w:rsidRPr="00476FC9">
        <w:rPr>
          <w:color w:val="000000" w:themeColor="text1"/>
        </w:rPr>
        <w:t>viewed</w:t>
      </w:r>
      <w:r w:rsidR="004C156B" w:rsidRPr="00476FC9">
        <w:rPr>
          <w:color w:val="000000" w:themeColor="text1"/>
        </w:rPr>
        <w:t xml:space="preserve"> as </w:t>
      </w:r>
      <w:r w:rsidR="00CA4970" w:rsidRPr="00476FC9">
        <w:rPr>
          <w:color w:val="000000" w:themeColor="text1"/>
        </w:rPr>
        <w:t xml:space="preserve">one type of </w:t>
      </w:r>
      <w:r w:rsidR="00670561" w:rsidRPr="00476FC9">
        <w:rPr>
          <w:color w:val="000000" w:themeColor="text1"/>
        </w:rPr>
        <w:t>crucial</w:t>
      </w:r>
      <w:r w:rsidRPr="00476FC9">
        <w:rPr>
          <w:color w:val="000000" w:themeColor="text1"/>
        </w:rPr>
        <w:t xml:space="preserve"> </w:t>
      </w:r>
      <w:r w:rsidR="00CA4970" w:rsidRPr="00476FC9">
        <w:rPr>
          <w:color w:val="000000" w:themeColor="text1"/>
        </w:rPr>
        <w:t xml:space="preserve">pharmaceutical </w:t>
      </w:r>
      <w:r w:rsidR="004C156B" w:rsidRPr="00476FC9">
        <w:rPr>
          <w:color w:val="000000" w:themeColor="text1"/>
        </w:rPr>
        <w:t>market</w:t>
      </w:r>
      <w:r w:rsidRPr="00476FC9">
        <w:rPr>
          <w:color w:val="000000" w:themeColor="text1"/>
        </w:rPr>
        <w:t>place</w:t>
      </w:r>
      <w:r w:rsidR="004C156B" w:rsidRPr="00476FC9">
        <w:rPr>
          <w:color w:val="000000" w:themeColor="text1"/>
        </w:rPr>
        <w:t xml:space="preserve"> belief.</w:t>
      </w:r>
      <w:r w:rsidR="00670561" w:rsidRPr="00476FC9">
        <w:rPr>
          <w:color w:val="000000" w:themeColor="text1"/>
        </w:rPr>
        <w:t xml:space="preserve"> D</w:t>
      </w:r>
      <w:r w:rsidR="004C156B" w:rsidRPr="00476FC9">
        <w:rPr>
          <w:color w:val="000000" w:themeColor="text1"/>
        </w:rPr>
        <w:t xml:space="preserve">epending on varying levels of </w:t>
      </w:r>
      <w:r w:rsidR="00EB1FEC" w:rsidRPr="00476FC9">
        <w:rPr>
          <w:color w:val="000000" w:themeColor="text1"/>
        </w:rPr>
        <w:t>DTCA regulatory knowledge</w:t>
      </w:r>
      <w:r w:rsidR="004C156B" w:rsidRPr="00476FC9">
        <w:rPr>
          <w:color w:val="000000" w:themeColor="text1"/>
        </w:rPr>
        <w:t xml:space="preserve">, </w:t>
      </w:r>
      <w:r w:rsidR="00670561" w:rsidRPr="00476FC9">
        <w:rPr>
          <w:color w:val="000000" w:themeColor="text1"/>
        </w:rPr>
        <w:t xml:space="preserve">consumers’ </w:t>
      </w:r>
      <w:r w:rsidRPr="00476FC9">
        <w:rPr>
          <w:color w:val="000000" w:themeColor="text1"/>
        </w:rPr>
        <w:t xml:space="preserve">risk information processing outcomes </w:t>
      </w:r>
      <w:r w:rsidR="00670561" w:rsidRPr="00476FC9">
        <w:rPr>
          <w:color w:val="000000" w:themeColor="text1"/>
        </w:rPr>
        <w:t xml:space="preserve">using DTCA </w:t>
      </w:r>
      <w:r w:rsidR="004C156B" w:rsidRPr="00476FC9">
        <w:rPr>
          <w:color w:val="000000" w:themeColor="text1"/>
        </w:rPr>
        <w:t xml:space="preserve">may </w:t>
      </w:r>
      <w:r w:rsidR="00670561" w:rsidRPr="00476FC9">
        <w:rPr>
          <w:color w:val="000000" w:themeColor="text1"/>
        </w:rPr>
        <w:t xml:space="preserve">largely </w:t>
      </w:r>
      <w:r w:rsidRPr="00476FC9">
        <w:rPr>
          <w:color w:val="000000" w:themeColor="text1"/>
        </w:rPr>
        <w:t>vary</w:t>
      </w:r>
      <w:r w:rsidR="00CA4970" w:rsidRPr="00476FC9">
        <w:rPr>
          <w:color w:val="000000" w:themeColor="text1"/>
        </w:rPr>
        <w:t>.</w:t>
      </w:r>
    </w:p>
    <w:p w:rsidR="00B004E8" w:rsidRPr="00476FC9" w:rsidRDefault="004C2205"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The </w:t>
      </w:r>
      <w:r w:rsidR="008A079D" w:rsidRPr="00476FC9">
        <w:rPr>
          <w:color w:val="000000" w:themeColor="text1"/>
        </w:rPr>
        <w:t xml:space="preserve">additional </w:t>
      </w:r>
      <w:r w:rsidR="008D18DF" w:rsidRPr="00476FC9">
        <w:rPr>
          <w:color w:val="000000" w:themeColor="text1"/>
        </w:rPr>
        <w:t>purpose of the</w:t>
      </w:r>
      <w:r w:rsidR="00510A95" w:rsidRPr="00476FC9">
        <w:rPr>
          <w:color w:val="000000" w:themeColor="text1"/>
        </w:rPr>
        <w:t xml:space="preserve"> present</w:t>
      </w:r>
      <w:r w:rsidR="008D18DF" w:rsidRPr="00476FC9">
        <w:rPr>
          <w:color w:val="000000" w:themeColor="text1"/>
        </w:rPr>
        <w:t xml:space="preserve"> study is to </w:t>
      </w:r>
      <w:r w:rsidR="009617DB" w:rsidRPr="00476FC9">
        <w:rPr>
          <w:color w:val="000000" w:themeColor="text1"/>
        </w:rPr>
        <w:t>investigate</w:t>
      </w:r>
      <w:r w:rsidR="008D18DF" w:rsidRPr="00476FC9">
        <w:rPr>
          <w:color w:val="000000" w:themeColor="text1"/>
        </w:rPr>
        <w:t xml:space="preserve"> </w:t>
      </w:r>
      <w:r w:rsidR="009A4EC3" w:rsidRPr="00476FC9">
        <w:rPr>
          <w:color w:val="000000" w:themeColor="text1"/>
        </w:rPr>
        <w:t xml:space="preserve">how </w:t>
      </w:r>
      <w:r w:rsidR="008D18DF" w:rsidRPr="00476FC9">
        <w:rPr>
          <w:color w:val="000000" w:themeColor="text1"/>
        </w:rPr>
        <w:t>the</w:t>
      </w:r>
      <w:r w:rsidR="00523645" w:rsidRPr="00476FC9">
        <w:rPr>
          <w:color w:val="000000" w:themeColor="text1"/>
        </w:rPr>
        <w:t xml:space="preserve"> effects of </w:t>
      </w:r>
      <w:r w:rsidR="00DB30EC" w:rsidRPr="00476FC9">
        <w:rPr>
          <w:color w:val="000000" w:themeColor="text1"/>
        </w:rPr>
        <w:t xml:space="preserve">DTCA regulatory knowledge, risk </w:t>
      </w:r>
      <w:r w:rsidR="00523645" w:rsidRPr="00476FC9">
        <w:rPr>
          <w:color w:val="000000" w:themeColor="text1"/>
        </w:rPr>
        <w:t>disclosure prominence</w:t>
      </w:r>
      <w:r w:rsidR="008854BF" w:rsidRPr="00476FC9">
        <w:rPr>
          <w:color w:val="000000" w:themeColor="text1"/>
        </w:rPr>
        <w:t>,</w:t>
      </w:r>
      <w:r w:rsidR="00523645" w:rsidRPr="00476FC9">
        <w:rPr>
          <w:color w:val="000000" w:themeColor="text1"/>
        </w:rPr>
        <w:t xml:space="preserve"> </w:t>
      </w:r>
      <w:r w:rsidR="008854BF" w:rsidRPr="00476FC9">
        <w:rPr>
          <w:color w:val="000000" w:themeColor="text1"/>
        </w:rPr>
        <w:t>and their interaction</w:t>
      </w:r>
      <w:r w:rsidR="00523645" w:rsidRPr="00476FC9">
        <w:rPr>
          <w:color w:val="000000" w:themeColor="text1"/>
        </w:rPr>
        <w:t xml:space="preserve"> on </w:t>
      </w:r>
      <w:r w:rsidR="009A4EC3" w:rsidRPr="00476FC9">
        <w:rPr>
          <w:color w:val="000000" w:themeColor="text1"/>
        </w:rPr>
        <w:t>consumer</w:t>
      </w:r>
      <w:r w:rsidR="008854BF" w:rsidRPr="00476FC9">
        <w:rPr>
          <w:color w:val="000000" w:themeColor="text1"/>
        </w:rPr>
        <w:t>s’</w:t>
      </w:r>
      <w:r w:rsidR="009A4EC3" w:rsidRPr="00476FC9">
        <w:rPr>
          <w:color w:val="000000" w:themeColor="text1"/>
        </w:rPr>
        <w:t xml:space="preserve"> </w:t>
      </w:r>
      <w:r w:rsidR="00523645" w:rsidRPr="00476FC9">
        <w:rPr>
          <w:color w:val="000000" w:themeColor="text1"/>
        </w:rPr>
        <w:t xml:space="preserve">memory of </w:t>
      </w:r>
      <w:r w:rsidR="009617DB" w:rsidRPr="00476FC9">
        <w:rPr>
          <w:color w:val="000000" w:themeColor="text1"/>
        </w:rPr>
        <w:t xml:space="preserve">the </w:t>
      </w:r>
      <w:r w:rsidR="00523645" w:rsidRPr="00476FC9">
        <w:rPr>
          <w:color w:val="000000" w:themeColor="text1"/>
        </w:rPr>
        <w:t>drug</w:t>
      </w:r>
      <w:r w:rsidR="009617DB" w:rsidRPr="00476FC9">
        <w:rPr>
          <w:color w:val="000000" w:themeColor="text1"/>
        </w:rPr>
        <w:t>’s potential health</w:t>
      </w:r>
      <w:r w:rsidR="00523645" w:rsidRPr="00476FC9">
        <w:rPr>
          <w:color w:val="000000" w:themeColor="text1"/>
        </w:rPr>
        <w:t xml:space="preserve"> risks</w:t>
      </w:r>
      <w:r w:rsidR="009617DB" w:rsidRPr="00476FC9">
        <w:rPr>
          <w:color w:val="000000" w:themeColor="text1"/>
        </w:rPr>
        <w:t xml:space="preserve"> presented in the ad</w:t>
      </w:r>
      <w:r w:rsidR="00523645" w:rsidRPr="00476FC9">
        <w:rPr>
          <w:color w:val="000000" w:themeColor="text1"/>
        </w:rPr>
        <w:t xml:space="preserve"> are mediated by </w:t>
      </w:r>
      <w:r w:rsidR="009A4EC3" w:rsidRPr="00476FC9">
        <w:rPr>
          <w:color w:val="000000" w:themeColor="text1"/>
        </w:rPr>
        <w:t xml:space="preserve">perceived </w:t>
      </w:r>
      <w:r w:rsidR="00523645" w:rsidRPr="00476FC9">
        <w:rPr>
          <w:color w:val="000000" w:themeColor="text1"/>
        </w:rPr>
        <w:t xml:space="preserve">attention to </w:t>
      </w:r>
      <w:r w:rsidR="00DB30EC" w:rsidRPr="00476FC9">
        <w:rPr>
          <w:color w:val="000000" w:themeColor="text1"/>
        </w:rPr>
        <w:t>risk</w:t>
      </w:r>
      <w:r w:rsidR="00523645" w:rsidRPr="00476FC9">
        <w:rPr>
          <w:color w:val="000000" w:themeColor="text1"/>
        </w:rPr>
        <w:t xml:space="preserve"> information</w:t>
      </w:r>
      <w:r w:rsidR="00204DF0" w:rsidRPr="00476FC9">
        <w:rPr>
          <w:color w:val="000000" w:themeColor="text1"/>
        </w:rPr>
        <w:t xml:space="preserve"> in the ad</w:t>
      </w:r>
      <w:r w:rsidR="00F8550E" w:rsidRPr="00476FC9">
        <w:rPr>
          <w:color w:val="000000" w:themeColor="text1"/>
        </w:rPr>
        <w:t xml:space="preserve">. Considering </w:t>
      </w:r>
      <w:r w:rsidR="008854BF" w:rsidRPr="00476FC9">
        <w:rPr>
          <w:color w:val="000000" w:themeColor="text1"/>
        </w:rPr>
        <w:t xml:space="preserve">that </w:t>
      </w:r>
      <w:r w:rsidR="00F8550E" w:rsidRPr="00476FC9">
        <w:rPr>
          <w:color w:val="000000" w:themeColor="text1"/>
        </w:rPr>
        <w:t xml:space="preserve">perceived attention represents one type of </w:t>
      </w:r>
      <w:r w:rsidR="008854BF" w:rsidRPr="00476FC9">
        <w:rPr>
          <w:color w:val="000000" w:themeColor="text1"/>
        </w:rPr>
        <w:t xml:space="preserve">proxy measure </w:t>
      </w:r>
      <w:r w:rsidR="000C4D48" w:rsidRPr="00476FC9">
        <w:rPr>
          <w:color w:val="000000" w:themeColor="text1"/>
        </w:rPr>
        <w:t xml:space="preserve">for consumer </w:t>
      </w:r>
      <w:r w:rsidR="008854BF" w:rsidRPr="00476FC9">
        <w:rPr>
          <w:color w:val="000000" w:themeColor="text1"/>
        </w:rPr>
        <w:t>attention</w:t>
      </w:r>
      <w:r w:rsidR="00F8550E" w:rsidRPr="00476FC9">
        <w:rPr>
          <w:color w:val="000000" w:themeColor="text1"/>
        </w:rPr>
        <w:t xml:space="preserve">, </w:t>
      </w:r>
      <w:r w:rsidR="001F47C7" w:rsidRPr="00476FC9">
        <w:rPr>
          <w:color w:val="000000" w:themeColor="text1"/>
        </w:rPr>
        <w:t>perceived</w:t>
      </w:r>
      <w:r w:rsidR="00F8550E" w:rsidRPr="00476FC9">
        <w:rPr>
          <w:color w:val="000000" w:themeColor="text1"/>
        </w:rPr>
        <w:t xml:space="preserve"> ease with </w:t>
      </w:r>
      <w:r w:rsidR="004C156B" w:rsidRPr="00476FC9">
        <w:rPr>
          <w:color w:val="000000" w:themeColor="text1"/>
        </w:rPr>
        <w:t xml:space="preserve">locating </w:t>
      </w:r>
      <w:r w:rsidR="00F8550E" w:rsidRPr="00476FC9">
        <w:rPr>
          <w:color w:val="000000" w:themeColor="text1"/>
        </w:rPr>
        <w:t xml:space="preserve">disclosure </w:t>
      </w:r>
      <w:r w:rsidR="004C156B" w:rsidRPr="00476FC9">
        <w:rPr>
          <w:color w:val="000000" w:themeColor="text1"/>
        </w:rPr>
        <w:t xml:space="preserve">in DTCA </w:t>
      </w:r>
      <w:r w:rsidR="00F8550E" w:rsidRPr="00476FC9">
        <w:rPr>
          <w:color w:val="000000" w:themeColor="text1"/>
        </w:rPr>
        <w:t>is expected to mediate the effects o</w:t>
      </w:r>
      <w:r w:rsidR="000C4D48" w:rsidRPr="00476FC9">
        <w:rPr>
          <w:color w:val="000000" w:themeColor="text1"/>
        </w:rPr>
        <w:t>f</w:t>
      </w:r>
      <w:r w:rsidR="00F8550E" w:rsidRPr="00476FC9">
        <w:rPr>
          <w:color w:val="000000" w:themeColor="text1"/>
        </w:rPr>
        <w:t xml:space="preserve"> </w:t>
      </w:r>
      <w:r w:rsidR="00DB30EC" w:rsidRPr="00476FC9">
        <w:rPr>
          <w:color w:val="000000" w:themeColor="text1"/>
        </w:rPr>
        <w:t xml:space="preserve">DTCA regulatory knowledge, </w:t>
      </w:r>
      <w:r w:rsidR="000C4D48" w:rsidRPr="00476FC9">
        <w:rPr>
          <w:color w:val="000000" w:themeColor="text1"/>
        </w:rPr>
        <w:t xml:space="preserve">disclosure prominence, and their interaction on </w:t>
      </w:r>
      <w:r w:rsidR="00F8550E" w:rsidRPr="00476FC9">
        <w:rPr>
          <w:color w:val="000000" w:themeColor="text1"/>
        </w:rPr>
        <w:t xml:space="preserve">consumers’ cognitive </w:t>
      </w:r>
      <w:r w:rsidR="00DB30EC" w:rsidRPr="00476FC9">
        <w:rPr>
          <w:color w:val="000000" w:themeColor="text1"/>
        </w:rPr>
        <w:t>memory</w:t>
      </w:r>
      <w:r w:rsidR="00F8550E" w:rsidRPr="00476FC9">
        <w:rPr>
          <w:color w:val="000000" w:themeColor="text1"/>
        </w:rPr>
        <w:t xml:space="preserve"> performance, including the extent of recall and recognition</w:t>
      </w:r>
      <w:r w:rsidR="004C156B" w:rsidRPr="00476FC9">
        <w:rPr>
          <w:color w:val="000000" w:themeColor="text1"/>
        </w:rPr>
        <w:t xml:space="preserve"> of health risk information</w:t>
      </w:r>
      <w:r w:rsidR="00F8550E" w:rsidRPr="00476FC9">
        <w:rPr>
          <w:color w:val="000000" w:themeColor="text1"/>
        </w:rPr>
        <w:t xml:space="preserve"> </w:t>
      </w:r>
      <w:r w:rsidR="009D654B" w:rsidRPr="00476FC9">
        <w:rPr>
          <w:color w:val="000000" w:themeColor="text1"/>
        </w:rPr>
        <w:t>(Bettman, Payne, &amp; Staelin, 1986)</w:t>
      </w:r>
      <w:r w:rsidR="008D18DF" w:rsidRPr="00476FC9">
        <w:rPr>
          <w:color w:val="000000" w:themeColor="text1"/>
        </w:rPr>
        <w:t xml:space="preserve">. </w:t>
      </w:r>
      <w:r w:rsidR="009D654B" w:rsidRPr="00476FC9">
        <w:rPr>
          <w:color w:val="000000" w:themeColor="text1"/>
        </w:rPr>
        <w:t xml:space="preserve">Illuminating </w:t>
      </w:r>
      <w:r w:rsidR="00DB30EC" w:rsidRPr="00476FC9">
        <w:rPr>
          <w:color w:val="000000" w:themeColor="text1"/>
        </w:rPr>
        <w:t>this</w:t>
      </w:r>
      <w:r w:rsidR="009D654B" w:rsidRPr="00476FC9">
        <w:rPr>
          <w:color w:val="000000" w:themeColor="text1"/>
        </w:rPr>
        <w:t xml:space="preserve"> under-examined area will inform how risk disclosure in DTCA should be </w:t>
      </w:r>
      <w:r w:rsidR="000C4D48" w:rsidRPr="00476FC9">
        <w:rPr>
          <w:color w:val="000000" w:themeColor="text1"/>
        </w:rPr>
        <w:t>presented</w:t>
      </w:r>
      <w:r w:rsidR="009D654B" w:rsidRPr="00476FC9">
        <w:rPr>
          <w:color w:val="000000" w:themeColor="text1"/>
        </w:rPr>
        <w:t xml:space="preserve"> </w:t>
      </w:r>
      <w:r w:rsidR="002A3D96" w:rsidRPr="00476FC9">
        <w:rPr>
          <w:color w:val="000000" w:themeColor="text1"/>
        </w:rPr>
        <w:t xml:space="preserve">to enhance consumer benefit, </w:t>
      </w:r>
      <w:r w:rsidR="009D654B" w:rsidRPr="00476FC9">
        <w:rPr>
          <w:color w:val="000000" w:themeColor="text1"/>
        </w:rPr>
        <w:lastRenderedPageBreak/>
        <w:t>and how consumers’ marketplace persuasion knowledge</w:t>
      </w:r>
      <w:r w:rsidR="000C4D48" w:rsidRPr="00476FC9">
        <w:rPr>
          <w:color w:val="000000" w:themeColor="text1"/>
        </w:rPr>
        <w:t xml:space="preserve"> </w:t>
      </w:r>
      <w:r w:rsidR="009D654B" w:rsidRPr="00476FC9">
        <w:rPr>
          <w:color w:val="000000" w:themeColor="text1"/>
        </w:rPr>
        <w:t>can contribute to public health.</w:t>
      </w:r>
    </w:p>
    <w:p w:rsidR="008D18DF" w:rsidRPr="00476FC9" w:rsidRDefault="008D18DF" w:rsidP="007D2ACE">
      <w:pPr>
        <w:keepNext w:val="0"/>
        <w:widowControl w:val="0"/>
        <w:kinsoku w:val="0"/>
        <w:overflowPunct w:val="0"/>
        <w:autoSpaceDE w:val="0"/>
        <w:autoSpaceDN w:val="0"/>
        <w:adjustRightInd w:val="0"/>
        <w:snapToGrid w:val="0"/>
        <w:spacing w:before="0" w:after="0"/>
        <w:ind w:firstLine="720"/>
        <w:rPr>
          <w:color w:val="000000" w:themeColor="text1"/>
        </w:rPr>
      </w:pPr>
    </w:p>
    <w:p w:rsidR="003B6CE7" w:rsidRPr="00476FC9" w:rsidRDefault="003B6CE7" w:rsidP="007D2ACE">
      <w:pPr>
        <w:pStyle w:val="Heading2"/>
        <w:rPr>
          <w:color w:val="000000" w:themeColor="text1"/>
        </w:rPr>
      </w:pPr>
      <w:bookmarkStart w:id="4" w:name="_Toc393800651"/>
      <w:r w:rsidRPr="00476FC9">
        <w:rPr>
          <w:color w:val="000000" w:themeColor="text1"/>
        </w:rPr>
        <w:t>The Organization of Dissertation</w:t>
      </w:r>
      <w:bookmarkEnd w:id="4"/>
    </w:p>
    <w:p w:rsidR="008D18DF" w:rsidRPr="00476FC9" w:rsidRDefault="00E85CAD"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3B6CE7" w:rsidRPr="00476FC9">
        <w:rPr>
          <w:color w:val="000000" w:themeColor="text1"/>
        </w:rPr>
        <w:t xml:space="preserve">This dissertation is organized as follows. The next chapter presents a brief introduction to the DTCA </w:t>
      </w:r>
      <w:r w:rsidR="001D4900" w:rsidRPr="00476FC9">
        <w:rPr>
          <w:color w:val="000000" w:themeColor="text1"/>
        </w:rPr>
        <w:t>context</w:t>
      </w:r>
      <w:r w:rsidR="003B6CE7" w:rsidRPr="00476FC9">
        <w:rPr>
          <w:color w:val="000000" w:themeColor="text1"/>
        </w:rPr>
        <w:t xml:space="preserve">. The chapter </w:t>
      </w:r>
      <w:r w:rsidR="00685464" w:rsidRPr="00476FC9">
        <w:rPr>
          <w:color w:val="000000" w:themeColor="text1"/>
        </w:rPr>
        <w:t>introduce</w:t>
      </w:r>
      <w:r w:rsidR="008D18DF" w:rsidRPr="00476FC9">
        <w:rPr>
          <w:color w:val="000000" w:themeColor="text1"/>
        </w:rPr>
        <w:t>s</w:t>
      </w:r>
      <w:r w:rsidR="00685464" w:rsidRPr="00476FC9">
        <w:rPr>
          <w:color w:val="000000" w:themeColor="text1"/>
        </w:rPr>
        <w:t xml:space="preserve"> </w:t>
      </w:r>
      <w:r w:rsidR="003B6CE7" w:rsidRPr="00476FC9">
        <w:rPr>
          <w:color w:val="000000" w:themeColor="text1"/>
        </w:rPr>
        <w:t xml:space="preserve">the </w:t>
      </w:r>
      <w:r w:rsidR="00C174E7" w:rsidRPr="00476FC9">
        <w:rPr>
          <w:color w:val="000000" w:themeColor="text1"/>
        </w:rPr>
        <w:t xml:space="preserve">controversy </w:t>
      </w:r>
      <w:r w:rsidR="003B6CE7" w:rsidRPr="00476FC9">
        <w:rPr>
          <w:color w:val="000000" w:themeColor="text1"/>
        </w:rPr>
        <w:t xml:space="preserve">over </w:t>
      </w:r>
      <w:r w:rsidR="00685464" w:rsidRPr="00476FC9">
        <w:rPr>
          <w:color w:val="000000" w:themeColor="text1"/>
        </w:rPr>
        <w:t xml:space="preserve">DTCA and the DTCA market </w:t>
      </w:r>
      <w:r w:rsidR="003B6CE7" w:rsidRPr="00476FC9">
        <w:rPr>
          <w:color w:val="000000" w:themeColor="text1"/>
        </w:rPr>
        <w:t>in the US</w:t>
      </w:r>
      <w:r w:rsidR="0003708D" w:rsidRPr="00476FC9">
        <w:rPr>
          <w:color w:val="000000" w:themeColor="text1"/>
        </w:rPr>
        <w:t xml:space="preserve"> context</w:t>
      </w:r>
      <w:r w:rsidR="003B6CE7" w:rsidRPr="00476FC9">
        <w:rPr>
          <w:color w:val="000000" w:themeColor="text1"/>
        </w:rPr>
        <w:t xml:space="preserve">. Then, </w:t>
      </w:r>
      <w:r w:rsidR="00685464" w:rsidRPr="00476FC9">
        <w:rPr>
          <w:color w:val="000000" w:themeColor="text1"/>
        </w:rPr>
        <w:t xml:space="preserve">previous research on DTCA and the fair balance requirement with a focus on risk disclosure </w:t>
      </w:r>
      <w:r w:rsidR="005203B1" w:rsidRPr="00476FC9">
        <w:rPr>
          <w:color w:val="000000" w:themeColor="text1"/>
        </w:rPr>
        <w:t>are</w:t>
      </w:r>
      <w:r w:rsidR="002712BF" w:rsidRPr="00476FC9">
        <w:rPr>
          <w:color w:val="000000" w:themeColor="text1"/>
        </w:rPr>
        <w:t xml:space="preserve"> </w:t>
      </w:r>
      <w:r w:rsidR="003B6CE7" w:rsidRPr="00476FC9">
        <w:rPr>
          <w:color w:val="000000" w:themeColor="text1"/>
        </w:rPr>
        <w:t xml:space="preserve">reviewed </w:t>
      </w:r>
      <w:r w:rsidR="00D231E6" w:rsidRPr="00476FC9">
        <w:rPr>
          <w:color w:val="000000" w:themeColor="text1"/>
        </w:rPr>
        <w:t xml:space="preserve">in order </w:t>
      </w:r>
      <w:r w:rsidR="003B6CE7" w:rsidRPr="00476FC9">
        <w:rPr>
          <w:color w:val="000000" w:themeColor="text1"/>
        </w:rPr>
        <w:t xml:space="preserve">to provide a </w:t>
      </w:r>
      <w:r w:rsidR="005A7F71" w:rsidRPr="00476FC9">
        <w:rPr>
          <w:color w:val="000000" w:themeColor="text1"/>
        </w:rPr>
        <w:t xml:space="preserve">foundation for </w:t>
      </w:r>
      <w:r w:rsidR="003B6CE7" w:rsidRPr="00476FC9">
        <w:rPr>
          <w:color w:val="000000" w:themeColor="text1"/>
        </w:rPr>
        <w:t>the research phenomenon of t</w:t>
      </w:r>
      <w:r w:rsidR="00685464" w:rsidRPr="00476FC9">
        <w:rPr>
          <w:color w:val="000000" w:themeColor="text1"/>
        </w:rPr>
        <w:t xml:space="preserve">his </w:t>
      </w:r>
      <w:r w:rsidR="00210B2F" w:rsidRPr="00476FC9">
        <w:rPr>
          <w:color w:val="000000" w:themeColor="text1"/>
        </w:rPr>
        <w:t>dissertation</w:t>
      </w:r>
      <w:r w:rsidR="003B6CE7" w:rsidRPr="00476FC9">
        <w:rPr>
          <w:color w:val="000000" w:themeColor="text1"/>
        </w:rPr>
        <w:t xml:space="preserve">. </w:t>
      </w:r>
    </w:p>
    <w:p w:rsidR="003B6CE7" w:rsidRPr="00476FC9" w:rsidRDefault="00B870D6"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Th</w:t>
      </w:r>
      <w:r w:rsidR="003B6CE7" w:rsidRPr="00476FC9">
        <w:rPr>
          <w:color w:val="000000" w:themeColor="text1"/>
        </w:rPr>
        <w:t xml:space="preserve">e next section addresses </w:t>
      </w:r>
      <w:r w:rsidR="005203B1" w:rsidRPr="00476FC9">
        <w:rPr>
          <w:color w:val="000000" w:themeColor="text1"/>
        </w:rPr>
        <w:t xml:space="preserve">the importance of examining consumer information processing </w:t>
      </w:r>
      <w:r w:rsidR="00685464" w:rsidRPr="00476FC9">
        <w:rPr>
          <w:color w:val="000000" w:themeColor="text1"/>
        </w:rPr>
        <w:t>in regard to DTCA risk disclosure.</w:t>
      </w:r>
      <w:r w:rsidR="008D18DF" w:rsidRPr="00476FC9">
        <w:rPr>
          <w:color w:val="000000" w:themeColor="text1"/>
        </w:rPr>
        <w:t xml:space="preserve"> </w:t>
      </w:r>
      <w:r w:rsidR="00EA496F" w:rsidRPr="00476FC9">
        <w:rPr>
          <w:color w:val="000000" w:themeColor="text1"/>
        </w:rPr>
        <w:t xml:space="preserve">In the same </w:t>
      </w:r>
      <w:r w:rsidR="003B6CE7" w:rsidRPr="00476FC9">
        <w:rPr>
          <w:color w:val="000000" w:themeColor="text1"/>
        </w:rPr>
        <w:t>chapter</w:t>
      </w:r>
      <w:r w:rsidR="00EA496F" w:rsidRPr="00476FC9">
        <w:rPr>
          <w:color w:val="000000" w:themeColor="text1"/>
        </w:rPr>
        <w:t xml:space="preserve">, </w:t>
      </w:r>
      <w:r w:rsidR="005203B1" w:rsidRPr="00476FC9">
        <w:rPr>
          <w:color w:val="000000" w:themeColor="text1"/>
        </w:rPr>
        <w:t xml:space="preserve">based on the review of literature, </w:t>
      </w:r>
      <w:r w:rsidR="00810474" w:rsidRPr="00476FC9">
        <w:rPr>
          <w:color w:val="000000" w:themeColor="text1"/>
        </w:rPr>
        <w:t xml:space="preserve">the </w:t>
      </w:r>
      <w:r w:rsidR="00685464" w:rsidRPr="00476FC9">
        <w:rPr>
          <w:color w:val="000000" w:themeColor="text1"/>
        </w:rPr>
        <w:t>research</w:t>
      </w:r>
      <w:r w:rsidR="00810474" w:rsidRPr="00476FC9">
        <w:rPr>
          <w:color w:val="000000" w:themeColor="text1"/>
        </w:rPr>
        <w:t xml:space="preserve"> </w:t>
      </w:r>
      <w:r w:rsidR="003B6CE7" w:rsidRPr="00476FC9">
        <w:rPr>
          <w:color w:val="000000" w:themeColor="text1"/>
        </w:rPr>
        <w:t>framework</w:t>
      </w:r>
      <w:r w:rsidR="00810474" w:rsidRPr="00476FC9">
        <w:rPr>
          <w:color w:val="000000" w:themeColor="text1"/>
        </w:rPr>
        <w:t xml:space="preserve"> of this </w:t>
      </w:r>
      <w:r w:rsidR="00AE10F2" w:rsidRPr="00476FC9">
        <w:rPr>
          <w:color w:val="000000" w:themeColor="text1"/>
        </w:rPr>
        <w:t>dissertation</w:t>
      </w:r>
      <w:r w:rsidR="00810474" w:rsidRPr="00476FC9">
        <w:rPr>
          <w:color w:val="000000" w:themeColor="text1"/>
        </w:rPr>
        <w:t xml:space="preserve"> </w:t>
      </w:r>
      <w:r w:rsidR="00D231E6" w:rsidRPr="00476FC9">
        <w:rPr>
          <w:color w:val="000000" w:themeColor="text1"/>
        </w:rPr>
        <w:t xml:space="preserve">is introduced </w:t>
      </w:r>
      <w:r w:rsidR="00685464" w:rsidRPr="00476FC9">
        <w:rPr>
          <w:color w:val="000000" w:themeColor="text1"/>
        </w:rPr>
        <w:t xml:space="preserve">for examining </w:t>
      </w:r>
      <w:r w:rsidR="00DB30EC" w:rsidRPr="00476FC9">
        <w:rPr>
          <w:color w:val="000000" w:themeColor="text1"/>
        </w:rPr>
        <w:t xml:space="preserve">DTCA regulatory knowledge as a consumer factor and </w:t>
      </w:r>
      <w:r w:rsidR="00685464" w:rsidRPr="00476FC9">
        <w:rPr>
          <w:color w:val="000000" w:themeColor="text1"/>
        </w:rPr>
        <w:t>DTC</w:t>
      </w:r>
      <w:r w:rsidR="00D231E6" w:rsidRPr="00476FC9">
        <w:rPr>
          <w:color w:val="000000" w:themeColor="text1"/>
        </w:rPr>
        <w:t xml:space="preserve">A risk disclosure prominence as a message-side factor. </w:t>
      </w:r>
      <w:r w:rsidR="005203B1" w:rsidRPr="00476FC9">
        <w:rPr>
          <w:color w:val="000000" w:themeColor="text1"/>
        </w:rPr>
        <w:t xml:space="preserve">In addition, the interactive relationship between </w:t>
      </w:r>
      <w:r w:rsidR="00DB30EC" w:rsidRPr="00476FC9">
        <w:rPr>
          <w:color w:val="000000" w:themeColor="text1"/>
        </w:rPr>
        <w:t xml:space="preserve">DTCA regulatory knowledge </w:t>
      </w:r>
      <w:r w:rsidR="005203B1" w:rsidRPr="00476FC9">
        <w:rPr>
          <w:color w:val="000000" w:themeColor="text1"/>
        </w:rPr>
        <w:t xml:space="preserve">and </w:t>
      </w:r>
      <w:r w:rsidR="00DB30EC" w:rsidRPr="00476FC9">
        <w:rPr>
          <w:color w:val="000000" w:themeColor="text1"/>
        </w:rPr>
        <w:t xml:space="preserve">risk disclosure prominence </w:t>
      </w:r>
      <w:r w:rsidR="005203B1" w:rsidRPr="00476FC9">
        <w:rPr>
          <w:color w:val="000000" w:themeColor="text1"/>
        </w:rPr>
        <w:t xml:space="preserve">is addressed, along with </w:t>
      </w:r>
      <w:r w:rsidR="00D231E6" w:rsidRPr="00476FC9">
        <w:rPr>
          <w:color w:val="000000" w:themeColor="text1"/>
        </w:rPr>
        <w:t>the mediating role of perceived attention</w:t>
      </w:r>
      <w:r w:rsidR="003B6CE7" w:rsidRPr="00476FC9">
        <w:rPr>
          <w:color w:val="000000" w:themeColor="text1"/>
        </w:rPr>
        <w:t xml:space="preserve">. </w:t>
      </w:r>
      <w:r w:rsidR="005203B1" w:rsidRPr="00476FC9">
        <w:rPr>
          <w:color w:val="000000" w:themeColor="text1"/>
        </w:rPr>
        <w:t>By doing so</w:t>
      </w:r>
      <w:r w:rsidR="00685464" w:rsidRPr="00476FC9">
        <w:rPr>
          <w:color w:val="000000" w:themeColor="text1"/>
        </w:rPr>
        <w:t xml:space="preserve">, </w:t>
      </w:r>
      <w:r w:rsidR="00425C79" w:rsidRPr="00476FC9">
        <w:rPr>
          <w:color w:val="000000" w:themeColor="text1"/>
        </w:rPr>
        <w:t>t</w:t>
      </w:r>
      <w:r w:rsidR="003B6CE7" w:rsidRPr="00476FC9">
        <w:rPr>
          <w:color w:val="000000" w:themeColor="text1"/>
        </w:rPr>
        <w:t xml:space="preserve">his </w:t>
      </w:r>
      <w:r w:rsidR="00685464" w:rsidRPr="00476FC9">
        <w:rPr>
          <w:color w:val="000000" w:themeColor="text1"/>
        </w:rPr>
        <w:t xml:space="preserve">chapter </w:t>
      </w:r>
      <w:r w:rsidR="003B6CE7" w:rsidRPr="00476FC9">
        <w:rPr>
          <w:color w:val="000000" w:themeColor="text1"/>
        </w:rPr>
        <w:t>extend</w:t>
      </w:r>
      <w:r w:rsidR="001114FB" w:rsidRPr="00476FC9">
        <w:rPr>
          <w:color w:val="000000" w:themeColor="text1"/>
        </w:rPr>
        <w:t xml:space="preserve">s </w:t>
      </w:r>
      <w:r w:rsidR="003B6CE7" w:rsidRPr="00476FC9">
        <w:rPr>
          <w:color w:val="000000" w:themeColor="text1"/>
        </w:rPr>
        <w:t xml:space="preserve">prior research on </w:t>
      </w:r>
      <w:r w:rsidR="002826A1" w:rsidRPr="00476FC9">
        <w:rPr>
          <w:color w:val="000000" w:themeColor="text1"/>
        </w:rPr>
        <w:t xml:space="preserve">DTCA risk disclosure and the PKM perspective. </w:t>
      </w:r>
      <w:r w:rsidR="008D18DF" w:rsidRPr="00476FC9">
        <w:rPr>
          <w:color w:val="000000" w:themeColor="text1"/>
        </w:rPr>
        <w:t>Then</w:t>
      </w:r>
      <w:r w:rsidR="00DB30EC" w:rsidRPr="00476FC9">
        <w:rPr>
          <w:color w:val="000000" w:themeColor="text1"/>
        </w:rPr>
        <w:t>,</w:t>
      </w:r>
      <w:r w:rsidR="008D18DF" w:rsidRPr="00476FC9">
        <w:rPr>
          <w:color w:val="000000" w:themeColor="text1"/>
        </w:rPr>
        <w:t xml:space="preserve"> this chapter e</w:t>
      </w:r>
      <w:r w:rsidR="000C3645" w:rsidRPr="00476FC9">
        <w:rPr>
          <w:color w:val="000000" w:themeColor="text1"/>
        </w:rPr>
        <w:t>laborate</w:t>
      </w:r>
      <w:r w:rsidR="008D18DF" w:rsidRPr="00476FC9">
        <w:rPr>
          <w:color w:val="000000" w:themeColor="text1"/>
        </w:rPr>
        <w:t>s more</w:t>
      </w:r>
      <w:r w:rsidR="000C3645" w:rsidRPr="00476FC9">
        <w:rPr>
          <w:color w:val="000000" w:themeColor="text1"/>
        </w:rPr>
        <w:t xml:space="preserve"> on the FDA’s conceptualization of risk disclosure prominence in</w:t>
      </w:r>
      <w:r w:rsidR="008D18DF" w:rsidRPr="00476FC9">
        <w:rPr>
          <w:color w:val="000000" w:themeColor="text1"/>
        </w:rPr>
        <w:t xml:space="preserve"> </w:t>
      </w:r>
      <w:r w:rsidR="000C3645" w:rsidRPr="00476FC9">
        <w:rPr>
          <w:color w:val="000000" w:themeColor="text1"/>
        </w:rPr>
        <w:t>DTCA</w:t>
      </w:r>
      <w:r w:rsidR="005203B1" w:rsidRPr="00476FC9">
        <w:rPr>
          <w:color w:val="000000" w:themeColor="text1"/>
        </w:rPr>
        <w:t xml:space="preserve"> to operationalize prominence in the experiment of current research</w:t>
      </w:r>
      <w:r w:rsidR="000C3645" w:rsidRPr="00476FC9">
        <w:rPr>
          <w:color w:val="000000" w:themeColor="text1"/>
        </w:rPr>
        <w:t xml:space="preserve">. </w:t>
      </w:r>
      <w:r w:rsidR="003B6CE7" w:rsidRPr="00476FC9">
        <w:rPr>
          <w:color w:val="000000" w:themeColor="text1"/>
        </w:rPr>
        <w:t xml:space="preserve">Based on the review of literature, this chapter </w:t>
      </w:r>
      <w:r w:rsidR="000C3645" w:rsidRPr="00476FC9">
        <w:rPr>
          <w:color w:val="000000" w:themeColor="text1"/>
        </w:rPr>
        <w:t>d</w:t>
      </w:r>
      <w:r w:rsidR="003B6CE7" w:rsidRPr="00476FC9">
        <w:rPr>
          <w:color w:val="000000" w:themeColor="text1"/>
        </w:rPr>
        <w:t>evelops the research hypotheses.</w:t>
      </w:r>
    </w:p>
    <w:p w:rsidR="003B6CE7" w:rsidRPr="00476FC9" w:rsidRDefault="003B6CE7"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t>The third chapter addresses the method of this research</w:t>
      </w:r>
      <w:r w:rsidR="00DB30EC" w:rsidRPr="00476FC9">
        <w:rPr>
          <w:color w:val="000000" w:themeColor="text1"/>
        </w:rPr>
        <w:t xml:space="preserve"> with justification</w:t>
      </w:r>
      <w:r w:rsidRPr="00476FC9">
        <w:rPr>
          <w:color w:val="000000" w:themeColor="text1"/>
        </w:rPr>
        <w:t xml:space="preserve">. Using an experimental approach, </w:t>
      </w:r>
      <w:r w:rsidRPr="00476FC9">
        <w:rPr>
          <w:rFonts w:hint="eastAsia"/>
          <w:color w:val="000000" w:themeColor="text1"/>
        </w:rPr>
        <w:t xml:space="preserve">risk </w:t>
      </w:r>
      <w:r w:rsidR="000C3645" w:rsidRPr="00476FC9">
        <w:rPr>
          <w:color w:val="000000" w:themeColor="text1"/>
        </w:rPr>
        <w:t>disclosure</w:t>
      </w:r>
      <w:r w:rsidRPr="00476FC9">
        <w:rPr>
          <w:rFonts w:hint="eastAsia"/>
          <w:color w:val="000000" w:themeColor="text1"/>
        </w:rPr>
        <w:t xml:space="preserve"> prominence </w:t>
      </w:r>
      <w:r w:rsidR="000C3645" w:rsidRPr="00476FC9">
        <w:rPr>
          <w:color w:val="000000" w:themeColor="text1"/>
        </w:rPr>
        <w:t xml:space="preserve">is </w:t>
      </w:r>
      <w:r w:rsidRPr="00476FC9">
        <w:rPr>
          <w:color w:val="000000" w:themeColor="text1"/>
        </w:rPr>
        <w:t xml:space="preserve">manipulated and tested </w:t>
      </w:r>
      <w:r w:rsidR="000C3645" w:rsidRPr="00476FC9">
        <w:rPr>
          <w:color w:val="000000" w:themeColor="text1"/>
        </w:rPr>
        <w:t>as an independent variable</w:t>
      </w:r>
      <w:r w:rsidR="002826A1" w:rsidRPr="00476FC9">
        <w:rPr>
          <w:color w:val="000000" w:themeColor="text1"/>
        </w:rPr>
        <w:t>,</w:t>
      </w:r>
      <w:r w:rsidR="00D231E6" w:rsidRPr="00476FC9">
        <w:rPr>
          <w:color w:val="000000" w:themeColor="text1"/>
        </w:rPr>
        <w:t xml:space="preserve"> and </w:t>
      </w:r>
      <w:r w:rsidR="00EB1FEC" w:rsidRPr="00476FC9">
        <w:rPr>
          <w:color w:val="000000" w:themeColor="text1"/>
        </w:rPr>
        <w:t>DTCA regulatory knowledge</w:t>
      </w:r>
      <w:r w:rsidR="00D231E6" w:rsidRPr="00476FC9">
        <w:rPr>
          <w:color w:val="000000" w:themeColor="text1"/>
        </w:rPr>
        <w:t xml:space="preserve"> is measured and tested</w:t>
      </w:r>
      <w:r w:rsidR="001044E6" w:rsidRPr="00476FC9">
        <w:rPr>
          <w:color w:val="000000" w:themeColor="text1"/>
        </w:rPr>
        <w:t xml:space="preserve"> as not only an independent variable but also a moderator of the prominence effects on consumer response to the ad</w:t>
      </w:r>
      <w:r w:rsidR="000C3645" w:rsidRPr="00476FC9">
        <w:rPr>
          <w:color w:val="000000" w:themeColor="text1"/>
        </w:rPr>
        <w:t xml:space="preserve">. </w:t>
      </w:r>
      <w:r w:rsidR="000C3645" w:rsidRPr="00476FC9">
        <w:rPr>
          <w:color w:val="000000" w:themeColor="text1"/>
        </w:rPr>
        <w:lastRenderedPageBreak/>
        <w:t xml:space="preserve">Criterion </w:t>
      </w:r>
      <w:r w:rsidR="001044E6" w:rsidRPr="00476FC9">
        <w:rPr>
          <w:color w:val="000000" w:themeColor="text1"/>
        </w:rPr>
        <w:t xml:space="preserve">variables’ </w:t>
      </w:r>
      <w:r w:rsidR="00D231E6" w:rsidRPr="00476FC9">
        <w:rPr>
          <w:color w:val="000000" w:themeColor="text1"/>
        </w:rPr>
        <w:t xml:space="preserve">measures </w:t>
      </w:r>
      <w:r w:rsidR="006F5233" w:rsidRPr="00476FC9">
        <w:rPr>
          <w:color w:val="000000" w:themeColor="text1"/>
        </w:rPr>
        <w:t>of th</w:t>
      </w:r>
      <w:r w:rsidR="00D231E6" w:rsidRPr="00476FC9">
        <w:rPr>
          <w:color w:val="000000" w:themeColor="text1"/>
        </w:rPr>
        <w:t>is r</w:t>
      </w:r>
      <w:r w:rsidR="006F5233" w:rsidRPr="00476FC9">
        <w:rPr>
          <w:color w:val="000000" w:themeColor="text1"/>
        </w:rPr>
        <w:t xml:space="preserve">esearch include </w:t>
      </w:r>
      <w:r w:rsidRPr="00476FC9">
        <w:rPr>
          <w:color w:val="000000" w:themeColor="text1"/>
        </w:rPr>
        <w:t>consumers’</w:t>
      </w:r>
      <w:r w:rsidR="000C3645" w:rsidRPr="00476FC9">
        <w:rPr>
          <w:color w:val="000000" w:themeColor="text1"/>
        </w:rPr>
        <w:t xml:space="preserve"> perceived attention to, recall</w:t>
      </w:r>
      <w:r w:rsidR="00EB1445" w:rsidRPr="00476FC9">
        <w:rPr>
          <w:color w:val="000000" w:themeColor="text1"/>
        </w:rPr>
        <w:t xml:space="preserve"> of</w:t>
      </w:r>
      <w:r w:rsidR="00D231E6" w:rsidRPr="00476FC9">
        <w:rPr>
          <w:color w:val="000000" w:themeColor="text1"/>
        </w:rPr>
        <w:t>,</w:t>
      </w:r>
      <w:r w:rsidR="000C3645" w:rsidRPr="00476FC9">
        <w:rPr>
          <w:color w:val="000000" w:themeColor="text1"/>
        </w:rPr>
        <w:t xml:space="preserve"> and recognition</w:t>
      </w:r>
      <w:r w:rsidR="00EB1445" w:rsidRPr="00476FC9">
        <w:rPr>
          <w:color w:val="000000" w:themeColor="text1"/>
        </w:rPr>
        <w:t xml:space="preserve"> of risk </w:t>
      </w:r>
      <w:r w:rsidR="00DB30EC" w:rsidRPr="00476FC9">
        <w:rPr>
          <w:color w:val="000000" w:themeColor="text1"/>
        </w:rPr>
        <w:t>information</w:t>
      </w:r>
      <w:r w:rsidR="00D231E6" w:rsidRPr="00476FC9">
        <w:rPr>
          <w:color w:val="000000" w:themeColor="text1"/>
        </w:rPr>
        <w:t xml:space="preserve">. Perceived attention </w:t>
      </w:r>
      <w:r w:rsidR="00EB1445" w:rsidRPr="00476FC9">
        <w:rPr>
          <w:color w:val="000000" w:themeColor="text1"/>
        </w:rPr>
        <w:t>is</w:t>
      </w:r>
      <w:r w:rsidR="00D231E6" w:rsidRPr="00476FC9">
        <w:rPr>
          <w:color w:val="000000" w:themeColor="text1"/>
        </w:rPr>
        <w:t xml:space="preserve"> </w:t>
      </w:r>
      <w:r w:rsidR="002826A1" w:rsidRPr="00476FC9">
        <w:rPr>
          <w:color w:val="000000" w:themeColor="text1"/>
        </w:rPr>
        <w:t xml:space="preserve">conceptualized and </w:t>
      </w:r>
      <w:r w:rsidR="00D231E6" w:rsidRPr="00476FC9">
        <w:rPr>
          <w:color w:val="000000" w:themeColor="text1"/>
        </w:rPr>
        <w:t xml:space="preserve">measured </w:t>
      </w:r>
      <w:r w:rsidR="002826A1" w:rsidRPr="00476FC9">
        <w:rPr>
          <w:color w:val="000000" w:themeColor="text1"/>
        </w:rPr>
        <w:t>as a self-report</w:t>
      </w:r>
      <w:r w:rsidR="00F74839" w:rsidRPr="00476FC9">
        <w:rPr>
          <w:color w:val="000000" w:themeColor="text1"/>
        </w:rPr>
        <w:t>ed</w:t>
      </w:r>
      <w:r w:rsidR="002826A1" w:rsidRPr="00476FC9">
        <w:rPr>
          <w:color w:val="000000" w:themeColor="text1"/>
        </w:rPr>
        <w:t xml:space="preserve"> indicator </w:t>
      </w:r>
      <w:r w:rsidR="00D231E6" w:rsidRPr="00476FC9">
        <w:rPr>
          <w:color w:val="000000" w:themeColor="text1"/>
        </w:rPr>
        <w:t xml:space="preserve">to </w:t>
      </w:r>
      <w:r w:rsidR="002826A1" w:rsidRPr="00476FC9">
        <w:rPr>
          <w:color w:val="000000" w:themeColor="text1"/>
        </w:rPr>
        <w:t xml:space="preserve">represent a proxy measure of consumers’ </w:t>
      </w:r>
      <w:r w:rsidR="003A10A5" w:rsidRPr="00476FC9">
        <w:rPr>
          <w:color w:val="000000" w:themeColor="text1"/>
        </w:rPr>
        <w:t xml:space="preserve">subjective </w:t>
      </w:r>
      <w:r w:rsidR="002826A1" w:rsidRPr="00476FC9">
        <w:rPr>
          <w:color w:val="000000" w:themeColor="text1"/>
        </w:rPr>
        <w:t xml:space="preserve">attention. </w:t>
      </w:r>
      <w:r w:rsidR="00D231E6" w:rsidRPr="00476FC9">
        <w:rPr>
          <w:color w:val="000000" w:themeColor="text1"/>
        </w:rPr>
        <w:t xml:space="preserve">Recall and recognition </w:t>
      </w:r>
      <w:r w:rsidR="00EB1445" w:rsidRPr="00476FC9">
        <w:rPr>
          <w:color w:val="000000" w:themeColor="text1"/>
        </w:rPr>
        <w:t>are</w:t>
      </w:r>
      <w:r w:rsidR="00D231E6" w:rsidRPr="00476FC9">
        <w:rPr>
          <w:color w:val="000000" w:themeColor="text1"/>
        </w:rPr>
        <w:t xml:space="preserve"> measured to assess </w:t>
      </w:r>
      <w:r w:rsidR="002826A1" w:rsidRPr="00476FC9">
        <w:rPr>
          <w:color w:val="000000" w:themeColor="text1"/>
        </w:rPr>
        <w:t xml:space="preserve">objective </w:t>
      </w:r>
      <w:r w:rsidR="00D231E6" w:rsidRPr="00476FC9">
        <w:rPr>
          <w:color w:val="000000" w:themeColor="text1"/>
        </w:rPr>
        <w:t>cognitive task performance</w:t>
      </w:r>
      <w:r w:rsidR="002826A1" w:rsidRPr="00476FC9">
        <w:rPr>
          <w:color w:val="000000" w:themeColor="text1"/>
        </w:rPr>
        <w:t xml:space="preserve"> to complement the subjective self-report measure</w:t>
      </w:r>
      <w:r w:rsidR="00D231E6" w:rsidRPr="00476FC9">
        <w:rPr>
          <w:color w:val="000000" w:themeColor="text1"/>
        </w:rPr>
        <w:t xml:space="preserve">. </w:t>
      </w:r>
      <w:r w:rsidR="000C3645" w:rsidRPr="00476FC9">
        <w:rPr>
          <w:color w:val="000000" w:themeColor="text1"/>
        </w:rPr>
        <w:t xml:space="preserve">Finally, potential covariates of the criterion variables </w:t>
      </w:r>
      <w:r w:rsidR="00963CEA" w:rsidRPr="00476FC9">
        <w:rPr>
          <w:color w:val="000000" w:themeColor="text1"/>
        </w:rPr>
        <w:t>are</w:t>
      </w:r>
      <w:r w:rsidR="000C3645" w:rsidRPr="00476FC9">
        <w:rPr>
          <w:color w:val="000000" w:themeColor="text1"/>
        </w:rPr>
        <w:t xml:space="preserve"> identified from the heal</w:t>
      </w:r>
      <w:r w:rsidR="00963CEA" w:rsidRPr="00476FC9">
        <w:rPr>
          <w:color w:val="000000" w:themeColor="text1"/>
        </w:rPr>
        <w:t>th communication literature and</w:t>
      </w:r>
      <w:r w:rsidR="000C3645" w:rsidRPr="00476FC9">
        <w:rPr>
          <w:color w:val="000000" w:themeColor="text1"/>
        </w:rPr>
        <w:t xml:space="preserve"> controlled to </w:t>
      </w:r>
      <w:r w:rsidR="00EB1445" w:rsidRPr="00476FC9">
        <w:rPr>
          <w:color w:val="000000" w:themeColor="text1"/>
        </w:rPr>
        <w:t>exclude</w:t>
      </w:r>
      <w:r w:rsidR="000C3645" w:rsidRPr="00476FC9">
        <w:rPr>
          <w:color w:val="000000" w:themeColor="text1"/>
        </w:rPr>
        <w:t xml:space="preserve"> </w:t>
      </w:r>
      <w:r w:rsidR="008D18DF" w:rsidRPr="00476FC9">
        <w:rPr>
          <w:color w:val="000000" w:themeColor="text1"/>
        </w:rPr>
        <w:t xml:space="preserve">potential </w:t>
      </w:r>
      <w:r w:rsidR="000C3645" w:rsidRPr="00476FC9">
        <w:rPr>
          <w:color w:val="000000" w:themeColor="text1"/>
        </w:rPr>
        <w:t>confounding influences</w:t>
      </w:r>
      <w:r w:rsidR="008D18DF" w:rsidRPr="00476FC9">
        <w:rPr>
          <w:color w:val="000000" w:themeColor="text1"/>
        </w:rPr>
        <w:t xml:space="preserve"> on </w:t>
      </w:r>
      <w:r w:rsidR="001044E6" w:rsidRPr="00476FC9">
        <w:rPr>
          <w:color w:val="000000" w:themeColor="text1"/>
        </w:rPr>
        <w:t>the outcome</w:t>
      </w:r>
      <w:r w:rsidR="008D18DF" w:rsidRPr="00476FC9">
        <w:rPr>
          <w:color w:val="000000" w:themeColor="text1"/>
        </w:rPr>
        <w:t xml:space="preserve"> variables</w:t>
      </w:r>
      <w:r w:rsidR="000C3645" w:rsidRPr="00476FC9">
        <w:rPr>
          <w:color w:val="000000" w:themeColor="text1"/>
        </w:rPr>
        <w:t>.</w:t>
      </w:r>
    </w:p>
    <w:p w:rsidR="00552B9E" w:rsidRPr="00476FC9" w:rsidRDefault="003B6CE7"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t xml:space="preserve">The fourth chapter provides </w:t>
      </w:r>
      <w:r w:rsidR="00963CEA" w:rsidRPr="00476FC9">
        <w:rPr>
          <w:color w:val="000000" w:themeColor="text1"/>
        </w:rPr>
        <w:t xml:space="preserve">information about </w:t>
      </w:r>
      <w:r w:rsidR="00D56C50" w:rsidRPr="00476FC9">
        <w:rPr>
          <w:color w:val="000000" w:themeColor="text1"/>
        </w:rPr>
        <w:t xml:space="preserve">the </w:t>
      </w:r>
      <w:r w:rsidR="002712BF" w:rsidRPr="00476FC9">
        <w:rPr>
          <w:color w:val="000000" w:themeColor="text1"/>
        </w:rPr>
        <w:t>analytical</w:t>
      </w:r>
      <w:r w:rsidR="00963CEA" w:rsidRPr="00476FC9">
        <w:rPr>
          <w:color w:val="000000" w:themeColor="text1"/>
        </w:rPr>
        <w:t xml:space="preserve"> approach </w:t>
      </w:r>
      <w:r w:rsidR="00DB30EC" w:rsidRPr="00476FC9">
        <w:rPr>
          <w:color w:val="000000" w:themeColor="text1"/>
        </w:rPr>
        <w:t xml:space="preserve">with justification </w:t>
      </w:r>
      <w:r w:rsidR="00963CEA" w:rsidRPr="00476FC9">
        <w:rPr>
          <w:color w:val="000000" w:themeColor="text1"/>
        </w:rPr>
        <w:t xml:space="preserve">and </w:t>
      </w:r>
      <w:r w:rsidRPr="00476FC9">
        <w:rPr>
          <w:color w:val="000000" w:themeColor="text1"/>
        </w:rPr>
        <w:t xml:space="preserve">the findings of this research. In this chapter, </w:t>
      </w:r>
      <w:r w:rsidR="00EB1445" w:rsidRPr="00476FC9">
        <w:rPr>
          <w:color w:val="000000" w:themeColor="text1"/>
        </w:rPr>
        <w:t xml:space="preserve">a set of multiple hierarchical regressions are employed to test the main effects of </w:t>
      </w:r>
      <w:r w:rsidR="00DB30EC" w:rsidRPr="00476FC9">
        <w:rPr>
          <w:color w:val="000000" w:themeColor="text1"/>
        </w:rPr>
        <w:t xml:space="preserve">DTCA regulatory knowledge and </w:t>
      </w:r>
      <w:r w:rsidR="00EB1445" w:rsidRPr="00476FC9">
        <w:rPr>
          <w:color w:val="000000" w:themeColor="text1"/>
        </w:rPr>
        <w:t>risk disclosure</w:t>
      </w:r>
      <w:r w:rsidR="00DB30EC" w:rsidRPr="00476FC9">
        <w:rPr>
          <w:color w:val="000000" w:themeColor="text1"/>
        </w:rPr>
        <w:t xml:space="preserve"> prominence</w:t>
      </w:r>
      <w:r w:rsidR="00EB1445" w:rsidRPr="00476FC9">
        <w:rPr>
          <w:color w:val="000000" w:themeColor="text1"/>
        </w:rPr>
        <w:t xml:space="preserve"> along with their interactive effects, as developed in the literature review chapter. </w:t>
      </w:r>
      <w:r w:rsidRPr="00476FC9">
        <w:rPr>
          <w:color w:val="000000" w:themeColor="text1"/>
        </w:rPr>
        <w:t xml:space="preserve">In addition, </w:t>
      </w:r>
      <w:r w:rsidR="001044E6" w:rsidRPr="00476FC9">
        <w:rPr>
          <w:color w:val="000000" w:themeColor="text1"/>
        </w:rPr>
        <w:t>adopting</w:t>
      </w:r>
      <w:r w:rsidR="00EB1445" w:rsidRPr="00476FC9">
        <w:rPr>
          <w:color w:val="000000" w:themeColor="text1"/>
        </w:rPr>
        <w:t xml:space="preserve"> a widely utilized approach to </w:t>
      </w:r>
      <w:r w:rsidR="001044E6" w:rsidRPr="00476FC9">
        <w:rPr>
          <w:color w:val="000000" w:themeColor="text1"/>
        </w:rPr>
        <w:t>pinpoint</w:t>
      </w:r>
      <w:r w:rsidR="00EB1445" w:rsidRPr="00476FC9">
        <w:rPr>
          <w:color w:val="000000" w:themeColor="text1"/>
        </w:rPr>
        <w:t xml:space="preserve"> the interaction pattern</w:t>
      </w:r>
      <w:r w:rsidR="001044E6" w:rsidRPr="00476FC9">
        <w:rPr>
          <w:color w:val="000000" w:themeColor="text1"/>
        </w:rPr>
        <w:t xml:space="preserve"> for regression </w:t>
      </w:r>
      <w:r w:rsidR="00DB30EC" w:rsidRPr="00476FC9">
        <w:rPr>
          <w:color w:val="000000" w:themeColor="text1"/>
        </w:rPr>
        <w:t>equations</w:t>
      </w:r>
      <w:r w:rsidR="00EB1445" w:rsidRPr="00476FC9">
        <w:rPr>
          <w:color w:val="000000" w:themeColor="text1"/>
        </w:rPr>
        <w:t xml:space="preserve">, the slopes and intercepts </w:t>
      </w:r>
      <w:r w:rsidR="001044E6" w:rsidRPr="00476FC9">
        <w:rPr>
          <w:color w:val="000000" w:themeColor="text1"/>
        </w:rPr>
        <w:t>of the regression equations (for each subgroup: high and low prominence) of this research are</w:t>
      </w:r>
      <w:r w:rsidR="00EB1445" w:rsidRPr="00476FC9">
        <w:rPr>
          <w:color w:val="000000" w:themeColor="text1"/>
        </w:rPr>
        <w:t xml:space="preserve"> interpreted to see if the interactive pattern</w:t>
      </w:r>
      <w:r w:rsidR="00DB30EC" w:rsidRPr="00476FC9">
        <w:rPr>
          <w:color w:val="000000" w:themeColor="text1"/>
        </w:rPr>
        <w:t>s</w:t>
      </w:r>
      <w:r w:rsidR="00EB1445" w:rsidRPr="00476FC9">
        <w:rPr>
          <w:color w:val="000000" w:themeColor="text1"/>
        </w:rPr>
        <w:t xml:space="preserve"> between</w:t>
      </w:r>
      <w:r w:rsidR="00DB30EC" w:rsidRPr="00476FC9">
        <w:rPr>
          <w:color w:val="000000" w:themeColor="text1"/>
        </w:rPr>
        <w:t xml:space="preserve"> DTCA regulatory knowledge</w:t>
      </w:r>
      <w:r w:rsidR="00EB1445" w:rsidRPr="00476FC9">
        <w:rPr>
          <w:color w:val="000000" w:themeColor="text1"/>
        </w:rPr>
        <w:t xml:space="preserve"> and </w:t>
      </w:r>
      <w:r w:rsidR="00DB30EC" w:rsidRPr="00476FC9">
        <w:rPr>
          <w:color w:val="000000" w:themeColor="text1"/>
        </w:rPr>
        <w:t xml:space="preserve">risk disclosure prominence </w:t>
      </w:r>
      <w:r w:rsidR="00031A88" w:rsidRPr="00476FC9">
        <w:rPr>
          <w:color w:val="000000" w:themeColor="text1"/>
        </w:rPr>
        <w:t>are</w:t>
      </w:r>
      <w:r w:rsidR="00EB1445" w:rsidRPr="00476FC9">
        <w:rPr>
          <w:color w:val="000000" w:themeColor="text1"/>
        </w:rPr>
        <w:t xml:space="preserve"> consistent with the hypothesized one</w:t>
      </w:r>
      <w:r w:rsidR="00DB30EC" w:rsidRPr="00476FC9">
        <w:rPr>
          <w:color w:val="000000" w:themeColor="text1"/>
        </w:rPr>
        <w:t>s</w:t>
      </w:r>
      <w:r w:rsidR="00EB1445" w:rsidRPr="00476FC9">
        <w:rPr>
          <w:color w:val="000000" w:themeColor="text1"/>
        </w:rPr>
        <w:t xml:space="preserve">. </w:t>
      </w:r>
      <w:r w:rsidR="002712BF" w:rsidRPr="00476FC9">
        <w:rPr>
          <w:color w:val="000000" w:themeColor="text1"/>
        </w:rPr>
        <w:t xml:space="preserve">Finally, </w:t>
      </w:r>
      <w:r w:rsidR="00BF3493" w:rsidRPr="00476FC9">
        <w:rPr>
          <w:color w:val="000000" w:themeColor="text1"/>
        </w:rPr>
        <w:t>a</w:t>
      </w:r>
      <w:r w:rsidR="00E11298" w:rsidRPr="00476FC9">
        <w:rPr>
          <w:color w:val="000000" w:themeColor="text1"/>
        </w:rPr>
        <w:t xml:space="preserve"> </w:t>
      </w:r>
      <w:r w:rsidR="00E11298" w:rsidRPr="00476FC9">
        <w:rPr>
          <w:i/>
          <w:color w:val="000000" w:themeColor="text1"/>
        </w:rPr>
        <w:t>bootstrap</w:t>
      </w:r>
      <w:r w:rsidR="00E11298" w:rsidRPr="00476FC9">
        <w:rPr>
          <w:color w:val="000000" w:themeColor="text1"/>
        </w:rPr>
        <w:t xml:space="preserve"> approach, </w:t>
      </w:r>
      <w:r w:rsidR="002712BF" w:rsidRPr="00476FC9">
        <w:rPr>
          <w:color w:val="000000" w:themeColor="text1"/>
        </w:rPr>
        <w:t>a</w:t>
      </w:r>
      <w:r w:rsidR="00963CEA" w:rsidRPr="00476FC9">
        <w:rPr>
          <w:color w:val="000000" w:themeColor="text1"/>
        </w:rPr>
        <w:t xml:space="preserve"> </w:t>
      </w:r>
      <w:r w:rsidR="00EB1445" w:rsidRPr="00476FC9">
        <w:rPr>
          <w:color w:val="000000" w:themeColor="text1"/>
        </w:rPr>
        <w:t xml:space="preserve">contemporary </w:t>
      </w:r>
      <w:r w:rsidR="00E11298" w:rsidRPr="00476FC9">
        <w:rPr>
          <w:color w:val="000000" w:themeColor="text1"/>
        </w:rPr>
        <w:t>method</w:t>
      </w:r>
      <w:r w:rsidR="00EB1445" w:rsidRPr="00476FC9">
        <w:rPr>
          <w:color w:val="000000" w:themeColor="text1"/>
        </w:rPr>
        <w:t xml:space="preserve"> for mediation analysis,</w:t>
      </w:r>
      <w:r w:rsidR="00D56C50" w:rsidRPr="00476FC9">
        <w:rPr>
          <w:color w:val="000000" w:themeColor="text1"/>
        </w:rPr>
        <w:t xml:space="preserve"> </w:t>
      </w:r>
      <w:r w:rsidR="00963CEA" w:rsidRPr="00476FC9">
        <w:rPr>
          <w:color w:val="000000" w:themeColor="text1"/>
        </w:rPr>
        <w:t xml:space="preserve">is </w:t>
      </w:r>
      <w:r w:rsidRPr="00476FC9">
        <w:rPr>
          <w:color w:val="000000" w:themeColor="text1"/>
        </w:rPr>
        <w:t>employed</w:t>
      </w:r>
      <w:r w:rsidR="00EA7D77" w:rsidRPr="00476FC9">
        <w:rPr>
          <w:color w:val="000000" w:themeColor="text1"/>
        </w:rPr>
        <w:t xml:space="preserve"> </w:t>
      </w:r>
      <w:r w:rsidR="00963CEA" w:rsidRPr="00476FC9">
        <w:rPr>
          <w:color w:val="000000" w:themeColor="text1"/>
        </w:rPr>
        <w:t xml:space="preserve">to examine the hypothesized </w:t>
      </w:r>
      <w:r w:rsidR="005C442D" w:rsidRPr="00476FC9">
        <w:rPr>
          <w:color w:val="000000" w:themeColor="text1"/>
        </w:rPr>
        <w:t xml:space="preserve">mediating </w:t>
      </w:r>
      <w:r w:rsidR="00963CEA" w:rsidRPr="00476FC9">
        <w:rPr>
          <w:color w:val="000000" w:themeColor="text1"/>
        </w:rPr>
        <w:t xml:space="preserve">role of perceived </w:t>
      </w:r>
      <w:r w:rsidR="00EB1445" w:rsidRPr="00476FC9">
        <w:rPr>
          <w:color w:val="000000" w:themeColor="text1"/>
        </w:rPr>
        <w:t>attention</w:t>
      </w:r>
      <w:r w:rsidR="005C442D" w:rsidRPr="00476FC9">
        <w:rPr>
          <w:color w:val="000000" w:themeColor="text1"/>
        </w:rPr>
        <w:t>.</w:t>
      </w:r>
    </w:p>
    <w:p w:rsidR="00552B9E" w:rsidRDefault="00552B9E"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3B6CE7" w:rsidRPr="00476FC9">
        <w:rPr>
          <w:color w:val="000000" w:themeColor="text1"/>
        </w:rPr>
        <w:t xml:space="preserve">The </w:t>
      </w:r>
      <w:r w:rsidR="00963CEA" w:rsidRPr="00476FC9">
        <w:rPr>
          <w:color w:val="000000" w:themeColor="text1"/>
        </w:rPr>
        <w:t>fifth</w:t>
      </w:r>
      <w:r w:rsidR="003B6CE7" w:rsidRPr="00476FC9">
        <w:rPr>
          <w:color w:val="000000" w:themeColor="text1"/>
        </w:rPr>
        <w:t xml:space="preserve"> chapter draws upon the results and </w:t>
      </w:r>
      <w:r w:rsidR="00D56C50" w:rsidRPr="00476FC9">
        <w:rPr>
          <w:color w:val="000000" w:themeColor="text1"/>
        </w:rPr>
        <w:t>discusses</w:t>
      </w:r>
      <w:r w:rsidR="003B6CE7" w:rsidRPr="00476FC9">
        <w:rPr>
          <w:color w:val="000000" w:themeColor="text1"/>
        </w:rPr>
        <w:t xml:space="preserve"> meaningful findings regarding </w:t>
      </w:r>
      <w:r w:rsidR="003B518A" w:rsidRPr="00476FC9">
        <w:rPr>
          <w:color w:val="000000" w:themeColor="text1"/>
        </w:rPr>
        <w:t xml:space="preserve">the effects of </w:t>
      </w:r>
      <w:r w:rsidR="00DB30EC" w:rsidRPr="00476FC9">
        <w:rPr>
          <w:color w:val="000000" w:themeColor="text1"/>
        </w:rPr>
        <w:t xml:space="preserve">DTCA regulatory knowledge, </w:t>
      </w:r>
      <w:r w:rsidR="003B6CE7" w:rsidRPr="00476FC9">
        <w:rPr>
          <w:color w:val="000000" w:themeColor="text1"/>
        </w:rPr>
        <w:t xml:space="preserve">risk disclosure </w:t>
      </w:r>
      <w:r w:rsidR="00D56C50" w:rsidRPr="00476FC9">
        <w:rPr>
          <w:color w:val="000000" w:themeColor="text1"/>
        </w:rPr>
        <w:t>prominence</w:t>
      </w:r>
      <w:r w:rsidR="005203B1" w:rsidRPr="00476FC9">
        <w:rPr>
          <w:color w:val="000000" w:themeColor="text1"/>
        </w:rPr>
        <w:t>, their interaction,</w:t>
      </w:r>
      <w:r w:rsidR="003B6CE7" w:rsidRPr="00476FC9">
        <w:rPr>
          <w:color w:val="000000" w:themeColor="text1"/>
        </w:rPr>
        <w:t xml:space="preserve"> and </w:t>
      </w:r>
      <w:r w:rsidR="00963CEA" w:rsidRPr="00476FC9">
        <w:rPr>
          <w:color w:val="000000" w:themeColor="text1"/>
        </w:rPr>
        <w:t xml:space="preserve">the mediating </w:t>
      </w:r>
      <w:r w:rsidR="005203B1" w:rsidRPr="00476FC9">
        <w:rPr>
          <w:color w:val="000000" w:themeColor="text1"/>
        </w:rPr>
        <w:t xml:space="preserve">effects of perceived attention. </w:t>
      </w:r>
      <w:r w:rsidR="003B6CE7" w:rsidRPr="00476FC9">
        <w:rPr>
          <w:color w:val="000000" w:themeColor="text1"/>
        </w:rPr>
        <w:t>The</w:t>
      </w:r>
      <w:r w:rsidR="00D56C50" w:rsidRPr="00476FC9">
        <w:rPr>
          <w:color w:val="000000" w:themeColor="text1"/>
        </w:rPr>
        <w:t xml:space="preserve"> </w:t>
      </w:r>
      <w:r w:rsidR="003B6CE7" w:rsidRPr="00476FC9">
        <w:rPr>
          <w:color w:val="000000" w:themeColor="text1"/>
        </w:rPr>
        <w:t>theoretical</w:t>
      </w:r>
      <w:r w:rsidR="00B25B9B" w:rsidRPr="00476FC9">
        <w:rPr>
          <w:color w:val="000000" w:themeColor="text1"/>
        </w:rPr>
        <w:t xml:space="preserve">, managerial, and </w:t>
      </w:r>
      <w:r w:rsidR="00DB30EC" w:rsidRPr="00476FC9">
        <w:rPr>
          <w:color w:val="000000" w:themeColor="text1"/>
        </w:rPr>
        <w:t>consumer education/</w:t>
      </w:r>
      <w:r w:rsidR="00B25B9B" w:rsidRPr="00476FC9">
        <w:rPr>
          <w:color w:val="000000" w:themeColor="text1"/>
        </w:rPr>
        <w:t xml:space="preserve">public health </w:t>
      </w:r>
      <w:r w:rsidR="003B6CE7" w:rsidRPr="00476FC9">
        <w:rPr>
          <w:color w:val="000000" w:themeColor="text1"/>
        </w:rPr>
        <w:t>implications</w:t>
      </w:r>
      <w:r w:rsidR="00D56C50" w:rsidRPr="00476FC9">
        <w:rPr>
          <w:color w:val="000000" w:themeColor="text1"/>
        </w:rPr>
        <w:t xml:space="preserve"> of the research are addressed</w:t>
      </w:r>
      <w:r w:rsidR="003B6CE7" w:rsidRPr="00476FC9">
        <w:rPr>
          <w:color w:val="000000" w:themeColor="text1"/>
        </w:rPr>
        <w:t>.</w:t>
      </w:r>
      <w:r w:rsidR="0013709C" w:rsidRPr="00476FC9">
        <w:rPr>
          <w:color w:val="000000" w:themeColor="text1"/>
        </w:rPr>
        <w:t xml:space="preserve"> </w:t>
      </w:r>
      <w:r w:rsidR="00B25B9B" w:rsidRPr="00476FC9">
        <w:rPr>
          <w:color w:val="000000" w:themeColor="text1"/>
        </w:rPr>
        <w:t xml:space="preserve">The final chapter addresses </w:t>
      </w:r>
      <w:r w:rsidR="003B6CE7" w:rsidRPr="00476FC9">
        <w:rPr>
          <w:color w:val="000000" w:themeColor="text1"/>
        </w:rPr>
        <w:t xml:space="preserve">the limitations of the study </w:t>
      </w:r>
      <w:r w:rsidR="00B25B9B" w:rsidRPr="00476FC9">
        <w:rPr>
          <w:color w:val="000000" w:themeColor="text1"/>
        </w:rPr>
        <w:t>and sugge</w:t>
      </w:r>
      <w:r w:rsidR="007D2ACE">
        <w:rPr>
          <w:color w:val="000000" w:themeColor="text1"/>
        </w:rPr>
        <w:t>sts avenues for future research.</w:t>
      </w:r>
    </w:p>
    <w:p w:rsidR="00871346" w:rsidRPr="00476FC9" w:rsidRDefault="003B6CE7" w:rsidP="007D2ACE">
      <w:pPr>
        <w:pStyle w:val="Heading1"/>
        <w:rPr>
          <w:color w:val="000000" w:themeColor="text1"/>
        </w:rPr>
      </w:pPr>
      <w:bookmarkStart w:id="5" w:name="_Toc393800652"/>
      <w:r w:rsidRPr="00476FC9">
        <w:rPr>
          <w:color w:val="000000" w:themeColor="text1"/>
        </w:rPr>
        <w:lastRenderedPageBreak/>
        <w:t>CHAPTER 2: LITERATURE REVIEW</w:t>
      </w:r>
      <w:bookmarkEnd w:id="5"/>
    </w:p>
    <w:p w:rsidR="00624934" w:rsidRPr="00476FC9" w:rsidRDefault="00624934" w:rsidP="007D2ACE">
      <w:pPr>
        <w:pStyle w:val="Heading2"/>
        <w:rPr>
          <w:color w:val="000000" w:themeColor="text1"/>
        </w:rPr>
      </w:pPr>
      <w:bookmarkStart w:id="6" w:name="_Toc393800653"/>
      <w:r w:rsidRPr="00476FC9">
        <w:rPr>
          <w:color w:val="000000" w:themeColor="text1"/>
        </w:rPr>
        <w:t>The DTCA Market</w:t>
      </w:r>
      <w:bookmarkEnd w:id="6"/>
    </w:p>
    <w:p w:rsidR="00624934" w:rsidRPr="00476FC9" w:rsidRDefault="00624934" w:rsidP="007D2ACE">
      <w:pPr>
        <w:keepNext w:val="0"/>
        <w:widowControl w:val="0"/>
        <w:kinsoku w:val="0"/>
        <w:overflowPunct w:val="0"/>
        <w:autoSpaceDE w:val="0"/>
        <w:autoSpaceDN w:val="0"/>
        <w:adjustRightInd w:val="0"/>
        <w:snapToGrid w:val="0"/>
        <w:spacing w:before="0" w:after="0"/>
        <w:ind w:firstLine="720"/>
        <w:rPr>
          <w:b/>
          <w:color w:val="000000" w:themeColor="text1"/>
        </w:rPr>
      </w:pPr>
      <w:r w:rsidRPr="00476FC9">
        <w:rPr>
          <w:color w:val="000000" w:themeColor="text1"/>
        </w:rPr>
        <w:t xml:space="preserve">DTCA refers to the prescription drug ads that are published in magazines and newspapers distributed to general consumers, and electronic media such as TV, radio, and the Internet are also considered important platforms for DTCA </w:t>
      </w:r>
      <w:r w:rsidR="00D83DFE" w:rsidRPr="00476FC9">
        <w:rPr>
          <w:color w:val="000000" w:themeColor="text1"/>
        </w:rPr>
        <w:t>(FDA, 2014a).</w:t>
      </w:r>
      <w:r w:rsidRPr="00476FC9">
        <w:rPr>
          <w:color w:val="000000" w:themeColor="text1"/>
        </w:rPr>
        <w:t xml:space="preserve"> Since </w:t>
      </w:r>
      <w:r w:rsidR="00DA46F8" w:rsidRPr="00476FC9">
        <w:rPr>
          <w:color w:val="000000" w:themeColor="text1"/>
        </w:rPr>
        <w:t xml:space="preserve">the </w:t>
      </w:r>
      <w:r w:rsidR="00E11298" w:rsidRPr="00476FC9">
        <w:rPr>
          <w:color w:val="000000" w:themeColor="text1"/>
        </w:rPr>
        <w:t xml:space="preserve">early 1990s when some drug manufacturers began targeting consumers, </w:t>
      </w:r>
      <w:r w:rsidRPr="00476FC9">
        <w:rPr>
          <w:color w:val="000000" w:themeColor="text1"/>
        </w:rPr>
        <w:t>DTCA has been one of the most widely utilized health information sources</w:t>
      </w:r>
      <w:r w:rsidR="00E11298" w:rsidRPr="00476FC9">
        <w:rPr>
          <w:color w:val="000000" w:themeColor="text1"/>
        </w:rPr>
        <w:t xml:space="preserve"> </w:t>
      </w:r>
      <w:r w:rsidR="00D83DFE" w:rsidRPr="00476FC9">
        <w:rPr>
          <w:color w:val="000000" w:themeColor="text1"/>
        </w:rPr>
        <w:t xml:space="preserve">(FDA, 2014a). </w:t>
      </w:r>
      <w:r w:rsidR="00444DD4" w:rsidRPr="00476FC9">
        <w:rPr>
          <w:color w:val="000000" w:themeColor="text1"/>
        </w:rPr>
        <w:t>In particular, after the restrictions on the DTCA regulation</w:t>
      </w:r>
      <w:r w:rsidR="00823E95" w:rsidRPr="00476FC9">
        <w:rPr>
          <w:color w:val="000000" w:themeColor="text1"/>
        </w:rPr>
        <w:t>s</w:t>
      </w:r>
      <w:r w:rsidR="00444DD4" w:rsidRPr="00476FC9">
        <w:rPr>
          <w:color w:val="000000" w:themeColor="text1"/>
        </w:rPr>
        <w:t xml:space="preserve"> </w:t>
      </w:r>
      <w:r w:rsidR="00823E95" w:rsidRPr="00476FC9">
        <w:rPr>
          <w:color w:val="000000" w:themeColor="text1"/>
        </w:rPr>
        <w:t>were</w:t>
      </w:r>
      <w:r w:rsidR="00444DD4" w:rsidRPr="00476FC9">
        <w:rPr>
          <w:color w:val="000000" w:themeColor="text1"/>
        </w:rPr>
        <w:t xml:space="preserve"> relaxed in 1997</w:t>
      </w:r>
      <w:r w:rsidR="00E11298" w:rsidRPr="00476FC9">
        <w:rPr>
          <w:color w:val="000000" w:themeColor="text1"/>
        </w:rPr>
        <w:t>,</w:t>
      </w:r>
      <w:r w:rsidRPr="00476FC9">
        <w:rPr>
          <w:color w:val="000000" w:themeColor="text1"/>
        </w:rPr>
        <w:t xml:space="preserve"> its marketing expenditure has rapidly increased to be the second largest consumer advertising category during the period of 2007-2008 (Nielsen, 2009).</w:t>
      </w:r>
    </w:p>
    <w:p w:rsidR="00624934" w:rsidRPr="00476FC9" w:rsidRDefault="00624934"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More specifically, the DTCA spending of TV, radio, magazines, newspapers, and outdoor, reached $4.9 billion in 2007 (Hilsenrath</w:t>
      </w:r>
      <w:r w:rsidR="00444DD4" w:rsidRPr="00476FC9">
        <w:rPr>
          <w:color w:val="000000" w:themeColor="text1"/>
        </w:rPr>
        <w:t>,</w:t>
      </w:r>
      <w:r w:rsidRPr="00476FC9">
        <w:rPr>
          <w:color w:val="000000" w:themeColor="text1"/>
        </w:rPr>
        <w:t xml:space="preserve"> 2011). Although it decreased to $4.3 billion in 2009 (Kaiser Family Foundation, 2010), to $4.0 billion in 2010, and to $3.9 billion in 2011 (IMS Health, 2011), </w:t>
      </w:r>
      <w:r w:rsidR="00444DD4" w:rsidRPr="00476FC9">
        <w:rPr>
          <w:color w:val="000000" w:themeColor="text1"/>
        </w:rPr>
        <w:t>after</w:t>
      </w:r>
      <w:r w:rsidRPr="00476FC9">
        <w:rPr>
          <w:color w:val="000000" w:themeColor="text1"/>
        </w:rPr>
        <w:t xml:space="preserve"> the severe US economic recession of 2007-2008, the recent DTCA expenditure reportedly turned to increase again. </w:t>
      </w:r>
      <w:r w:rsidR="00444DD4" w:rsidRPr="00476FC9">
        <w:rPr>
          <w:color w:val="000000" w:themeColor="text1"/>
        </w:rPr>
        <w:t xml:space="preserve">Further, when considering the growth potential of Internet and mobile media DTCA, this advertising category will </w:t>
      </w:r>
      <w:r w:rsidR="006D6DD0" w:rsidRPr="00476FC9">
        <w:rPr>
          <w:color w:val="000000" w:themeColor="text1"/>
        </w:rPr>
        <w:t xml:space="preserve">continue to </w:t>
      </w:r>
      <w:r w:rsidR="00444DD4" w:rsidRPr="00476FC9">
        <w:rPr>
          <w:color w:val="000000" w:themeColor="text1"/>
        </w:rPr>
        <w:t>grow for the meantime. As a matter of fact, p</w:t>
      </w:r>
      <w:r w:rsidRPr="00476FC9">
        <w:rPr>
          <w:color w:val="000000" w:themeColor="text1"/>
        </w:rPr>
        <w:t>harmaceutical marketers are increasingly embracing the Internet as a promotional medium (</w:t>
      </w:r>
      <w:r w:rsidR="00444DD4" w:rsidRPr="00476FC9">
        <w:rPr>
          <w:color w:val="000000" w:themeColor="text1"/>
        </w:rPr>
        <w:t xml:space="preserve">Dutta-Bergman, 2004; </w:t>
      </w:r>
      <w:r w:rsidRPr="00476FC9">
        <w:rPr>
          <w:color w:val="000000" w:themeColor="text1"/>
        </w:rPr>
        <w:t xml:space="preserve">Wymer, 2010). Online DTCA expenditure </w:t>
      </w:r>
      <w:r w:rsidR="00444DD4" w:rsidRPr="00476FC9">
        <w:rPr>
          <w:color w:val="000000" w:themeColor="text1"/>
        </w:rPr>
        <w:t xml:space="preserve">alone </w:t>
      </w:r>
      <w:r w:rsidRPr="00476FC9">
        <w:rPr>
          <w:color w:val="000000" w:themeColor="text1"/>
        </w:rPr>
        <w:t xml:space="preserve">is </w:t>
      </w:r>
      <w:r w:rsidR="00444DD4" w:rsidRPr="00476FC9">
        <w:rPr>
          <w:color w:val="000000" w:themeColor="text1"/>
        </w:rPr>
        <w:t>estimated</w:t>
      </w:r>
      <w:r w:rsidRPr="00476FC9">
        <w:rPr>
          <w:color w:val="000000" w:themeColor="text1"/>
        </w:rPr>
        <w:t xml:space="preserve"> to reach $1.3 billion by 2008 (Oser, 2006). </w:t>
      </w:r>
    </w:p>
    <w:p w:rsidR="00624934" w:rsidRPr="00476FC9" w:rsidRDefault="00624934"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Today, the average American TV viewer watches as many as nine drug ads a day and approximately 91% of Americans report that they are aware of </w:t>
      </w:r>
      <w:r w:rsidR="006D6DD0" w:rsidRPr="00476FC9">
        <w:rPr>
          <w:color w:val="000000" w:themeColor="text1"/>
        </w:rPr>
        <w:t xml:space="preserve">the </w:t>
      </w:r>
      <w:r w:rsidRPr="00476FC9">
        <w:rPr>
          <w:color w:val="000000" w:themeColor="text1"/>
        </w:rPr>
        <w:t>DTCA</w:t>
      </w:r>
      <w:r w:rsidR="006D6DD0" w:rsidRPr="00476FC9">
        <w:rPr>
          <w:color w:val="000000" w:themeColor="text1"/>
        </w:rPr>
        <w:t xml:space="preserve"> category</w:t>
      </w:r>
      <w:r w:rsidRPr="00476FC9">
        <w:rPr>
          <w:color w:val="000000" w:themeColor="text1"/>
        </w:rPr>
        <w:t xml:space="preserve"> (Myers, Royne, &amp; Deitz, 2011; Ventola, 2011). In the same token, those who watch average amounts of TV are estimated to view approximately 30 hours of DTCA annually (An, 2007; Avery, </w:t>
      </w:r>
      <w:r w:rsidRPr="00476FC9">
        <w:rPr>
          <w:color w:val="000000" w:themeColor="text1"/>
        </w:rPr>
        <w:lastRenderedPageBreak/>
        <w:t xml:space="preserve">Eisenberg, &amp; Simon, 2012). Overall, given its amount of </w:t>
      </w:r>
      <w:r w:rsidR="006D6DD0" w:rsidRPr="00476FC9">
        <w:rPr>
          <w:color w:val="000000" w:themeColor="text1"/>
        </w:rPr>
        <w:t xml:space="preserve">advertising </w:t>
      </w:r>
      <w:r w:rsidRPr="00476FC9">
        <w:rPr>
          <w:color w:val="000000" w:themeColor="text1"/>
        </w:rPr>
        <w:t xml:space="preserve">spending and consumer exposure to it, DTCA is considered a major consumer advertising category </w:t>
      </w:r>
      <w:r w:rsidR="006D6DD0" w:rsidRPr="00476FC9">
        <w:rPr>
          <w:color w:val="000000" w:themeColor="text1"/>
        </w:rPr>
        <w:t xml:space="preserve">in the US consumer media market </w:t>
      </w:r>
      <w:r w:rsidR="0037059D" w:rsidRPr="00476FC9">
        <w:rPr>
          <w:color w:val="000000" w:themeColor="text1"/>
        </w:rPr>
        <w:t>(An &amp; Muturi, 2011; Matear &amp; Dacin, 2010; Royne &amp; Myers, 2008; Tsai &amp; Lancaster, 2012; van de Pol &amp; de Bakker, 2010).</w:t>
      </w:r>
    </w:p>
    <w:p w:rsidR="00624934" w:rsidRPr="00476FC9" w:rsidRDefault="00624934" w:rsidP="007D2ACE">
      <w:pPr>
        <w:pStyle w:val="Heading2"/>
        <w:rPr>
          <w:color w:val="000000" w:themeColor="text1"/>
        </w:rPr>
      </w:pPr>
    </w:p>
    <w:p w:rsidR="00236E6D" w:rsidRPr="00476FC9" w:rsidRDefault="00034B63" w:rsidP="007D2ACE">
      <w:pPr>
        <w:pStyle w:val="Heading2"/>
        <w:rPr>
          <w:color w:val="000000" w:themeColor="text1"/>
        </w:rPr>
      </w:pPr>
      <w:bookmarkStart w:id="7" w:name="_Toc393800654"/>
      <w:r w:rsidRPr="00476FC9">
        <w:rPr>
          <w:color w:val="000000" w:themeColor="text1"/>
        </w:rPr>
        <w:t xml:space="preserve">The </w:t>
      </w:r>
      <w:r w:rsidR="00E24FF4" w:rsidRPr="00476FC9">
        <w:rPr>
          <w:color w:val="000000" w:themeColor="text1"/>
        </w:rPr>
        <w:t xml:space="preserve">Context </w:t>
      </w:r>
      <w:r w:rsidRPr="00476FC9">
        <w:rPr>
          <w:color w:val="000000" w:themeColor="text1"/>
        </w:rPr>
        <w:t xml:space="preserve">of </w:t>
      </w:r>
      <w:r w:rsidR="00EF4E30" w:rsidRPr="00476FC9">
        <w:rPr>
          <w:color w:val="000000" w:themeColor="text1"/>
        </w:rPr>
        <w:t>DTCA</w:t>
      </w:r>
      <w:bookmarkEnd w:id="7"/>
    </w:p>
    <w:p w:rsidR="00DA46F8" w:rsidRPr="00476FC9" w:rsidRDefault="00312607"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876ED7" w:rsidRPr="00476FC9">
        <w:rPr>
          <w:color w:val="000000" w:themeColor="text1"/>
        </w:rPr>
        <w:t xml:space="preserve">The early DTCA appeared in the US mass media in </w:t>
      </w:r>
      <w:r w:rsidR="00DA46F8" w:rsidRPr="00476FC9">
        <w:rPr>
          <w:color w:val="000000" w:themeColor="text1"/>
        </w:rPr>
        <w:t xml:space="preserve">the </w:t>
      </w:r>
      <w:r w:rsidR="00876ED7" w:rsidRPr="00476FC9">
        <w:rPr>
          <w:color w:val="000000" w:themeColor="text1"/>
        </w:rPr>
        <w:t xml:space="preserve">1980s </w:t>
      </w:r>
      <w:r w:rsidR="00DA46F8" w:rsidRPr="00476FC9">
        <w:rPr>
          <w:color w:val="000000" w:themeColor="text1"/>
        </w:rPr>
        <w:t xml:space="preserve">though it has become a popular promotional tool since the early 1990s </w:t>
      </w:r>
      <w:r w:rsidR="0037059D" w:rsidRPr="00476FC9">
        <w:rPr>
          <w:color w:val="000000" w:themeColor="text1"/>
        </w:rPr>
        <w:t>(FDA, 2014a).</w:t>
      </w:r>
      <w:r w:rsidR="00876ED7" w:rsidRPr="00476FC9">
        <w:rPr>
          <w:color w:val="000000" w:themeColor="text1"/>
        </w:rPr>
        <w:t xml:space="preserve"> At first, it was almost impossible for pharmaceutical advertisers to meet the FDA’s </w:t>
      </w:r>
      <w:r w:rsidR="00091646" w:rsidRPr="00476FC9">
        <w:rPr>
          <w:color w:val="000000" w:themeColor="text1"/>
        </w:rPr>
        <w:t xml:space="preserve">strict </w:t>
      </w:r>
      <w:r w:rsidR="00876ED7" w:rsidRPr="00476FC9">
        <w:rPr>
          <w:color w:val="000000" w:themeColor="text1"/>
        </w:rPr>
        <w:t xml:space="preserve">requirements </w:t>
      </w:r>
      <w:r w:rsidR="00091646" w:rsidRPr="00476FC9">
        <w:rPr>
          <w:color w:val="000000" w:themeColor="text1"/>
        </w:rPr>
        <w:t xml:space="preserve">for </w:t>
      </w:r>
      <w:r w:rsidR="00E24FF4" w:rsidRPr="00476FC9">
        <w:rPr>
          <w:color w:val="000000" w:themeColor="text1"/>
        </w:rPr>
        <w:t>information</w:t>
      </w:r>
      <w:r w:rsidR="00091646" w:rsidRPr="00476FC9">
        <w:rPr>
          <w:color w:val="000000" w:themeColor="text1"/>
        </w:rPr>
        <w:t xml:space="preserve"> provision</w:t>
      </w:r>
      <w:r w:rsidR="00E24FF4" w:rsidRPr="00476FC9">
        <w:rPr>
          <w:color w:val="000000" w:themeColor="text1"/>
        </w:rPr>
        <w:t xml:space="preserve"> </w:t>
      </w:r>
      <w:r w:rsidR="00876ED7" w:rsidRPr="00476FC9">
        <w:rPr>
          <w:color w:val="000000" w:themeColor="text1"/>
        </w:rPr>
        <w:t xml:space="preserve">due to the limitations </w:t>
      </w:r>
      <w:r w:rsidR="003C7EC0" w:rsidRPr="00476FC9">
        <w:rPr>
          <w:color w:val="000000" w:themeColor="text1"/>
        </w:rPr>
        <w:t xml:space="preserve">of </w:t>
      </w:r>
      <w:r w:rsidR="00876ED7" w:rsidRPr="00476FC9">
        <w:rPr>
          <w:color w:val="000000" w:themeColor="text1"/>
        </w:rPr>
        <w:t>time in broadcast media</w:t>
      </w:r>
      <w:r w:rsidR="00091646" w:rsidRPr="00476FC9">
        <w:rPr>
          <w:color w:val="000000" w:themeColor="text1"/>
        </w:rPr>
        <w:t>,</w:t>
      </w:r>
      <w:r w:rsidR="00876ED7" w:rsidRPr="00476FC9">
        <w:rPr>
          <w:color w:val="000000" w:themeColor="text1"/>
        </w:rPr>
        <w:t xml:space="preserve"> and therefore </w:t>
      </w:r>
      <w:r w:rsidR="00091646" w:rsidRPr="00476FC9">
        <w:rPr>
          <w:color w:val="000000" w:themeColor="text1"/>
        </w:rPr>
        <w:t xml:space="preserve">DTCA </w:t>
      </w:r>
      <w:r w:rsidR="00876ED7" w:rsidRPr="00476FC9">
        <w:rPr>
          <w:color w:val="000000" w:themeColor="text1"/>
        </w:rPr>
        <w:t>has been rare</w:t>
      </w:r>
      <w:r w:rsidR="00091646" w:rsidRPr="00476FC9">
        <w:rPr>
          <w:color w:val="000000" w:themeColor="text1"/>
        </w:rPr>
        <w:t>ly implemented</w:t>
      </w:r>
      <w:r w:rsidR="00876ED7" w:rsidRPr="00476FC9">
        <w:rPr>
          <w:color w:val="000000" w:themeColor="text1"/>
        </w:rPr>
        <w:t xml:space="preserve"> </w:t>
      </w:r>
      <w:r w:rsidR="003C7EC0" w:rsidRPr="00476FC9">
        <w:rPr>
          <w:color w:val="000000" w:themeColor="text1"/>
        </w:rPr>
        <w:t xml:space="preserve">in electronic media </w:t>
      </w:r>
      <w:r w:rsidR="00876ED7" w:rsidRPr="00476FC9">
        <w:rPr>
          <w:color w:val="000000" w:themeColor="text1"/>
        </w:rPr>
        <w:t xml:space="preserve">until the FDA’s relaxation </w:t>
      </w:r>
      <w:r w:rsidR="003C7EC0" w:rsidRPr="00476FC9">
        <w:rPr>
          <w:color w:val="000000" w:themeColor="text1"/>
        </w:rPr>
        <w:t>of</w:t>
      </w:r>
      <w:r w:rsidR="00876ED7" w:rsidRPr="00476FC9">
        <w:rPr>
          <w:color w:val="000000" w:themeColor="text1"/>
        </w:rPr>
        <w:t xml:space="preserve"> </w:t>
      </w:r>
      <w:r w:rsidR="00091646" w:rsidRPr="00476FC9">
        <w:rPr>
          <w:color w:val="000000" w:themeColor="text1"/>
        </w:rPr>
        <w:t xml:space="preserve">its </w:t>
      </w:r>
      <w:r w:rsidR="00876ED7" w:rsidRPr="00476FC9">
        <w:rPr>
          <w:color w:val="000000" w:themeColor="text1"/>
        </w:rPr>
        <w:t xml:space="preserve">regulations </w:t>
      </w:r>
      <w:r w:rsidR="003C7EC0" w:rsidRPr="00476FC9">
        <w:rPr>
          <w:color w:val="000000" w:themeColor="text1"/>
        </w:rPr>
        <w:t xml:space="preserve">over DTCA in television </w:t>
      </w:r>
      <w:r w:rsidR="00876ED7" w:rsidRPr="00476FC9">
        <w:rPr>
          <w:color w:val="000000" w:themeColor="text1"/>
        </w:rPr>
        <w:t xml:space="preserve">in 1997 </w:t>
      </w:r>
      <w:r w:rsidR="0037059D" w:rsidRPr="00476FC9">
        <w:rPr>
          <w:color w:val="000000" w:themeColor="text1"/>
        </w:rPr>
        <w:t>(An &amp; Kang, 2011).</w:t>
      </w:r>
    </w:p>
    <w:p w:rsidR="00876ED7" w:rsidRPr="00476FC9" w:rsidRDefault="00DA46F8"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O</w:t>
      </w:r>
      <w:r w:rsidR="00876ED7" w:rsidRPr="00476FC9">
        <w:rPr>
          <w:color w:val="000000" w:themeColor="text1"/>
        </w:rPr>
        <w:t xml:space="preserve">nly two countries in the world allow DTCA </w:t>
      </w:r>
      <w:r w:rsidRPr="00476FC9">
        <w:rPr>
          <w:color w:val="000000" w:themeColor="text1"/>
        </w:rPr>
        <w:t xml:space="preserve">due to its potential </w:t>
      </w:r>
      <w:r w:rsidR="00823E95" w:rsidRPr="00476FC9">
        <w:rPr>
          <w:color w:val="000000" w:themeColor="text1"/>
        </w:rPr>
        <w:t xml:space="preserve">harmful </w:t>
      </w:r>
      <w:r w:rsidRPr="00476FC9">
        <w:rPr>
          <w:color w:val="000000" w:themeColor="text1"/>
        </w:rPr>
        <w:t>consequences on public health (Royne &amp; Meyer, 2008): the US and New Zealand</w:t>
      </w:r>
      <w:r w:rsidR="00876ED7" w:rsidRPr="00476FC9">
        <w:rPr>
          <w:color w:val="000000" w:themeColor="text1"/>
        </w:rPr>
        <w:t>.</w:t>
      </w:r>
      <w:r w:rsidRPr="00476FC9">
        <w:rPr>
          <w:color w:val="000000" w:themeColor="text1"/>
        </w:rPr>
        <w:t xml:space="preserve"> </w:t>
      </w:r>
      <w:r w:rsidR="00A70AAA" w:rsidRPr="00476FC9">
        <w:rPr>
          <w:color w:val="000000" w:themeColor="text1"/>
        </w:rPr>
        <w:t xml:space="preserve">In the </w:t>
      </w:r>
      <w:r w:rsidRPr="00476FC9">
        <w:rPr>
          <w:color w:val="000000" w:themeColor="text1"/>
        </w:rPr>
        <w:t>US</w:t>
      </w:r>
      <w:r w:rsidR="00A70AAA" w:rsidRPr="00476FC9">
        <w:rPr>
          <w:color w:val="000000" w:themeColor="text1"/>
        </w:rPr>
        <w:t>, prescription drug</w:t>
      </w:r>
      <w:r w:rsidR="00B073C5" w:rsidRPr="00476FC9">
        <w:rPr>
          <w:color w:val="000000" w:themeColor="text1"/>
        </w:rPr>
        <w:t xml:space="preserve"> advertising was </w:t>
      </w:r>
      <w:r w:rsidR="00A70AAA" w:rsidRPr="00476FC9">
        <w:rPr>
          <w:color w:val="000000" w:themeColor="text1"/>
        </w:rPr>
        <w:t xml:space="preserve">allowed only to health care professionals </w:t>
      </w:r>
      <w:r w:rsidR="00C60161" w:rsidRPr="00476FC9">
        <w:rPr>
          <w:color w:val="000000" w:themeColor="text1"/>
        </w:rPr>
        <w:t xml:space="preserve">in the past, </w:t>
      </w:r>
      <w:r w:rsidR="00624934" w:rsidRPr="00476FC9">
        <w:rPr>
          <w:color w:val="000000" w:themeColor="text1"/>
        </w:rPr>
        <w:t>based on</w:t>
      </w:r>
      <w:r w:rsidR="00A70AAA" w:rsidRPr="00476FC9">
        <w:rPr>
          <w:color w:val="000000" w:themeColor="text1"/>
        </w:rPr>
        <w:t xml:space="preserve"> the belief that </w:t>
      </w:r>
      <w:r w:rsidR="00624934" w:rsidRPr="00476FC9">
        <w:rPr>
          <w:color w:val="000000" w:themeColor="text1"/>
        </w:rPr>
        <w:t xml:space="preserve">the </w:t>
      </w:r>
      <w:r w:rsidR="00A70AAA" w:rsidRPr="00476FC9">
        <w:rPr>
          <w:color w:val="000000" w:themeColor="text1"/>
        </w:rPr>
        <w:t xml:space="preserve">general public would be less capable of understanding </w:t>
      </w:r>
      <w:r w:rsidR="003C7EC0" w:rsidRPr="00476FC9">
        <w:rPr>
          <w:color w:val="000000" w:themeColor="text1"/>
        </w:rPr>
        <w:t xml:space="preserve">information about </w:t>
      </w:r>
      <w:r w:rsidR="00A70AAA" w:rsidRPr="00476FC9">
        <w:rPr>
          <w:color w:val="000000" w:themeColor="text1"/>
        </w:rPr>
        <w:t>the use</w:t>
      </w:r>
      <w:r w:rsidR="003C7EC0" w:rsidRPr="00476FC9">
        <w:rPr>
          <w:color w:val="000000" w:themeColor="text1"/>
        </w:rPr>
        <w:t>s and risks</w:t>
      </w:r>
      <w:r w:rsidR="00A70AAA" w:rsidRPr="00476FC9">
        <w:rPr>
          <w:color w:val="000000" w:themeColor="text1"/>
        </w:rPr>
        <w:t xml:space="preserve"> of medical remedies (</w:t>
      </w:r>
      <w:r w:rsidR="00B073C5" w:rsidRPr="00476FC9">
        <w:rPr>
          <w:color w:val="000000" w:themeColor="text1"/>
        </w:rPr>
        <w:t>Macias &amp; Lewis, 2004</w:t>
      </w:r>
      <w:r w:rsidR="00A70AAA" w:rsidRPr="00476FC9">
        <w:rPr>
          <w:color w:val="000000" w:themeColor="text1"/>
        </w:rPr>
        <w:t>).</w:t>
      </w:r>
      <w:r w:rsidR="00876ED7" w:rsidRPr="00476FC9">
        <w:rPr>
          <w:color w:val="000000" w:themeColor="text1"/>
        </w:rPr>
        <w:t xml:space="preserve"> </w:t>
      </w:r>
      <w:r w:rsidR="00A70AAA" w:rsidRPr="00476FC9">
        <w:rPr>
          <w:color w:val="000000" w:themeColor="text1"/>
        </w:rPr>
        <w:t xml:space="preserve">However, the contemporary healthcare system and communities have </w:t>
      </w:r>
      <w:r w:rsidR="00B60314" w:rsidRPr="00476FC9">
        <w:rPr>
          <w:color w:val="000000" w:themeColor="text1"/>
        </w:rPr>
        <w:t xml:space="preserve">shifted to encourage the </w:t>
      </w:r>
      <w:r w:rsidR="00B60314" w:rsidRPr="00476FC9">
        <w:rPr>
          <w:i/>
          <w:color w:val="000000" w:themeColor="text1"/>
        </w:rPr>
        <w:t>partnership</w:t>
      </w:r>
      <w:r w:rsidR="00B60314" w:rsidRPr="00476FC9">
        <w:rPr>
          <w:color w:val="000000" w:themeColor="text1"/>
        </w:rPr>
        <w:t xml:space="preserve"> between patients and </w:t>
      </w:r>
      <w:r w:rsidR="00A40210" w:rsidRPr="00476FC9">
        <w:rPr>
          <w:color w:val="000000" w:themeColor="text1"/>
        </w:rPr>
        <w:t>health professionals</w:t>
      </w:r>
      <w:r w:rsidR="00823E95" w:rsidRPr="00476FC9">
        <w:rPr>
          <w:color w:val="000000" w:themeColor="text1"/>
        </w:rPr>
        <w:t xml:space="preserve"> (Almond, 2001; Tomes, 2006)</w:t>
      </w:r>
      <w:r w:rsidR="00B60314" w:rsidRPr="00476FC9">
        <w:rPr>
          <w:color w:val="000000" w:themeColor="text1"/>
        </w:rPr>
        <w:t>.</w:t>
      </w:r>
      <w:r w:rsidR="00A70AAA" w:rsidRPr="00476FC9">
        <w:rPr>
          <w:color w:val="000000" w:themeColor="text1"/>
        </w:rPr>
        <w:t xml:space="preserve"> </w:t>
      </w:r>
      <w:r w:rsidR="00B60314" w:rsidRPr="00476FC9">
        <w:rPr>
          <w:color w:val="000000" w:themeColor="text1"/>
        </w:rPr>
        <w:t>One of the drive</w:t>
      </w:r>
      <w:r w:rsidR="003C7EC0" w:rsidRPr="00476FC9">
        <w:rPr>
          <w:color w:val="000000" w:themeColor="text1"/>
        </w:rPr>
        <w:t>r</w:t>
      </w:r>
      <w:r w:rsidR="00B60314" w:rsidRPr="00476FC9">
        <w:rPr>
          <w:color w:val="000000" w:themeColor="text1"/>
        </w:rPr>
        <w:t xml:space="preserve">s of this change </w:t>
      </w:r>
      <w:r w:rsidR="00A40210" w:rsidRPr="00476FC9">
        <w:rPr>
          <w:color w:val="000000" w:themeColor="text1"/>
        </w:rPr>
        <w:t>may include</w:t>
      </w:r>
      <w:r w:rsidR="00B60314" w:rsidRPr="00476FC9">
        <w:rPr>
          <w:color w:val="000000" w:themeColor="text1"/>
        </w:rPr>
        <w:t xml:space="preserve"> </w:t>
      </w:r>
      <w:r w:rsidR="00624934" w:rsidRPr="00476FC9">
        <w:rPr>
          <w:color w:val="000000" w:themeColor="text1"/>
        </w:rPr>
        <w:t xml:space="preserve">consumers’ </w:t>
      </w:r>
      <w:r w:rsidR="003C7EC0" w:rsidRPr="00476FC9">
        <w:rPr>
          <w:color w:val="000000" w:themeColor="text1"/>
        </w:rPr>
        <w:t>increased motivation for seeking</w:t>
      </w:r>
      <w:r w:rsidR="00B60314" w:rsidRPr="00476FC9">
        <w:rPr>
          <w:color w:val="000000" w:themeColor="text1"/>
        </w:rPr>
        <w:t xml:space="preserve"> health information</w:t>
      </w:r>
      <w:r w:rsidR="003C7EC0" w:rsidRPr="00476FC9">
        <w:rPr>
          <w:color w:val="000000" w:themeColor="text1"/>
        </w:rPr>
        <w:t xml:space="preserve"> and</w:t>
      </w:r>
      <w:r w:rsidR="00B60314" w:rsidRPr="00476FC9">
        <w:rPr>
          <w:color w:val="000000" w:themeColor="text1"/>
        </w:rPr>
        <w:t xml:space="preserve"> </w:t>
      </w:r>
      <w:r w:rsidR="00A40210" w:rsidRPr="00476FC9">
        <w:rPr>
          <w:color w:val="000000" w:themeColor="text1"/>
        </w:rPr>
        <w:t>well-being</w:t>
      </w:r>
      <w:r w:rsidR="00B60314" w:rsidRPr="00476FC9">
        <w:rPr>
          <w:color w:val="000000" w:themeColor="text1"/>
        </w:rPr>
        <w:t xml:space="preserve">. </w:t>
      </w:r>
      <w:r w:rsidR="00A40210" w:rsidRPr="00476FC9">
        <w:rPr>
          <w:color w:val="000000" w:themeColor="text1"/>
        </w:rPr>
        <w:t xml:space="preserve">In addition, </w:t>
      </w:r>
      <w:r w:rsidR="00B60314" w:rsidRPr="00476FC9">
        <w:rPr>
          <w:color w:val="000000" w:themeColor="text1"/>
        </w:rPr>
        <w:t xml:space="preserve">due to the </w:t>
      </w:r>
      <w:r w:rsidR="00823E95" w:rsidRPr="00476FC9">
        <w:rPr>
          <w:color w:val="000000" w:themeColor="text1"/>
        </w:rPr>
        <w:t>advance</w:t>
      </w:r>
      <w:r w:rsidR="00B60314" w:rsidRPr="00476FC9">
        <w:rPr>
          <w:color w:val="000000" w:themeColor="text1"/>
        </w:rPr>
        <w:t xml:space="preserve"> of media technologies</w:t>
      </w:r>
      <w:r w:rsidR="00A40210" w:rsidRPr="00476FC9">
        <w:rPr>
          <w:color w:val="000000" w:themeColor="text1"/>
        </w:rPr>
        <w:t xml:space="preserve"> including the Internet and portable communication devices</w:t>
      </w:r>
      <w:r w:rsidR="00B60314" w:rsidRPr="00476FC9">
        <w:rPr>
          <w:color w:val="000000" w:themeColor="text1"/>
        </w:rPr>
        <w:t xml:space="preserve">, consumers now have </w:t>
      </w:r>
      <w:r w:rsidR="00823E95" w:rsidRPr="00476FC9">
        <w:rPr>
          <w:color w:val="000000" w:themeColor="text1"/>
        </w:rPr>
        <w:t xml:space="preserve">more </w:t>
      </w:r>
      <w:r w:rsidR="00B60314" w:rsidRPr="00476FC9">
        <w:rPr>
          <w:color w:val="000000" w:themeColor="text1"/>
        </w:rPr>
        <w:t xml:space="preserve">access to various health information </w:t>
      </w:r>
      <w:r w:rsidR="00A40210" w:rsidRPr="00476FC9">
        <w:rPr>
          <w:color w:val="000000" w:themeColor="text1"/>
        </w:rPr>
        <w:t xml:space="preserve">sources than ever before. In this </w:t>
      </w:r>
      <w:r w:rsidR="00A40210" w:rsidRPr="00476FC9">
        <w:rPr>
          <w:color w:val="000000" w:themeColor="text1"/>
        </w:rPr>
        <w:lastRenderedPageBreak/>
        <w:t>context</w:t>
      </w:r>
      <w:r w:rsidR="00B60314" w:rsidRPr="00476FC9">
        <w:rPr>
          <w:color w:val="000000" w:themeColor="text1"/>
        </w:rPr>
        <w:t xml:space="preserve">, DTCA is considered one of </w:t>
      </w:r>
      <w:r w:rsidR="00A40210" w:rsidRPr="00476FC9">
        <w:rPr>
          <w:color w:val="000000" w:themeColor="text1"/>
        </w:rPr>
        <w:t>such</w:t>
      </w:r>
      <w:r w:rsidR="00B60314" w:rsidRPr="00476FC9">
        <w:rPr>
          <w:color w:val="000000" w:themeColor="text1"/>
        </w:rPr>
        <w:t xml:space="preserve"> important health information sources.</w:t>
      </w:r>
    </w:p>
    <w:p w:rsidR="00E731DC" w:rsidRPr="00476FC9" w:rsidRDefault="003030DB"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Over the past few decades, </w:t>
      </w:r>
      <w:r w:rsidR="00B60314" w:rsidRPr="00476FC9">
        <w:rPr>
          <w:color w:val="000000" w:themeColor="text1"/>
        </w:rPr>
        <w:t xml:space="preserve">however, </w:t>
      </w:r>
      <w:r w:rsidR="004E36A5" w:rsidRPr="00476FC9">
        <w:rPr>
          <w:color w:val="000000" w:themeColor="text1"/>
        </w:rPr>
        <w:t>DTCA has raised a severe controversy</w:t>
      </w:r>
      <w:r w:rsidR="00A50A2F" w:rsidRPr="00476FC9">
        <w:rPr>
          <w:color w:val="000000" w:themeColor="text1"/>
        </w:rPr>
        <w:t xml:space="preserve"> among its stakeholders</w:t>
      </w:r>
      <w:r w:rsidR="004E36A5" w:rsidRPr="00476FC9">
        <w:rPr>
          <w:color w:val="000000" w:themeColor="text1"/>
        </w:rPr>
        <w:t xml:space="preserve">. The proponents and opponents of DTCA have </w:t>
      </w:r>
      <w:r w:rsidR="00C12B73" w:rsidRPr="00476FC9">
        <w:rPr>
          <w:color w:val="000000" w:themeColor="text1"/>
        </w:rPr>
        <w:t xml:space="preserve">insisted on </w:t>
      </w:r>
      <w:r w:rsidR="004E36A5" w:rsidRPr="00476FC9">
        <w:rPr>
          <w:color w:val="000000" w:themeColor="text1"/>
        </w:rPr>
        <w:t>their own point of view</w:t>
      </w:r>
      <w:r w:rsidR="00C12B73" w:rsidRPr="00476FC9">
        <w:rPr>
          <w:color w:val="000000" w:themeColor="text1"/>
        </w:rPr>
        <w:t>s</w:t>
      </w:r>
      <w:r w:rsidR="003C7EC0" w:rsidRPr="00476FC9">
        <w:rPr>
          <w:color w:val="000000" w:themeColor="text1"/>
        </w:rPr>
        <w:t>,</w:t>
      </w:r>
      <w:r w:rsidR="004E36A5" w:rsidRPr="00476FC9">
        <w:rPr>
          <w:color w:val="000000" w:themeColor="text1"/>
        </w:rPr>
        <w:t xml:space="preserve"> and research findings regarding the </w:t>
      </w:r>
      <w:r w:rsidR="00D52925" w:rsidRPr="00476FC9">
        <w:rPr>
          <w:color w:val="000000" w:themeColor="text1"/>
        </w:rPr>
        <w:t>influence</w:t>
      </w:r>
      <w:r w:rsidR="004E36A5" w:rsidRPr="00476FC9">
        <w:rPr>
          <w:color w:val="000000" w:themeColor="text1"/>
        </w:rPr>
        <w:t xml:space="preserve"> of DTCA on consumers remain mixed (Royne &amp; Myers, 2008). </w:t>
      </w:r>
      <w:r w:rsidR="007D359D" w:rsidRPr="00476FC9">
        <w:rPr>
          <w:color w:val="000000" w:themeColor="text1"/>
        </w:rPr>
        <w:t xml:space="preserve">DTCA </w:t>
      </w:r>
      <w:r w:rsidR="00C12B73" w:rsidRPr="00476FC9">
        <w:rPr>
          <w:color w:val="000000" w:themeColor="text1"/>
        </w:rPr>
        <w:t xml:space="preserve">proponents </w:t>
      </w:r>
      <w:r w:rsidR="004E36A5" w:rsidRPr="00476FC9">
        <w:rPr>
          <w:color w:val="000000" w:themeColor="text1"/>
        </w:rPr>
        <w:t>maintain that DTCA appears to drive conversation about possible medical treatment options between the patient and their physician</w:t>
      </w:r>
      <w:r w:rsidR="00876ED7" w:rsidRPr="00476FC9">
        <w:rPr>
          <w:color w:val="000000" w:themeColor="text1"/>
        </w:rPr>
        <w:t xml:space="preserve"> (Auton, 2007)</w:t>
      </w:r>
      <w:r w:rsidR="00A50A2F" w:rsidRPr="00476FC9">
        <w:rPr>
          <w:color w:val="000000" w:themeColor="text1"/>
        </w:rPr>
        <w:t xml:space="preserve"> as well as </w:t>
      </w:r>
      <w:r w:rsidR="004E36A5" w:rsidRPr="00476FC9">
        <w:rPr>
          <w:color w:val="000000" w:themeColor="text1"/>
        </w:rPr>
        <w:t xml:space="preserve">remind the patient who already has been prescribed medicines to take them. </w:t>
      </w:r>
      <w:r w:rsidR="00973B27" w:rsidRPr="00476FC9">
        <w:rPr>
          <w:color w:val="000000" w:themeColor="text1"/>
        </w:rPr>
        <w:t xml:space="preserve">From the </w:t>
      </w:r>
      <w:r w:rsidR="003A1E83" w:rsidRPr="00476FC9">
        <w:rPr>
          <w:color w:val="000000" w:themeColor="text1"/>
        </w:rPr>
        <w:t>proponents’</w:t>
      </w:r>
      <w:r w:rsidR="00973B27" w:rsidRPr="00476FC9">
        <w:rPr>
          <w:color w:val="000000" w:themeColor="text1"/>
        </w:rPr>
        <w:t xml:space="preserve"> perspective, </w:t>
      </w:r>
      <w:r w:rsidR="004E36A5" w:rsidRPr="00476FC9">
        <w:rPr>
          <w:color w:val="000000" w:themeColor="text1"/>
        </w:rPr>
        <w:t xml:space="preserve">DTCA is </w:t>
      </w:r>
      <w:r w:rsidR="00E731DC" w:rsidRPr="00476FC9">
        <w:rPr>
          <w:color w:val="000000" w:themeColor="text1"/>
        </w:rPr>
        <w:t>expected</w:t>
      </w:r>
      <w:r w:rsidR="004E36A5" w:rsidRPr="00476FC9">
        <w:rPr>
          <w:color w:val="000000" w:themeColor="text1"/>
        </w:rPr>
        <w:t xml:space="preserve"> to provide current and potential patients with useful health information that </w:t>
      </w:r>
      <w:r w:rsidR="00E731DC" w:rsidRPr="00476FC9">
        <w:rPr>
          <w:color w:val="000000" w:themeColor="text1"/>
        </w:rPr>
        <w:t xml:space="preserve">help </w:t>
      </w:r>
      <w:r w:rsidR="004E36A5" w:rsidRPr="00476FC9">
        <w:rPr>
          <w:color w:val="000000" w:themeColor="text1"/>
        </w:rPr>
        <w:t>them make informed health decisions</w:t>
      </w:r>
      <w:r w:rsidR="00E731DC" w:rsidRPr="00476FC9">
        <w:rPr>
          <w:color w:val="000000" w:themeColor="text1"/>
        </w:rPr>
        <w:t xml:space="preserve"> (Royne &amp; Myers, 2008). </w:t>
      </w:r>
    </w:p>
    <w:p w:rsidR="004E36A5" w:rsidRPr="00476FC9" w:rsidRDefault="004E36A5"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Another </w:t>
      </w:r>
      <w:r w:rsidR="007C515D" w:rsidRPr="00476FC9">
        <w:rPr>
          <w:color w:val="000000" w:themeColor="text1"/>
        </w:rPr>
        <w:t xml:space="preserve">alleged </w:t>
      </w:r>
      <w:r w:rsidRPr="00476FC9">
        <w:rPr>
          <w:color w:val="000000" w:themeColor="text1"/>
        </w:rPr>
        <w:t>contribution of DTCA</w:t>
      </w:r>
      <w:r w:rsidR="007C515D" w:rsidRPr="00476FC9">
        <w:rPr>
          <w:color w:val="000000" w:themeColor="text1"/>
        </w:rPr>
        <w:t xml:space="preserve"> to public health</w:t>
      </w:r>
      <w:r w:rsidRPr="00476FC9">
        <w:rPr>
          <w:color w:val="000000" w:themeColor="text1"/>
        </w:rPr>
        <w:t xml:space="preserve"> is </w:t>
      </w:r>
      <w:r w:rsidR="007C515D" w:rsidRPr="00476FC9">
        <w:rPr>
          <w:color w:val="000000" w:themeColor="text1"/>
        </w:rPr>
        <w:t>its</w:t>
      </w:r>
      <w:r w:rsidR="00A31A0E" w:rsidRPr="00476FC9">
        <w:rPr>
          <w:color w:val="000000" w:themeColor="text1"/>
        </w:rPr>
        <w:t xml:space="preserve"> capability to </w:t>
      </w:r>
      <w:r w:rsidRPr="00476FC9">
        <w:rPr>
          <w:color w:val="000000" w:themeColor="text1"/>
        </w:rPr>
        <w:t>help</w:t>
      </w:r>
      <w:r w:rsidR="00A31A0E" w:rsidRPr="00476FC9">
        <w:rPr>
          <w:color w:val="000000" w:themeColor="text1"/>
        </w:rPr>
        <w:t xml:space="preserve"> </w:t>
      </w:r>
      <w:r w:rsidR="009F4E87" w:rsidRPr="00476FC9">
        <w:rPr>
          <w:color w:val="000000" w:themeColor="text1"/>
        </w:rPr>
        <w:t>people</w:t>
      </w:r>
      <w:r w:rsidRPr="00476FC9">
        <w:rPr>
          <w:color w:val="000000" w:themeColor="text1"/>
        </w:rPr>
        <w:t xml:space="preserve"> recognize whether they</w:t>
      </w:r>
      <w:r w:rsidR="009F4E87" w:rsidRPr="00476FC9">
        <w:rPr>
          <w:color w:val="000000" w:themeColor="text1"/>
        </w:rPr>
        <w:t xml:space="preserve"> may</w:t>
      </w:r>
      <w:r w:rsidRPr="00476FC9">
        <w:rPr>
          <w:color w:val="000000" w:themeColor="text1"/>
        </w:rPr>
        <w:t xml:space="preserve"> contract a certain disease that would otherwise remain unidentified and untreated (</w:t>
      </w:r>
      <w:r w:rsidR="00876ED7" w:rsidRPr="00476FC9">
        <w:rPr>
          <w:color w:val="000000" w:themeColor="text1"/>
        </w:rPr>
        <w:t xml:space="preserve">Donohue &amp; Berndt, 2004; </w:t>
      </w:r>
      <w:r w:rsidR="007A06EF" w:rsidRPr="00476FC9">
        <w:rPr>
          <w:color w:val="000000" w:themeColor="text1"/>
        </w:rPr>
        <w:t>Peyrot, Alperstein, Van Doren, &amp; Poli, 1998</w:t>
      </w:r>
      <w:r w:rsidRPr="00476FC9">
        <w:rPr>
          <w:color w:val="000000" w:themeColor="text1"/>
        </w:rPr>
        <w:t xml:space="preserve">; </w:t>
      </w:r>
      <w:r w:rsidR="00876ED7" w:rsidRPr="00476FC9">
        <w:rPr>
          <w:color w:val="000000" w:themeColor="text1"/>
        </w:rPr>
        <w:t>Roth, 1996</w:t>
      </w:r>
      <w:r w:rsidRPr="00476FC9">
        <w:rPr>
          <w:color w:val="000000" w:themeColor="text1"/>
        </w:rPr>
        <w:t xml:space="preserve">). </w:t>
      </w:r>
      <w:r w:rsidR="00876ED7" w:rsidRPr="00476FC9">
        <w:rPr>
          <w:color w:val="000000" w:themeColor="text1"/>
        </w:rPr>
        <w:t xml:space="preserve">Advocates also </w:t>
      </w:r>
      <w:r w:rsidR="00102ED7" w:rsidRPr="00476FC9">
        <w:rPr>
          <w:color w:val="000000" w:themeColor="text1"/>
        </w:rPr>
        <w:t>argue</w:t>
      </w:r>
      <w:r w:rsidR="00876ED7" w:rsidRPr="00476FC9">
        <w:rPr>
          <w:color w:val="000000" w:themeColor="text1"/>
        </w:rPr>
        <w:t xml:space="preserve"> that DTCA empower</w:t>
      </w:r>
      <w:r w:rsidR="009F4E87" w:rsidRPr="00476FC9">
        <w:rPr>
          <w:color w:val="000000" w:themeColor="text1"/>
        </w:rPr>
        <w:t>s</w:t>
      </w:r>
      <w:r w:rsidR="00876ED7" w:rsidRPr="00476FC9">
        <w:rPr>
          <w:color w:val="000000" w:themeColor="text1"/>
        </w:rPr>
        <w:t xml:space="preserve"> patients to take a more active role in their health care </w:t>
      </w:r>
      <w:r w:rsidR="009F4E87" w:rsidRPr="00476FC9">
        <w:rPr>
          <w:color w:val="000000" w:themeColor="text1"/>
        </w:rPr>
        <w:t xml:space="preserve">management </w:t>
      </w:r>
      <w:r w:rsidR="00876ED7" w:rsidRPr="00476FC9">
        <w:rPr>
          <w:color w:val="000000" w:themeColor="text1"/>
        </w:rPr>
        <w:t>(Holmer, 1999) and reduce</w:t>
      </w:r>
      <w:r w:rsidR="00102ED7" w:rsidRPr="00476FC9">
        <w:rPr>
          <w:color w:val="000000" w:themeColor="text1"/>
        </w:rPr>
        <w:t>s</w:t>
      </w:r>
      <w:r w:rsidR="00876ED7" w:rsidRPr="00476FC9">
        <w:rPr>
          <w:color w:val="000000" w:themeColor="text1"/>
        </w:rPr>
        <w:t xml:space="preserve"> the stigma associated with treatment of certain health conditions such as clinical depression (</w:t>
      </w:r>
      <w:r w:rsidR="00C25F8A" w:rsidRPr="00476FC9">
        <w:rPr>
          <w:color w:val="000000" w:themeColor="text1"/>
        </w:rPr>
        <w:t>An &amp; Kang, 2011</w:t>
      </w:r>
      <w:r w:rsidR="00876ED7" w:rsidRPr="00476FC9">
        <w:rPr>
          <w:color w:val="000000" w:themeColor="text1"/>
        </w:rPr>
        <w:t xml:space="preserve">). </w:t>
      </w:r>
      <w:r w:rsidRPr="00476FC9">
        <w:rPr>
          <w:color w:val="000000" w:themeColor="text1"/>
        </w:rPr>
        <w:t>Overall, proponents</w:t>
      </w:r>
      <w:r w:rsidR="003C7EC0" w:rsidRPr="00476FC9">
        <w:rPr>
          <w:color w:val="000000" w:themeColor="text1"/>
        </w:rPr>
        <w:t>’</w:t>
      </w:r>
      <w:r w:rsidRPr="00476FC9">
        <w:rPr>
          <w:color w:val="000000" w:themeColor="text1"/>
        </w:rPr>
        <w:t xml:space="preserve"> </w:t>
      </w:r>
      <w:r w:rsidR="009F4E87" w:rsidRPr="00476FC9">
        <w:rPr>
          <w:color w:val="000000" w:themeColor="text1"/>
        </w:rPr>
        <w:t>contention</w:t>
      </w:r>
      <w:r w:rsidRPr="00476FC9">
        <w:rPr>
          <w:color w:val="000000" w:themeColor="text1"/>
        </w:rPr>
        <w:t xml:space="preserve"> can be summarized as DTCA</w:t>
      </w:r>
      <w:r w:rsidR="003C7EC0" w:rsidRPr="00476FC9">
        <w:rPr>
          <w:color w:val="000000" w:themeColor="text1"/>
        </w:rPr>
        <w:t>’</w:t>
      </w:r>
      <w:r w:rsidRPr="00476FC9">
        <w:rPr>
          <w:color w:val="000000" w:themeColor="text1"/>
        </w:rPr>
        <w:t xml:space="preserve">s educational </w:t>
      </w:r>
      <w:r w:rsidR="009F4E87" w:rsidRPr="00476FC9">
        <w:rPr>
          <w:color w:val="000000" w:themeColor="text1"/>
        </w:rPr>
        <w:t xml:space="preserve">contribution to informed health decisions and public health </w:t>
      </w:r>
      <w:r w:rsidR="003C7EC0" w:rsidRPr="00476FC9">
        <w:rPr>
          <w:color w:val="000000" w:themeColor="text1"/>
        </w:rPr>
        <w:t xml:space="preserve">promotion </w:t>
      </w:r>
      <w:r w:rsidR="009F4E87" w:rsidRPr="00476FC9">
        <w:rPr>
          <w:color w:val="000000" w:themeColor="text1"/>
        </w:rPr>
        <w:t xml:space="preserve">in the </w:t>
      </w:r>
      <w:r w:rsidR="003C7EC0" w:rsidRPr="00476FC9">
        <w:rPr>
          <w:color w:val="000000" w:themeColor="text1"/>
        </w:rPr>
        <w:t>long run</w:t>
      </w:r>
      <w:r w:rsidRPr="00476FC9">
        <w:rPr>
          <w:color w:val="000000" w:themeColor="text1"/>
        </w:rPr>
        <w:t xml:space="preserve"> (An &amp; Muturi, 2011; Royne &amp; Myers, 2008). </w:t>
      </w:r>
      <w:r w:rsidR="003C7EC0" w:rsidRPr="00476FC9">
        <w:rPr>
          <w:color w:val="000000" w:themeColor="text1"/>
        </w:rPr>
        <w:t>A</w:t>
      </w:r>
      <w:r w:rsidRPr="00476FC9">
        <w:rPr>
          <w:color w:val="000000" w:themeColor="text1"/>
        </w:rPr>
        <w:t>dvocates</w:t>
      </w:r>
      <w:r w:rsidR="003C7EC0" w:rsidRPr="00476FC9">
        <w:rPr>
          <w:color w:val="000000" w:themeColor="text1"/>
        </w:rPr>
        <w:t xml:space="preserve"> also</w:t>
      </w:r>
      <w:r w:rsidRPr="00476FC9">
        <w:rPr>
          <w:color w:val="000000" w:themeColor="text1"/>
        </w:rPr>
        <w:t xml:space="preserve"> </w:t>
      </w:r>
      <w:r w:rsidR="009F4E87" w:rsidRPr="00476FC9">
        <w:rPr>
          <w:color w:val="000000" w:themeColor="text1"/>
        </w:rPr>
        <w:t>point out</w:t>
      </w:r>
      <w:r w:rsidRPr="00476FC9">
        <w:rPr>
          <w:color w:val="000000" w:themeColor="text1"/>
        </w:rPr>
        <w:t xml:space="preserve"> that </w:t>
      </w:r>
      <w:r w:rsidR="001A5EE5" w:rsidRPr="00476FC9">
        <w:rPr>
          <w:color w:val="000000" w:themeColor="text1"/>
        </w:rPr>
        <w:t xml:space="preserve">excessive </w:t>
      </w:r>
      <w:r w:rsidRPr="00476FC9">
        <w:rPr>
          <w:color w:val="000000" w:themeColor="text1"/>
        </w:rPr>
        <w:t xml:space="preserve">regulations on DTCA may </w:t>
      </w:r>
      <w:r w:rsidR="003C7EC0" w:rsidRPr="00476FC9">
        <w:rPr>
          <w:color w:val="000000" w:themeColor="text1"/>
        </w:rPr>
        <w:t>violate</w:t>
      </w:r>
      <w:r w:rsidRPr="00476FC9">
        <w:rPr>
          <w:color w:val="000000" w:themeColor="text1"/>
        </w:rPr>
        <w:t xml:space="preserve"> </w:t>
      </w:r>
      <w:r w:rsidR="009F4E87" w:rsidRPr="00476FC9">
        <w:rPr>
          <w:color w:val="000000" w:themeColor="text1"/>
        </w:rPr>
        <w:t xml:space="preserve">the freedom of speech clause in </w:t>
      </w:r>
      <w:r w:rsidRPr="00476FC9">
        <w:rPr>
          <w:i/>
          <w:color w:val="000000" w:themeColor="text1"/>
        </w:rPr>
        <w:t>the</w:t>
      </w:r>
      <w:r w:rsidRPr="00476FC9">
        <w:rPr>
          <w:color w:val="000000" w:themeColor="text1"/>
        </w:rPr>
        <w:t xml:space="preserve"> </w:t>
      </w:r>
      <w:r w:rsidRPr="00476FC9">
        <w:rPr>
          <w:i/>
          <w:color w:val="000000" w:themeColor="text1"/>
        </w:rPr>
        <w:t>First Amendment</w:t>
      </w:r>
      <w:r w:rsidRPr="00476FC9">
        <w:rPr>
          <w:color w:val="000000" w:themeColor="text1"/>
        </w:rPr>
        <w:t xml:space="preserve"> (Grenard, Uy, Pagan, &amp; Frosch, 2011).</w:t>
      </w:r>
    </w:p>
    <w:p w:rsidR="004E36A5" w:rsidRPr="00476FC9" w:rsidRDefault="004E36A5"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t>In contrast, opponents maintain that DTC</w:t>
      </w:r>
      <w:r w:rsidR="001D6002" w:rsidRPr="00476FC9">
        <w:rPr>
          <w:color w:val="000000" w:themeColor="text1"/>
        </w:rPr>
        <w:t>A</w:t>
      </w:r>
      <w:r w:rsidRPr="00476FC9">
        <w:rPr>
          <w:color w:val="000000" w:themeColor="text1"/>
        </w:rPr>
        <w:t xml:space="preserve"> tend</w:t>
      </w:r>
      <w:r w:rsidR="00624934" w:rsidRPr="00476FC9">
        <w:rPr>
          <w:color w:val="000000" w:themeColor="text1"/>
        </w:rPr>
        <w:t>s</w:t>
      </w:r>
      <w:r w:rsidRPr="00476FC9">
        <w:rPr>
          <w:color w:val="000000" w:themeColor="text1"/>
        </w:rPr>
        <w:t xml:space="preserve"> to drive </w:t>
      </w:r>
      <w:r w:rsidR="00C43514" w:rsidRPr="00476FC9">
        <w:rPr>
          <w:color w:val="000000" w:themeColor="text1"/>
        </w:rPr>
        <w:t>consumers</w:t>
      </w:r>
      <w:r w:rsidR="003C7EC0" w:rsidRPr="00476FC9">
        <w:rPr>
          <w:color w:val="000000" w:themeColor="text1"/>
        </w:rPr>
        <w:t>’</w:t>
      </w:r>
      <w:r w:rsidR="00C43514" w:rsidRPr="00476FC9">
        <w:rPr>
          <w:color w:val="000000" w:themeColor="text1"/>
        </w:rPr>
        <w:t xml:space="preserve"> </w:t>
      </w:r>
      <w:r w:rsidR="00D934F8" w:rsidRPr="00476FC9">
        <w:rPr>
          <w:color w:val="000000" w:themeColor="text1"/>
        </w:rPr>
        <w:t>unnecessary use of medicines and</w:t>
      </w:r>
      <w:r w:rsidRPr="00476FC9">
        <w:rPr>
          <w:color w:val="000000" w:themeColor="text1"/>
        </w:rPr>
        <w:t xml:space="preserve"> </w:t>
      </w:r>
      <w:r w:rsidR="00B45670" w:rsidRPr="00476FC9">
        <w:rPr>
          <w:color w:val="000000" w:themeColor="text1"/>
        </w:rPr>
        <w:t>urge</w:t>
      </w:r>
      <w:r w:rsidR="00772F07" w:rsidRPr="00476FC9">
        <w:rPr>
          <w:color w:val="000000" w:themeColor="text1"/>
        </w:rPr>
        <w:t xml:space="preserve"> </w:t>
      </w:r>
      <w:r w:rsidR="00D934F8" w:rsidRPr="00476FC9">
        <w:rPr>
          <w:color w:val="000000" w:themeColor="text1"/>
        </w:rPr>
        <w:t xml:space="preserve">them </w:t>
      </w:r>
      <w:r w:rsidRPr="00476FC9">
        <w:rPr>
          <w:color w:val="000000" w:themeColor="text1"/>
        </w:rPr>
        <w:t xml:space="preserve">to </w:t>
      </w:r>
      <w:r w:rsidR="002B6DA5" w:rsidRPr="00476FC9">
        <w:rPr>
          <w:color w:val="000000" w:themeColor="text1"/>
        </w:rPr>
        <w:t xml:space="preserve">spend on </w:t>
      </w:r>
      <w:r w:rsidRPr="00476FC9">
        <w:rPr>
          <w:color w:val="000000" w:themeColor="text1"/>
        </w:rPr>
        <w:t xml:space="preserve">expensive branded drugs while steering them away from generics that are equally </w:t>
      </w:r>
      <w:r w:rsidR="003C7EC0" w:rsidRPr="00476FC9">
        <w:rPr>
          <w:color w:val="000000" w:themeColor="text1"/>
        </w:rPr>
        <w:t>or</w:t>
      </w:r>
      <w:r w:rsidRPr="00476FC9">
        <w:rPr>
          <w:color w:val="000000" w:themeColor="text1"/>
        </w:rPr>
        <w:t xml:space="preserve"> less-expensive (An &amp; Muturi, 2011). </w:t>
      </w:r>
      <w:r w:rsidR="003C7EC0" w:rsidRPr="00476FC9">
        <w:rPr>
          <w:color w:val="000000" w:themeColor="text1"/>
        </w:rPr>
        <w:t>Opponents</w:t>
      </w:r>
      <w:r w:rsidRPr="00476FC9">
        <w:rPr>
          <w:color w:val="000000" w:themeColor="text1"/>
        </w:rPr>
        <w:t xml:space="preserve"> also criticize that the </w:t>
      </w:r>
      <w:r w:rsidRPr="00476FC9">
        <w:rPr>
          <w:color w:val="000000" w:themeColor="text1"/>
        </w:rPr>
        <w:lastRenderedPageBreak/>
        <w:t xml:space="preserve">relationship between the patient and their physician </w:t>
      </w:r>
      <w:r w:rsidR="00D16A37" w:rsidRPr="00476FC9">
        <w:rPr>
          <w:color w:val="000000" w:themeColor="text1"/>
        </w:rPr>
        <w:t>m</w:t>
      </w:r>
      <w:r w:rsidR="00BB67C6" w:rsidRPr="00476FC9">
        <w:rPr>
          <w:color w:val="000000" w:themeColor="text1"/>
        </w:rPr>
        <w:t>a</w:t>
      </w:r>
      <w:r w:rsidR="00D16A37" w:rsidRPr="00476FC9">
        <w:rPr>
          <w:color w:val="000000" w:themeColor="text1"/>
        </w:rPr>
        <w:t>y deteriorate</w:t>
      </w:r>
      <w:r w:rsidR="003C7EC0" w:rsidRPr="00476FC9">
        <w:rPr>
          <w:color w:val="000000" w:themeColor="text1"/>
        </w:rPr>
        <w:t>s</w:t>
      </w:r>
      <w:r w:rsidR="00D16A37" w:rsidRPr="00476FC9">
        <w:rPr>
          <w:color w:val="000000" w:themeColor="text1"/>
        </w:rPr>
        <w:t xml:space="preserve"> </w:t>
      </w:r>
      <w:r w:rsidR="001A5EE5" w:rsidRPr="00476FC9">
        <w:rPr>
          <w:color w:val="000000" w:themeColor="text1"/>
        </w:rPr>
        <w:t>due to</w:t>
      </w:r>
      <w:r w:rsidRPr="00476FC9">
        <w:rPr>
          <w:color w:val="000000" w:themeColor="text1"/>
        </w:rPr>
        <w:t xml:space="preserve"> </w:t>
      </w:r>
      <w:r w:rsidR="001A5EE5" w:rsidRPr="00476FC9">
        <w:rPr>
          <w:color w:val="000000" w:themeColor="text1"/>
        </w:rPr>
        <w:t xml:space="preserve">DTCA’s </w:t>
      </w:r>
      <w:r w:rsidRPr="00476FC9">
        <w:rPr>
          <w:color w:val="000000" w:themeColor="text1"/>
        </w:rPr>
        <w:t xml:space="preserve">prompting </w:t>
      </w:r>
      <w:r w:rsidR="001A5EE5" w:rsidRPr="00476FC9">
        <w:rPr>
          <w:color w:val="000000" w:themeColor="text1"/>
        </w:rPr>
        <w:t xml:space="preserve">of </w:t>
      </w:r>
      <w:r w:rsidRPr="00476FC9">
        <w:rPr>
          <w:color w:val="000000" w:themeColor="text1"/>
        </w:rPr>
        <w:t>patients’ disobedience and inappropriate prescription request</w:t>
      </w:r>
      <w:r w:rsidR="00C12B73" w:rsidRPr="00476FC9">
        <w:rPr>
          <w:color w:val="000000" w:themeColor="text1"/>
        </w:rPr>
        <w:t xml:space="preserve"> (Rosenthal &amp; Donohue, 2005)</w:t>
      </w:r>
      <w:r w:rsidRPr="00476FC9">
        <w:rPr>
          <w:color w:val="000000" w:themeColor="text1"/>
        </w:rPr>
        <w:t xml:space="preserve">. In this regard, physicians have </w:t>
      </w:r>
      <w:r w:rsidR="005A061C" w:rsidRPr="00476FC9">
        <w:rPr>
          <w:color w:val="000000" w:themeColor="text1"/>
        </w:rPr>
        <w:t>expressed</w:t>
      </w:r>
      <w:r w:rsidRPr="00476FC9">
        <w:rPr>
          <w:color w:val="000000" w:themeColor="text1"/>
        </w:rPr>
        <w:t xml:space="preserve"> </w:t>
      </w:r>
      <w:r w:rsidR="00624934" w:rsidRPr="00476FC9">
        <w:rPr>
          <w:color w:val="000000" w:themeColor="text1"/>
        </w:rPr>
        <w:t xml:space="preserve">a </w:t>
      </w:r>
      <w:r w:rsidR="004E103E" w:rsidRPr="00476FC9">
        <w:rPr>
          <w:color w:val="000000" w:themeColor="text1"/>
        </w:rPr>
        <w:t xml:space="preserve">concern </w:t>
      </w:r>
      <w:r w:rsidRPr="00476FC9">
        <w:rPr>
          <w:color w:val="000000" w:themeColor="text1"/>
        </w:rPr>
        <w:t>that patients</w:t>
      </w:r>
      <w:r w:rsidR="003C7EC0" w:rsidRPr="00476FC9">
        <w:rPr>
          <w:color w:val="000000" w:themeColor="text1"/>
        </w:rPr>
        <w:t>’</w:t>
      </w:r>
      <w:r w:rsidRPr="00476FC9">
        <w:rPr>
          <w:color w:val="000000" w:themeColor="text1"/>
        </w:rPr>
        <w:t xml:space="preserve"> inappropriate prescription request often disturb</w:t>
      </w:r>
      <w:r w:rsidR="004E103E" w:rsidRPr="00476FC9">
        <w:rPr>
          <w:color w:val="000000" w:themeColor="text1"/>
        </w:rPr>
        <w:t>s</w:t>
      </w:r>
      <w:r w:rsidRPr="00476FC9">
        <w:rPr>
          <w:color w:val="000000" w:themeColor="text1"/>
        </w:rPr>
        <w:t xml:space="preserve"> physician-patient </w:t>
      </w:r>
      <w:r w:rsidR="004E103E" w:rsidRPr="00476FC9">
        <w:rPr>
          <w:color w:val="000000" w:themeColor="text1"/>
        </w:rPr>
        <w:t>conversation</w:t>
      </w:r>
      <w:r w:rsidRPr="00476FC9">
        <w:rPr>
          <w:color w:val="000000" w:themeColor="text1"/>
        </w:rPr>
        <w:t xml:space="preserve"> because they need to spend much time correcting consumers’ misunderstanding obtained from DTCA </w:t>
      </w:r>
      <w:r w:rsidR="0037059D" w:rsidRPr="00476FC9">
        <w:rPr>
          <w:color w:val="000000" w:themeColor="text1"/>
        </w:rPr>
        <w:t>(Harker &amp; Harker, 2007; Royne &amp; Myers, 2008).</w:t>
      </w:r>
      <w:r w:rsidRPr="00476FC9">
        <w:rPr>
          <w:color w:val="000000" w:themeColor="text1"/>
        </w:rPr>
        <w:t xml:space="preserve"> </w:t>
      </w:r>
      <w:r w:rsidR="004E103E" w:rsidRPr="00476FC9">
        <w:rPr>
          <w:color w:val="000000" w:themeColor="text1"/>
        </w:rPr>
        <w:t>Moreover</w:t>
      </w:r>
      <w:r w:rsidR="00BE16D0" w:rsidRPr="00476FC9">
        <w:rPr>
          <w:color w:val="000000" w:themeColor="text1"/>
        </w:rPr>
        <w:t xml:space="preserve">, </w:t>
      </w:r>
      <w:r w:rsidR="004F7917" w:rsidRPr="00476FC9">
        <w:rPr>
          <w:color w:val="000000" w:themeColor="text1"/>
        </w:rPr>
        <w:t>dissenters a</w:t>
      </w:r>
      <w:r w:rsidRPr="00476FC9">
        <w:rPr>
          <w:color w:val="000000" w:themeColor="text1"/>
        </w:rPr>
        <w:t xml:space="preserve">ssert that information conveyed in </w:t>
      </w:r>
      <w:r w:rsidR="00F44576" w:rsidRPr="00476FC9">
        <w:rPr>
          <w:color w:val="000000" w:themeColor="text1"/>
        </w:rPr>
        <w:t xml:space="preserve">DTC </w:t>
      </w:r>
      <w:r w:rsidRPr="00476FC9">
        <w:rPr>
          <w:color w:val="000000" w:themeColor="text1"/>
        </w:rPr>
        <w:t xml:space="preserve">ads </w:t>
      </w:r>
      <w:r w:rsidR="004E103E" w:rsidRPr="00476FC9">
        <w:rPr>
          <w:color w:val="000000" w:themeColor="text1"/>
        </w:rPr>
        <w:t>may</w:t>
      </w:r>
      <w:r w:rsidR="00F458C2" w:rsidRPr="00476FC9">
        <w:rPr>
          <w:color w:val="000000" w:themeColor="text1"/>
        </w:rPr>
        <w:t xml:space="preserve"> </w:t>
      </w:r>
      <w:r w:rsidRPr="00476FC9">
        <w:rPr>
          <w:color w:val="000000" w:themeColor="text1"/>
        </w:rPr>
        <w:t xml:space="preserve">confuse vulnerable </w:t>
      </w:r>
      <w:r w:rsidR="004E103E" w:rsidRPr="00476FC9">
        <w:rPr>
          <w:color w:val="000000" w:themeColor="text1"/>
        </w:rPr>
        <w:t>people</w:t>
      </w:r>
      <w:r w:rsidRPr="00476FC9">
        <w:rPr>
          <w:color w:val="000000" w:themeColor="text1"/>
        </w:rPr>
        <w:t xml:space="preserve"> </w:t>
      </w:r>
      <w:r w:rsidR="00624934" w:rsidRPr="00476FC9">
        <w:rPr>
          <w:color w:val="000000" w:themeColor="text1"/>
        </w:rPr>
        <w:t xml:space="preserve">and </w:t>
      </w:r>
      <w:r w:rsidR="001A5EE5" w:rsidRPr="00476FC9">
        <w:rPr>
          <w:color w:val="000000" w:themeColor="text1"/>
        </w:rPr>
        <w:t>seek</w:t>
      </w:r>
      <w:r w:rsidRPr="00476FC9">
        <w:rPr>
          <w:color w:val="000000" w:themeColor="text1"/>
        </w:rPr>
        <w:t xml:space="preserve"> drug promotion </w:t>
      </w:r>
      <w:r w:rsidR="001A5EE5" w:rsidRPr="00476FC9">
        <w:rPr>
          <w:color w:val="000000" w:themeColor="text1"/>
        </w:rPr>
        <w:t xml:space="preserve">rather </w:t>
      </w:r>
      <w:r w:rsidRPr="00476FC9">
        <w:rPr>
          <w:color w:val="000000" w:themeColor="text1"/>
        </w:rPr>
        <w:t>than educating consumers</w:t>
      </w:r>
      <w:r w:rsidR="004E103E" w:rsidRPr="00476FC9">
        <w:rPr>
          <w:color w:val="000000" w:themeColor="text1"/>
        </w:rPr>
        <w:t xml:space="preserve"> about important health issues</w:t>
      </w:r>
      <w:r w:rsidRPr="00476FC9">
        <w:rPr>
          <w:color w:val="000000" w:themeColor="text1"/>
        </w:rPr>
        <w:t xml:space="preserve"> (Royne &amp; Myers, 2008; Tsai &amp; Lancaster, 2012; Wolfe, 2002). Given these </w:t>
      </w:r>
      <w:r w:rsidR="004E103E" w:rsidRPr="00476FC9">
        <w:rPr>
          <w:color w:val="000000" w:themeColor="text1"/>
        </w:rPr>
        <w:t>concerns</w:t>
      </w:r>
      <w:r w:rsidR="009F5F18" w:rsidRPr="00476FC9">
        <w:rPr>
          <w:color w:val="000000" w:themeColor="text1"/>
        </w:rPr>
        <w:t xml:space="preserve"> </w:t>
      </w:r>
      <w:r w:rsidR="001A5EE5" w:rsidRPr="00476FC9">
        <w:rPr>
          <w:color w:val="000000" w:themeColor="text1"/>
        </w:rPr>
        <w:t>about</w:t>
      </w:r>
      <w:r w:rsidR="009F5F18" w:rsidRPr="00476FC9">
        <w:rPr>
          <w:color w:val="000000" w:themeColor="text1"/>
        </w:rPr>
        <w:t xml:space="preserve"> </w:t>
      </w:r>
      <w:r w:rsidR="005903C2" w:rsidRPr="00476FC9">
        <w:rPr>
          <w:color w:val="000000" w:themeColor="text1"/>
        </w:rPr>
        <w:t>the</w:t>
      </w:r>
      <w:r w:rsidR="00A73F5D" w:rsidRPr="00476FC9">
        <w:rPr>
          <w:color w:val="000000" w:themeColor="text1"/>
        </w:rPr>
        <w:t xml:space="preserve"> advertising category</w:t>
      </w:r>
      <w:r w:rsidRPr="00476FC9">
        <w:rPr>
          <w:color w:val="000000" w:themeColor="text1"/>
        </w:rPr>
        <w:t xml:space="preserve">, critics have </w:t>
      </w:r>
      <w:r w:rsidR="004E103E" w:rsidRPr="00476FC9">
        <w:rPr>
          <w:color w:val="000000" w:themeColor="text1"/>
        </w:rPr>
        <w:t>voiced</w:t>
      </w:r>
      <w:r w:rsidRPr="00476FC9">
        <w:rPr>
          <w:color w:val="000000" w:themeColor="text1"/>
        </w:rPr>
        <w:t xml:space="preserve"> that DTCA possibly leads to an over-medicalized society that </w:t>
      </w:r>
      <w:r w:rsidR="004E103E" w:rsidRPr="00476FC9">
        <w:rPr>
          <w:color w:val="000000" w:themeColor="text1"/>
        </w:rPr>
        <w:t>relates to</w:t>
      </w:r>
      <w:r w:rsidRPr="00476FC9">
        <w:rPr>
          <w:color w:val="000000" w:themeColor="text1"/>
        </w:rPr>
        <w:t xml:space="preserve"> </w:t>
      </w:r>
      <w:r w:rsidR="00624934" w:rsidRPr="00476FC9">
        <w:rPr>
          <w:color w:val="000000" w:themeColor="text1"/>
        </w:rPr>
        <w:t xml:space="preserve">an increase in </w:t>
      </w:r>
      <w:r w:rsidR="000C0D7E" w:rsidRPr="00476FC9">
        <w:rPr>
          <w:color w:val="000000" w:themeColor="text1"/>
        </w:rPr>
        <w:t xml:space="preserve">the </w:t>
      </w:r>
      <w:r w:rsidR="006E3C90" w:rsidRPr="00476FC9">
        <w:rPr>
          <w:color w:val="000000" w:themeColor="text1"/>
        </w:rPr>
        <w:t xml:space="preserve">overall </w:t>
      </w:r>
      <w:r w:rsidRPr="00476FC9">
        <w:rPr>
          <w:color w:val="000000" w:themeColor="text1"/>
        </w:rPr>
        <w:t>health care cost</w:t>
      </w:r>
      <w:r w:rsidR="004E103E" w:rsidRPr="00476FC9">
        <w:rPr>
          <w:color w:val="000000" w:themeColor="text1"/>
        </w:rPr>
        <w:t xml:space="preserve"> </w:t>
      </w:r>
      <w:r w:rsidR="006C5139" w:rsidRPr="00476FC9">
        <w:rPr>
          <w:color w:val="000000" w:themeColor="text1"/>
        </w:rPr>
        <w:t>in society</w:t>
      </w:r>
      <w:r w:rsidR="00624934" w:rsidRPr="00476FC9">
        <w:rPr>
          <w:color w:val="000000" w:themeColor="text1"/>
        </w:rPr>
        <w:t xml:space="preserve"> as a whole</w:t>
      </w:r>
      <w:r w:rsidR="006C5139" w:rsidRPr="00476FC9">
        <w:rPr>
          <w:color w:val="000000" w:themeColor="text1"/>
        </w:rPr>
        <w:t xml:space="preserve"> </w:t>
      </w:r>
      <w:r w:rsidRPr="00476FC9">
        <w:rPr>
          <w:color w:val="000000" w:themeColor="text1"/>
        </w:rPr>
        <w:t>(Beltramini, 2010</w:t>
      </w:r>
      <w:r w:rsidR="00D112AC" w:rsidRPr="00476FC9">
        <w:rPr>
          <w:color w:val="000000" w:themeColor="text1"/>
        </w:rPr>
        <w:t>; Parker &amp; Pettijohn, 2003</w:t>
      </w:r>
      <w:r w:rsidRPr="00476FC9">
        <w:rPr>
          <w:color w:val="000000" w:themeColor="text1"/>
        </w:rPr>
        <w:t>).</w:t>
      </w:r>
    </w:p>
    <w:p w:rsidR="00E76771" w:rsidRPr="00476FC9" w:rsidRDefault="001A5EE5" w:rsidP="007D2ACE">
      <w:pPr>
        <w:keepNext w:val="0"/>
        <w:widowControl w:val="0"/>
        <w:kinsoku w:val="0"/>
        <w:overflowPunct w:val="0"/>
        <w:autoSpaceDE w:val="0"/>
        <w:autoSpaceDN w:val="0"/>
        <w:adjustRightInd w:val="0"/>
        <w:snapToGrid w:val="0"/>
        <w:spacing w:before="0" w:after="0"/>
        <w:ind w:left="90" w:firstLine="630"/>
        <w:rPr>
          <w:color w:val="000000" w:themeColor="text1"/>
        </w:rPr>
      </w:pPr>
      <w:r w:rsidRPr="00476FC9">
        <w:rPr>
          <w:color w:val="000000" w:themeColor="text1"/>
        </w:rPr>
        <w:t xml:space="preserve">However, DTCA has already been allowed in the US. Despite the heated debate over the advertising category, considering </w:t>
      </w:r>
      <w:r w:rsidR="00527F3F" w:rsidRPr="00476FC9">
        <w:rPr>
          <w:color w:val="000000" w:themeColor="text1"/>
        </w:rPr>
        <w:t xml:space="preserve">both positive and negative aspects of DTCA, </w:t>
      </w:r>
      <w:r w:rsidR="000C0D7E" w:rsidRPr="00476FC9">
        <w:rPr>
          <w:color w:val="000000" w:themeColor="text1"/>
        </w:rPr>
        <w:t>researchers need</w:t>
      </w:r>
      <w:r w:rsidR="00527F3F" w:rsidRPr="00476FC9">
        <w:rPr>
          <w:color w:val="000000" w:themeColor="text1"/>
        </w:rPr>
        <w:t xml:space="preserve"> to examine how this advertising category </w:t>
      </w:r>
      <w:r w:rsidR="000C0D7E" w:rsidRPr="00476FC9">
        <w:rPr>
          <w:color w:val="000000" w:themeColor="text1"/>
        </w:rPr>
        <w:t>may</w:t>
      </w:r>
      <w:r w:rsidR="00527F3F" w:rsidRPr="00476FC9">
        <w:rPr>
          <w:color w:val="000000" w:themeColor="text1"/>
        </w:rPr>
        <w:t xml:space="preserve"> contribute to public health</w:t>
      </w:r>
      <w:r w:rsidR="000C0D7E" w:rsidRPr="00476FC9">
        <w:rPr>
          <w:color w:val="000000" w:themeColor="text1"/>
        </w:rPr>
        <w:t xml:space="preserve"> better</w:t>
      </w:r>
      <w:r w:rsidR="00527F3F" w:rsidRPr="00476FC9">
        <w:rPr>
          <w:color w:val="000000" w:themeColor="text1"/>
        </w:rPr>
        <w:t>. A</w:t>
      </w:r>
      <w:r w:rsidR="004E103E" w:rsidRPr="00476FC9">
        <w:rPr>
          <w:color w:val="000000" w:themeColor="text1"/>
        </w:rPr>
        <w:t>n alternative</w:t>
      </w:r>
      <w:r w:rsidR="004E36A5" w:rsidRPr="00476FC9">
        <w:rPr>
          <w:color w:val="000000" w:themeColor="text1"/>
        </w:rPr>
        <w:t xml:space="preserve"> discourse </w:t>
      </w:r>
      <w:r w:rsidRPr="00476FC9">
        <w:rPr>
          <w:color w:val="000000" w:themeColor="text1"/>
        </w:rPr>
        <w:t>of</w:t>
      </w:r>
      <w:r w:rsidR="009F1F0A" w:rsidRPr="00476FC9">
        <w:rPr>
          <w:color w:val="000000" w:themeColor="text1"/>
        </w:rPr>
        <w:t xml:space="preserve"> </w:t>
      </w:r>
      <w:r w:rsidR="004E103E" w:rsidRPr="00476FC9">
        <w:rPr>
          <w:color w:val="000000" w:themeColor="text1"/>
        </w:rPr>
        <w:t>the debate</w:t>
      </w:r>
      <w:r w:rsidR="004E36A5" w:rsidRPr="00476FC9">
        <w:rPr>
          <w:color w:val="000000" w:themeColor="text1"/>
        </w:rPr>
        <w:t xml:space="preserve"> would</w:t>
      </w:r>
      <w:r w:rsidR="00611C09" w:rsidRPr="00476FC9">
        <w:rPr>
          <w:color w:val="000000" w:themeColor="text1"/>
        </w:rPr>
        <w:t xml:space="preserve"> </w:t>
      </w:r>
      <w:r w:rsidRPr="00476FC9">
        <w:rPr>
          <w:color w:val="000000" w:themeColor="text1"/>
        </w:rPr>
        <w:t xml:space="preserve">be on </w:t>
      </w:r>
      <w:r w:rsidR="00624934" w:rsidRPr="00476FC9">
        <w:rPr>
          <w:color w:val="000000" w:themeColor="text1"/>
        </w:rPr>
        <w:t>seek</w:t>
      </w:r>
      <w:r w:rsidRPr="00476FC9">
        <w:rPr>
          <w:color w:val="000000" w:themeColor="text1"/>
        </w:rPr>
        <w:t>ing</w:t>
      </w:r>
      <w:r w:rsidR="00D112AC" w:rsidRPr="00476FC9">
        <w:rPr>
          <w:color w:val="000000" w:themeColor="text1"/>
        </w:rPr>
        <w:t xml:space="preserve"> </w:t>
      </w:r>
      <w:r w:rsidR="000C0D7E" w:rsidRPr="00476FC9">
        <w:rPr>
          <w:color w:val="000000" w:themeColor="text1"/>
        </w:rPr>
        <w:t xml:space="preserve">knowledge on </w:t>
      </w:r>
      <w:r w:rsidR="000A5AB0" w:rsidRPr="00476FC9">
        <w:rPr>
          <w:color w:val="000000" w:themeColor="text1"/>
        </w:rPr>
        <w:t xml:space="preserve">how </w:t>
      </w:r>
      <w:r w:rsidR="004E36A5" w:rsidRPr="00476FC9">
        <w:rPr>
          <w:color w:val="000000" w:themeColor="text1"/>
        </w:rPr>
        <w:t xml:space="preserve">to </w:t>
      </w:r>
      <w:r w:rsidR="00872A5D" w:rsidRPr="00476FC9">
        <w:rPr>
          <w:color w:val="000000" w:themeColor="text1"/>
        </w:rPr>
        <w:t>promote</w:t>
      </w:r>
      <w:r w:rsidR="004E36A5" w:rsidRPr="00476FC9">
        <w:rPr>
          <w:color w:val="000000" w:themeColor="text1"/>
        </w:rPr>
        <w:t xml:space="preserve"> </w:t>
      </w:r>
      <w:r w:rsidRPr="00476FC9">
        <w:rPr>
          <w:color w:val="000000" w:themeColor="text1"/>
        </w:rPr>
        <w:t xml:space="preserve">the </w:t>
      </w:r>
      <w:r w:rsidR="006A4EA0" w:rsidRPr="00476FC9">
        <w:rPr>
          <w:color w:val="000000" w:themeColor="text1"/>
        </w:rPr>
        <w:t>public</w:t>
      </w:r>
      <w:r w:rsidR="000C0D7E" w:rsidRPr="00476FC9">
        <w:rPr>
          <w:color w:val="000000" w:themeColor="text1"/>
        </w:rPr>
        <w:t>’</w:t>
      </w:r>
      <w:r w:rsidR="006A4EA0" w:rsidRPr="00476FC9">
        <w:rPr>
          <w:color w:val="000000" w:themeColor="text1"/>
        </w:rPr>
        <w:t xml:space="preserve">s </w:t>
      </w:r>
      <w:r w:rsidR="00ED0778" w:rsidRPr="00476FC9">
        <w:rPr>
          <w:color w:val="000000" w:themeColor="text1"/>
        </w:rPr>
        <w:t xml:space="preserve">informed health </w:t>
      </w:r>
      <w:r w:rsidR="004E103E" w:rsidRPr="00476FC9">
        <w:rPr>
          <w:color w:val="000000" w:themeColor="text1"/>
        </w:rPr>
        <w:t>decision th</w:t>
      </w:r>
      <w:r w:rsidR="000C0D7E" w:rsidRPr="00476FC9">
        <w:rPr>
          <w:color w:val="000000" w:themeColor="text1"/>
        </w:rPr>
        <w:t>r</w:t>
      </w:r>
      <w:r w:rsidR="004E103E" w:rsidRPr="00476FC9">
        <w:rPr>
          <w:color w:val="000000" w:themeColor="text1"/>
        </w:rPr>
        <w:t xml:space="preserve">ough </w:t>
      </w:r>
      <w:r w:rsidR="000C0D7E" w:rsidRPr="00476FC9">
        <w:rPr>
          <w:color w:val="000000" w:themeColor="text1"/>
        </w:rPr>
        <w:t xml:space="preserve">providing accurate and balanced </w:t>
      </w:r>
      <w:r w:rsidR="000A5AB0" w:rsidRPr="00476FC9">
        <w:rPr>
          <w:color w:val="000000" w:themeColor="text1"/>
        </w:rPr>
        <w:t>health</w:t>
      </w:r>
      <w:r w:rsidR="004E103E" w:rsidRPr="00476FC9">
        <w:rPr>
          <w:color w:val="000000" w:themeColor="text1"/>
        </w:rPr>
        <w:t xml:space="preserve"> information</w:t>
      </w:r>
      <w:r w:rsidR="000C0D7E" w:rsidRPr="00476FC9">
        <w:rPr>
          <w:color w:val="000000" w:themeColor="text1"/>
        </w:rPr>
        <w:t xml:space="preserve"> and encouraging consumers to process them adequately</w:t>
      </w:r>
      <w:r w:rsidR="004E36A5" w:rsidRPr="00476FC9">
        <w:rPr>
          <w:color w:val="000000" w:themeColor="text1"/>
        </w:rPr>
        <w:t xml:space="preserve">. </w:t>
      </w:r>
      <w:r w:rsidR="00D112AC" w:rsidRPr="00476FC9">
        <w:rPr>
          <w:color w:val="000000" w:themeColor="text1"/>
        </w:rPr>
        <w:t>I</w:t>
      </w:r>
      <w:r w:rsidR="004E36A5" w:rsidRPr="00476FC9">
        <w:rPr>
          <w:color w:val="000000" w:themeColor="text1"/>
        </w:rPr>
        <w:t xml:space="preserve">f </w:t>
      </w:r>
      <w:r w:rsidR="004E103E" w:rsidRPr="00476FC9">
        <w:rPr>
          <w:color w:val="000000" w:themeColor="text1"/>
        </w:rPr>
        <w:t>essential</w:t>
      </w:r>
      <w:r w:rsidR="00D112AC" w:rsidRPr="00476FC9">
        <w:rPr>
          <w:color w:val="000000" w:themeColor="text1"/>
        </w:rPr>
        <w:t xml:space="preserve"> </w:t>
      </w:r>
      <w:r w:rsidR="004E36A5" w:rsidRPr="00476FC9">
        <w:rPr>
          <w:color w:val="000000" w:themeColor="text1"/>
        </w:rPr>
        <w:t xml:space="preserve">health information </w:t>
      </w:r>
      <w:r w:rsidR="00527F3F" w:rsidRPr="00476FC9">
        <w:rPr>
          <w:color w:val="000000" w:themeColor="text1"/>
        </w:rPr>
        <w:t>can be</w:t>
      </w:r>
      <w:r w:rsidR="004E36A5" w:rsidRPr="00476FC9">
        <w:rPr>
          <w:color w:val="000000" w:themeColor="text1"/>
        </w:rPr>
        <w:t xml:space="preserve"> </w:t>
      </w:r>
      <w:r w:rsidR="006945F9" w:rsidRPr="00476FC9">
        <w:rPr>
          <w:color w:val="000000" w:themeColor="text1"/>
        </w:rPr>
        <w:t xml:space="preserve">effectively </w:t>
      </w:r>
      <w:r w:rsidR="004E103E" w:rsidRPr="00476FC9">
        <w:rPr>
          <w:color w:val="000000" w:themeColor="text1"/>
        </w:rPr>
        <w:t xml:space="preserve">conveyed to and attended by </w:t>
      </w:r>
      <w:r w:rsidR="004E36A5" w:rsidRPr="00476FC9">
        <w:rPr>
          <w:color w:val="000000" w:themeColor="text1"/>
        </w:rPr>
        <w:t xml:space="preserve">consumers, </w:t>
      </w:r>
      <w:r w:rsidR="004E103E" w:rsidRPr="00476FC9">
        <w:rPr>
          <w:color w:val="000000" w:themeColor="text1"/>
        </w:rPr>
        <w:t>this</w:t>
      </w:r>
      <w:r w:rsidR="005D6BB1" w:rsidRPr="00476FC9">
        <w:rPr>
          <w:color w:val="000000" w:themeColor="text1"/>
        </w:rPr>
        <w:t xml:space="preserve"> advertising category may </w:t>
      </w:r>
      <w:r w:rsidR="000A5AB0" w:rsidRPr="00476FC9">
        <w:rPr>
          <w:color w:val="000000" w:themeColor="text1"/>
        </w:rPr>
        <w:t>successfully serve public health education goals</w:t>
      </w:r>
      <w:r w:rsidR="004E36A5" w:rsidRPr="00476FC9">
        <w:rPr>
          <w:color w:val="000000" w:themeColor="text1"/>
        </w:rPr>
        <w:t>.</w:t>
      </w:r>
      <w:r w:rsidR="005D6BB1" w:rsidRPr="00476FC9">
        <w:rPr>
          <w:color w:val="000000" w:themeColor="text1"/>
        </w:rPr>
        <w:t xml:space="preserve"> In this regard, </w:t>
      </w:r>
      <w:r w:rsidR="00624934" w:rsidRPr="00476FC9">
        <w:rPr>
          <w:color w:val="000000" w:themeColor="text1"/>
        </w:rPr>
        <w:t xml:space="preserve">research </w:t>
      </w:r>
      <w:r w:rsidR="00BF3454" w:rsidRPr="00476FC9">
        <w:rPr>
          <w:color w:val="000000" w:themeColor="text1"/>
        </w:rPr>
        <w:t>on</w:t>
      </w:r>
      <w:r w:rsidR="00624934" w:rsidRPr="00476FC9">
        <w:rPr>
          <w:color w:val="000000" w:themeColor="text1"/>
        </w:rPr>
        <w:t xml:space="preserve"> </w:t>
      </w:r>
      <w:r w:rsidR="00687814" w:rsidRPr="00476FC9">
        <w:rPr>
          <w:color w:val="000000" w:themeColor="text1"/>
        </w:rPr>
        <w:t xml:space="preserve">how consumer characteristics can affect </w:t>
      </w:r>
      <w:r w:rsidR="000A5AB0" w:rsidRPr="00476FC9">
        <w:rPr>
          <w:color w:val="000000" w:themeColor="text1"/>
        </w:rPr>
        <w:t xml:space="preserve">DTCA </w:t>
      </w:r>
      <w:r w:rsidR="00687814" w:rsidRPr="00476FC9">
        <w:rPr>
          <w:color w:val="000000" w:themeColor="text1"/>
        </w:rPr>
        <w:t xml:space="preserve">message coping strategies </w:t>
      </w:r>
      <w:r w:rsidR="00624934" w:rsidRPr="00476FC9">
        <w:rPr>
          <w:color w:val="000000" w:themeColor="text1"/>
        </w:rPr>
        <w:t xml:space="preserve">is </w:t>
      </w:r>
      <w:r w:rsidR="00BF3454" w:rsidRPr="00476FC9">
        <w:rPr>
          <w:color w:val="000000" w:themeColor="text1"/>
        </w:rPr>
        <w:t xml:space="preserve">a </w:t>
      </w:r>
      <w:r w:rsidR="00624934" w:rsidRPr="00476FC9">
        <w:rPr>
          <w:color w:val="000000" w:themeColor="text1"/>
        </w:rPr>
        <w:t>critical</w:t>
      </w:r>
      <w:r w:rsidR="00BF3454" w:rsidRPr="00476FC9">
        <w:rPr>
          <w:color w:val="000000" w:themeColor="text1"/>
        </w:rPr>
        <w:t xml:space="preserve"> initiative</w:t>
      </w:r>
      <w:r w:rsidR="005D6BB1" w:rsidRPr="00476FC9">
        <w:rPr>
          <w:color w:val="000000" w:themeColor="text1"/>
        </w:rPr>
        <w:t>.</w:t>
      </w:r>
    </w:p>
    <w:p w:rsidR="005D6BB1" w:rsidRPr="00476FC9" w:rsidRDefault="005D6BB1" w:rsidP="007D2ACE">
      <w:pPr>
        <w:keepNext w:val="0"/>
        <w:widowControl w:val="0"/>
        <w:kinsoku w:val="0"/>
        <w:overflowPunct w:val="0"/>
        <w:autoSpaceDE w:val="0"/>
        <w:autoSpaceDN w:val="0"/>
        <w:adjustRightInd w:val="0"/>
        <w:snapToGrid w:val="0"/>
        <w:spacing w:before="0" w:after="0"/>
        <w:rPr>
          <w:color w:val="000000" w:themeColor="text1"/>
        </w:rPr>
      </w:pPr>
    </w:p>
    <w:p w:rsidR="007D2ACE" w:rsidRDefault="007D2ACE" w:rsidP="007D2ACE">
      <w:pPr>
        <w:pStyle w:val="Heading2"/>
        <w:rPr>
          <w:color w:val="000000" w:themeColor="text1"/>
        </w:rPr>
      </w:pPr>
    </w:p>
    <w:p w:rsidR="004B625E" w:rsidRPr="00476FC9" w:rsidRDefault="004B625E" w:rsidP="007D2ACE">
      <w:pPr>
        <w:pStyle w:val="Heading2"/>
        <w:rPr>
          <w:color w:val="000000" w:themeColor="text1"/>
        </w:rPr>
      </w:pPr>
      <w:bookmarkStart w:id="8" w:name="_Toc393800655"/>
      <w:r w:rsidRPr="00476FC9">
        <w:rPr>
          <w:color w:val="000000" w:themeColor="text1"/>
        </w:rPr>
        <w:lastRenderedPageBreak/>
        <w:t>Previous Research on DTCA</w:t>
      </w:r>
      <w:bookmarkEnd w:id="8"/>
    </w:p>
    <w:p w:rsidR="004B625E" w:rsidRPr="00476FC9" w:rsidRDefault="00677857"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A line of research has examined the content of DTCA. For instance, Sheehan (2007) found </w:t>
      </w:r>
      <w:r w:rsidR="004B625E" w:rsidRPr="00476FC9">
        <w:rPr>
          <w:color w:val="000000" w:themeColor="text1"/>
        </w:rPr>
        <w:t>that in a majority of branded prescription drug websites</w:t>
      </w:r>
      <w:r w:rsidRPr="00476FC9">
        <w:rPr>
          <w:color w:val="000000" w:themeColor="text1"/>
        </w:rPr>
        <w:t>,</w:t>
      </w:r>
      <w:r w:rsidR="004B625E" w:rsidRPr="00476FC9">
        <w:rPr>
          <w:color w:val="000000" w:themeColor="text1"/>
        </w:rPr>
        <w:t xml:space="preserve"> </w:t>
      </w:r>
      <w:r w:rsidRPr="00476FC9">
        <w:rPr>
          <w:color w:val="000000" w:themeColor="text1"/>
        </w:rPr>
        <w:t xml:space="preserve">the presentation of </w:t>
      </w:r>
      <w:r w:rsidR="004B625E" w:rsidRPr="00476FC9">
        <w:rPr>
          <w:color w:val="000000" w:themeColor="text1"/>
        </w:rPr>
        <w:t xml:space="preserve">risk information was significantly subordinate to </w:t>
      </w:r>
      <w:r w:rsidR="002F3144" w:rsidRPr="00476FC9">
        <w:rPr>
          <w:color w:val="000000" w:themeColor="text1"/>
        </w:rPr>
        <w:t xml:space="preserve">that of </w:t>
      </w:r>
      <w:r w:rsidR="004B625E" w:rsidRPr="00476FC9">
        <w:rPr>
          <w:color w:val="000000" w:themeColor="text1"/>
        </w:rPr>
        <w:t xml:space="preserve">promotional information. </w:t>
      </w:r>
      <w:r w:rsidRPr="00476FC9">
        <w:rPr>
          <w:color w:val="000000" w:themeColor="text1"/>
        </w:rPr>
        <w:t xml:space="preserve">Hoek, Gendall, and Freetham (2012) found that medical </w:t>
      </w:r>
      <w:r w:rsidR="00B93B32" w:rsidRPr="00476FC9">
        <w:rPr>
          <w:color w:val="000000" w:themeColor="text1"/>
        </w:rPr>
        <w:t xml:space="preserve">information overload may result in reduced </w:t>
      </w:r>
      <w:r w:rsidRPr="00476FC9">
        <w:rPr>
          <w:color w:val="000000" w:themeColor="text1"/>
        </w:rPr>
        <w:t xml:space="preserve">consumer </w:t>
      </w:r>
      <w:r w:rsidR="00B93B32" w:rsidRPr="00476FC9">
        <w:rPr>
          <w:color w:val="000000" w:themeColor="text1"/>
        </w:rPr>
        <w:t>comprehension</w:t>
      </w:r>
      <w:r w:rsidRPr="00476FC9">
        <w:rPr>
          <w:color w:val="000000" w:themeColor="text1"/>
        </w:rPr>
        <w:t xml:space="preserve">. In this regard, Kaphingst et al., (2005) note that </w:t>
      </w:r>
      <w:r w:rsidR="00B93B32" w:rsidRPr="00476FC9">
        <w:rPr>
          <w:color w:val="000000" w:themeColor="text1"/>
        </w:rPr>
        <w:t xml:space="preserve">if consumers have </w:t>
      </w:r>
      <w:r w:rsidR="002D4089" w:rsidRPr="00476FC9">
        <w:rPr>
          <w:color w:val="000000" w:themeColor="text1"/>
        </w:rPr>
        <w:t xml:space="preserve">a </w:t>
      </w:r>
      <w:r w:rsidR="00B93B32" w:rsidRPr="00476FC9">
        <w:rPr>
          <w:color w:val="000000" w:themeColor="text1"/>
        </w:rPr>
        <w:t>low level of health literac</w:t>
      </w:r>
      <w:r w:rsidRPr="00476FC9">
        <w:rPr>
          <w:color w:val="000000" w:themeColor="text1"/>
        </w:rPr>
        <w:t xml:space="preserve">y, misunderstanding of the drug’s uses and risks </w:t>
      </w:r>
      <w:r w:rsidR="00B93B32" w:rsidRPr="00476FC9">
        <w:rPr>
          <w:color w:val="000000" w:themeColor="text1"/>
        </w:rPr>
        <w:t xml:space="preserve">could </w:t>
      </w:r>
      <w:r w:rsidR="002D4089" w:rsidRPr="00476FC9">
        <w:rPr>
          <w:color w:val="000000" w:themeColor="text1"/>
        </w:rPr>
        <w:t>occur</w:t>
      </w:r>
      <w:r w:rsidR="004B625E" w:rsidRPr="00476FC9">
        <w:rPr>
          <w:color w:val="000000" w:themeColor="text1"/>
        </w:rPr>
        <w:t>.</w:t>
      </w:r>
      <w:r w:rsidR="00B93B32" w:rsidRPr="00476FC9">
        <w:rPr>
          <w:color w:val="000000" w:themeColor="text1"/>
        </w:rPr>
        <w:t xml:space="preserve"> </w:t>
      </w:r>
      <w:r w:rsidRPr="00476FC9">
        <w:rPr>
          <w:color w:val="000000" w:themeColor="text1"/>
        </w:rPr>
        <w:t>These studies imply that the way of presenting health information in DTCA may affect consumers</w:t>
      </w:r>
      <w:r w:rsidR="002D4089" w:rsidRPr="00476FC9">
        <w:rPr>
          <w:color w:val="000000" w:themeColor="text1"/>
        </w:rPr>
        <w:t>’</w:t>
      </w:r>
      <w:r w:rsidRPr="00476FC9">
        <w:rPr>
          <w:color w:val="000000" w:themeColor="text1"/>
        </w:rPr>
        <w:t xml:space="preserve"> </w:t>
      </w:r>
      <w:r w:rsidR="00B87874" w:rsidRPr="00476FC9">
        <w:rPr>
          <w:color w:val="000000" w:themeColor="text1"/>
        </w:rPr>
        <w:t>perception and decision making.</w:t>
      </w:r>
    </w:p>
    <w:p w:rsidR="004B625E" w:rsidRPr="00476FC9" w:rsidRDefault="004B625E"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B87874" w:rsidRPr="00476FC9">
        <w:rPr>
          <w:color w:val="000000" w:themeColor="text1"/>
        </w:rPr>
        <w:t xml:space="preserve">In terms of message appeals employed in DTCA, </w:t>
      </w:r>
      <w:r w:rsidR="00644511" w:rsidRPr="00476FC9">
        <w:rPr>
          <w:color w:val="000000" w:themeColor="text1"/>
        </w:rPr>
        <w:t xml:space="preserve">Macias, Pashupati </w:t>
      </w:r>
      <w:r w:rsidR="00624934" w:rsidRPr="00476FC9">
        <w:rPr>
          <w:color w:val="000000" w:themeColor="text1"/>
        </w:rPr>
        <w:t xml:space="preserve">and </w:t>
      </w:r>
      <w:r w:rsidR="00644511" w:rsidRPr="00476FC9">
        <w:rPr>
          <w:color w:val="000000" w:themeColor="text1"/>
        </w:rPr>
        <w:t>Lewis</w:t>
      </w:r>
      <w:r w:rsidR="00624934" w:rsidRPr="00476FC9">
        <w:rPr>
          <w:color w:val="000000" w:themeColor="text1"/>
        </w:rPr>
        <w:t xml:space="preserve"> (</w:t>
      </w:r>
      <w:r w:rsidR="00644511" w:rsidRPr="00476FC9">
        <w:rPr>
          <w:color w:val="000000" w:themeColor="text1"/>
        </w:rPr>
        <w:t>2007</w:t>
      </w:r>
      <w:r w:rsidR="00624934" w:rsidRPr="00476FC9">
        <w:rPr>
          <w:color w:val="000000" w:themeColor="text1"/>
        </w:rPr>
        <w:t xml:space="preserve">) and </w:t>
      </w:r>
      <w:r w:rsidR="00644511" w:rsidRPr="00476FC9">
        <w:rPr>
          <w:color w:val="000000" w:themeColor="text1"/>
        </w:rPr>
        <w:t xml:space="preserve">Tsai </w:t>
      </w:r>
      <w:r w:rsidR="00624934" w:rsidRPr="00476FC9">
        <w:rPr>
          <w:color w:val="000000" w:themeColor="text1"/>
        </w:rPr>
        <w:t xml:space="preserve">and </w:t>
      </w:r>
      <w:r w:rsidR="00644511" w:rsidRPr="00476FC9">
        <w:rPr>
          <w:color w:val="000000" w:themeColor="text1"/>
        </w:rPr>
        <w:t>Lancaster</w:t>
      </w:r>
      <w:r w:rsidR="00624934" w:rsidRPr="00476FC9">
        <w:rPr>
          <w:color w:val="000000" w:themeColor="text1"/>
        </w:rPr>
        <w:t xml:space="preserve"> (</w:t>
      </w:r>
      <w:r w:rsidR="00644511" w:rsidRPr="00476FC9">
        <w:rPr>
          <w:color w:val="000000" w:themeColor="text1"/>
        </w:rPr>
        <w:t>2012) found that most DTC ads employ</w:t>
      </w:r>
      <w:r w:rsidR="00624934" w:rsidRPr="00476FC9">
        <w:rPr>
          <w:color w:val="000000" w:themeColor="text1"/>
        </w:rPr>
        <w:t>ed</w:t>
      </w:r>
      <w:r w:rsidR="00644511" w:rsidRPr="00476FC9">
        <w:rPr>
          <w:color w:val="000000" w:themeColor="text1"/>
        </w:rPr>
        <w:t xml:space="preserve"> both informational and emotional appeals to a similar degree. However, </w:t>
      </w:r>
      <w:r w:rsidR="00B87874" w:rsidRPr="00476FC9">
        <w:rPr>
          <w:color w:val="000000" w:themeColor="text1"/>
        </w:rPr>
        <w:t xml:space="preserve">they note that </w:t>
      </w:r>
      <w:r w:rsidR="00644511" w:rsidRPr="00476FC9">
        <w:rPr>
          <w:color w:val="000000" w:themeColor="text1"/>
        </w:rPr>
        <w:t xml:space="preserve">if advertisers use emotional appeals </w:t>
      </w:r>
      <w:r w:rsidR="00B87874" w:rsidRPr="00476FC9">
        <w:rPr>
          <w:color w:val="000000" w:themeColor="text1"/>
        </w:rPr>
        <w:t>more than informational appeals,</w:t>
      </w:r>
      <w:r w:rsidR="00644511" w:rsidRPr="00476FC9">
        <w:rPr>
          <w:color w:val="000000" w:themeColor="text1"/>
        </w:rPr>
        <w:t xml:space="preserve"> it could make consumers’ attention stay away from </w:t>
      </w:r>
      <w:r w:rsidR="00B87874" w:rsidRPr="00476FC9">
        <w:rPr>
          <w:color w:val="000000" w:themeColor="text1"/>
        </w:rPr>
        <w:t xml:space="preserve">detailed drug attribute </w:t>
      </w:r>
      <w:r w:rsidR="004174B2" w:rsidRPr="00476FC9">
        <w:rPr>
          <w:color w:val="000000" w:themeColor="text1"/>
        </w:rPr>
        <w:t>information</w:t>
      </w:r>
      <w:r w:rsidR="00B87874" w:rsidRPr="00476FC9">
        <w:rPr>
          <w:color w:val="000000" w:themeColor="text1"/>
        </w:rPr>
        <w:t xml:space="preserve"> (Tsai &amp; Lancaster, 2012)</w:t>
      </w:r>
      <w:r w:rsidR="004174B2" w:rsidRPr="00476FC9">
        <w:rPr>
          <w:color w:val="000000" w:themeColor="text1"/>
        </w:rPr>
        <w:t>.</w:t>
      </w:r>
    </w:p>
    <w:p w:rsidR="004B625E" w:rsidRPr="00476FC9" w:rsidRDefault="004B625E" w:rsidP="007D2ACE">
      <w:pPr>
        <w:keepNext w:val="0"/>
        <w:widowControl w:val="0"/>
        <w:kinsoku w:val="0"/>
        <w:overflowPunct w:val="0"/>
        <w:autoSpaceDE w:val="0"/>
        <w:autoSpaceDN w:val="0"/>
        <w:adjustRightInd w:val="0"/>
        <w:snapToGrid w:val="0"/>
        <w:spacing w:before="0" w:after="0"/>
        <w:rPr>
          <w:b/>
          <w:color w:val="000000" w:themeColor="text1"/>
        </w:rPr>
      </w:pPr>
      <w:r w:rsidRPr="00476FC9">
        <w:rPr>
          <w:color w:val="000000" w:themeColor="text1"/>
        </w:rPr>
        <w:tab/>
        <w:t xml:space="preserve">Another </w:t>
      </w:r>
      <w:r w:rsidR="004174B2" w:rsidRPr="00476FC9">
        <w:rPr>
          <w:color w:val="000000" w:themeColor="text1"/>
        </w:rPr>
        <w:t>body</w:t>
      </w:r>
      <w:r w:rsidRPr="00476FC9">
        <w:rPr>
          <w:color w:val="000000" w:themeColor="text1"/>
        </w:rPr>
        <w:t xml:space="preserve"> of </w:t>
      </w:r>
      <w:r w:rsidR="00B87874" w:rsidRPr="00476FC9">
        <w:rPr>
          <w:color w:val="000000" w:themeColor="text1"/>
        </w:rPr>
        <w:t>studies a</w:t>
      </w:r>
      <w:r w:rsidRPr="00476FC9">
        <w:rPr>
          <w:color w:val="000000" w:themeColor="text1"/>
        </w:rPr>
        <w:t>ddresse</w:t>
      </w:r>
      <w:r w:rsidR="00B87874" w:rsidRPr="00476FC9">
        <w:rPr>
          <w:color w:val="000000" w:themeColor="text1"/>
        </w:rPr>
        <w:t>d</w:t>
      </w:r>
      <w:r w:rsidRPr="00476FC9">
        <w:rPr>
          <w:color w:val="000000" w:themeColor="text1"/>
        </w:rPr>
        <w:t xml:space="preserve"> consumer attitudes toward DTCA. </w:t>
      </w:r>
      <w:r w:rsidR="00B87874" w:rsidRPr="00476FC9">
        <w:rPr>
          <w:color w:val="000000" w:themeColor="text1"/>
        </w:rPr>
        <w:t xml:space="preserve">Vatjanapukka </w:t>
      </w:r>
      <w:r w:rsidR="00243997" w:rsidRPr="00476FC9">
        <w:rPr>
          <w:color w:val="000000" w:themeColor="text1"/>
        </w:rPr>
        <w:t>and</w:t>
      </w:r>
      <w:r w:rsidR="00B87874" w:rsidRPr="00476FC9">
        <w:rPr>
          <w:color w:val="000000" w:themeColor="text1"/>
        </w:rPr>
        <w:t xml:space="preserve"> Waryzak </w:t>
      </w:r>
      <w:r w:rsidR="00243997" w:rsidRPr="00476FC9">
        <w:rPr>
          <w:color w:val="000000" w:themeColor="text1"/>
        </w:rPr>
        <w:t>(</w:t>
      </w:r>
      <w:r w:rsidR="00B87874" w:rsidRPr="00476FC9">
        <w:rPr>
          <w:color w:val="000000" w:themeColor="text1"/>
        </w:rPr>
        <w:t>2004</w:t>
      </w:r>
      <w:r w:rsidR="00243997" w:rsidRPr="00476FC9">
        <w:rPr>
          <w:color w:val="000000" w:themeColor="text1"/>
        </w:rPr>
        <w:t>)</w:t>
      </w:r>
      <w:r w:rsidR="00B87874" w:rsidRPr="00476FC9">
        <w:rPr>
          <w:color w:val="000000" w:themeColor="text1"/>
        </w:rPr>
        <w:t xml:space="preserve"> found that those who have been frequently exposed to DTC ads </w:t>
      </w:r>
      <w:r w:rsidRPr="00476FC9">
        <w:rPr>
          <w:color w:val="000000" w:themeColor="text1"/>
        </w:rPr>
        <w:t>show</w:t>
      </w:r>
      <w:r w:rsidR="007F2069" w:rsidRPr="00476FC9">
        <w:rPr>
          <w:color w:val="000000" w:themeColor="text1"/>
        </w:rPr>
        <w:t>ed</w:t>
      </w:r>
      <w:r w:rsidRPr="00476FC9">
        <w:rPr>
          <w:color w:val="000000" w:themeColor="text1"/>
        </w:rPr>
        <w:t xml:space="preserve"> more </w:t>
      </w:r>
      <w:r w:rsidR="0062617C" w:rsidRPr="00476FC9">
        <w:rPr>
          <w:color w:val="000000" w:themeColor="text1"/>
        </w:rPr>
        <w:t>favorable</w:t>
      </w:r>
      <w:r w:rsidR="00243997" w:rsidRPr="00476FC9">
        <w:rPr>
          <w:color w:val="000000" w:themeColor="text1"/>
        </w:rPr>
        <w:t xml:space="preserve"> attitudes toward the DTCA</w:t>
      </w:r>
      <w:r w:rsidRPr="00476FC9">
        <w:rPr>
          <w:color w:val="000000" w:themeColor="text1"/>
        </w:rPr>
        <w:t xml:space="preserve"> </w:t>
      </w:r>
      <w:r w:rsidR="00243997" w:rsidRPr="00476FC9">
        <w:rPr>
          <w:color w:val="000000" w:themeColor="text1"/>
        </w:rPr>
        <w:t xml:space="preserve">category. Women reported more favorable attitudes toward DTCA </w:t>
      </w:r>
      <w:r w:rsidRPr="00476FC9">
        <w:rPr>
          <w:color w:val="000000" w:themeColor="text1"/>
        </w:rPr>
        <w:t>(Robinson et al., 2004)</w:t>
      </w:r>
      <w:r w:rsidR="00243997" w:rsidRPr="00476FC9">
        <w:rPr>
          <w:color w:val="000000" w:themeColor="text1"/>
        </w:rPr>
        <w:t xml:space="preserve">. In addition, senior Americans showed more favorable attitudes toward DTCA than younger Americans </w:t>
      </w:r>
      <w:r w:rsidRPr="00476FC9">
        <w:rPr>
          <w:color w:val="000000" w:themeColor="text1"/>
        </w:rPr>
        <w:t>(Williams &amp; Hensel, 1995).</w:t>
      </w:r>
    </w:p>
    <w:p w:rsidR="00243997" w:rsidRPr="00476FC9" w:rsidRDefault="004B625E" w:rsidP="007D2ACE">
      <w:pPr>
        <w:keepNext w:val="0"/>
        <w:widowControl w:val="0"/>
        <w:kinsoku w:val="0"/>
        <w:overflowPunct w:val="0"/>
        <w:autoSpaceDE w:val="0"/>
        <w:autoSpaceDN w:val="0"/>
        <w:adjustRightInd w:val="0"/>
        <w:snapToGrid w:val="0"/>
        <w:spacing w:before="0" w:after="0"/>
        <w:rPr>
          <w:color w:val="000000" w:themeColor="text1"/>
        </w:rPr>
      </w:pPr>
      <w:r w:rsidRPr="00476FC9">
        <w:rPr>
          <w:b/>
          <w:color w:val="000000" w:themeColor="text1"/>
        </w:rPr>
        <w:tab/>
      </w:r>
      <w:r w:rsidR="00243997" w:rsidRPr="00476FC9">
        <w:rPr>
          <w:color w:val="000000" w:themeColor="text1"/>
        </w:rPr>
        <w:t>Recently, in response to the FDA’s interest in consumer perception (FDA, 2009)</w:t>
      </w:r>
      <w:r w:rsidR="00B975E6" w:rsidRPr="00476FC9">
        <w:rPr>
          <w:color w:val="000000" w:themeColor="text1"/>
        </w:rPr>
        <w:t>,</w:t>
      </w:r>
      <w:r w:rsidR="00243997" w:rsidRPr="00476FC9">
        <w:rPr>
          <w:color w:val="000000" w:themeColor="text1"/>
        </w:rPr>
        <w:t xml:space="preserve"> research has examined various DTCA message strategies in terms of their effects on consumer response to the ad. Bhutada, Cook, and Perri (2009) found that using reference to coupons in ads </w:t>
      </w:r>
      <w:r w:rsidR="00243997" w:rsidRPr="00476FC9">
        <w:rPr>
          <w:color w:val="000000" w:themeColor="text1"/>
        </w:rPr>
        <w:lastRenderedPageBreak/>
        <w:t>affect consumers’ evaluations of the ads.</w:t>
      </w:r>
      <w:r w:rsidR="00B5153D" w:rsidRPr="00476FC9">
        <w:rPr>
          <w:color w:val="000000" w:themeColor="text1"/>
        </w:rPr>
        <w:t xml:space="preserve"> </w:t>
      </w:r>
      <w:r w:rsidR="00243997" w:rsidRPr="00476FC9">
        <w:rPr>
          <w:color w:val="000000" w:themeColor="text1"/>
        </w:rPr>
        <w:t xml:space="preserve">Shim, Cappella, and Leman (2010) also found that presenting familiar health risks may improve consumer involvement with the ad. Ju and Park (2013) examined the effects of numerical information in DTCA on consumers’ evaluations of the ad and found that numerical drug information could enhance consumers’ perceived effectiveness and attitudes toward the ad. </w:t>
      </w:r>
    </w:p>
    <w:p w:rsidR="00E55467" w:rsidRPr="00476FC9" w:rsidRDefault="00243997"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In sum, prior research could be categorized into </w:t>
      </w:r>
      <w:r w:rsidR="00E55467" w:rsidRPr="00476FC9">
        <w:rPr>
          <w:color w:val="000000" w:themeColor="text1"/>
        </w:rPr>
        <w:t>four</w:t>
      </w:r>
      <w:r w:rsidRPr="00476FC9">
        <w:rPr>
          <w:color w:val="000000" w:themeColor="text1"/>
        </w:rPr>
        <w:t xml:space="preserve"> broad groups. </w:t>
      </w:r>
      <w:r w:rsidR="00E55467" w:rsidRPr="00476FC9">
        <w:rPr>
          <w:color w:val="000000" w:themeColor="text1"/>
        </w:rPr>
        <w:t>First, o</w:t>
      </w:r>
      <w:r w:rsidRPr="00476FC9">
        <w:rPr>
          <w:color w:val="000000" w:themeColor="text1"/>
        </w:rPr>
        <w:t xml:space="preserve">ne program of research has examined the content of DTCA in terms of the relative proportion of benefit and risk information. </w:t>
      </w:r>
      <w:r w:rsidR="00E55467" w:rsidRPr="00476FC9">
        <w:rPr>
          <w:color w:val="000000" w:themeColor="text1"/>
        </w:rPr>
        <w:t xml:space="preserve">Second, message appeals have been a popular topic in the DTCA literature. Third, general consumer attitudes toward DTCA have been </w:t>
      </w:r>
      <w:r w:rsidR="002D4089" w:rsidRPr="00476FC9">
        <w:rPr>
          <w:color w:val="000000" w:themeColor="text1"/>
        </w:rPr>
        <w:t>examined</w:t>
      </w:r>
      <w:r w:rsidR="00E55467" w:rsidRPr="00476FC9">
        <w:rPr>
          <w:color w:val="000000" w:themeColor="text1"/>
        </w:rPr>
        <w:t>. Finally and more recently, research began to examine the effects of message strategies on consumers’ perception and behavior regarding health issues.</w:t>
      </w:r>
    </w:p>
    <w:p w:rsidR="00DD5684" w:rsidRPr="00476FC9" w:rsidRDefault="00E55467"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However, despite this abundance of DTCA research, little research </w:t>
      </w:r>
      <w:r w:rsidR="004B625E" w:rsidRPr="00476FC9">
        <w:rPr>
          <w:color w:val="000000" w:themeColor="text1"/>
        </w:rPr>
        <w:t xml:space="preserve">has </w:t>
      </w:r>
      <w:r w:rsidRPr="00476FC9">
        <w:rPr>
          <w:color w:val="000000" w:themeColor="text1"/>
        </w:rPr>
        <w:t xml:space="preserve">explored how risk disclosure presentation formats have consequences </w:t>
      </w:r>
      <w:r w:rsidR="002D4089" w:rsidRPr="00476FC9">
        <w:rPr>
          <w:color w:val="000000" w:themeColor="text1"/>
        </w:rPr>
        <w:t>for</w:t>
      </w:r>
      <w:r w:rsidRPr="00476FC9">
        <w:rPr>
          <w:color w:val="000000" w:themeColor="text1"/>
        </w:rPr>
        <w:t xml:space="preserve"> consumer response to the ad</w:t>
      </w:r>
      <w:r w:rsidR="00687814" w:rsidRPr="00476FC9">
        <w:rPr>
          <w:color w:val="000000" w:themeColor="text1"/>
        </w:rPr>
        <w:t>, and how individual differences in consumer characteristics influence such processes</w:t>
      </w:r>
      <w:r w:rsidRPr="00476FC9">
        <w:rPr>
          <w:color w:val="000000" w:themeColor="text1"/>
        </w:rPr>
        <w:t xml:space="preserve">. Risk disclosure in DTCA is required by the </w:t>
      </w:r>
      <w:r w:rsidRPr="00476FC9">
        <w:rPr>
          <w:i/>
          <w:color w:val="000000" w:themeColor="text1"/>
        </w:rPr>
        <w:t>fair balance</w:t>
      </w:r>
      <w:r w:rsidRPr="00476FC9">
        <w:rPr>
          <w:color w:val="000000" w:themeColor="text1"/>
        </w:rPr>
        <w:t xml:space="preserve"> requirement (21 CFR 202.1)</w:t>
      </w:r>
      <w:r w:rsidR="00687814" w:rsidRPr="00476FC9">
        <w:rPr>
          <w:color w:val="000000" w:themeColor="text1"/>
        </w:rPr>
        <w:t xml:space="preserve"> and </w:t>
      </w:r>
      <w:r w:rsidRPr="00476FC9">
        <w:rPr>
          <w:color w:val="000000" w:themeColor="text1"/>
        </w:rPr>
        <w:t>examining the impact of risk disclosure format represents an important research initiative. Nevertheless, since 2009 when the FDA issued draft guidance of risk communication in DTCA, rare research has provided empirical findings regarding various message execution factors outlined in the draft guidance</w:t>
      </w:r>
      <w:r w:rsidR="00687814" w:rsidRPr="00476FC9">
        <w:rPr>
          <w:color w:val="000000" w:themeColor="text1"/>
        </w:rPr>
        <w:t>, while considering various consumer-side factors</w:t>
      </w:r>
      <w:r w:rsidRPr="00476FC9">
        <w:rPr>
          <w:color w:val="000000" w:themeColor="text1"/>
        </w:rPr>
        <w:t>.</w:t>
      </w:r>
      <w:r w:rsidR="00C90D45" w:rsidRPr="00476FC9">
        <w:rPr>
          <w:color w:val="000000" w:themeColor="text1"/>
        </w:rPr>
        <w:t xml:space="preserve"> To better understand the impact of DTCA on consumers, more</w:t>
      </w:r>
      <w:r w:rsidR="00687814" w:rsidRPr="00476FC9">
        <w:rPr>
          <w:color w:val="000000" w:themeColor="text1"/>
        </w:rPr>
        <w:t xml:space="preserve"> consumer-driven</w:t>
      </w:r>
      <w:r w:rsidR="00C90D45" w:rsidRPr="00476FC9">
        <w:rPr>
          <w:color w:val="000000" w:themeColor="text1"/>
        </w:rPr>
        <w:t xml:space="preserve"> research is warranted.</w:t>
      </w:r>
    </w:p>
    <w:p w:rsidR="000F1F4B" w:rsidRDefault="000F1F4B" w:rsidP="007D2ACE">
      <w:pPr>
        <w:keepNext w:val="0"/>
        <w:widowControl w:val="0"/>
        <w:kinsoku w:val="0"/>
        <w:overflowPunct w:val="0"/>
        <w:autoSpaceDE w:val="0"/>
        <w:autoSpaceDN w:val="0"/>
        <w:adjustRightInd w:val="0"/>
        <w:snapToGrid w:val="0"/>
        <w:spacing w:before="0" w:after="0"/>
        <w:ind w:firstLine="720"/>
        <w:rPr>
          <w:color w:val="000000" w:themeColor="text1"/>
        </w:rPr>
      </w:pPr>
    </w:p>
    <w:p w:rsidR="007D2ACE" w:rsidRPr="00476FC9" w:rsidRDefault="007D2ACE" w:rsidP="007D2ACE">
      <w:pPr>
        <w:keepNext w:val="0"/>
        <w:widowControl w:val="0"/>
        <w:kinsoku w:val="0"/>
        <w:overflowPunct w:val="0"/>
        <w:autoSpaceDE w:val="0"/>
        <w:autoSpaceDN w:val="0"/>
        <w:adjustRightInd w:val="0"/>
        <w:snapToGrid w:val="0"/>
        <w:spacing w:before="0" w:after="0"/>
        <w:ind w:firstLine="720"/>
        <w:rPr>
          <w:color w:val="000000" w:themeColor="text1"/>
        </w:rPr>
      </w:pPr>
    </w:p>
    <w:p w:rsidR="00136E97" w:rsidRPr="00476FC9" w:rsidRDefault="00136E97" w:rsidP="007D2ACE">
      <w:pPr>
        <w:pStyle w:val="Heading2"/>
        <w:rPr>
          <w:color w:val="000000" w:themeColor="text1"/>
        </w:rPr>
      </w:pPr>
      <w:bookmarkStart w:id="9" w:name="_Toc393800656"/>
      <w:r w:rsidRPr="00476FC9">
        <w:rPr>
          <w:color w:val="000000" w:themeColor="text1"/>
        </w:rPr>
        <w:lastRenderedPageBreak/>
        <w:t xml:space="preserve">The </w:t>
      </w:r>
      <w:r w:rsidR="000009F9" w:rsidRPr="00476FC9">
        <w:rPr>
          <w:color w:val="000000" w:themeColor="text1"/>
        </w:rPr>
        <w:t xml:space="preserve">Fair Balance </w:t>
      </w:r>
      <w:r w:rsidR="00C34A2D" w:rsidRPr="00476FC9">
        <w:rPr>
          <w:color w:val="000000" w:themeColor="text1"/>
        </w:rPr>
        <w:t>Requirement</w:t>
      </w:r>
      <w:r w:rsidR="00527F3F" w:rsidRPr="00476FC9">
        <w:rPr>
          <w:color w:val="000000" w:themeColor="text1"/>
        </w:rPr>
        <w:t xml:space="preserve"> of DTCA</w:t>
      </w:r>
      <w:bookmarkEnd w:id="9"/>
    </w:p>
    <w:p w:rsidR="000009F9" w:rsidRPr="00476FC9" w:rsidRDefault="007C2A1A"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0009F9" w:rsidRPr="00476FC9">
        <w:rPr>
          <w:color w:val="000000" w:themeColor="text1"/>
        </w:rPr>
        <w:t>The</w:t>
      </w:r>
      <w:r w:rsidR="0074669B" w:rsidRPr="00476FC9">
        <w:rPr>
          <w:color w:val="000000" w:themeColor="text1"/>
        </w:rPr>
        <w:t xml:space="preserve"> </w:t>
      </w:r>
      <w:r w:rsidR="000009F9" w:rsidRPr="00476FC9">
        <w:rPr>
          <w:color w:val="000000" w:themeColor="text1"/>
        </w:rPr>
        <w:t>FFD&amp;C Act</w:t>
      </w:r>
      <w:r w:rsidR="001143C9" w:rsidRPr="00476FC9">
        <w:rPr>
          <w:color w:val="000000" w:themeColor="text1"/>
        </w:rPr>
        <w:t xml:space="preserve"> (21 U.S.C. 352)</w:t>
      </w:r>
      <w:r w:rsidR="000009F9" w:rsidRPr="00476FC9">
        <w:rPr>
          <w:color w:val="000000" w:themeColor="text1"/>
        </w:rPr>
        <w:t xml:space="preserve"> requires pharmaceutical marketers to present any word, statement, or other information </w:t>
      </w:r>
      <w:r w:rsidR="0074669B" w:rsidRPr="00476FC9">
        <w:rPr>
          <w:color w:val="000000" w:themeColor="text1"/>
        </w:rPr>
        <w:t xml:space="preserve">in advertising </w:t>
      </w:r>
      <w:r w:rsidR="000009F9" w:rsidRPr="00476FC9">
        <w:rPr>
          <w:i/>
          <w:color w:val="000000" w:themeColor="text1"/>
        </w:rPr>
        <w:t>prominently</w:t>
      </w:r>
      <w:r w:rsidR="000009F9" w:rsidRPr="00476FC9">
        <w:rPr>
          <w:color w:val="000000" w:themeColor="text1"/>
        </w:rPr>
        <w:t xml:space="preserve"> to render </w:t>
      </w:r>
      <w:r w:rsidR="005F5A6A" w:rsidRPr="00476FC9">
        <w:rPr>
          <w:color w:val="000000" w:themeColor="text1"/>
        </w:rPr>
        <w:t>them</w:t>
      </w:r>
      <w:r w:rsidR="000009F9" w:rsidRPr="00476FC9">
        <w:rPr>
          <w:color w:val="000000" w:themeColor="text1"/>
        </w:rPr>
        <w:t xml:space="preserve"> to be read and understood by the ordinary individual under customary conditions of purchase and use. In </w:t>
      </w:r>
      <w:r w:rsidR="001D26D5" w:rsidRPr="00476FC9">
        <w:rPr>
          <w:color w:val="000000" w:themeColor="text1"/>
        </w:rPr>
        <w:t>particular</w:t>
      </w:r>
      <w:r w:rsidR="000009F9" w:rsidRPr="00476FC9">
        <w:rPr>
          <w:color w:val="000000" w:themeColor="text1"/>
        </w:rPr>
        <w:t>, pharmaceutical manufacturers are obligated to provide important health risk information</w:t>
      </w:r>
      <w:r w:rsidR="008D60B4" w:rsidRPr="00476FC9">
        <w:rPr>
          <w:color w:val="000000" w:themeColor="text1"/>
        </w:rPr>
        <w:t xml:space="preserve"> conspicuously </w:t>
      </w:r>
      <w:r w:rsidR="000009F9" w:rsidRPr="00476FC9">
        <w:rPr>
          <w:color w:val="000000" w:themeColor="text1"/>
        </w:rPr>
        <w:t xml:space="preserve">in their promotional materials </w:t>
      </w:r>
      <w:r w:rsidR="008D60B4" w:rsidRPr="00476FC9">
        <w:rPr>
          <w:color w:val="000000" w:themeColor="text1"/>
        </w:rPr>
        <w:t xml:space="preserve">(21 CFR 202.1). The provision of important risk information in advertising is referred to as </w:t>
      </w:r>
      <w:r w:rsidR="008D60B4" w:rsidRPr="00476FC9">
        <w:rPr>
          <w:i/>
          <w:color w:val="000000" w:themeColor="text1"/>
        </w:rPr>
        <w:t>risk disclosure</w:t>
      </w:r>
      <w:r w:rsidR="008D60B4" w:rsidRPr="00476FC9">
        <w:rPr>
          <w:color w:val="000000" w:themeColor="text1"/>
        </w:rPr>
        <w:t xml:space="preserve"> (or </w:t>
      </w:r>
      <w:r w:rsidR="008D60B4" w:rsidRPr="00476FC9">
        <w:rPr>
          <w:i/>
          <w:color w:val="000000" w:themeColor="text1"/>
        </w:rPr>
        <w:t>disclaimer</w:t>
      </w:r>
      <w:r w:rsidR="008D60B4" w:rsidRPr="00476FC9">
        <w:rPr>
          <w:color w:val="000000" w:themeColor="text1"/>
        </w:rPr>
        <w:t xml:space="preserve">) and </w:t>
      </w:r>
      <w:r w:rsidR="006323F2" w:rsidRPr="00476FC9">
        <w:rPr>
          <w:color w:val="000000" w:themeColor="text1"/>
        </w:rPr>
        <w:t xml:space="preserve">its </w:t>
      </w:r>
      <w:r w:rsidR="008D60B4" w:rsidRPr="00476FC9">
        <w:rPr>
          <w:color w:val="000000" w:themeColor="text1"/>
        </w:rPr>
        <w:t>major purpose is to offer consumers an opportunity to consider potential risks of the product</w:t>
      </w:r>
      <w:r w:rsidR="006323F2" w:rsidRPr="00476FC9">
        <w:rPr>
          <w:color w:val="000000" w:themeColor="text1"/>
        </w:rPr>
        <w:t xml:space="preserve"> before</w:t>
      </w:r>
      <w:r w:rsidR="008D60B4" w:rsidRPr="00476FC9">
        <w:rPr>
          <w:color w:val="000000" w:themeColor="text1"/>
        </w:rPr>
        <w:t xml:space="preserve"> </w:t>
      </w:r>
      <w:r w:rsidR="0045475E" w:rsidRPr="00476FC9">
        <w:rPr>
          <w:color w:val="000000" w:themeColor="text1"/>
        </w:rPr>
        <w:t>purchase and use,</w:t>
      </w:r>
      <w:r w:rsidR="008D60B4" w:rsidRPr="00476FC9">
        <w:rPr>
          <w:color w:val="000000" w:themeColor="text1"/>
        </w:rPr>
        <w:t xml:space="preserve"> and thereby help them make sound purchase decision</w:t>
      </w:r>
      <w:r w:rsidR="0045475E" w:rsidRPr="00476FC9">
        <w:rPr>
          <w:color w:val="000000" w:themeColor="text1"/>
        </w:rPr>
        <w:t>s</w:t>
      </w:r>
      <w:r w:rsidR="008D60B4" w:rsidRPr="00476FC9">
        <w:rPr>
          <w:color w:val="000000" w:themeColor="text1"/>
        </w:rPr>
        <w:t xml:space="preserve"> </w:t>
      </w:r>
      <w:r w:rsidR="000009F9" w:rsidRPr="00476FC9">
        <w:rPr>
          <w:color w:val="000000" w:themeColor="text1"/>
        </w:rPr>
        <w:t xml:space="preserve">(Andrews, Netmeyer, &amp; Burton, </w:t>
      </w:r>
      <w:r w:rsidR="005E2BDF" w:rsidRPr="00476FC9">
        <w:rPr>
          <w:color w:val="000000" w:themeColor="text1"/>
        </w:rPr>
        <w:t>2009</w:t>
      </w:r>
      <w:r w:rsidR="009318F5" w:rsidRPr="00476FC9">
        <w:rPr>
          <w:color w:val="000000" w:themeColor="text1"/>
        </w:rPr>
        <w:t>; Stewart &amp; Martin, 2004</w:t>
      </w:r>
      <w:r w:rsidR="0045475E" w:rsidRPr="00476FC9">
        <w:rPr>
          <w:color w:val="000000" w:themeColor="text1"/>
        </w:rPr>
        <w:t>).</w:t>
      </w:r>
    </w:p>
    <w:p w:rsidR="0074669B" w:rsidRPr="00476FC9" w:rsidRDefault="0074669B"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5F5A6A" w:rsidRPr="00476FC9">
        <w:rPr>
          <w:color w:val="000000" w:themeColor="text1"/>
        </w:rPr>
        <w:t xml:space="preserve">In this regard, </w:t>
      </w:r>
      <w:r w:rsidR="00954F9B" w:rsidRPr="00476FC9">
        <w:rPr>
          <w:color w:val="000000" w:themeColor="text1"/>
        </w:rPr>
        <w:t xml:space="preserve">the </w:t>
      </w:r>
      <w:r w:rsidR="005F5A6A" w:rsidRPr="00476FC9">
        <w:rPr>
          <w:i/>
          <w:color w:val="000000" w:themeColor="text1"/>
        </w:rPr>
        <w:t>fair balance</w:t>
      </w:r>
      <w:r w:rsidR="00954F9B" w:rsidRPr="00476FC9">
        <w:rPr>
          <w:i/>
          <w:color w:val="000000" w:themeColor="text1"/>
        </w:rPr>
        <w:t xml:space="preserve"> </w:t>
      </w:r>
      <w:r w:rsidR="00954F9B" w:rsidRPr="00476FC9">
        <w:rPr>
          <w:color w:val="000000" w:themeColor="text1"/>
        </w:rPr>
        <w:t>requirement</w:t>
      </w:r>
      <w:r w:rsidR="00954F9B" w:rsidRPr="00476FC9">
        <w:rPr>
          <w:i/>
          <w:color w:val="000000" w:themeColor="text1"/>
        </w:rPr>
        <w:t xml:space="preserve"> </w:t>
      </w:r>
      <w:r w:rsidR="00954F9B" w:rsidRPr="00476FC9">
        <w:rPr>
          <w:color w:val="000000" w:themeColor="text1"/>
        </w:rPr>
        <w:t>of</w:t>
      </w:r>
      <w:r w:rsidR="00954F9B" w:rsidRPr="00476FC9">
        <w:rPr>
          <w:i/>
          <w:color w:val="000000" w:themeColor="text1"/>
        </w:rPr>
        <w:t xml:space="preserve"> </w:t>
      </w:r>
      <w:r w:rsidR="005F5A6A" w:rsidRPr="00476FC9">
        <w:rPr>
          <w:color w:val="000000" w:themeColor="text1"/>
        </w:rPr>
        <w:t xml:space="preserve">benefit and risk information in DTCA has received considerable research attention. </w:t>
      </w:r>
      <w:r w:rsidR="0045475E" w:rsidRPr="00476FC9">
        <w:rPr>
          <w:color w:val="000000" w:themeColor="text1"/>
        </w:rPr>
        <w:t xml:space="preserve">A number of studies </w:t>
      </w:r>
      <w:r w:rsidRPr="00476FC9">
        <w:rPr>
          <w:color w:val="000000" w:themeColor="text1"/>
        </w:rPr>
        <w:t>have examined whether pharmaceutical advertisers comply with the requirement through examining the content of DTCA</w:t>
      </w:r>
      <w:r w:rsidR="00F66196" w:rsidRPr="00476FC9">
        <w:rPr>
          <w:color w:val="000000" w:themeColor="text1"/>
        </w:rPr>
        <w:t xml:space="preserve"> </w:t>
      </w:r>
      <w:r w:rsidR="005E2BDF" w:rsidRPr="00476FC9">
        <w:rPr>
          <w:color w:val="000000" w:themeColor="text1"/>
        </w:rPr>
        <w:t xml:space="preserve">(e.g., Huh &amp; Cude, 2004; Kaphingst et al., 2004; Macias &amp; Lewis, 2003; Macias et al., 2007, 2010; Sheehan, 2007; Sumpradit et al., 2004). </w:t>
      </w:r>
      <w:r w:rsidRPr="00476FC9">
        <w:rPr>
          <w:color w:val="000000" w:themeColor="text1"/>
        </w:rPr>
        <w:t xml:space="preserve">The FFD&amp;C Act </w:t>
      </w:r>
      <w:r w:rsidR="001143C9" w:rsidRPr="00476FC9">
        <w:rPr>
          <w:color w:val="000000" w:themeColor="text1"/>
        </w:rPr>
        <w:t xml:space="preserve">(21 U.S.C. 352) </w:t>
      </w:r>
      <w:r w:rsidRPr="00476FC9">
        <w:rPr>
          <w:color w:val="000000" w:themeColor="text1"/>
        </w:rPr>
        <w:t>and FDA’s</w:t>
      </w:r>
      <w:r w:rsidR="006323F2" w:rsidRPr="00476FC9">
        <w:rPr>
          <w:color w:val="000000" w:themeColor="text1"/>
        </w:rPr>
        <w:t xml:space="preserve"> </w:t>
      </w:r>
      <w:r w:rsidRPr="00476FC9">
        <w:rPr>
          <w:color w:val="000000" w:themeColor="text1"/>
        </w:rPr>
        <w:t>regulations (21 CFR 202.1)</w:t>
      </w:r>
      <w:r w:rsidR="005F5A6A" w:rsidRPr="00476FC9">
        <w:rPr>
          <w:color w:val="000000" w:themeColor="text1"/>
        </w:rPr>
        <w:t xml:space="preserve"> clearly </w:t>
      </w:r>
      <w:r w:rsidRPr="00476FC9">
        <w:rPr>
          <w:color w:val="000000" w:themeColor="text1"/>
        </w:rPr>
        <w:t xml:space="preserve">state that DTCA must present information about the drug's effectiveness and risk in a </w:t>
      </w:r>
      <w:r w:rsidR="00486AAA" w:rsidRPr="00476FC9">
        <w:rPr>
          <w:color w:val="000000" w:themeColor="text1"/>
        </w:rPr>
        <w:t xml:space="preserve">fairly </w:t>
      </w:r>
      <w:r w:rsidRPr="00476FC9">
        <w:rPr>
          <w:color w:val="000000" w:themeColor="text1"/>
        </w:rPr>
        <w:t>balanced manner</w:t>
      </w:r>
      <w:r w:rsidR="005F5A6A" w:rsidRPr="00476FC9">
        <w:rPr>
          <w:color w:val="000000" w:themeColor="text1"/>
        </w:rPr>
        <w:t xml:space="preserve"> in terms of content and format</w:t>
      </w:r>
      <w:r w:rsidRPr="00476FC9">
        <w:rPr>
          <w:color w:val="000000" w:themeColor="text1"/>
        </w:rPr>
        <w:t xml:space="preserve">. </w:t>
      </w:r>
      <w:r w:rsidR="00486AAA" w:rsidRPr="00476FC9">
        <w:rPr>
          <w:color w:val="000000" w:themeColor="text1"/>
        </w:rPr>
        <w:t>In particular, i</w:t>
      </w:r>
      <w:r w:rsidRPr="00476FC9">
        <w:rPr>
          <w:color w:val="000000" w:themeColor="text1"/>
        </w:rPr>
        <w:t>n its 2009</w:t>
      </w:r>
      <w:r w:rsidRPr="00476FC9">
        <w:rPr>
          <w:i/>
          <w:color w:val="000000" w:themeColor="text1"/>
        </w:rPr>
        <w:t xml:space="preserve"> </w:t>
      </w:r>
      <w:r w:rsidRPr="00476FC9">
        <w:rPr>
          <w:color w:val="000000" w:themeColor="text1"/>
        </w:rPr>
        <w:t xml:space="preserve">draft guidance for industry on the risk information presentation in </w:t>
      </w:r>
      <w:r w:rsidR="00486AAA" w:rsidRPr="00476FC9">
        <w:rPr>
          <w:color w:val="000000" w:themeColor="text1"/>
        </w:rPr>
        <w:t>prescription drug promotion</w:t>
      </w:r>
      <w:r w:rsidRPr="00476FC9">
        <w:rPr>
          <w:color w:val="000000" w:themeColor="text1"/>
        </w:rPr>
        <w:t xml:space="preserve">, the FDA provides </w:t>
      </w:r>
      <w:r w:rsidR="00486AAA" w:rsidRPr="00476FC9">
        <w:rPr>
          <w:color w:val="000000" w:themeColor="text1"/>
        </w:rPr>
        <w:t xml:space="preserve">specific </w:t>
      </w:r>
      <w:r w:rsidR="005F5A6A" w:rsidRPr="00476FC9">
        <w:rPr>
          <w:color w:val="000000" w:themeColor="text1"/>
        </w:rPr>
        <w:t xml:space="preserve">guidelines for pharmaceutical advertisers regarding </w:t>
      </w:r>
      <w:r w:rsidRPr="00476FC9">
        <w:rPr>
          <w:color w:val="000000" w:themeColor="text1"/>
        </w:rPr>
        <w:t xml:space="preserve">how </w:t>
      </w:r>
      <w:r w:rsidR="005F5A6A" w:rsidRPr="00476FC9">
        <w:rPr>
          <w:color w:val="000000" w:themeColor="text1"/>
        </w:rPr>
        <w:t>they can</w:t>
      </w:r>
      <w:r w:rsidRPr="00476FC9">
        <w:rPr>
          <w:color w:val="000000" w:themeColor="text1"/>
        </w:rPr>
        <w:t xml:space="preserve"> develop the content and format of DTCA to comply with the FD&amp;C Act. </w:t>
      </w:r>
      <w:r w:rsidR="00486AAA" w:rsidRPr="00476FC9">
        <w:rPr>
          <w:color w:val="000000" w:themeColor="text1"/>
        </w:rPr>
        <w:t>It</w:t>
      </w:r>
      <w:r w:rsidR="00B97A95" w:rsidRPr="00476FC9">
        <w:rPr>
          <w:color w:val="000000" w:themeColor="text1"/>
        </w:rPr>
        <w:t xml:space="preserve"> is worth noting that t</w:t>
      </w:r>
      <w:r w:rsidRPr="00476FC9">
        <w:rPr>
          <w:color w:val="000000" w:themeColor="text1"/>
        </w:rPr>
        <w:t xml:space="preserve">he guidance provides a list of message </w:t>
      </w:r>
      <w:r w:rsidR="0045475E" w:rsidRPr="00476FC9">
        <w:rPr>
          <w:color w:val="000000" w:themeColor="text1"/>
        </w:rPr>
        <w:t>execution</w:t>
      </w:r>
      <w:r w:rsidR="00486AAA" w:rsidRPr="00476FC9">
        <w:rPr>
          <w:color w:val="000000" w:themeColor="text1"/>
        </w:rPr>
        <w:t xml:space="preserve"> </w:t>
      </w:r>
      <w:r w:rsidRPr="00476FC9">
        <w:rPr>
          <w:color w:val="000000" w:themeColor="text1"/>
        </w:rPr>
        <w:t xml:space="preserve">factors that the FDA considers when it </w:t>
      </w:r>
      <w:r w:rsidR="00486AAA" w:rsidRPr="00476FC9">
        <w:rPr>
          <w:color w:val="000000" w:themeColor="text1"/>
        </w:rPr>
        <w:t xml:space="preserve">reviews risk communication in </w:t>
      </w:r>
      <w:r w:rsidRPr="00476FC9">
        <w:rPr>
          <w:color w:val="000000" w:themeColor="text1"/>
        </w:rPr>
        <w:t>DTCA.</w:t>
      </w:r>
    </w:p>
    <w:p w:rsidR="00E73383" w:rsidRPr="00476FC9" w:rsidRDefault="00560AC6"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lastRenderedPageBreak/>
        <w:tab/>
      </w:r>
      <w:r w:rsidR="00B97A95" w:rsidRPr="00476FC9">
        <w:rPr>
          <w:color w:val="000000" w:themeColor="text1"/>
        </w:rPr>
        <w:t>Importantly, t</w:t>
      </w:r>
      <w:r w:rsidR="00E73383" w:rsidRPr="00476FC9">
        <w:rPr>
          <w:color w:val="000000" w:themeColor="text1"/>
        </w:rPr>
        <w:t xml:space="preserve">he FDA (2009) </w:t>
      </w:r>
      <w:r w:rsidR="00B97A95" w:rsidRPr="00476FC9">
        <w:rPr>
          <w:color w:val="000000" w:themeColor="text1"/>
        </w:rPr>
        <w:t>points out</w:t>
      </w:r>
      <w:r w:rsidR="00E73383" w:rsidRPr="00476FC9">
        <w:rPr>
          <w:color w:val="000000" w:themeColor="text1"/>
        </w:rPr>
        <w:t xml:space="preserve"> that </w:t>
      </w:r>
      <w:r w:rsidR="00954B7A" w:rsidRPr="00476FC9">
        <w:rPr>
          <w:color w:val="000000" w:themeColor="text1"/>
        </w:rPr>
        <w:t xml:space="preserve">it </w:t>
      </w:r>
      <w:r w:rsidR="007E1CE0" w:rsidRPr="00476FC9">
        <w:rPr>
          <w:color w:val="000000" w:themeColor="text1"/>
        </w:rPr>
        <w:t>views</w:t>
      </w:r>
      <w:r w:rsidR="00954B7A" w:rsidRPr="00476FC9">
        <w:rPr>
          <w:color w:val="000000" w:themeColor="text1"/>
        </w:rPr>
        <w:t xml:space="preserve"> consumers’ </w:t>
      </w:r>
      <w:r w:rsidR="00E73383" w:rsidRPr="00476FC9">
        <w:rPr>
          <w:i/>
          <w:color w:val="000000" w:themeColor="text1"/>
        </w:rPr>
        <w:t>net impression</w:t>
      </w:r>
      <w:r w:rsidR="00E73383" w:rsidRPr="00476FC9">
        <w:rPr>
          <w:color w:val="000000" w:themeColor="text1"/>
        </w:rPr>
        <w:t xml:space="preserve"> </w:t>
      </w:r>
      <w:r w:rsidR="00954B7A" w:rsidRPr="00476FC9">
        <w:rPr>
          <w:color w:val="000000" w:themeColor="text1"/>
        </w:rPr>
        <w:t xml:space="preserve">about the drug </w:t>
      </w:r>
      <w:r w:rsidR="007E1CE0" w:rsidRPr="00476FC9">
        <w:rPr>
          <w:color w:val="000000" w:themeColor="text1"/>
        </w:rPr>
        <w:t xml:space="preserve">as </w:t>
      </w:r>
      <w:r w:rsidR="00954B7A" w:rsidRPr="00476FC9">
        <w:rPr>
          <w:color w:val="000000" w:themeColor="text1"/>
        </w:rPr>
        <w:t xml:space="preserve">an important </w:t>
      </w:r>
      <w:r w:rsidR="007E1CE0" w:rsidRPr="00476FC9">
        <w:rPr>
          <w:color w:val="000000" w:themeColor="text1"/>
        </w:rPr>
        <w:t xml:space="preserve">consideration </w:t>
      </w:r>
      <w:r w:rsidR="006323F2" w:rsidRPr="00476FC9">
        <w:rPr>
          <w:color w:val="000000" w:themeColor="text1"/>
        </w:rPr>
        <w:t xml:space="preserve">when </w:t>
      </w:r>
      <w:r w:rsidR="007E1CE0" w:rsidRPr="00476FC9">
        <w:rPr>
          <w:color w:val="000000" w:themeColor="text1"/>
        </w:rPr>
        <w:t>review</w:t>
      </w:r>
      <w:r w:rsidR="006323F2" w:rsidRPr="00476FC9">
        <w:rPr>
          <w:color w:val="000000" w:themeColor="text1"/>
        </w:rPr>
        <w:t>ing DTCA</w:t>
      </w:r>
      <w:r w:rsidR="00954B7A" w:rsidRPr="00476FC9">
        <w:rPr>
          <w:color w:val="000000" w:themeColor="text1"/>
        </w:rPr>
        <w:t xml:space="preserve">. </w:t>
      </w:r>
      <w:r w:rsidR="007E1CE0" w:rsidRPr="00476FC9">
        <w:rPr>
          <w:color w:val="000000" w:themeColor="text1"/>
        </w:rPr>
        <w:t>T</w:t>
      </w:r>
      <w:r w:rsidR="00954B7A" w:rsidRPr="00476FC9">
        <w:rPr>
          <w:color w:val="000000" w:themeColor="text1"/>
        </w:rPr>
        <w:t xml:space="preserve">his agency </w:t>
      </w:r>
      <w:r w:rsidR="007E1CE0" w:rsidRPr="00476FC9">
        <w:rPr>
          <w:color w:val="000000" w:themeColor="text1"/>
        </w:rPr>
        <w:t xml:space="preserve">clearly indicates that its concern about consumer impression </w:t>
      </w:r>
      <w:r w:rsidR="00E73383" w:rsidRPr="00476FC9">
        <w:rPr>
          <w:color w:val="000000" w:themeColor="text1"/>
        </w:rPr>
        <w:t xml:space="preserve">draws on well-developed social science theories </w:t>
      </w:r>
      <w:r w:rsidR="007E1CE0" w:rsidRPr="00476FC9">
        <w:rPr>
          <w:color w:val="000000" w:themeColor="text1"/>
        </w:rPr>
        <w:t xml:space="preserve">(FDA, 2009) </w:t>
      </w:r>
      <w:r w:rsidR="00E73383" w:rsidRPr="00476FC9">
        <w:rPr>
          <w:color w:val="000000" w:themeColor="text1"/>
        </w:rPr>
        <w:t xml:space="preserve">and </w:t>
      </w:r>
      <w:r w:rsidR="007E1CE0" w:rsidRPr="00476FC9">
        <w:rPr>
          <w:color w:val="000000" w:themeColor="text1"/>
        </w:rPr>
        <w:t xml:space="preserve">the concern is </w:t>
      </w:r>
      <w:r w:rsidR="00E73383" w:rsidRPr="00476FC9">
        <w:rPr>
          <w:color w:val="000000" w:themeColor="text1"/>
        </w:rPr>
        <w:t>in alignment with the approach of other agencies such as the Federal Trade Commission’s (FTC</w:t>
      </w:r>
      <w:r w:rsidR="005E2BDF" w:rsidRPr="00476FC9">
        <w:rPr>
          <w:color w:val="000000" w:themeColor="text1"/>
        </w:rPr>
        <w:t>, 1984</w:t>
      </w:r>
      <w:r w:rsidR="00E73383" w:rsidRPr="00476FC9">
        <w:rPr>
          <w:color w:val="000000" w:themeColor="text1"/>
        </w:rPr>
        <w:t xml:space="preserve">) policy statement on </w:t>
      </w:r>
      <w:r w:rsidR="00E73383" w:rsidRPr="00476FC9">
        <w:rPr>
          <w:i/>
          <w:color w:val="000000" w:themeColor="text1"/>
        </w:rPr>
        <w:t>deception</w:t>
      </w:r>
      <w:r w:rsidR="00E73383" w:rsidRPr="00476FC9">
        <w:rPr>
          <w:color w:val="000000" w:themeColor="text1"/>
        </w:rPr>
        <w:t xml:space="preserve"> (103 F.T.C. 110, 174). </w:t>
      </w:r>
      <w:r w:rsidR="00954B7A" w:rsidRPr="00476FC9">
        <w:rPr>
          <w:color w:val="000000" w:themeColor="text1"/>
        </w:rPr>
        <w:t>For instance, a</w:t>
      </w:r>
      <w:r w:rsidR="00E73383" w:rsidRPr="00476FC9">
        <w:rPr>
          <w:color w:val="000000" w:themeColor="text1"/>
        </w:rPr>
        <w:t xml:space="preserve">ccording to the FTC statement, advertising deception can be determined by examining the </w:t>
      </w:r>
      <w:r w:rsidR="00E73383" w:rsidRPr="00476FC9">
        <w:rPr>
          <w:i/>
          <w:color w:val="000000" w:themeColor="text1"/>
        </w:rPr>
        <w:t xml:space="preserve">overall </w:t>
      </w:r>
      <w:r w:rsidR="00954B7A" w:rsidRPr="00476FC9">
        <w:rPr>
          <w:i/>
          <w:color w:val="000000" w:themeColor="text1"/>
        </w:rPr>
        <w:t xml:space="preserve">consumer </w:t>
      </w:r>
      <w:r w:rsidR="00E73383" w:rsidRPr="00476FC9">
        <w:rPr>
          <w:i/>
          <w:color w:val="000000" w:themeColor="text1"/>
        </w:rPr>
        <w:t xml:space="preserve">impression </w:t>
      </w:r>
      <w:r w:rsidR="00E73383" w:rsidRPr="00476FC9">
        <w:rPr>
          <w:color w:val="000000" w:themeColor="text1"/>
        </w:rPr>
        <w:t xml:space="preserve">created by a </w:t>
      </w:r>
      <w:r w:rsidR="00954B7A" w:rsidRPr="00476FC9">
        <w:rPr>
          <w:color w:val="000000" w:themeColor="text1"/>
        </w:rPr>
        <w:t xml:space="preserve">certain advertising </w:t>
      </w:r>
      <w:r w:rsidR="00E73383" w:rsidRPr="00476FC9">
        <w:rPr>
          <w:color w:val="000000" w:themeColor="text1"/>
        </w:rPr>
        <w:t xml:space="preserve">practice, claim, or representation (103 F.T.C. 110, 174). </w:t>
      </w:r>
      <w:r w:rsidR="00954B7A" w:rsidRPr="00476FC9">
        <w:rPr>
          <w:color w:val="000000" w:themeColor="text1"/>
        </w:rPr>
        <w:t>In a similar vein, p</w:t>
      </w:r>
      <w:r w:rsidR="00E73383" w:rsidRPr="00476FC9">
        <w:rPr>
          <w:color w:val="000000" w:themeColor="text1"/>
        </w:rPr>
        <w:t xml:space="preserve">harmaceutical industry members have also conducted research and pointed out that </w:t>
      </w:r>
      <w:r w:rsidR="006323F2" w:rsidRPr="00476FC9">
        <w:rPr>
          <w:color w:val="000000" w:themeColor="text1"/>
        </w:rPr>
        <w:t xml:space="preserve">the </w:t>
      </w:r>
      <w:r w:rsidR="00E73383" w:rsidRPr="00476FC9">
        <w:rPr>
          <w:i/>
          <w:color w:val="000000" w:themeColor="text1"/>
        </w:rPr>
        <w:t>net impression</w:t>
      </w:r>
      <w:r w:rsidR="00E73383" w:rsidRPr="00476FC9">
        <w:rPr>
          <w:color w:val="000000" w:themeColor="text1"/>
        </w:rPr>
        <w:t xml:space="preserve"> shaped by the ad</w:t>
      </w:r>
      <w:r w:rsidR="006D02C0" w:rsidRPr="00476FC9">
        <w:rPr>
          <w:color w:val="000000" w:themeColor="text1"/>
        </w:rPr>
        <w:t xml:space="preserve"> as a whole</w:t>
      </w:r>
      <w:r w:rsidR="00E73383" w:rsidRPr="00476FC9">
        <w:rPr>
          <w:color w:val="000000" w:themeColor="text1"/>
        </w:rPr>
        <w:t xml:space="preserve"> is an important aspect to consider, independent of </w:t>
      </w:r>
      <w:r w:rsidR="006323F2" w:rsidRPr="00476FC9">
        <w:rPr>
          <w:color w:val="000000" w:themeColor="text1"/>
        </w:rPr>
        <w:t>specific</w:t>
      </w:r>
      <w:r w:rsidR="00E73383" w:rsidRPr="00476FC9">
        <w:rPr>
          <w:color w:val="000000" w:themeColor="text1"/>
        </w:rPr>
        <w:t xml:space="preserve"> </w:t>
      </w:r>
      <w:r w:rsidR="006D02C0" w:rsidRPr="00476FC9">
        <w:rPr>
          <w:color w:val="000000" w:themeColor="text1"/>
        </w:rPr>
        <w:t>claim</w:t>
      </w:r>
      <w:r w:rsidR="006323F2" w:rsidRPr="00476FC9">
        <w:rPr>
          <w:color w:val="000000" w:themeColor="text1"/>
        </w:rPr>
        <w:t>s</w:t>
      </w:r>
      <w:r w:rsidR="00E73383" w:rsidRPr="00476FC9">
        <w:rPr>
          <w:color w:val="000000" w:themeColor="text1"/>
        </w:rPr>
        <w:t xml:space="preserve"> within the ad </w:t>
      </w:r>
      <w:r w:rsidR="005E2BDF" w:rsidRPr="00476FC9">
        <w:rPr>
          <w:color w:val="000000" w:themeColor="text1"/>
        </w:rPr>
        <w:t>(PhRMA, 2009)</w:t>
      </w:r>
      <w:r w:rsidR="00E73383" w:rsidRPr="00476FC9">
        <w:rPr>
          <w:color w:val="000000" w:themeColor="text1"/>
        </w:rPr>
        <w:t>.</w:t>
      </w:r>
    </w:p>
    <w:p w:rsidR="007D3AF9" w:rsidRPr="00476FC9" w:rsidRDefault="00E73383"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t xml:space="preserve">However, </w:t>
      </w:r>
      <w:r w:rsidR="006323F2" w:rsidRPr="00476FC9">
        <w:rPr>
          <w:color w:val="000000" w:themeColor="text1"/>
        </w:rPr>
        <w:t>the</w:t>
      </w:r>
      <w:r w:rsidRPr="00476FC9">
        <w:rPr>
          <w:color w:val="000000" w:themeColor="text1"/>
        </w:rPr>
        <w:t xml:space="preserve"> majority of DTC ads tend to emphasize the benefits of the drug more prominently than risks (Lexchin &amp; Mintzes, 2002; Macias et al., 2007; Sheehan, 2007; Roth, 1996). </w:t>
      </w:r>
      <w:r w:rsidR="00756434" w:rsidRPr="00476FC9">
        <w:rPr>
          <w:color w:val="000000" w:themeColor="text1"/>
        </w:rPr>
        <w:t xml:space="preserve">A concern is whether </w:t>
      </w:r>
      <w:r w:rsidR="006323F2" w:rsidRPr="00476FC9">
        <w:rPr>
          <w:color w:val="000000" w:themeColor="text1"/>
        </w:rPr>
        <w:t xml:space="preserve">the </w:t>
      </w:r>
      <w:r w:rsidR="00756434" w:rsidRPr="00476FC9">
        <w:rPr>
          <w:color w:val="000000" w:themeColor="text1"/>
        </w:rPr>
        <w:t xml:space="preserve">risk disclosure secures sufficient consumer attention to risk information (Kopp &amp; Bang, 2000). If an ad fails to present </w:t>
      </w:r>
      <w:r w:rsidR="006323F2" w:rsidRPr="00476FC9">
        <w:rPr>
          <w:color w:val="000000" w:themeColor="text1"/>
        </w:rPr>
        <w:t xml:space="preserve">the </w:t>
      </w:r>
      <w:r w:rsidR="00756434" w:rsidRPr="00476FC9">
        <w:rPr>
          <w:color w:val="000000" w:themeColor="text1"/>
        </w:rPr>
        <w:t xml:space="preserve">disclosure with sufficient prominence, the provision itself will not be effective for encouraging consumers to consider the potential health risks of the drug use </w:t>
      </w:r>
      <w:r w:rsidR="005E2BDF" w:rsidRPr="00476FC9">
        <w:rPr>
          <w:color w:val="000000" w:themeColor="text1"/>
        </w:rPr>
        <w:t xml:space="preserve">(Davis, 2010; Davis &amp; Meader, 2009; Hoek et al., 2011). </w:t>
      </w:r>
    </w:p>
    <w:p w:rsidR="00560AC6" w:rsidRPr="00476FC9" w:rsidRDefault="00756434"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In this regard, the FDA issues administrative letters (i.e., warning letters and untitled letters) directly to the advertiser and publicize on the FDA’s website when an advertiser violates the </w:t>
      </w:r>
      <w:r w:rsidRPr="00476FC9">
        <w:rPr>
          <w:i/>
          <w:color w:val="000000" w:themeColor="text1"/>
        </w:rPr>
        <w:t>fair balance</w:t>
      </w:r>
      <w:r w:rsidRPr="00476FC9">
        <w:rPr>
          <w:color w:val="000000" w:themeColor="text1"/>
        </w:rPr>
        <w:t xml:space="preserve"> requirement. Among others, </w:t>
      </w:r>
      <w:r w:rsidRPr="00476FC9">
        <w:rPr>
          <w:i/>
          <w:color w:val="000000" w:themeColor="text1"/>
        </w:rPr>
        <w:t>r</w:t>
      </w:r>
      <w:r w:rsidR="00A43C39" w:rsidRPr="00476FC9">
        <w:rPr>
          <w:i/>
          <w:color w:val="000000" w:themeColor="text1"/>
        </w:rPr>
        <w:t xml:space="preserve">isk </w:t>
      </w:r>
      <w:r w:rsidR="00560AC6" w:rsidRPr="00476FC9">
        <w:rPr>
          <w:i/>
          <w:color w:val="000000" w:themeColor="text1"/>
        </w:rPr>
        <w:t xml:space="preserve">minimizing </w:t>
      </w:r>
      <w:r w:rsidR="00A43C39" w:rsidRPr="00476FC9">
        <w:rPr>
          <w:color w:val="000000" w:themeColor="text1"/>
        </w:rPr>
        <w:t xml:space="preserve">practices have been </w:t>
      </w:r>
      <w:r w:rsidR="00973903" w:rsidRPr="00476FC9">
        <w:rPr>
          <w:color w:val="000000" w:themeColor="text1"/>
        </w:rPr>
        <w:t xml:space="preserve">frequently </w:t>
      </w:r>
      <w:r w:rsidR="00A43C39" w:rsidRPr="00476FC9">
        <w:rPr>
          <w:color w:val="000000" w:themeColor="text1"/>
        </w:rPr>
        <w:t>cited as o</w:t>
      </w:r>
      <w:r w:rsidR="00560AC6" w:rsidRPr="00476FC9">
        <w:rPr>
          <w:color w:val="000000" w:themeColor="text1"/>
        </w:rPr>
        <w:t xml:space="preserve">ne </w:t>
      </w:r>
      <w:r w:rsidR="00973903" w:rsidRPr="00476FC9">
        <w:rPr>
          <w:color w:val="000000" w:themeColor="text1"/>
        </w:rPr>
        <w:t>type of</w:t>
      </w:r>
      <w:r w:rsidR="00560AC6" w:rsidRPr="00476FC9">
        <w:rPr>
          <w:color w:val="000000" w:themeColor="text1"/>
        </w:rPr>
        <w:t xml:space="preserve"> </w:t>
      </w:r>
      <w:r w:rsidR="00A43C39" w:rsidRPr="00476FC9">
        <w:rPr>
          <w:color w:val="000000" w:themeColor="text1"/>
        </w:rPr>
        <w:t>violation</w:t>
      </w:r>
      <w:r w:rsidR="00560AC6" w:rsidRPr="00476FC9">
        <w:rPr>
          <w:color w:val="000000" w:themeColor="text1"/>
        </w:rPr>
        <w:t xml:space="preserve"> in the letters (</w:t>
      </w:r>
      <w:r w:rsidR="00292060" w:rsidRPr="00476FC9">
        <w:rPr>
          <w:color w:val="000000" w:themeColor="text1"/>
        </w:rPr>
        <w:t xml:space="preserve">Huh &amp; Becker, 2005; </w:t>
      </w:r>
      <w:r w:rsidR="00560AC6" w:rsidRPr="00476FC9">
        <w:rPr>
          <w:color w:val="000000" w:themeColor="text1"/>
        </w:rPr>
        <w:t xml:space="preserve">Sheehan, 2003, 2007). </w:t>
      </w:r>
      <w:r w:rsidR="006323F2" w:rsidRPr="00476FC9">
        <w:rPr>
          <w:color w:val="000000" w:themeColor="text1"/>
        </w:rPr>
        <w:t>Minimizing drug</w:t>
      </w:r>
      <w:r w:rsidR="00560AC6" w:rsidRPr="00476FC9">
        <w:rPr>
          <w:color w:val="000000" w:themeColor="text1"/>
        </w:rPr>
        <w:t xml:space="preserve"> risk </w:t>
      </w:r>
      <w:r w:rsidR="007D3AF9" w:rsidRPr="00476FC9">
        <w:rPr>
          <w:color w:val="000000" w:themeColor="text1"/>
        </w:rPr>
        <w:t>is</w:t>
      </w:r>
      <w:r w:rsidR="006323F2" w:rsidRPr="00476FC9">
        <w:rPr>
          <w:color w:val="000000" w:themeColor="text1"/>
        </w:rPr>
        <w:t xml:space="preserve"> </w:t>
      </w:r>
      <w:r w:rsidR="00560AC6" w:rsidRPr="00476FC9">
        <w:rPr>
          <w:color w:val="000000" w:themeColor="text1"/>
        </w:rPr>
        <w:t xml:space="preserve">likely to result in consumers’ inappropriate prescription drug </w:t>
      </w:r>
      <w:r w:rsidR="006323F2" w:rsidRPr="00476FC9">
        <w:rPr>
          <w:color w:val="000000" w:themeColor="text1"/>
        </w:rPr>
        <w:t>requests and uses</w:t>
      </w:r>
      <w:r w:rsidRPr="00476FC9">
        <w:rPr>
          <w:color w:val="000000" w:themeColor="text1"/>
        </w:rPr>
        <w:t xml:space="preserve">. </w:t>
      </w:r>
      <w:r w:rsidR="00A43C39" w:rsidRPr="00476FC9">
        <w:rPr>
          <w:color w:val="000000" w:themeColor="text1"/>
        </w:rPr>
        <w:t xml:space="preserve">Therefore, </w:t>
      </w:r>
      <w:r w:rsidR="00F97987" w:rsidRPr="00476FC9">
        <w:rPr>
          <w:color w:val="000000" w:themeColor="text1"/>
        </w:rPr>
        <w:t xml:space="preserve">examining </w:t>
      </w:r>
      <w:r w:rsidR="007D3AF9" w:rsidRPr="00476FC9">
        <w:rPr>
          <w:color w:val="000000" w:themeColor="text1"/>
        </w:rPr>
        <w:t xml:space="preserve">the effects of </w:t>
      </w:r>
      <w:r w:rsidR="00F97987" w:rsidRPr="00476FC9">
        <w:rPr>
          <w:color w:val="000000" w:themeColor="text1"/>
        </w:rPr>
        <w:t xml:space="preserve">risk disclosure prominence </w:t>
      </w:r>
      <w:r w:rsidR="007D3AF9" w:rsidRPr="00476FC9">
        <w:rPr>
          <w:color w:val="000000" w:themeColor="text1"/>
        </w:rPr>
        <w:t xml:space="preserve">on consumers’ perception </w:t>
      </w:r>
      <w:r w:rsidR="00F97987" w:rsidRPr="00476FC9">
        <w:rPr>
          <w:color w:val="000000" w:themeColor="text1"/>
        </w:rPr>
        <w:t xml:space="preserve">may </w:t>
      </w:r>
      <w:r w:rsidR="00F97987" w:rsidRPr="00476FC9">
        <w:rPr>
          <w:color w:val="000000" w:themeColor="text1"/>
        </w:rPr>
        <w:lastRenderedPageBreak/>
        <w:t>offer invaluable insight.</w:t>
      </w:r>
    </w:p>
    <w:p w:rsidR="002B6D81" w:rsidRPr="00476FC9" w:rsidRDefault="002B6D81" w:rsidP="007D2ACE">
      <w:pPr>
        <w:keepNext w:val="0"/>
        <w:widowControl w:val="0"/>
        <w:kinsoku w:val="0"/>
        <w:overflowPunct w:val="0"/>
        <w:autoSpaceDE w:val="0"/>
        <w:autoSpaceDN w:val="0"/>
        <w:adjustRightInd w:val="0"/>
        <w:snapToGrid w:val="0"/>
        <w:spacing w:before="0" w:after="0"/>
        <w:rPr>
          <w:color w:val="000000" w:themeColor="text1"/>
        </w:rPr>
      </w:pPr>
    </w:p>
    <w:p w:rsidR="00F97987" w:rsidRPr="00476FC9" w:rsidRDefault="00F97987" w:rsidP="007D2ACE">
      <w:pPr>
        <w:pStyle w:val="Heading2"/>
        <w:rPr>
          <w:color w:val="000000" w:themeColor="text1"/>
        </w:rPr>
      </w:pPr>
      <w:bookmarkStart w:id="10" w:name="_Toc393800657"/>
      <w:r w:rsidRPr="00476FC9">
        <w:rPr>
          <w:color w:val="000000" w:themeColor="text1"/>
        </w:rPr>
        <w:t>Risk Disclosure in DTCA</w:t>
      </w:r>
      <w:bookmarkEnd w:id="10"/>
    </w:p>
    <w:p w:rsidR="00F97987" w:rsidRPr="00476FC9" w:rsidRDefault="00F97987"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t xml:space="preserve">Advertisers exert efforts to present their </w:t>
      </w:r>
      <w:r w:rsidR="00035F55" w:rsidRPr="00476FC9">
        <w:rPr>
          <w:color w:val="000000" w:themeColor="text1"/>
        </w:rPr>
        <w:t>product</w:t>
      </w:r>
      <w:r w:rsidR="0005723B" w:rsidRPr="00476FC9">
        <w:rPr>
          <w:color w:val="000000" w:themeColor="text1"/>
        </w:rPr>
        <w:t xml:space="preserve">s and services </w:t>
      </w:r>
      <w:r w:rsidRPr="00476FC9">
        <w:rPr>
          <w:color w:val="000000" w:themeColor="text1"/>
        </w:rPr>
        <w:t xml:space="preserve">in a favorable light </w:t>
      </w:r>
      <w:r w:rsidR="0005723B" w:rsidRPr="00476FC9">
        <w:rPr>
          <w:color w:val="000000" w:themeColor="text1"/>
        </w:rPr>
        <w:t xml:space="preserve">in ads, </w:t>
      </w:r>
      <w:r w:rsidRPr="00476FC9">
        <w:rPr>
          <w:color w:val="000000" w:themeColor="text1"/>
        </w:rPr>
        <w:t xml:space="preserve">and </w:t>
      </w:r>
      <w:r w:rsidR="0005723B" w:rsidRPr="00476FC9">
        <w:rPr>
          <w:color w:val="000000" w:themeColor="text1"/>
        </w:rPr>
        <w:t xml:space="preserve">thereby </w:t>
      </w:r>
      <w:r w:rsidRPr="00476FC9">
        <w:rPr>
          <w:color w:val="000000" w:themeColor="text1"/>
        </w:rPr>
        <w:t xml:space="preserve">make them stand out among their competitors </w:t>
      </w:r>
      <w:r w:rsidR="00252CA6" w:rsidRPr="00476FC9">
        <w:rPr>
          <w:color w:val="000000" w:themeColor="text1"/>
        </w:rPr>
        <w:t xml:space="preserve">in a positive way </w:t>
      </w:r>
      <w:r w:rsidRPr="00476FC9">
        <w:rPr>
          <w:color w:val="000000" w:themeColor="text1"/>
        </w:rPr>
        <w:t xml:space="preserve">(Eisend, 2006; Kamins, Brand, Hoeke, &amp; Moe, 1989). From the </w:t>
      </w:r>
      <w:r w:rsidR="00680830" w:rsidRPr="00476FC9">
        <w:rPr>
          <w:color w:val="000000" w:themeColor="text1"/>
        </w:rPr>
        <w:t>advertiser</w:t>
      </w:r>
      <w:r w:rsidR="008E47B2" w:rsidRPr="00476FC9">
        <w:rPr>
          <w:color w:val="000000" w:themeColor="text1"/>
        </w:rPr>
        <w:t>’</w:t>
      </w:r>
      <w:r w:rsidR="00680830" w:rsidRPr="00476FC9">
        <w:rPr>
          <w:color w:val="000000" w:themeColor="text1"/>
        </w:rPr>
        <w:t>s</w:t>
      </w:r>
      <w:r w:rsidRPr="00476FC9">
        <w:rPr>
          <w:color w:val="000000" w:themeColor="text1"/>
        </w:rPr>
        <w:t xml:space="preserve"> perspective, disclosing negative aspects of brands may be less welcome (Franke</w:t>
      </w:r>
      <w:r w:rsidR="00C7757D" w:rsidRPr="00476FC9">
        <w:rPr>
          <w:color w:val="000000" w:themeColor="text1"/>
        </w:rPr>
        <w:t xml:space="preserve">, </w:t>
      </w:r>
      <w:r w:rsidRPr="00476FC9">
        <w:rPr>
          <w:color w:val="000000" w:themeColor="text1"/>
        </w:rPr>
        <w:t xml:space="preserve">Huhmann, </w:t>
      </w:r>
      <w:r w:rsidR="00C7757D" w:rsidRPr="00476FC9">
        <w:rPr>
          <w:color w:val="000000" w:themeColor="text1"/>
        </w:rPr>
        <w:t xml:space="preserve">&amp; Mothersbaugh, </w:t>
      </w:r>
      <w:r w:rsidRPr="00476FC9">
        <w:rPr>
          <w:color w:val="000000" w:themeColor="text1"/>
        </w:rPr>
        <w:t>2004; Hoek et al., 2011; Kavadas et al., 2007).</w:t>
      </w:r>
      <w:r w:rsidR="00AF7F87" w:rsidRPr="00476FC9">
        <w:rPr>
          <w:color w:val="000000" w:themeColor="text1"/>
        </w:rPr>
        <w:t xml:space="preserve"> </w:t>
      </w:r>
      <w:r w:rsidR="00BB111A" w:rsidRPr="00476FC9">
        <w:rPr>
          <w:color w:val="000000" w:themeColor="text1"/>
        </w:rPr>
        <w:t xml:space="preserve">In line with this, researchers have noted that pharmaceutical advertisers </w:t>
      </w:r>
      <w:r w:rsidR="0005723B" w:rsidRPr="00476FC9">
        <w:rPr>
          <w:color w:val="000000" w:themeColor="text1"/>
        </w:rPr>
        <w:t xml:space="preserve">may </w:t>
      </w:r>
      <w:r w:rsidR="008A2ED2" w:rsidRPr="00476FC9">
        <w:rPr>
          <w:color w:val="000000" w:themeColor="text1"/>
        </w:rPr>
        <w:t xml:space="preserve">be motivated to </w:t>
      </w:r>
      <w:r w:rsidR="00BB111A" w:rsidRPr="00476FC9">
        <w:rPr>
          <w:color w:val="000000" w:themeColor="text1"/>
        </w:rPr>
        <w:t xml:space="preserve">present serious health risks of the medicine </w:t>
      </w:r>
      <w:r w:rsidR="0005723B" w:rsidRPr="00476FC9">
        <w:rPr>
          <w:color w:val="000000" w:themeColor="text1"/>
        </w:rPr>
        <w:t>in</w:t>
      </w:r>
      <w:r w:rsidR="00BB111A" w:rsidRPr="00476FC9">
        <w:rPr>
          <w:color w:val="000000" w:themeColor="text1"/>
        </w:rPr>
        <w:t>conspicuously</w:t>
      </w:r>
      <w:r w:rsidR="0005723B" w:rsidRPr="00476FC9">
        <w:rPr>
          <w:color w:val="000000" w:themeColor="text1"/>
        </w:rPr>
        <w:t>,</w:t>
      </w:r>
      <w:r w:rsidR="00BB111A" w:rsidRPr="00476FC9">
        <w:rPr>
          <w:color w:val="000000" w:themeColor="text1"/>
        </w:rPr>
        <w:t xml:space="preserve"> while </w:t>
      </w:r>
      <w:r w:rsidR="0005723B" w:rsidRPr="00476FC9">
        <w:rPr>
          <w:color w:val="000000" w:themeColor="text1"/>
        </w:rPr>
        <w:t>seeking to emphasize t</w:t>
      </w:r>
      <w:r w:rsidR="00BB111A" w:rsidRPr="00476FC9">
        <w:rPr>
          <w:color w:val="000000" w:themeColor="text1"/>
        </w:rPr>
        <w:t xml:space="preserve">he benefits of </w:t>
      </w:r>
      <w:r w:rsidR="0005723B" w:rsidRPr="00476FC9">
        <w:rPr>
          <w:color w:val="000000" w:themeColor="text1"/>
        </w:rPr>
        <w:t xml:space="preserve">it </w:t>
      </w:r>
      <w:r w:rsidR="00BB111A" w:rsidRPr="00476FC9">
        <w:rPr>
          <w:color w:val="000000" w:themeColor="text1"/>
        </w:rPr>
        <w:t>(e.g., Kavadas et al., 2007; Roth, 1996; Royne &amp; Myers, 2008; Morris &amp; Millstein, 1984).</w:t>
      </w:r>
      <w:r w:rsidR="004809B4" w:rsidRPr="00476FC9">
        <w:rPr>
          <w:color w:val="000000" w:themeColor="text1"/>
        </w:rPr>
        <w:t xml:space="preserve"> </w:t>
      </w:r>
      <w:r w:rsidR="008E47B2" w:rsidRPr="00476FC9">
        <w:rPr>
          <w:color w:val="000000" w:themeColor="text1"/>
        </w:rPr>
        <w:t xml:space="preserve">As a matter of fact, </w:t>
      </w:r>
      <w:r w:rsidR="00F66196" w:rsidRPr="00476FC9">
        <w:rPr>
          <w:color w:val="000000" w:themeColor="text1"/>
        </w:rPr>
        <w:t>r</w:t>
      </w:r>
      <w:r w:rsidRPr="00476FC9">
        <w:rPr>
          <w:color w:val="000000" w:themeColor="text1"/>
        </w:rPr>
        <w:t xml:space="preserve">esearch found that disclosing health risks of </w:t>
      </w:r>
      <w:r w:rsidR="00AF7F87" w:rsidRPr="00476FC9">
        <w:rPr>
          <w:color w:val="000000" w:themeColor="text1"/>
        </w:rPr>
        <w:t xml:space="preserve">drugs in </w:t>
      </w:r>
      <w:r w:rsidR="004809B4" w:rsidRPr="00476FC9">
        <w:rPr>
          <w:color w:val="000000" w:themeColor="text1"/>
        </w:rPr>
        <w:t xml:space="preserve">DTC </w:t>
      </w:r>
      <w:r w:rsidR="00AF7F87" w:rsidRPr="00476FC9">
        <w:rPr>
          <w:color w:val="000000" w:themeColor="text1"/>
        </w:rPr>
        <w:t>ads</w:t>
      </w:r>
      <w:r w:rsidRPr="00476FC9">
        <w:rPr>
          <w:color w:val="000000" w:themeColor="text1"/>
        </w:rPr>
        <w:t xml:space="preserve"> may result in unfavorable </w:t>
      </w:r>
      <w:r w:rsidR="00AF7F87" w:rsidRPr="00476FC9">
        <w:rPr>
          <w:color w:val="000000" w:themeColor="text1"/>
        </w:rPr>
        <w:t xml:space="preserve">consumer </w:t>
      </w:r>
      <w:r w:rsidR="00E947D4" w:rsidRPr="00476FC9">
        <w:rPr>
          <w:color w:val="000000" w:themeColor="text1"/>
        </w:rPr>
        <w:t xml:space="preserve">response to </w:t>
      </w:r>
      <w:r w:rsidRPr="00476FC9">
        <w:rPr>
          <w:color w:val="000000" w:themeColor="text1"/>
        </w:rPr>
        <w:t xml:space="preserve">the </w:t>
      </w:r>
      <w:r w:rsidR="00AF7F87" w:rsidRPr="00476FC9">
        <w:rPr>
          <w:color w:val="000000" w:themeColor="text1"/>
        </w:rPr>
        <w:t>drug</w:t>
      </w:r>
      <w:r w:rsidRPr="00476FC9">
        <w:rPr>
          <w:color w:val="000000" w:themeColor="text1"/>
        </w:rPr>
        <w:t xml:space="preserve">. </w:t>
      </w:r>
      <w:r w:rsidR="00AF7F87" w:rsidRPr="00476FC9">
        <w:rPr>
          <w:color w:val="000000" w:themeColor="text1"/>
        </w:rPr>
        <w:t xml:space="preserve">For instance, </w:t>
      </w:r>
      <w:r w:rsidR="00771110" w:rsidRPr="00476FC9">
        <w:rPr>
          <w:color w:val="000000" w:themeColor="text1"/>
        </w:rPr>
        <w:t xml:space="preserve">a higher ratio of risk information </w:t>
      </w:r>
      <w:r w:rsidR="008A2ED2" w:rsidRPr="00476FC9">
        <w:rPr>
          <w:color w:val="000000" w:themeColor="text1"/>
        </w:rPr>
        <w:t>compared to the</w:t>
      </w:r>
      <w:r w:rsidR="00771110" w:rsidRPr="00476FC9">
        <w:rPr>
          <w:color w:val="000000" w:themeColor="text1"/>
        </w:rPr>
        <w:t xml:space="preserve"> ratio of benefit information was more likely to decrease consumers’ behavioral intentions </w:t>
      </w:r>
      <w:r w:rsidR="008A2ED2" w:rsidRPr="00476FC9">
        <w:rPr>
          <w:color w:val="000000" w:themeColor="text1"/>
        </w:rPr>
        <w:t xml:space="preserve">to use </w:t>
      </w:r>
      <w:r w:rsidR="00771110" w:rsidRPr="00476FC9">
        <w:rPr>
          <w:color w:val="000000" w:themeColor="text1"/>
        </w:rPr>
        <w:t>the promoted drug (Kavadas et al., 2007; Royne &amp; Myers, 2008).</w:t>
      </w:r>
    </w:p>
    <w:p w:rsidR="00F00C7D" w:rsidRPr="00476FC9" w:rsidRDefault="00231B01"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With regard to this, </w:t>
      </w:r>
      <w:r w:rsidR="00E947D4" w:rsidRPr="00476FC9">
        <w:rPr>
          <w:color w:val="000000" w:themeColor="text1"/>
        </w:rPr>
        <w:t>s</w:t>
      </w:r>
      <w:r w:rsidR="00F04CD5" w:rsidRPr="00476FC9">
        <w:rPr>
          <w:color w:val="000000" w:themeColor="text1"/>
        </w:rPr>
        <w:t>ome</w:t>
      </w:r>
      <w:r w:rsidR="00F97987" w:rsidRPr="00476FC9">
        <w:rPr>
          <w:color w:val="000000" w:themeColor="text1"/>
        </w:rPr>
        <w:t xml:space="preserve"> consumer advertising categories </w:t>
      </w:r>
      <w:r w:rsidRPr="00476FC9">
        <w:rPr>
          <w:color w:val="000000" w:themeColor="text1"/>
        </w:rPr>
        <w:t>have been r</w:t>
      </w:r>
      <w:r w:rsidR="00F97987" w:rsidRPr="00476FC9">
        <w:rPr>
          <w:color w:val="000000" w:themeColor="text1"/>
        </w:rPr>
        <w:t xml:space="preserve">equired to present important risk information </w:t>
      </w:r>
      <w:r w:rsidR="00E947D4" w:rsidRPr="00476FC9">
        <w:rPr>
          <w:color w:val="000000" w:themeColor="text1"/>
        </w:rPr>
        <w:t xml:space="preserve">associated with the use of </w:t>
      </w:r>
      <w:r w:rsidR="00F97987" w:rsidRPr="00476FC9">
        <w:rPr>
          <w:color w:val="000000" w:themeColor="text1"/>
        </w:rPr>
        <w:t>product</w:t>
      </w:r>
      <w:r w:rsidR="00E947D4" w:rsidRPr="00476FC9">
        <w:rPr>
          <w:color w:val="000000" w:themeColor="text1"/>
        </w:rPr>
        <w:t>s</w:t>
      </w:r>
      <w:r w:rsidRPr="00476FC9">
        <w:rPr>
          <w:color w:val="000000" w:themeColor="text1"/>
        </w:rPr>
        <w:t xml:space="preserve"> and services</w:t>
      </w:r>
      <w:r w:rsidR="00F04CD5" w:rsidRPr="00476FC9">
        <w:rPr>
          <w:color w:val="000000" w:themeColor="text1"/>
        </w:rPr>
        <w:t xml:space="preserve"> in their promotional materials</w:t>
      </w:r>
      <w:r w:rsidR="00F97987" w:rsidRPr="00476FC9">
        <w:rPr>
          <w:color w:val="000000" w:themeColor="text1"/>
        </w:rPr>
        <w:t xml:space="preserve">, </w:t>
      </w:r>
      <w:r w:rsidR="008A2ED2" w:rsidRPr="00476FC9">
        <w:rPr>
          <w:color w:val="000000" w:themeColor="text1"/>
        </w:rPr>
        <w:t>a practice commonly named</w:t>
      </w:r>
      <w:r w:rsidR="00F97987" w:rsidRPr="00476FC9">
        <w:rPr>
          <w:color w:val="000000" w:themeColor="text1"/>
        </w:rPr>
        <w:t xml:space="preserve"> </w:t>
      </w:r>
      <w:r w:rsidR="00F97987" w:rsidRPr="00476FC9">
        <w:rPr>
          <w:i/>
          <w:color w:val="000000" w:themeColor="text1"/>
        </w:rPr>
        <w:t>disclosure</w:t>
      </w:r>
      <w:r w:rsidR="00F04CD5" w:rsidRPr="00476FC9">
        <w:rPr>
          <w:i/>
          <w:color w:val="000000" w:themeColor="text1"/>
        </w:rPr>
        <w:t>s</w:t>
      </w:r>
      <w:r w:rsidR="00F97987" w:rsidRPr="00476FC9">
        <w:rPr>
          <w:color w:val="000000" w:themeColor="text1"/>
        </w:rPr>
        <w:t xml:space="preserve"> (or </w:t>
      </w:r>
      <w:r w:rsidR="00F97987" w:rsidRPr="00476FC9">
        <w:rPr>
          <w:i/>
          <w:color w:val="000000" w:themeColor="text1"/>
        </w:rPr>
        <w:t>disclaimers</w:t>
      </w:r>
      <w:r w:rsidR="00F97987" w:rsidRPr="00476FC9">
        <w:rPr>
          <w:color w:val="000000" w:themeColor="text1"/>
        </w:rPr>
        <w:t xml:space="preserve">) (Andrew et al., 2009). </w:t>
      </w:r>
      <w:r w:rsidRPr="00476FC9">
        <w:rPr>
          <w:color w:val="000000" w:themeColor="text1"/>
        </w:rPr>
        <w:t xml:space="preserve">The purpose of </w:t>
      </w:r>
      <w:r w:rsidR="00F04CD5" w:rsidRPr="00476FC9">
        <w:rPr>
          <w:color w:val="000000" w:themeColor="text1"/>
        </w:rPr>
        <w:t>a</w:t>
      </w:r>
      <w:r w:rsidR="00F97987" w:rsidRPr="00476FC9">
        <w:rPr>
          <w:color w:val="000000" w:themeColor="text1"/>
        </w:rPr>
        <w:t xml:space="preserve">dvertising disclosure is </w:t>
      </w:r>
      <w:r w:rsidRPr="00476FC9">
        <w:rPr>
          <w:color w:val="000000" w:themeColor="text1"/>
        </w:rPr>
        <w:t xml:space="preserve">to clarify or qualify potentially misleading or deceptive statements made within an ad </w:t>
      </w:r>
      <w:r w:rsidR="00F97987" w:rsidRPr="00476FC9">
        <w:rPr>
          <w:color w:val="000000" w:themeColor="text1"/>
        </w:rPr>
        <w:t>(</w:t>
      </w:r>
      <w:r w:rsidR="00743B10" w:rsidRPr="00476FC9">
        <w:rPr>
          <w:color w:val="000000" w:themeColor="text1"/>
        </w:rPr>
        <w:t>Hoy &amp; Andre</w:t>
      </w:r>
      <w:r w:rsidR="001664C9" w:rsidRPr="00476FC9">
        <w:rPr>
          <w:color w:val="000000" w:themeColor="text1"/>
        </w:rPr>
        <w:t>w</w:t>
      </w:r>
      <w:r w:rsidR="00743B10" w:rsidRPr="00476FC9">
        <w:rPr>
          <w:color w:val="000000" w:themeColor="text1"/>
        </w:rPr>
        <w:t>s, 2004</w:t>
      </w:r>
      <w:r w:rsidR="00F97987" w:rsidRPr="00476FC9">
        <w:rPr>
          <w:color w:val="000000" w:themeColor="text1"/>
        </w:rPr>
        <w:t>).</w:t>
      </w:r>
    </w:p>
    <w:p w:rsidR="00F97987" w:rsidRPr="00476FC9" w:rsidRDefault="005967FC"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Disclosures are a</w:t>
      </w:r>
      <w:r w:rsidR="00F97987" w:rsidRPr="00476FC9">
        <w:rPr>
          <w:color w:val="000000" w:themeColor="text1"/>
        </w:rPr>
        <w:t xml:space="preserve"> regulatory action to </w:t>
      </w:r>
      <w:r w:rsidR="00181A82" w:rsidRPr="00476FC9">
        <w:rPr>
          <w:color w:val="000000" w:themeColor="text1"/>
        </w:rPr>
        <w:t>promote</w:t>
      </w:r>
      <w:r w:rsidR="00F97987" w:rsidRPr="00476FC9">
        <w:rPr>
          <w:color w:val="000000" w:themeColor="text1"/>
        </w:rPr>
        <w:t xml:space="preserve"> consumers</w:t>
      </w:r>
      <w:r w:rsidR="002F3C1E" w:rsidRPr="00476FC9">
        <w:rPr>
          <w:color w:val="000000" w:themeColor="text1"/>
        </w:rPr>
        <w:t>’</w:t>
      </w:r>
      <w:r w:rsidR="00F97987" w:rsidRPr="00476FC9">
        <w:rPr>
          <w:color w:val="000000" w:themeColor="text1"/>
        </w:rPr>
        <w:t xml:space="preserve"> complete understanding about product attributes that may be integral to their decision making (Andrew et al., 2009; Stewart &amp; </w:t>
      </w:r>
      <w:r w:rsidR="00F97987" w:rsidRPr="00476FC9">
        <w:rPr>
          <w:color w:val="000000" w:themeColor="text1"/>
        </w:rPr>
        <w:lastRenderedPageBreak/>
        <w:t xml:space="preserve">Martin, 2004). </w:t>
      </w:r>
      <w:r w:rsidR="00F00C7D" w:rsidRPr="00476FC9">
        <w:rPr>
          <w:color w:val="000000" w:themeColor="text1"/>
        </w:rPr>
        <w:t>Advertising disclosure</w:t>
      </w:r>
      <w:r w:rsidR="00F97987" w:rsidRPr="00476FC9">
        <w:rPr>
          <w:color w:val="000000" w:themeColor="text1"/>
        </w:rPr>
        <w:t xml:space="preserve"> can take on various forms including product claims, risks of product usage, and information about reducing or avoiding risks (</w:t>
      </w:r>
      <w:r w:rsidR="001664C9" w:rsidRPr="00476FC9">
        <w:rPr>
          <w:color w:val="000000" w:themeColor="text1"/>
        </w:rPr>
        <w:t>Stewart &amp; Martin, 2004</w:t>
      </w:r>
      <w:r w:rsidR="00F97987" w:rsidRPr="00476FC9">
        <w:rPr>
          <w:color w:val="000000" w:themeColor="text1"/>
        </w:rPr>
        <w:t xml:space="preserve">). In </w:t>
      </w:r>
      <w:r w:rsidR="00F00C7D" w:rsidRPr="00476FC9">
        <w:rPr>
          <w:color w:val="000000" w:themeColor="text1"/>
        </w:rPr>
        <w:t>light of</w:t>
      </w:r>
      <w:r w:rsidR="00F97987" w:rsidRPr="00476FC9">
        <w:rPr>
          <w:color w:val="000000" w:themeColor="text1"/>
        </w:rPr>
        <w:t xml:space="preserve"> this, DTCA risk disclosure </w:t>
      </w:r>
      <w:r w:rsidR="00F00C7D" w:rsidRPr="00476FC9">
        <w:rPr>
          <w:color w:val="000000" w:themeColor="text1"/>
        </w:rPr>
        <w:t xml:space="preserve">typically </w:t>
      </w:r>
      <w:r w:rsidR="00F97987" w:rsidRPr="00476FC9">
        <w:rPr>
          <w:color w:val="000000" w:themeColor="text1"/>
        </w:rPr>
        <w:t xml:space="preserve">provides information about important </w:t>
      </w:r>
      <w:r w:rsidR="00DF7BC5" w:rsidRPr="00476FC9">
        <w:rPr>
          <w:color w:val="000000" w:themeColor="text1"/>
        </w:rPr>
        <w:t xml:space="preserve">health risks, </w:t>
      </w:r>
      <w:r w:rsidR="00F97987" w:rsidRPr="00476FC9">
        <w:rPr>
          <w:color w:val="000000" w:themeColor="text1"/>
        </w:rPr>
        <w:t>side effects</w:t>
      </w:r>
      <w:r w:rsidR="00DF7BC5" w:rsidRPr="00476FC9">
        <w:rPr>
          <w:color w:val="000000" w:themeColor="text1"/>
        </w:rPr>
        <w:t xml:space="preserve">, and </w:t>
      </w:r>
      <w:r w:rsidR="00F97987" w:rsidRPr="00476FC9">
        <w:rPr>
          <w:color w:val="000000" w:themeColor="text1"/>
        </w:rPr>
        <w:t>contraindications</w:t>
      </w:r>
      <w:r w:rsidR="00DF7BC5" w:rsidRPr="00476FC9">
        <w:rPr>
          <w:color w:val="000000" w:themeColor="text1"/>
        </w:rPr>
        <w:t>,</w:t>
      </w:r>
      <w:r w:rsidR="00F97987" w:rsidRPr="00476FC9">
        <w:rPr>
          <w:color w:val="000000" w:themeColor="text1"/>
        </w:rPr>
        <w:t xml:space="preserve"> </w:t>
      </w:r>
      <w:r w:rsidRPr="00476FC9">
        <w:rPr>
          <w:color w:val="000000" w:themeColor="text1"/>
        </w:rPr>
        <w:t>associated with the use of</w:t>
      </w:r>
      <w:r w:rsidR="00F97987" w:rsidRPr="00476FC9">
        <w:rPr>
          <w:color w:val="000000" w:themeColor="text1"/>
        </w:rPr>
        <w:t xml:space="preserve"> prescription medicine. </w:t>
      </w:r>
    </w:p>
    <w:p w:rsidR="00F97987" w:rsidRPr="00476FC9" w:rsidRDefault="00F97987"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F00C7D" w:rsidRPr="00476FC9">
        <w:rPr>
          <w:color w:val="000000" w:themeColor="text1"/>
        </w:rPr>
        <w:t>Today</w:t>
      </w:r>
      <w:r w:rsidR="00783DB7" w:rsidRPr="00476FC9">
        <w:rPr>
          <w:color w:val="000000" w:themeColor="text1"/>
        </w:rPr>
        <w:t>, advertising disclosure</w:t>
      </w:r>
      <w:r w:rsidRPr="00476FC9">
        <w:rPr>
          <w:color w:val="000000" w:themeColor="text1"/>
        </w:rPr>
        <w:t xml:space="preserve"> became prevalent in the consumer information environment (Andrews et al., </w:t>
      </w:r>
      <w:r w:rsidR="00F66196" w:rsidRPr="00476FC9">
        <w:rPr>
          <w:color w:val="000000" w:themeColor="text1"/>
        </w:rPr>
        <w:t>2009</w:t>
      </w:r>
      <w:r w:rsidRPr="00476FC9">
        <w:rPr>
          <w:color w:val="000000" w:themeColor="text1"/>
        </w:rPr>
        <w:t xml:space="preserve">). </w:t>
      </w:r>
      <w:r w:rsidR="002F3C1E" w:rsidRPr="00476FC9">
        <w:rPr>
          <w:color w:val="000000" w:themeColor="text1"/>
        </w:rPr>
        <w:t>The</w:t>
      </w:r>
      <w:r w:rsidR="00BE33E6" w:rsidRPr="00476FC9">
        <w:rPr>
          <w:color w:val="000000" w:themeColor="text1"/>
        </w:rPr>
        <w:t xml:space="preserve"> majority of c</w:t>
      </w:r>
      <w:r w:rsidRPr="00476FC9">
        <w:rPr>
          <w:color w:val="000000" w:themeColor="text1"/>
        </w:rPr>
        <w:t xml:space="preserve">onsumers are aware of that disclosures are required by law </w:t>
      </w:r>
      <w:r w:rsidR="00BE33E6" w:rsidRPr="00476FC9">
        <w:rPr>
          <w:color w:val="000000" w:themeColor="text1"/>
        </w:rPr>
        <w:t>in certain product categories</w:t>
      </w:r>
      <w:r w:rsidR="00C26CD1" w:rsidRPr="00476FC9">
        <w:rPr>
          <w:color w:val="000000" w:themeColor="text1"/>
        </w:rPr>
        <w:t xml:space="preserve"> such </w:t>
      </w:r>
      <w:r w:rsidRPr="00476FC9">
        <w:rPr>
          <w:color w:val="000000" w:themeColor="text1"/>
        </w:rPr>
        <w:t>health warnings in cigarette advertising (Eisend, 2006</w:t>
      </w:r>
      <w:r w:rsidR="00783DB7" w:rsidRPr="00476FC9">
        <w:rPr>
          <w:color w:val="000000" w:themeColor="text1"/>
        </w:rPr>
        <w:t xml:space="preserve">). </w:t>
      </w:r>
      <w:r w:rsidR="00C26CD1" w:rsidRPr="00476FC9">
        <w:rPr>
          <w:color w:val="000000" w:themeColor="text1"/>
        </w:rPr>
        <w:t xml:space="preserve">In this context, consumers should be able to </w:t>
      </w:r>
      <w:r w:rsidR="00CE76E6" w:rsidRPr="00476FC9">
        <w:rPr>
          <w:color w:val="000000" w:themeColor="text1"/>
        </w:rPr>
        <w:t>utilize</w:t>
      </w:r>
      <w:r w:rsidR="00783DB7" w:rsidRPr="00476FC9">
        <w:rPr>
          <w:color w:val="000000" w:themeColor="text1"/>
        </w:rPr>
        <w:t xml:space="preserve"> </w:t>
      </w:r>
      <w:r w:rsidR="00C26CD1" w:rsidRPr="00476FC9">
        <w:rPr>
          <w:color w:val="000000" w:themeColor="text1"/>
        </w:rPr>
        <w:t xml:space="preserve">such </w:t>
      </w:r>
      <w:r w:rsidR="00783DB7" w:rsidRPr="00476FC9">
        <w:rPr>
          <w:color w:val="000000" w:themeColor="text1"/>
        </w:rPr>
        <w:t xml:space="preserve">disclaimers </w:t>
      </w:r>
      <w:r w:rsidR="005200CA" w:rsidRPr="00476FC9">
        <w:rPr>
          <w:color w:val="000000" w:themeColor="text1"/>
        </w:rPr>
        <w:t>to make informed purchase decisions</w:t>
      </w:r>
      <w:r w:rsidR="00C26CD1" w:rsidRPr="00476FC9">
        <w:rPr>
          <w:color w:val="000000" w:themeColor="text1"/>
        </w:rPr>
        <w:t xml:space="preserve"> (Foxman, Muehling, &amp; Moore, 1988)</w:t>
      </w:r>
      <w:r w:rsidR="00CE76E6" w:rsidRPr="00476FC9">
        <w:rPr>
          <w:color w:val="000000" w:themeColor="text1"/>
        </w:rPr>
        <w:t xml:space="preserve">. </w:t>
      </w:r>
      <w:r w:rsidR="00DF407A" w:rsidRPr="00476FC9">
        <w:rPr>
          <w:color w:val="000000" w:themeColor="text1"/>
        </w:rPr>
        <w:t xml:space="preserve">Disclosures that are clearly and prominently displayed can be effective </w:t>
      </w:r>
      <w:r w:rsidR="00C26CD1" w:rsidRPr="00476FC9">
        <w:rPr>
          <w:color w:val="000000" w:themeColor="text1"/>
        </w:rPr>
        <w:t>for</w:t>
      </w:r>
      <w:r w:rsidR="00DF407A" w:rsidRPr="00476FC9">
        <w:rPr>
          <w:color w:val="000000" w:themeColor="text1"/>
        </w:rPr>
        <w:t xml:space="preserve"> reducing </w:t>
      </w:r>
      <w:r w:rsidR="002F3C1E" w:rsidRPr="00476FC9">
        <w:rPr>
          <w:color w:val="000000" w:themeColor="text1"/>
        </w:rPr>
        <w:t>mis</w:t>
      </w:r>
      <w:r w:rsidR="00DF407A" w:rsidRPr="00476FC9">
        <w:rPr>
          <w:color w:val="000000" w:themeColor="text1"/>
        </w:rPr>
        <w:t>beliefs</w:t>
      </w:r>
      <w:r w:rsidR="002F3C1E" w:rsidRPr="00476FC9">
        <w:rPr>
          <w:color w:val="000000" w:themeColor="text1"/>
        </w:rPr>
        <w:t xml:space="preserve"> and shaping</w:t>
      </w:r>
      <w:r w:rsidR="00DF407A" w:rsidRPr="00476FC9">
        <w:rPr>
          <w:color w:val="000000" w:themeColor="text1"/>
        </w:rPr>
        <w:t xml:space="preserve"> attitudes and intentions (Hoy &amp; Stankey, 1993; Andrews et al., 2000; Wilkie, 1985). </w:t>
      </w:r>
      <w:r w:rsidR="00C26CD1" w:rsidRPr="00476FC9">
        <w:rPr>
          <w:color w:val="000000" w:themeColor="text1"/>
        </w:rPr>
        <w:t xml:space="preserve">Furthermore, pharmaceutical </w:t>
      </w:r>
      <w:r w:rsidRPr="00476FC9">
        <w:rPr>
          <w:color w:val="000000" w:themeColor="text1"/>
        </w:rPr>
        <w:t xml:space="preserve">advertisers </w:t>
      </w:r>
      <w:r w:rsidR="00CE76E6" w:rsidRPr="00476FC9">
        <w:rPr>
          <w:color w:val="000000" w:themeColor="text1"/>
        </w:rPr>
        <w:t xml:space="preserve">can be </w:t>
      </w:r>
      <w:r w:rsidR="00C26CD1" w:rsidRPr="00476FC9">
        <w:rPr>
          <w:color w:val="000000" w:themeColor="text1"/>
        </w:rPr>
        <w:t xml:space="preserve">also </w:t>
      </w:r>
      <w:r w:rsidRPr="00476FC9">
        <w:rPr>
          <w:color w:val="000000" w:themeColor="text1"/>
        </w:rPr>
        <w:t>protect</w:t>
      </w:r>
      <w:r w:rsidR="00CE76E6" w:rsidRPr="00476FC9">
        <w:rPr>
          <w:color w:val="000000" w:themeColor="text1"/>
        </w:rPr>
        <w:t>ed</w:t>
      </w:r>
      <w:r w:rsidRPr="00476FC9">
        <w:rPr>
          <w:color w:val="000000" w:themeColor="text1"/>
        </w:rPr>
        <w:t xml:space="preserve"> from </w:t>
      </w:r>
      <w:r w:rsidR="00C26CD1" w:rsidRPr="00476FC9">
        <w:rPr>
          <w:color w:val="000000" w:themeColor="text1"/>
        </w:rPr>
        <w:t xml:space="preserve">potential </w:t>
      </w:r>
      <w:r w:rsidR="00CE76E6" w:rsidRPr="00476FC9">
        <w:rPr>
          <w:color w:val="000000" w:themeColor="text1"/>
        </w:rPr>
        <w:t>undue</w:t>
      </w:r>
      <w:r w:rsidR="005200CA" w:rsidRPr="00476FC9">
        <w:rPr>
          <w:color w:val="000000" w:themeColor="text1"/>
        </w:rPr>
        <w:t xml:space="preserve"> </w:t>
      </w:r>
      <w:r w:rsidRPr="00476FC9">
        <w:rPr>
          <w:color w:val="000000" w:themeColor="text1"/>
        </w:rPr>
        <w:t>accusations of misleading or deceptive advertising</w:t>
      </w:r>
      <w:r w:rsidR="00C26CD1" w:rsidRPr="00476FC9">
        <w:rPr>
          <w:color w:val="000000" w:themeColor="text1"/>
        </w:rPr>
        <w:t>,</w:t>
      </w:r>
      <w:r w:rsidRPr="00476FC9">
        <w:rPr>
          <w:color w:val="000000" w:themeColor="text1"/>
        </w:rPr>
        <w:t xml:space="preserve"> </w:t>
      </w:r>
      <w:r w:rsidR="00C26CD1" w:rsidRPr="00476FC9">
        <w:rPr>
          <w:color w:val="000000" w:themeColor="text1"/>
        </w:rPr>
        <w:t>assuming that</w:t>
      </w:r>
      <w:r w:rsidR="005200CA" w:rsidRPr="00476FC9">
        <w:rPr>
          <w:color w:val="000000" w:themeColor="text1"/>
        </w:rPr>
        <w:t xml:space="preserve"> the advertiser</w:t>
      </w:r>
      <w:r w:rsidR="00C26CD1" w:rsidRPr="00476FC9">
        <w:rPr>
          <w:color w:val="000000" w:themeColor="text1"/>
        </w:rPr>
        <w:t>s</w:t>
      </w:r>
      <w:r w:rsidR="005200CA" w:rsidRPr="00476FC9">
        <w:rPr>
          <w:color w:val="000000" w:themeColor="text1"/>
        </w:rPr>
        <w:t xml:space="preserve"> </w:t>
      </w:r>
      <w:r w:rsidR="00C26CD1" w:rsidRPr="00476FC9">
        <w:rPr>
          <w:color w:val="000000" w:themeColor="text1"/>
        </w:rPr>
        <w:t xml:space="preserve">meet </w:t>
      </w:r>
      <w:r w:rsidRPr="00476FC9">
        <w:rPr>
          <w:color w:val="000000" w:themeColor="text1"/>
        </w:rPr>
        <w:t>the risk disclosure requirements</w:t>
      </w:r>
      <w:r w:rsidR="005200CA" w:rsidRPr="00476FC9">
        <w:rPr>
          <w:color w:val="000000" w:themeColor="text1"/>
        </w:rPr>
        <w:t xml:space="preserve"> appropriately</w:t>
      </w:r>
      <w:r w:rsidR="00DF407A" w:rsidRPr="00476FC9">
        <w:rPr>
          <w:color w:val="000000" w:themeColor="text1"/>
        </w:rPr>
        <w:t xml:space="preserve"> (Andrews et al., 2000)</w:t>
      </w:r>
      <w:r w:rsidRPr="00476FC9">
        <w:rPr>
          <w:color w:val="000000" w:themeColor="text1"/>
        </w:rPr>
        <w:t>.</w:t>
      </w:r>
    </w:p>
    <w:p w:rsidR="00F97987" w:rsidRPr="00476FC9" w:rsidRDefault="00C26CD1"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In the DTCA context, pharmaceutical advertisers are obligated to provide important health risk information in DTC ads (21 CFR 202.1). However, t</w:t>
      </w:r>
      <w:r w:rsidR="000715F8" w:rsidRPr="00476FC9">
        <w:rPr>
          <w:color w:val="000000" w:themeColor="text1"/>
        </w:rPr>
        <w:t xml:space="preserve">o </w:t>
      </w:r>
      <w:r w:rsidRPr="00476FC9">
        <w:rPr>
          <w:color w:val="000000" w:themeColor="text1"/>
        </w:rPr>
        <w:t xml:space="preserve">help prescription drug consumers make sound prescription decisions, </w:t>
      </w:r>
      <w:r w:rsidR="000715F8" w:rsidRPr="00476FC9">
        <w:rPr>
          <w:color w:val="000000" w:themeColor="text1"/>
        </w:rPr>
        <w:t xml:space="preserve">researchers </w:t>
      </w:r>
      <w:r w:rsidR="00F97987" w:rsidRPr="00476FC9">
        <w:rPr>
          <w:color w:val="000000" w:themeColor="text1"/>
        </w:rPr>
        <w:t xml:space="preserve">need to understand how </w:t>
      </w:r>
      <w:r w:rsidR="006B00A4" w:rsidRPr="00476FC9">
        <w:rPr>
          <w:color w:val="000000" w:themeColor="text1"/>
        </w:rPr>
        <w:t xml:space="preserve">information about </w:t>
      </w:r>
      <w:r w:rsidR="002415AD" w:rsidRPr="00476FC9">
        <w:rPr>
          <w:color w:val="000000" w:themeColor="text1"/>
        </w:rPr>
        <w:t>health risks of the drug</w:t>
      </w:r>
      <w:r w:rsidR="00DA587C" w:rsidRPr="00476FC9">
        <w:rPr>
          <w:color w:val="000000" w:themeColor="text1"/>
        </w:rPr>
        <w:t xml:space="preserve"> can be </w:t>
      </w:r>
      <w:r w:rsidRPr="00476FC9">
        <w:rPr>
          <w:color w:val="000000" w:themeColor="text1"/>
        </w:rPr>
        <w:t>displayed more effectively</w:t>
      </w:r>
      <w:r w:rsidR="002415AD" w:rsidRPr="00476FC9">
        <w:rPr>
          <w:color w:val="000000" w:themeColor="text1"/>
        </w:rPr>
        <w:t xml:space="preserve">. </w:t>
      </w:r>
      <w:r w:rsidR="006B00A4" w:rsidRPr="00476FC9">
        <w:rPr>
          <w:color w:val="000000" w:themeColor="text1"/>
        </w:rPr>
        <w:t xml:space="preserve">To do so, </w:t>
      </w:r>
      <w:r w:rsidR="002F3C1E" w:rsidRPr="00476FC9">
        <w:rPr>
          <w:color w:val="000000" w:themeColor="text1"/>
        </w:rPr>
        <w:t xml:space="preserve">a </w:t>
      </w:r>
      <w:r w:rsidR="006B00A4" w:rsidRPr="00476FC9">
        <w:rPr>
          <w:color w:val="000000" w:themeColor="text1"/>
        </w:rPr>
        <w:t>c</w:t>
      </w:r>
      <w:r w:rsidR="002415AD" w:rsidRPr="00476FC9">
        <w:rPr>
          <w:color w:val="000000" w:themeColor="text1"/>
        </w:rPr>
        <w:t xml:space="preserve">onsumer-oriented </w:t>
      </w:r>
      <w:r w:rsidR="00B4708A" w:rsidRPr="00476FC9">
        <w:rPr>
          <w:color w:val="000000" w:themeColor="text1"/>
        </w:rPr>
        <w:t xml:space="preserve">research </w:t>
      </w:r>
      <w:r w:rsidR="006B00A4" w:rsidRPr="00476FC9">
        <w:rPr>
          <w:color w:val="000000" w:themeColor="text1"/>
        </w:rPr>
        <w:t xml:space="preserve">approach </w:t>
      </w:r>
      <w:r w:rsidR="002415AD" w:rsidRPr="00476FC9">
        <w:rPr>
          <w:color w:val="000000" w:themeColor="text1"/>
        </w:rPr>
        <w:t>w</w:t>
      </w:r>
      <w:r w:rsidR="00F97987" w:rsidRPr="00476FC9">
        <w:rPr>
          <w:color w:val="000000" w:themeColor="text1"/>
        </w:rPr>
        <w:t xml:space="preserve">ill </w:t>
      </w:r>
      <w:r w:rsidR="002415AD" w:rsidRPr="00476FC9">
        <w:rPr>
          <w:color w:val="000000" w:themeColor="text1"/>
        </w:rPr>
        <w:t xml:space="preserve">provide insight into </w:t>
      </w:r>
      <w:r w:rsidR="006B00A4" w:rsidRPr="00476FC9">
        <w:rPr>
          <w:color w:val="000000" w:themeColor="text1"/>
        </w:rPr>
        <w:t xml:space="preserve">the development of more effective DTCA risk communication. </w:t>
      </w:r>
      <w:r w:rsidR="00DA587C" w:rsidRPr="00476FC9">
        <w:rPr>
          <w:color w:val="000000" w:themeColor="text1"/>
        </w:rPr>
        <w:t xml:space="preserve">In addition, this approach </w:t>
      </w:r>
      <w:r w:rsidR="006B00A4" w:rsidRPr="00476FC9">
        <w:rPr>
          <w:color w:val="000000" w:themeColor="text1"/>
        </w:rPr>
        <w:t xml:space="preserve">also </w:t>
      </w:r>
      <w:r w:rsidR="00DA587C" w:rsidRPr="00476FC9">
        <w:rPr>
          <w:color w:val="000000" w:themeColor="text1"/>
        </w:rPr>
        <w:t xml:space="preserve">allows researchers to </w:t>
      </w:r>
      <w:r w:rsidR="006B00A4" w:rsidRPr="00476FC9">
        <w:rPr>
          <w:color w:val="000000" w:themeColor="text1"/>
        </w:rPr>
        <w:t xml:space="preserve">better </w:t>
      </w:r>
      <w:r w:rsidR="00DA587C" w:rsidRPr="00476FC9">
        <w:rPr>
          <w:color w:val="000000" w:themeColor="text1"/>
        </w:rPr>
        <w:t xml:space="preserve">understand the </w:t>
      </w:r>
      <w:r w:rsidR="006B00A4" w:rsidRPr="00476FC9">
        <w:rPr>
          <w:color w:val="000000" w:themeColor="text1"/>
        </w:rPr>
        <w:t>risk disclosure processing mechanism from the consumer perspective</w:t>
      </w:r>
      <w:r w:rsidR="00DA587C" w:rsidRPr="00476FC9">
        <w:rPr>
          <w:color w:val="000000" w:themeColor="text1"/>
        </w:rPr>
        <w:t xml:space="preserve">. </w:t>
      </w:r>
      <w:r w:rsidR="00F97987" w:rsidRPr="00476FC9">
        <w:rPr>
          <w:color w:val="000000" w:themeColor="text1"/>
        </w:rPr>
        <w:t xml:space="preserve">In the following section, </w:t>
      </w:r>
      <w:r w:rsidR="00DA587C" w:rsidRPr="00476FC9">
        <w:rPr>
          <w:color w:val="000000" w:themeColor="text1"/>
        </w:rPr>
        <w:t xml:space="preserve">the literature on </w:t>
      </w:r>
      <w:r w:rsidR="00F97987" w:rsidRPr="00476FC9">
        <w:rPr>
          <w:color w:val="000000" w:themeColor="text1"/>
        </w:rPr>
        <w:t>consumer informat</w:t>
      </w:r>
      <w:r w:rsidR="002415AD" w:rsidRPr="00476FC9">
        <w:rPr>
          <w:color w:val="000000" w:themeColor="text1"/>
        </w:rPr>
        <w:t xml:space="preserve">ion processing </w:t>
      </w:r>
      <w:r w:rsidR="006A6A42" w:rsidRPr="00476FC9">
        <w:rPr>
          <w:color w:val="000000" w:themeColor="text1"/>
        </w:rPr>
        <w:t xml:space="preserve">is </w:t>
      </w:r>
      <w:r w:rsidR="00DA587C" w:rsidRPr="00476FC9">
        <w:rPr>
          <w:color w:val="000000" w:themeColor="text1"/>
        </w:rPr>
        <w:t>reviewed</w:t>
      </w:r>
      <w:r w:rsidR="002F3C1E" w:rsidRPr="00476FC9">
        <w:rPr>
          <w:color w:val="000000" w:themeColor="text1"/>
        </w:rPr>
        <w:t xml:space="preserve"> with </w:t>
      </w:r>
      <w:r w:rsidR="00B4708A" w:rsidRPr="00476FC9">
        <w:rPr>
          <w:color w:val="000000" w:themeColor="text1"/>
        </w:rPr>
        <w:t xml:space="preserve">a </w:t>
      </w:r>
      <w:r w:rsidR="002F3C1E" w:rsidRPr="00476FC9">
        <w:rPr>
          <w:color w:val="000000" w:themeColor="text1"/>
        </w:rPr>
        <w:t>focus on how</w:t>
      </w:r>
      <w:r w:rsidR="006B00A4" w:rsidRPr="00476FC9">
        <w:rPr>
          <w:color w:val="000000" w:themeColor="text1"/>
        </w:rPr>
        <w:t xml:space="preserve"> DTCA risk </w:t>
      </w:r>
      <w:r w:rsidR="006B00A4" w:rsidRPr="00476FC9">
        <w:rPr>
          <w:color w:val="000000" w:themeColor="text1"/>
        </w:rPr>
        <w:lastRenderedPageBreak/>
        <w:t>disclosure prominence</w:t>
      </w:r>
      <w:r w:rsidR="002F3C1E" w:rsidRPr="00476FC9">
        <w:rPr>
          <w:color w:val="000000" w:themeColor="text1"/>
        </w:rPr>
        <w:t xml:space="preserve"> may </w:t>
      </w:r>
      <w:r w:rsidR="00277173" w:rsidRPr="00476FC9">
        <w:rPr>
          <w:color w:val="000000" w:themeColor="text1"/>
        </w:rPr>
        <w:t>help</w:t>
      </w:r>
      <w:r w:rsidR="002F3C1E" w:rsidRPr="00476FC9">
        <w:rPr>
          <w:color w:val="000000" w:themeColor="text1"/>
        </w:rPr>
        <w:t xml:space="preserve"> information processing</w:t>
      </w:r>
      <w:r w:rsidR="00DA587C" w:rsidRPr="00476FC9">
        <w:rPr>
          <w:color w:val="000000" w:themeColor="text1"/>
        </w:rPr>
        <w:t>.</w:t>
      </w:r>
    </w:p>
    <w:p w:rsidR="000D5D8B" w:rsidRPr="00476FC9" w:rsidRDefault="000D5D8B" w:rsidP="007D2ACE">
      <w:pPr>
        <w:keepNext w:val="0"/>
        <w:widowControl w:val="0"/>
        <w:kinsoku w:val="0"/>
        <w:overflowPunct w:val="0"/>
        <w:autoSpaceDE w:val="0"/>
        <w:autoSpaceDN w:val="0"/>
        <w:adjustRightInd w:val="0"/>
        <w:snapToGrid w:val="0"/>
        <w:spacing w:before="0" w:after="0"/>
        <w:rPr>
          <w:color w:val="000000" w:themeColor="text1"/>
        </w:rPr>
      </w:pPr>
    </w:p>
    <w:p w:rsidR="002B6D81" w:rsidRPr="00476FC9" w:rsidRDefault="000D5D8B" w:rsidP="007D2ACE">
      <w:pPr>
        <w:pStyle w:val="Heading2"/>
        <w:rPr>
          <w:color w:val="000000" w:themeColor="text1"/>
        </w:rPr>
      </w:pPr>
      <w:bookmarkStart w:id="11" w:name="_Toc393800658"/>
      <w:r w:rsidRPr="00476FC9">
        <w:rPr>
          <w:color w:val="000000" w:themeColor="text1"/>
        </w:rPr>
        <w:t xml:space="preserve">Consumer Information Processing </w:t>
      </w:r>
      <w:r w:rsidR="006122B9" w:rsidRPr="00476FC9">
        <w:rPr>
          <w:color w:val="000000" w:themeColor="text1"/>
        </w:rPr>
        <w:t>and</w:t>
      </w:r>
      <w:r w:rsidR="002B6D81" w:rsidRPr="00476FC9">
        <w:rPr>
          <w:color w:val="000000" w:themeColor="text1"/>
        </w:rPr>
        <w:t xml:space="preserve"> </w:t>
      </w:r>
      <w:r w:rsidR="002415AD" w:rsidRPr="00476FC9">
        <w:rPr>
          <w:color w:val="000000" w:themeColor="text1"/>
        </w:rPr>
        <w:t>DTCA</w:t>
      </w:r>
      <w:r w:rsidR="002B6D81" w:rsidRPr="00476FC9">
        <w:rPr>
          <w:color w:val="000000" w:themeColor="text1"/>
        </w:rPr>
        <w:t xml:space="preserve"> Disclosure</w:t>
      </w:r>
      <w:r w:rsidR="00C578C5" w:rsidRPr="00476FC9">
        <w:rPr>
          <w:color w:val="000000" w:themeColor="text1"/>
        </w:rPr>
        <w:t xml:space="preserve"> Prominence</w:t>
      </w:r>
      <w:bookmarkEnd w:id="11"/>
    </w:p>
    <w:p w:rsidR="005B77B2" w:rsidRPr="00476FC9" w:rsidRDefault="0012113F"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Va</w:t>
      </w:r>
      <w:r w:rsidR="00567A88" w:rsidRPr="00476FC9">
        <w:rPr>
          <w:color w:val="000000" w:themeColor="text1"/>
        </w:rPr>
        <w:t>r</w:t>
      </w:r>
      <w:r w:rsidR="006122B9" w:rsidRPr="00476FC9">
        <w:rPr>
          <w:color w:val="000000" w:themeColor="text1"/>
        </w:rPr>
        <w:t>ious</w:t>
      </w:r>
      <w:r w:rsidR="008B7C65" w:rsidRPr="00476FC9">
        <w:rPr>
          <w:color w:val="000000" w:themeColor="text1"/>
        </w:rPr>
        <w:t xml:space="preserve"> advertising message strategies </w:t>
      </w:r>
      <w:r w:rsidRPr="00476FC9">
        <w:rPr>
          <w:color w:val="000000" w:themeColor="text1"/>
        </w:rPr>
        <w:t xml:space="preserve">have been </w:t>
      </w:r>
      <w:r w:rsidR="00931D79" w:rsidRPr="00476FC9">
        <w:rPr>
          <w:color w:val="000000" w:themeColor="text1"/>
        </w:rPr>
        <w:t>reported</w:t>
      </w:r>
      <w:r w:rsidRPr="00476FC9">
        <w:rPr>
          <w:color w:val="000000" w:themeColor="text1"/>
        </w:rPr>
        <w:t xml:space="preserve"> to result in </w:t>
      </w:r>
      <w:r w:rsidR="003015A7" w:rsidRPr="00476FC9">
        <w:rPr>
          <w:color w:val="000000" w:themeColor="text1"/>
        </w:rPr>
        <w:t>varying</w:t>
      </w:r>
      <w:r w:rsidR="008B7C65" w:rsidRPr="00476FC9">
        <w:rPr>
          <w:color w:val="000000" w:themeColor="text1"/>
        </w:rPr>
        <w:t xml:space="preserve"> </w:t>
      </w:r>
      <w:r w:rsidR="00427184" w:rsidRPr="00476FC9">
        <w:rPr>
          <w:color w:val="000000" w:themeColor="text1"/>
        </w:rPr>
        <w:t xml:space="preserve">consumer responses to the ad </w:t>
      </w:r>
      <w:r w:rsidR="00E4312E" w:rsidRPr="00476FC9">
        <w:rPr>
          <w:color w:val="000000" w:themeColor="text1"/>
        </w:rPr>
        <w:t>(e.g., Lee et al., 2011a, 2011b; Liebermann &amp; Flint-Goor, 1996).</w:t>
      </w:r>
      <w:r w:rsidR="006122B9" w:rsidRPr="00476FC9">
        <w:rPr>
          <w:color w:val="000000" w:themeColor="text1"/>
        </w:rPr>
        <w:t xml:space="preserve"> Extending this view</w:t>
      </w:r>
      <w:r w:rsidRPr="00476FC9">
        <w:rPr>
          <w:color w:val="000000" w:themeColor="text1"/>
        </w:rPr>
        <w:t xml:space="preserve"> to DTCA risk disclosure</w:t>
      </w:r>
      <w:r w:rsidR="00687814" w:rsidRPr="00476FC9">
        <w:rPr>
          <w:color w:val="000000" w:themeColor="text1"/>
        </w:rPr>
        <w:t xml:space="preserve"> processing</w:t>
      </w:r>
      <w:r w:rsidRPr="00476FC9">
        <w:rPr>
          <w:color w:val="000000" w:themeColor="text1"/>
        </w:rPr>
        <w:t xml:space="preserve">, risk disclosure presentation strategies </w:t>
      </w:r>
      <w:r w:rsidR="00D01D67" w:rsidRPr="00476FC9">
        <w:rPr>
          <w:color w:val="000000" w:themeColor="text1"/>
        </w:rPr>
        <w:t xml:space="preserve">are likely to </w:t>
      </w:r>
      <w:r w:rsidRPr="00476FC9">
        <w:rPr>
          <w:color w:val="000000" w:themeColor="text1"/>
        </w:rPr>
        <w:t xml:space="preserve">affect consumers’ responses to the </w:t>
      </w:r>
      <w:r w:rsidR="000B31B9" w:rsidRPr="00476FC9">
        <w:rPr>
          <w:color w:val="000000" w:themeColor="text1"/>
        </w:rPr>
        <w:t>disclosure</w:t>
      </w:r>
      <w:r w:rsidRPr="00476FC9">
        <w:rPr>
          <w:color w:val="000000" w:themeColor="text1"/>
        </w:rPr>
        <w:t xml:space="preserve"> </w:t>
      </w:r>
      <w:r w:rsidR="00E4312E" w:rsidRPr="00476FC9">
        <w:rPr>
          <w:color w:val="000000" w:themeColor="text1"/>
        </w:rPr>
        <w:t>(Davis, 2010; Davis &amp; Meader, 2009; Hoek et al., 2011; Kavadas et al., 2007; Ju &amp; Park, 2013).</w:t>
      </w:r>
      <w:r w:rsidRPr="00476FC9">
        <w:rPr>
          <w:color w:val="000000" w:themeColor="text1"/>
        </w:rPr>
        <w:t xml:space="preserve"> For instance, </w:t>
      </w:r>
      <w:r w:rsidR="008B7C65" w:rsidRPr="00476FC9">
        <w:rPr>
          <w:color w:val="000000" w:themeColor="text1"/>
        </w:rPr>
        <w:t xml:space="preserve">various message factors such as </w:t>
      </w:r>
      <w:r w:rsidR="000D5D8B" w:rsidRPr="00476FC9">
        <w:rPr>
          <w:color w:val="000000" w:themeColor="text1"/>
        </w:rPr>
        <w:t xml:space="preserve">the amount, emphasis, and specificity of </w:t>
      </w:r>
      <w:r w:rsidR="008B7C65" w:rsidRPr="00476FC9">
        <w:rPr>
          <w:color w:val="000000" w:themeColor="text1"/>
        </w:rPr>
        <w:t>messages</w:t>
      </w:r>
      <w:r w:rsidR="000D5D8B" w:rsidRPr="00476FC9">
        <w:rPr>
          <w:color w:val="000000" w:themeColor="text1"/>
        </w:rPr>
        <w:t xml:space="preserve"> </w:t>
      </w:r>
      <w:r w:rsidRPr="00476FC9">
        <w:rPr>
          <w:color w:val="000000" w:themeColor="text1"/>
        </w:rPr>
        <w:t xml:space="preserve">will influence how risk disclosure is processed by consumers </w:t>
      </w:r>
      <w:r w:rsidR="000D5D8B" w:rsidRPr="00476FC9">
        <w:rPr>
          <w:color w:val="000000" w:themeColor="text1"/>
        </w:rPr>
        <w:t>(Kavadas et al., 2007; Morris, Ruffner, &amp; Klimberg, 1985).</w:t>
      </w:r>
    </w:p>
    <w:p w:rsidR="00C578C5" w:rsidRPr="00476FC9" w:rsidRDefault="000D5D8B"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From </w:t>
      </w:r>
      <w:r w:rsidR="00590B9D" w:rsidRPr="00476FC9">
        <w:rPr>
          <w:color w:val="000000" w:themeColor="text1"/>
        </w:rPr>
        <w:t>a consumer</w:t>
      </w:r>
      <w:r w:rsidRPr="00476FC9">
        <w:rPr>
          <w:color w:val="000000" w:themeColor="text1"/>
        </w:rPr>
        <w:t xml:space="preserve"> information processing perspective, the success of risk disclosure</w:t>
      </w:r>
      <w:r w:rsidR="004E167D" w:rsidRPr="00476FC9">
        <w:rPr>
          <w:color w:val="000000" w:themeColor="text1"/>
        </w:rPr>
        <w:t xml:space="preserve"> provision</w:t>
      </w:r>
      <w:r w:rsidRPr="00476FC9">
        <w:rPr>
          <w:color w:val="000000" w:themeColor="text1"/>
        </w:rPr>
        <w:t xml:space="preserve"> accrue</w:t>
      </w:r>
      <w:r w:rsidR="005B77B2" w:rsidRPr="00476FC9">
        <w:rPr>
          <w:color w:val="000000" w:themeColor="text1"/>
        </w:rPr>
        <w:t>s</w:t>
      </w:r>
      <w:r w:rsidRPr="00476FC9">
        <w:rPr>
          <w:color w:val="000000" w:themeColor="text1"/>
        </w:rPr>
        <w:t xml:space="preserve"> to the extent that consumers </w:t>
      </w:r>
      <w:r w:rsidRPr="00476FC9">
        <w:rPr>
          <w:i/>
          <w:color w:val="000000" w:themeColor="text1"/>
        </w:rPr>
        <w:t>notice</w:t>
      </w:r>
      <w:r w:rsidRPr="00476FC9">
        <w:rPr>
          <w:color w:val="000000" w:themeColor="text1"/>
        </w:rPr>
        <w:t xml:space="preserve">, </w:t>
      </w:r>
      <w:r w:rsidRPr="00476FC9">
        <w:rPr>
          <w:i/>
          <w:color w:val="000000" w:themeColor="text1"/>
        </w:rPr>
        <w:t>process</w:t>
      </w:r>
      <w:r w:rsidRPr="00476FC9">
        <w:rPr>
          <w:color w:val="000000" w:themeColor="text1"/>
        </w:rPr>
        <w:t xml:space="preserve">, and </w:t>
      </w:r>
      <w:r w:rsidRPr="00476FC9">
        <w:rPr>
          <w:i/>
          <w:color w:val="000000" w:themeColor="text1"/>
        </w:rPr>
        <w:t>comprehend</w:t>
      </w:r>
      <w:r w:rsidRPr="00476FC9">
        <w:rPr>
          <w:color w:val="000000" w:themeColor="text1"/>
        </w:rPr>
        <w:t xml:space="preserve"> such information properly </w:t>
      </w:r>
      <w:r w:rsidR="00E4312E" w:rsidRPr="00476FC9">
        <w:rPr>
          <w:color w:val="000000" w:themeColor="text1"/>
        </w:rPr>
        <w:t xml:space="preserve">(Bettman &amp; Kakkar, 1997; Bettmam, Payne, &amp; Staelin, 1986; MacCarthy &amp; Mothersbaugh, 2002; MacInnis &amp; Jaworskin, 1989; MacInnis, Moorman, &amp; Jaworski, 1991). </w:t>
      </w:r>
      <w:r w:rsidR="004E167D" w:rsidRPr="00476FC9">
        <w:rPr>
          <w:color w:val="000000" w:themeColor="text1"/>
        </w:rPr>
        <w:t>In particular</w:t>
      </w:r>
      <w:r w:rsidR="00623C35" w:rsidRPr="00476FC9">
        <w:rPr>
          <w:color w:val="000000" w:themeColor="text1"/>
        </w:rPr>
        <w:t>, t</w:t>
      </w:r>
      <w:r w:rsidR="005B77B2" w:rsidRPr="00476FC9">
        <w:rPr>
          <w:color w:val="000000" w:themeColor="text1"/>
        </w:rPr>
        <w:t xml:space="preserve">o encourage consumers to pay </w:t>
      </w:r>
      <w:r w:rsidR="00623C35" w:rsidRPr="00476FC9">
        <w:rPr>
          <w:color w:val="000000" w:themeColor="text1"/>
        </w:rPr>
        <w:t xml:space="preserve">sufficient </w:t>
      </w:r>
      <w:r w:rsidR="005B77B2" w:rsidRPr="00476FC9">
        <w:rPr>
          <w:color w:val="000000" w:themeColor="text1"/>
        </w:rPr>
        <w:t xml:space="preserve">attention to </w:t>
      </w:r>
      <w:r w:rsidRPr="00476FC9">
        <w:rPr>
          <w:color w:val="000000" w:themeColor="text1"/>
        </w:rPr>
        <w:t>risk disclosure</w:t>
      </w:r>
      <w:r w:rsidR="00623C35" w:rsidRPr="00476FC9">
        <w:rPr>
          <w:color w:val="000000" w:themeColor="text1"/>
        </w:rPr>
        <w:t xml:space="preserve"> in advertising</w:t>
      </w:r>
      <w:r w:rsidRPr="00476FC9">
        <w:rPr>
          <w:color w:val="000000" w:themeColor="text1"/>
        </w:rPr>
        <w:t xml:space="preserve">, </w:t>
      </w:r>
      <w:r w:rsidR="00623C35" w:rsidRPr="00476FC9">
        <w:rPr>
          <w:color w:val="000000" w:themeColor="text1"/>
        </w:rPr>
        <w:t>disclosures</w:t>
      </w:r>
      <w:r w:rsidR="005B77B2" w:rsidRPr="00476FC9">
        <w:rPr>
          <w:color w:val="000000" w:themeColor="text1"/>
        </w:rPr>
        <w:t xml:space="preserve"> need to be </w:t>
      </w:r>
      <w:r w:rsidRPr="00476FC9">
        <w:rPr>
          <w:color w:val="000000" w:themeColor="text1"/>
        </w:rPr>
        <w:t xml:space="preserve">displayed </w:t>
      </w:r>
      <w:r w:rsidR="004E167D" w:rsidRPr="00476FC9">
        <w:rPr>
          <w:color w:val="000000" w:themeColor="text1"/>
        </w:rPr>
        <w:t>clear</w:t>
      </w:r>
      <w:r w:rsidR="000B31B9" w:rsidRPr="00476FC9">
        <w:rPr>
          <w:color w:val="000000" w:themeColor="text1"/>
        </w:rPr>
        <w:t>ly</w:t>
      </w:r>
      <w:r w:rsidR="004E167D" w:rsidRPr="00476FC9">
        <w:rPr>
          <w:color w:val="000000" w:themeColor="text1"/>
        </w:rPr>
        <w:t xml:space="preserve"> and </w:t>
      </w:r>
      <w:r w:rsidR="00B609C5" w:rsidRPr="00476FC9">
        <w:rPr>
          <w:color w:val="000000" w:themeColor="text1"/>
        </w:rPr>
        <w:t xml:space="preserve">conspicuously </w:t>
      </w:r>
      <w:r w:rsidRPr="00476FC9">
        <w:rPr>
          <w:color w:val="000000" w:themeColor="text1"/>
        </w:rPr>
        <w:t xml:space="preserve">(Hoy &amp; Andrew, 2004). </w:t>
      </w:r>
    </w:p>
    <w:p w:rsidR="00377734" w:rsidRPr="00476FC9" w:rsidRDefault="00C578C5"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This thought i</w:t>
      </w:r>
      <w:r w:rsidR="00B609C5" w:rsidRPr="00476FC9">
        <w:rPr>
          <w:color w:val="000000" w:themeColor="text1"/>
        </w:rPr>
        <w:t xml:space="preserve">s reflected in </w:t>
      </w:r>
      <w:r w:rsidR="000D5D8B" w:rsidRPr="00476FC9">
        <w:rPr>
          <w:color w:val="000000" w:themeColor="text1"/>
        </w:rPr>
        <w:t xml:space="preserve">the </w:t>
      </w:r>
      <w:r w:rsidR="000D5D8B" w:rsidRPr="00476FC9">
        <w:rPr>
          <w:i/>
          <w:color w:val="000000" w:themeColor="text1"/>
        </w:rPr>
        <w:t xml:space="preserve">clear, conspicuous, and neutral </w:t>
      </w:r>
      <w:r w:rsidR="000D5D8B" w:rsidRPr="00476FC9">
        <w:rPr>
          <w:color w:val="000000" w:themeColor="text1"/>
        </w:rPr>
        <w:t xml:space="preserve">(CCN) requirement </w:t>
      </w:r>
      <w:r w:rsidR="00B609C5" w:rsidRPr="00476FC9">
        <w:rPr>
          <w:color w:val="000000" w:themeColor="text1"/>
        </w:rPr>
        <w:t xml:space="preserve">added </w:t>
      </w:r>
      <w:r w:rsidR="000D5D8B" w:rsidRPr="00476FC9">
        <w:rPr>
          <w:color w:val="000000" w:themeColor="text1"/>
        </w:rPr>
        <w:t xml:space="preserve">to the amended </w:t>
      </w:r>
      <w:r w:rsidR="00FF4174" w:rsidRPr="00476FC9">
        <w:rPr>
          <w:color w:val="000000" w:themeColor="text1"/>
        </w:rPr>
        <w:t>FFD&amp;C Act by the Food and Drug Administration Amendments Act of 2007</w:t>
      </w:r>
      <w:r w:rsidR="00B609C5" w:rsidRPr="00476FC9">
        <w:rPr>
          <w:color w:val="000000" w:themeColor="text1"/>
        </w:rPr>
        <w:t xml:space="preserve"> </w:t>
      </w:r>
      <w:r w:rsidR="000D5D8B" w:rsidRPr="00476FC9">
        <w:rPr>
          <w:color w:val="000000" w:themeColor="text1"/>
        </w:rPr>
        <w:t xml:space="preserve">(DHHS, 2010). </w:t>
      </w:r>
      <w:r w:rsidR="00FF4174" w:rsidRPr="00476FC9">
        <w:rPr>
          <w:color w:val="000000" w:themeColor="text1"/>
        </w:rPr>
        <w:t>Although the amendment was targeted at DTC television or radio ads, the principle is applicable across different DTCA practices in that it aims to improve risk communication in DTCA</w:t>
      </w:r>
      <w:r w:rsidR="00687814" w:rsidRPr="00476FC9">
        <w:rPr>
          <w:color w:val="000000" w:themeColor="text1"/>
        </w:rPr>
        <w:t xml:space="preserve"> in general</w:t>
      </w:r>
      <w:r w:rsidR="00FF4174" w:rsidRPr="00476FC9">
        <w:rPr>
          <w:color w:val="000000" w:themeColor="text1"/>
        </w:rPr>
        <w:t xml:space="preserve">. </w:t>
      </w:r>
      <w:r w:rsidR="008B66D1" w:rsidRPr="00476FC9">
        <w:rPr>
          <w:color w:val="000000" w:themeColor="text1"/>
        </w:rPr>
        <w:t xml:space="preserve">According to the CCN requirement, </w:t>
      </w:r>
      <w:r w:rsidR="00FF4174" w:rsidRPr="00476FC9">
        <w:rPr>
          <w:color w:val="000000" w:themeColor="text1"/>
        </w:rPr>
        <w:t xml:space="preserve">the major statement relating to the side effects and contraindications of an advertised prescription drug must be </w:t>
      </w:r>
      <w:r w:rsidR="00FF4174" w:rsidRPr="00476FC9">
        <w:rPr>
          <w:color w:val="000000" w:themeColor="text1"/>
        </w:rPr>
        <w:lastRenderedPageBreak/>
        <w:t>presented in a clear, conspicuous, and neutral manner (DHHS, 2010).</w:t>
      </w:r>
      <w:r w:rsidR="001F25F8" w:rsidRPr="00476FC9">
        <w:rPr>
          <w:color w:val="000000" w:themeColor="text1"/>
        </w:rPr>
        <w:t xml:space="preserve"> </w:t>
      </w:r>
    </w:p>
    <w:p w:rsidR="000D5D8B" w:rsidRPr="00476FC9" w:rsidRDefault="00B609C5"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The </w:t>
      </w:r>
      <w:r w:rsidR="00FF4174" w:rsidRPr="00476FC9">
        <w:rPr>
          <w:color w:val="000000" w:themeColor="text1"/>
        </w:rPr>
        <w:t xml:space="preserve">main purpose of the </w:t>
      </w:r>
      <w:r w:rsidRPr="00476FC9">
        <w:rPr>
          <w:color w:val="000000" w:themeColor="text1"/>
        </w:rPr>
        <w:t xml:space="preserve">CCN requirement </w:t>
      </w:r>
      <w:r w:rsidR="00FF4174" w:rsidRPr="00476FC9">
        <w:rPr>
          <w:color w:val="000000" w:themeColor="text1"/>
        </w:rPr>
        <w:t xml:space="preserve">is to </w:t>
      </w:r>
      <w:r w:rsidRPr="00476FC9">
        <w:rPr>
          <w:color w:val="000000" w:themeColor="text1"/>
        </w:rPr>
        <w:t xml:space="preserve">encourage </w:t>
      </w:r>
      <w:r w:rsidR="000D5D8B" w:rsidRPr="00476FC9">
        <w:rPr>
          <w:color w:val="000000" w:themeColor="text1"/>
        </w:rPr>
        <w:t>DTC</w:t>
      </w:r>
      <w:r w:rsidR="00FF4174" w:rsidRPr="00476FC9">
        <w:rPr>
          <w:color w:val="000000" w:themeColor="text1"/>
        </w:rPr>
        <w:t xml:space="preserve"> advertisers </w:t>
      </w:r>
      <w:r w:rsidRPr="00476FC9">
        <w:rPr>
          <w:color w:val="000000" w:themeColor="text1"/>
        </w:rPr>
        <w:t xml:space="preserve">to present </w:t>
      </w:r>
      <w:r w:rsidR="00FF4174" w:rsidRPr="00476FC9">
        <w:rPr>
          <w:color w:val="000000" w:themeColor="text1"/>
        </w:rPr>
        <w:t>potential</w:t>
      </w:r>
      <w:r w:rsidRPr="00476FC9">
        <w:rPr>
          <w:color w:val="000000" w:themeColor="text1"/>
        </w:rPr>
        <w:t xml:space="preserve"> health risk</w:t>
      </w:r>
      <w:r w:rsidR="00C578C5" w:rsidRPr="00476FC9">
        <w:rPr>
          <w:color w:val="000000" w:themeColor="text1"/>
        </w:rPr>
        <w:t xml:space="preserve"> information </w:t>
      </w:r>
      <w:r w:rsidR="000D5D8B" w:rsidRPr="00476FC9">
        <w:rPr>
          <w:color w:val="000000" w:themeColor="text1"/>
        </w:rPr>
        <w:t xml:space="preserve">in a more prominent manner to be easily attended and processed by the consumer. </w:t>
      </w:r>
      <w:r w:rsidR="00FF4174" w:rsidRPr="00476FC9">
        <w:rPr>
          <w:color w:val="000000" w:themeColor="text1"/>
        </w:rPr>
        <w:t xml:space="preserve">In light of this, </w:t>
      </w:r>
      <w:r w:rsidRPr="00476FC9">
        <w:rPr>
          <w:color w:val="000000" w:themeColor="text1"/>
        </w:rPr>
        <w:t>m</w:t>
      </w:r>
      <w:r w:rsidR="000D5D8B" w:rsidRPr="00476FC9">
        <w:rPr>
          <w:color w:val="000000" w:themeColor="text1"/>
        </w:rPr>
        <w:t xml:space="preserve">essage </w:t>
      </w:r>
      <w:r w:rsidR="00FF4174" w:rsidRPr="00476FC9">
        <w:rPr>
          <w:color w:val="000000" w:themeColor="text1"/>
        </w:rPr>
        <w:t>strategies</w:t>
      </w:r>
      <w:r w:rsidR="000D5D8B" w:rsidRPr="00476FC9">
        <w:rPr>
          <w:color w:val="000000" w:themeColor="text1"/>
        </w:rPr>
        <w:t xml:space="preserve"> that </w:t>
      </w:r>
      <w:r w:rsidR="00C578C5" w:rsidRPr="00476FC9">
        <w:rPr>
          <w:color w:val="000000" w:themeColor="text1"/>
        </w:rPr>
        <w:t>promote</w:t>
      </w:r>
      <w:r w:rsidR="000D5D8B" w:rsidRPr="00476FC9">
        <w:rPr>
          <w:color w:val="000000" w:themeColor="text1"/>
        </w:rPr>
        <w:t xml:space="preserve"> consumers to easily pick out and make use of </w:t>
      </w:r>
      <w:r w:rsidR="00FF4174" w:rsidRPr="00476FC9">
        <w:rPr>
          <w:color w:val="000000" w:themeColor="text1"/>
        </w:rPr>
        <w:t xml:space="preserve">such </w:t>
      </w:r>
      <w:r w:rsidR="000D5D8B" w:rsidRPr="00476FC9">
        <w:rPr>
          <w:color w:val="000000" w:themeColor="text1"/>
        </w:rPr>
        <w:t xml:space="preserve">information </w:t>
      </w:r>
      <w:r w:rsidR="006A6A42" w:rsidRPr="00476FC9">
        <w:rPr>
          <w:color w:val="000000" w:themeColor="text1"/>
        </w:rPr>
        <w:t>are</w:t>
      </w:r>
      <w:r w:rsidRPr="00476FC9">
        <w:rPr>
          <w:color w:val="000000" w:themeColor="text1"/>
        </w:rPr>
        <w:t xml:space="preserve"> </w:t>
      </w:r>
      <w:r w:rsidR="00FF4174" w:rsidRPr="00476FC9">
        <w:rPr>
          <w:color w:val="000000" w:themeColor="text1"/>
        </w:rPr>
        <w:t xml:space="preserve">an important </w:t>
      </w:r>
      <w:r w:rsidR="000D5D8B" w:rsidRPr="00476FC9">
        <w:rPr>
          <w:color w:val="000000" w:themeColor="text1"/>
        </w:rPr>
        <w:t xml:space="preserve">prerequisite for proper processing </w:t>
      </w:r>
      <w:r w:rsidRPr="00476FC9">
        <w:rPr>
          <w:color w:val="000000" w:themeColor="text1"/>
        </w:rPr>
        <w:t xml:space="preserve">of DTCA disclosures </w:t>
      </w:r>
      <w:r w:rsidR="000D5D8B" w:rsidRPr="00476FC9">
        <w:rPr>
          <w:color w:val="000000" w:themeColor="text1"/>
        </w:rPr>
        <w:t>(Hoek et al., 2011).</w:t>
      </w:r>
    </w:p>
    <w:p w:rsidR="002B6D81" w:rsidRPr="00476FC9" w:rsidRDefault="008B66D1"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In the same token, t</w:t>
      </w:r>
      <w:r w:rsidR="00C578C5" w:rsidRPr="00476FC9">
        <w:rPr>
          <w:color w:val="000000" w:themeColor="text1"/>
        </w:rPr>
        <w:t xml:space="preserve">he FDA’s (2009) draft guidance </w:t>
      </w:r>
      <w:r w:rsidR="00FF4174" w:rsidRPr="00476FC9">
        <w:rPr>
          <w:color w:val="000000" w:themeColor="text1"/>
        </w:rPr>
        <w:t>of</w:t>
      </w:r>
      <w:r w:rsidR="00C578C5" w:rsidRPr="00476FC9">
        <w:rPr>
          <w:color w:val="000000" w:themeColor="text1"/>
        </w:rPr>
        <w:t xml:space="preserve"> risk </w:t>
      </w:r>
      <w:r w:rsidR="00B57BCB" w:rsidRPr="00476FC9">
        <w:rPr>
          <w:color w:val="000000" w:themeColor="text1"/>
        </w:rPr>
        <w:t xml:space="preserve">communication </w:t>
      </w:r>
      <w:r w:rsidR="00C578C5" w:rsidRPr="00476FC9">
        <w:rPr>
          <w:color w:val="000000" w:themeColor="text1"/>
        </w:rPr>
        <w:t xml:space="preserve">provides a </w:t>
      </w:r>
      <w:r w:rsidR="00B57BCB" w:rsidRPr="00476FC9">
        <w:rPr>
          <w:color w:val="000000" w:themeColor="text1"/>
        </w:rPr>
        <w:t xml:space="preserve">useful </w:t>
      </w:r>
      <w:r w:rsidR="00C578C5" w:rsidRPr="00476FC9">
        <w:rPr>
          <w:color w:val="000000" w:themeColor="text1"/>
        </w:rPr>
        <w:t xml:space="preserve">list of message </w:t>
      </w:r>
      <w:r w:rsidR="00B57BCB" w:rsidRPr="00476FC9">
        <w:rPr>
          <w:color w:val="000000" w:themeColor="text1"/>
        </w:rPr>
        <w:t xml:space="preserve">execution </w:t>
      </w:r>
      <w:r w:rsidR="00C578C5" w:rsidRPr="00476FC9">
        <w:rPr>
          <w:color w:val="000000" w:themeColor="text1"/>
        </w:rPr>
        <w:t xml:space="preserve">factors that </w:t>
      </w:r>
      <w:r w:rsidR="00B57BCB" w:rsidRPr="00476FC9">
        <w:rPr>
          <w:color w:val="000000" w:themeColor="text1"/>
        </w:rPr>
        <w:t>are expected to affect</w:t>
      </w:r>
      <w:r w:rsidR="00C578C5" w:rsidRPr="00476FC9">
        <w:rPr>
          <w:color w:val="000000" w:themeColor="text1"/>
        </w:rPr>
        <w:t xml:space="preserve"> consumer processing of risk disclosure, including </w:t>
      </w:r>
      <w:r w:rsidR="002B6D81" w:rsidRPr="00476FC9">
        <w:rPr>
          <w:color w:val="000000" w:themeColor="text1"/>
        </w:rPr>
        <w:t xml:space="preserve">overall location of risk </w:t>
      </w:r>
      <w:r w:rsidR="00B609C5" w:rsidRPr="00476FC9">
        <w:rPr>
          <w:color w:val="000000" w:themeColor="text1"/>
        </w:rPr>
        <w:t>disclosure, its font size</w:t>
      </w:r>
      <w:r w:rsidR="002B6D81" w:rsidRPr="00476FC9">
        <w:rPr>
          <w:color w:val="000000" w:themeColor="text1"/>
        </w:rPr>
        <w:t>, contrast, white space</w:t>
      </w:r>
      <w:r w:rsidR="00C578C5" w:rsidRPr="00476FC9">
        <w:rPr>
          <w:color w:val="000000" w:themeColor="text1"/>
        </w:rPr>
        <w:t>, etc</w:t>
      </w:r>
      <w:r w:rsidR="00B57BCB" w:rsidRPr="00476FC9">
        <w:rPr>
          <w:color w:val="000000" w:themeColor="text1"/>
        </w:rPr>
        <w:t xml:space="preserve">. </w:t>
      </w:r>
      <w:r w:rsidRPr="00476FC9">
        <w:rPr>
          <w:color w:val="000000" w:themeColor="text1"/>
        </w:rPr>
        <w:t>N</w:t>
      </w:r>
      <w:r w:rsidR="002B6D81" w:rsidRPr="00476FC9">
        <w:rPr>
          <w:color w:val="000000" w:themeColor="text1"/>
        </w:rPr>
        <w:t xml:space="preserve">o matter what </w:t>
      </w:r>
      <w:r w:rsidR="00B57BCB" w:rsidRPr="00476FC9">
        <w:rPr>
          <w:color w:val="000000" w:themeColor="text1"/>
        </w:rPr>
        <w:t xml:space="preserve">execution devices </w:t>
      </w:r>
      <w:r w:rsidR="002B6D81" w:rsidRPr="00476FC9">
        <w:rPr>
          <w:color w:val="000000" w:themeColor="text1"/>
        </w:rPr>
        <w:t xml:space="preserve">are employed, if an ad fails to provide sufficient emphasis on risk </w:t>
      </w:r>
      <w:r w:rsidR="00B609C5" w:rsidRPr="00476FC9">
        <w:rPr>
          <w:color w:val="000000" w:themeColor="text1"/>
        </w:rPr>
        <w:t>disclosure</w:t>
      </w:r>
      <w:r w:rsidR="002B6D81" w:rsidRPr="00476FC9">
        <w:rPr>
          <w:color w:val="000000" w:themeColor="text1"/>
        </w:rPr>
        <w:t xml:space="preserve"> comparable with benefit information, it is considered a lack of </w:t>
      </w:r>
      <w:r w:rsidR="002B6D81" w:rsidRPr="00476FC9">
        <w:rPr>
          <w:i/>
          <w:color w:val="000000" w:themeColor="text1"/>
        </w:rPr>
        <w:t>fair balance</w:t>
      </w:r>
      <w:r w:rsidR="002B6D81" w:rsidRPr="00476FC9">
        <w:rPr>
          <w:color w:val="000000" w:themeColor="text1"/>
        </w:rPr>
        <w:t xml:space="preserve"> (21 CFR 202.1(e)(7)(viii)). </w:t>
      </w:r>
    </w:p>
    <w:p w:rsidR="00E73383" w:rsidRPr="00476FC9" w:rsidRDefault="002B6D81"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t>Why does the prominence of</w:t>
      </w:r>
      <w:r w:rsidR="00A17AE9" w:rsidRPr="00476FC9">
        <w:rPr>
          <w:color w:val="000000" w:themeColor="text1"/>
        </w:rPr>
        <w:t xml:space="preserve"> DT</w:t>
      </w:r>
      <w:r w:rsidR="000B31B9" w:rsidRPr="00476FC9">
        <w:rPr>
          <w:color w:val="000000" w:themeColor="text1"/>
        </w:rPr>
        <w:t>C</w:t>
      </w:r>
      <w:r w:rsidR="00A17AE9" w:rsidRPr="00476FC9">
        <w:rPr>
          <w:color w:val="000000" w:themeColor="text1"/>
        </w:rPr>
        <w:t>A</w:t>
      </w:r>
      <w:r w:rsidRPr="00476FC9">
        <w:rPr>
          <w:color w:val="000000" w:themeColor="text1"/>
        </w:rPr>
        <w:t xml:space="preserve"> risk disclosure matter? </w:t>
      </w:r>
      <w:r w:rsidR="00A17AE9" w:rsidRPr="00476FC9">
        <w:rPr>
          <w:color w:val="000000" w:themeColor="text1"/>
        </w:rPr>
        <w:t>From an information processing perspective, d</w:t>
      </w:r>
      <w:r w:rsidR="00384993" w:rsidRPr="00476FC9">
        <w:rPr>
          <w:color w:val="000000" w:themeColor="text1"/>
        </w:rPr>
        <w:t xml:space="preserve">isclosures are critical communication tools and remedies when </w:t>
      </w:r>
      <w:r w:rsidR="00A17AE9" w:rsidRPr="00476FC9">
        <w:rPr>
          <w:color w:val="000000" w:themeColor="text1"/>
        </w:rPr>
        <w:t xml:space="preserve">consumers </w:t>
      </w:r>
      <w:r w:rsidR="00384993" w:rsidRPr="00476FC9">
        <w:rPr>
          <w:color w:val="000000" w:themeColor="text1"/>
        </w:rPr>
        <w:t>use potentially</w:t>
      </w:r>
      <w:r w:rsidR="000B31B9" w:rsidRPr="00476FC9">
        <w:rPr>
          <w:color w:val="000000" w:themeColor="text1"/>
        </w:rPr>
        <w:t xml:space="preserve"> risky</w:t>
      </w:r>
      <w:r w:rsidR="00384993" w:rsidRPr="00476FC9">
        <w:rPr>
          <w:color w:val="000000" w:themeColor="text1"/>
        </w:rPr>
        <w:t xml:space="preserve"> product</w:t>
      </w:r>
      <w:r w:rsidR="00A17AE9" w:rsidRPr="00476FC9">
        <w:rPr>
          <w:color w:val="000000" w:themeColor="text1"/>
        </w:rPr>
        <w:t>s or services</w:t>
      </w:r>
      <w:r w:rsidR="00384993" w:rsidRPr="00476FC9">
        <w:rPr>
          <w:color w:val="000000" w:themeColor="text1"/>
        </w:rPr>
        <w:t xml:space="preserve"> (Andrews, 1998). </w:t>
      </w:r>
      <w:r w:rsidR="00A17AE9" w:rsidRPr="00476FC9">
        <w:rPr>
          <w:color w:val="000000" w:themeColor="text1"/>
        </w:rPr>
        <w:t>W</w:t>
      </w:r>
      <w:r w:rsidRPr="00476FC9">
        <w:rPr>
          <w:color w:val="000000" w:themeColor="text1"/>
        </w:rPr>
        <w:t xml:space="preserve">ell-executed risk disclosure provision can reduce inappropriate </w:t>
      </w:r>
      <w:r w:rsidRPr="00476FC9">
        <w:rPr>
          <w:i/>
          <w:color w:val="000000" w:themeColor="text1"/>
        </w:rPr>
        <w:t>impression</w:t>
      </w:r>
      <w:r w:rsidRPr="00476FC9">
        <w:rPr>
          <w:color w:val="000000" w:themeColor="text1"/>
        </w:rPr>
        <w:t xml:space="preserve"> about </w:t>
      </w:r>
      <w:r w:rsidR="003104C5" w:rsidRPr="00476FC9">
        <w:rPr>
          <w:color w:val="000000" w:themeColor="text1"/>
        </w:rPr>
        <w:t>promoted drug</w:t>
      </w:r>
      <w:r w:rsidRPr="00476FC9">
        <w:rPr>
          <w:color w:val="000000" w:themeColor="text1"/>
        </w:rPr>
        <w:t xml:space="preserve"> brands</w:t>
      </w:r>
      <w:r w:rsidR="00A17AE9" w:rsidRPr="00476FC9">
        <w:rPr>
          <w:color w:val="000000" w:themeColor="text1"/>
        </w:rPr>
        <w:t xml:space="preserve"> (Sheehan, 2007)</w:t>
      </w:r>
      <w:r w:rsidRPr="00476FC9">
        <w:rPr>
          <w:color w:val="000000" w:themeColor="text1"/>
        </w:rPr>
        <w:t xml:space="preserve">. </w:t>
      </w:r>
      <w:r w:rsidR="00445928" w:rsidRPr="00476FC9">
        <w:rPr>
          <w:color w:val="000000" w:themeColor="text1"/>
        </w:rPr>
        <w:t xml:space="preserve">Furthermore, </w:t>
      </w:r>
      <w:r w:rsidRPr="00476FC9">
        <w:rPr>
          <w:color w:val="000000" w:themeColor="text1"/>
        </w:rPr>
        <w:t xml:space="preserve">disclosures can broaden </w:t>
      </w:r>
      <w:r w:rsidR="00A17AE9" w:rsidRPr="00476FC9">
        <w:rPr>
          <w:color w:val="000000" w:themeColor="text1"/>
        </w:rPr>
        <w:t>consumers’</w:t>
      </w:r>
      <w:r w:rsidRPr="00476FC9">
        <w:rPr>
          <w:color w:val="000000" w:themeColor="text1"/>
        </w:rPr>
        <w:t xml:space="preserve"> </w:t>
      </w:r>
      <w:r w:rsidRPr="00476FC9">
        <w:rPr>
          <w:i/>
          <w:color w:val="000000" w:themeColor="text1"/>
        </w:rPr>
        <w:t>cognitive reference</w:t>
      </w:r>
      <w:r w:rsidRPr="00476FC9">
        <w:rPr>
          <w:color w:val="000000" w:themeColor="text1"/>
        </w:rPr>
        <w:t xml:space="preserve"> and thereby help them avoid </w:t>
      </w:r>
      <w:r w:rsidR="002232FF" w:rsidRPr="00476FC9">
        <w:rPr>
          <w:color w:val="000000" w:themeColor="text1"/>
        </w:rPr>
        <w:t xml:space="preserve">unrealistic generalization of </w:t>
      </w:r>
      <w:r w:rsidRPr="00476FC9">
        <w:rPr>
          <w:color w:val="000000" w:themeColor="text1"/>
        </w:rPr>
        <w:t>the product’</w:t>
      </w:r>
      <w:r w:rsidR="002232FF" w:rsidRPr="00476FC9">
        <w:rPr>
          <w:color w:val="000000" w:themeColor="text1"/>
        </w:rPr>
        <w:t>s</w:t>
      </w:r>
      <w:r w:rsidRPr="00476FC9">
        <w:rPr>
          <w:color w:val="000000" w:themeColor="text1"/>
        </w:rPr>
        <w:t xml:space="preserve"> efficacy </w:t>
      </w:r>
      <w:r w:rsidR="00DF407A" w:rsidRPr="00476FC9">
        <w:rPr>
          <w:color w:val="000000" w:themeColor="text1"/>
        </w:rPr>
        <w:t>(Andrews et al., 2000; Andrews</w:t>
      </w:r>
      <w:r w:rsidR="00E4312E" w:rsidRPr="00476FC9">
        <w:rPr>
          <w:color w:val="000000" w:themeColor="text1"/>
        </w:rPr>
        <w:t xml:space="preserve"> et al., </w:t>
      </w:r>
      <w:r w:rsidR="00875C02" w:rsidRPr="00476FC9">
        <w:rPr>
          <w:color w:val="000000" w:themeColor="text1"/>
        </w:rPr>
        <w:t>2009</w:t>
      </w:r>
      <w:r w:rsidR="00DF407A" w:rsidRPr="00476FC9">
        <w:rPr>
          <w:color w:val="000000" w:themeColor="text1"/>
        </w:rPr>
        <w:t>)</w:t>
      </w:r>
      <w:r w:rsidRPr="00476FC9">
        <w:rPr>
          <w:color w:val="000000" w:themeColor="text1"/>
        </w:rPr>
        <w:t>.</w:t>
      </w:r>
    </w:p>
    <w:p w:rsidR="00D973BD" w:rsidRPr="00476FC9" w:rsidRDefault="00DF407A"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7403A7" w:rsidRPr="00476FC9">
        <w:rPr>
          <w:color w:val="000000" w:themeColor="text1"/>
        </w:rPr>
        <w:t>Andrews et al. (</w:t>
      </w:r>
      <w:r w:rsidR="00875C02" w:rsidRPr="00476FC9">
        <w:rPr>
          <w:color w:val="000000" w:themeColor="text1"/>
        </w:rPr>
        <w:t>2009</w:t>
      </w:r>
      <w:r w:rsidR="007403A7" w:rsidRPr="00476FC9">
        <w:rPr>
          <w:color w:val="000000" w:themeColor="text1"/>
        </w:rPr>
        <w:t xml:space="preserve">) summarize main cognitive functions of disclosures. </w:t>
      </w:r>
      <w:r w:rsidR="006A6A42" w:rsidRPr="00476FC9">
        <w:rPr>
          <w:color w:val="000000" w:themeColor="text1"/>
        </w:rPr>
        <w:t>D</w:t>
      </w:r>
      <w:r w:rsidR="007403A7" w:rsidRPr="00476FC9">
        <w:rPr>
          <w:color w:val="000000" w:themeColor="text1"/>
        </w:rPr>
        <w:t xml:space="preserve">isclosures </w:t>
      </w:r>
      <w:r w:rsidR="001E3003" w:rsidRPr="00476FC9">
        <w:rPr>
          <w:color w:val="000000" w:themeColor="text1"/>
        </w:rPr>
        <w:t xml:space="preserve">allow consumers to access important risk information that is central to their decision making, and therefore </w:t>
      </w:r>
      <w:r w:rsidR="007403A7" w:rsidRPr="00476FC9">
        <w:rPr>
          <w:color w:val="000000" w:themeColor="text1"/>
        </w:rPr>
        <w:t xml:space="preserve">facilitate consumers’ retrieval of </w:t>
      </w:r>
      <w:r w:rsidR="001E3003" w:rsidRPr="00476FC9">
        <w:rPr>
          <w:color w:val="000000" w:themeColor="text1"/>
        </w:rPr>
        <w:t xml:space="preserve">such information </w:t>
      </w:r>
      <w:r w:rsidR="007403A7" w:rsidRPr="00476FC9">
        <w:rPr>
          <w:color w:val="000000" w:themeColor="text1"/>
        </w:rPr>
        <w:t xml:space="preserve">available in memory. </w:t>
      </w:r>
      <w:r w:rsidR="001E3003" w:rsidRPr="00476FC9">
        <w:rPr>
          <w:color w:val="000000" w:themeColor="text1"/>
        </w:rPr>
        <w:t xml:space="preserve">In addition, </w:t>
      </w:r>
      <w:r w:rsidR="001E3003" w:rsidRPr="00476FC9">
        <w:rPr>
          <w:color w:val="000000" w:themeColor="text1"/>
        </w:rPr>
        <w:lastRenderedPageBreak/>
        <w:t xml:space="preserve">disclosure can serve as a </w:t>
      </w:r>
      <w:r w:rsidR="007403A7" w:rsidRPr="00476FC9">
        <w:rPr>
          <w:color w:val="000000" w:themeColor="text1"/>
        </w:rPr>
        <w:t xml:space="preserve">diagnostic </w:t>
      </w:r>
      <w:r w:rsidR="001E3003" w:rsidRPr="00476FC9">
        <w:rPr>
          <w:color w:val="000000" w:themeColor="text1"/>
        </w:rPr>
        <w:t>reference point used for e</w:t>
      </w:r>
      <w:r w:rsidR="007403A7" w:rsidRPr="00476FC9">
        <w:rPr>
          <w:color w:val="000000" w:themeColor="text1"/>
        </w:rPr>
        <w:t>valuating the ad</w:t>
      </w:r>
      <w:r w:rsidR="001E3003" w:rsidRPr="00476FC9">
        <w:rPr>
          <w:color w:val="000000" w:themeColor="text1"/>
        </w:rPr>
        <w:t xml:space="preserve"> claims</w:t>
      </w:r>
      <w:r w:rsidR="007403A7" w:rsidRPr="00476FC9">
        <w:rPr>
          <w:color w:val="000000" w:themeColor="text1"/>
        </w:rPr>
        <w:t xml:space="preserve">. </w:t>
      </w:r>
      <w:r w:rsidR="001E3003" w:rsidRPr="00476FC9">
        <w:rPr>
          <w:color w:val="000000" w:themeColor="text1"/>
        </w:rPr>
        <w:t xml:space="preserve">In the same </w:t>
      </w:r>
      <w:r w:rsidR="008B66D1" w:rsidRPr="00476FC9">
        <w:rPr>
          <w:color w:val="000000" w:themeColor="text1"/>
        </w:rPr>
        <w:t>vein</w:t>
      </w:r>
      <w:r w:rsidR="001E3003" w:rsidRPr="00476FC9">
        <w:rPr>
          <w:color w:val="000000" w:themeColor="text1"/>
        </w:rPr>
        <w:t xml:space="preserve">, </w:t>
      </w:r>
      <w:r w:rsidR="007403A7" w:rsidRPr="00476FC9">
        <w:rPr>
          <w:color w:val="000000" w:themeColor="text1"/>
        </w:rPr>
        <w:t>disclosures can broaden the cognitive frame</w:t>
      </w:r>
      <w:r w:rsidR="001E3003" w:rsidRPr="00476FC9">
        <w:rPr>
          <w:color w:val="000000" w:themeColor="text1"/>
        </w:rPr>
        <w:t>,</w:t>
      </w:r>
      <w:r w:rsidR="007403A7" w:rsidRPr="00476FC9">
        <w:rPr>
          <w:color w:val="000000" w:themeColor="text1"/>
        </w:rPr>
        <w:t xml:space="preserve"> and </w:t>
      </w:r>
      <w:r w:rsidR="001E3003" w:rsidRPr="00476FC9">
        <w:rPr>
          <w:color w:val="000000" w:themeColor="text1"/>
        </w:rPr>
        <w:t xml:space="preserve">as a result </w:t>
      </w:r>
      <w:r w:rsidR="007403A7" w:rsidRPr="00476FC9">
        <w:rPr>
          <w:color w:val="000000" w:themeColor="text1"/>
        </w:rPr>
        <w:t>reduce inappropriate generalizations</w:t>
      </w:r>
      <w:r w:rsidR="001E3003" w:rsidRPr="00476FC9">
        <w:rPr>
          <w:color w:val="000000" w:themeColor="text1"/>
        </w:rPr>
        <w:t xml:space="preserve"> of the product’ efficacy</w:t>
      </w:r>
      <w:r w:rsidR="007403A7" w:rsidRPr="00476FC9">
        <w:rPr>
          <w:color w:val="000000" w:themeColor="text1"/>
        </w:rPr>
        <w:t xml:space="preserve">. </w:t>
      </w:r>
      <w:r w:rsidR="006A6A42" w:rsidRPr="00476FC9">
        <w:rPr>
          <w:color w:val="000000" w:themeColor="text1"/>
        </w:rPr>
        <w:t>Based on</w:t>
      </w:r>
      <w:r w:rsidR="007403A7" w:rsidRPr="00476FC9">
        <w:rPr>
          <w:color w:val="000000" w:themeColor="text1"/>
        </w:rPr>
        <w:t xml:space="preserve"> this, disclosures may </w:t>
      </w:r>
      <w:r w:rsidR="001E3003" w:rsidRPr="00476FC9">
        <w:rPr>
          <w:color w:val="000000" w:themeColor="text1"/>
        </w:rPr>
        <w:t>contribute to</w:t>
      </w:r>
      <w:r w:rsidR="007403A7" w:rsidRPr="00476FC9">
        <w:rPr>
          <w:color w:val="000000" w:themeColor="text1"/>
        </w:rPr>
        <w:t xml:space="preserve"> enhanced accessibility, diagno</w:t>
      </w:r>
      <w:r w:rsidR="000B31B9" w:rsidRPr="00476FC9">
        <w:rPr>
          <w:color w:val="000000" w:themeColor="text1"/>
        </w:rPr>
        <w:t>sti</w:t>
      </w:r>
      <w:r w:rsidR="007403A7" w:rsidRPr="00476FC9">
        <w:rPr>
          <w:color w:val="000000" w:themeColor="text1"/>
        </w:rPr>
        <w:t>city, and comprehension of advertising information</w:t>
      </w:r>
      <w:r w:rsidR="00D973BD" w:rsidRPr="00476FC9">
        <w:rPr>
          <w:color w:val="000000" w:themeColor="text1"/>
        </w:rPr>
        <w:t xml:space="preserve"> (Andrews et al., 2000)</w:t>
      </w:r>
      <w:r w:rsidR="007403A7" w:rsidRPr="00476FC9">
        <w:rPr>
          <w:color w:val="000000" w:themeColor="text1"/>
        </w:rPr>
        <w:t xml:space="preserve">. </w:t>
      </w:r>
    </w:p>
    <w:p w:rsidR="002B6D81" w:rsidRPr="00476FC9" w:rsidRDefault="009B3E47"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Based on t</w:t>
      </w:r>
      <w:r w:rsidR="00D973BD" w:rsidRPr="00476FC9">
        <w:rPr>
          <w:color w:val="000000" w:themeColor="text1"/>
        </w:rPr>
        <w:t>he literature, i</w:t>
      </w:r>
      <w:r w:rsidR="007403A7" w:rsidRPr="00476FC9">
        <w:rPr>
          <w:color w:val="000000" w:themeColor="text1"/>
        </w:rPr>
        <w:t xml:space="preserve">f disclosures are presented prominently </w:t>
      </w:r>
      <w:r w:rsidR="00D973BD" w:rsidRPr="00476FC9">
        <w:rPr>
          <w:color w:val="000000" w:themeColor="text1"/>
        </w:rPr>
        <w:t>in DTCA, consumer</w:t>
      </w:r>
      <w:r w:rsidR="007403A7" w:rsidRPr="00476FC9">
        <w:rPr>
          <w:color w:val="000000" w:themeColor="text1"/>
        </w:rPr>
        <w:t xml:space="preserve"> processing</w:t>
      </w:r>
      <w:r w:rsidR="00674268" w:rsidRPr="00476FC9">
        <w:rPr>
          <w:color w:val="000000" w:themeColor="text1"/>
        </w:rPr>
        <w:t xml:space="preserve"> performance</w:t>
      </w:r>
      <w:r w:rsidR="0016600F" w:rsidRPr="00476FC9">
        <w:rPr>
          <w:color w:val="000000" w:themeColor="text1"/>
        </w:rPr>
        <w:t xml:space="preserve"> will increase</w:t>
      </w:r>
      <w:r w:rsidR="000B31B9" w:rsidRPr="00476FC9">
        <w:rPr>
          <w:color w:val="000000" w:themeColor="text1"/>
        </w:rPr>
        <w:t xml:space="preserve"> for information on the</w:t>
      </w:r>
      <w:r w:rsidR="0016600F" w:rsidRPr="00476FC9">
        <w:rPr>
          <w:color w:val="000000" w:themeColor="text1"/>
        </w:rPr>
        <w:t xml:space="preserve"> </w:t>
      </w:r>
      <w:r w:rsidRPr="00476FC9">
        <w:rPr>
          <w:color w:val="000000" w:themeColor="text1"/>
        </w:rPr>
        <w:t xml:space="preserve">potential </w:t>
      </w:r>
      <w:r w:rsidR="00D973BD" w:rsidRPr="00476FC9">
        <w:rPr>
          <w:color w:val="000000" w:themeColor="text1"/>
        </w:rPr>
        <w:t>health risks</w:t>
      </w:r>
      <w:r w:rsidR="0016600F" w:rsidRPr="00476FC9">
        <w:rPr>
          <w:color w:val="000000" w:themeColor="text1"/>
        </w:rPr>
        <w:t xml:space="preserve"> of the drug. Assuming that </w:t>
      </w:r>
      <w:r w:rsidR="000B31B9" w:rsidRPr="00476FC9">
        <w:rPr>
          <w:color w:val="000000" w:themeColor="text1"/>
        </w:rPr>
        <w:t>a</w:t>
      </w:r>
      <w:r w:rsidR="0016600F" w:rsidRPr="00476FC9">
        <w:rPr>
          <w:color w:val="000000" w:themeColor="text1"/>
        </w:rPr>
        <w:t xml:space="preserve"> major goal of DTCA disclosure is </w:t>
      </w:r>
      <w:r w:rsidR="00E8245D" w:rsidRPr="00476FC9">
        <w:rPr>
          <w:color w:val="000000" w:themeColor="text1"/>
        </w:rPr>
        <w:t xml:space="preserve">to </w:t>
      </w:r>
      <w:r w:rsidR="0016600F" w:rsidRPr="00476FC9">
        <w:rPr>
          <w:color w:val="000000" w:themeColor="text1"/>
        </w:rPr>
        <w:t>educate consumers about important health risk</w:t>
      </w:r>
      <w:r w:rsidR="000B31B9" w:rsidRPr="00476FC9">
        <w:rPr>
          <w:color w:val="000000" w:themeColor="text1"/>
        </w:rPr>
        <w:t>s of the drug</w:t>
      </w:r>
      <w:r w:rsidR="0016600F" w:rsidRPr="00476FC9">
        <w:rPr>
          <w:color w:val="000000" w:themeColor="text1"/>
        </w:rPr>
        <w:t xml:space="preserve">, risk disclosure prominence should be a critical research agenda </w:t>
      </w:r>
      <w:r w:rsidR="000B31B9" w:rsidRPr="00476FC9">
        <w:rPr>
          <w:color w:val="000000" w:themeColor="text1"/>
        </w:rPr>
        <w:t xml:space="preserve">to promote </w:t>
      </w:r>
      <w:r w:rsidR="0016600F" w:rsidRPr="00476FC9">
        <w:rPr>
          <w:color w:val="000000" w:themeColor="text1"/>
        </w:rPr>
        <w:t xml:space="preserve">consumers’ sound health </w:t>
      </w:r>
      <w:r w:rsidR="002F04E3" w:rsidRPr="00476FC9">
        <w:rPr>
          <w:color w:val="000000" w:themeColor="text1"/>
        </w:rPr>
        <w:t>decisions</w:t>
      </w:r>
      <w:r w:rsidR="0016600F" w:rsidRPr="00476FC9">
        <w:rPr>
          <w:color w:val="000000" w:themeColor="text1"/>
        </w:rPr>
        <w:t>.</w:t>
      </w:r>
    </w:p>
    <w:p w:rsidR="00E34A51" w:rsidRPr="00476FC9" w:rsidRDefault="00E34A51" w:rsidP="007D2ACE">
      <w:pPr>
        <w:keepNext w:val="0"/>
        <w:widowControl w:val="0"/>
        <w:kinsoku w:val="0"/>
        <w:overflowPunct w:val="0"/>
        <w:autoSpaceDE w:val="0"/>
        <w:autoSpaceDN w:val="0"/>
        <w:adjustRightInd w:val="0"/>
        <w:snapToGrid w:val="0"/>
        <w:spacing w:before="0" w:after="0"/>
        <w:rPr>
          <w:color w:val="000000" w:themeColor="text1"/>
        </w:rPr>
      </w:pPr>
    </w:p>
    <w:p w:rsidR="00D24A0D" w:rsidRPr="00476FC9" w:rsidRDefault="00B25B9B" w:rsidP="007D2ACE">
      <w:pPr>
        <w:pStyle w:val="Heading2"/>
        <w:rPr>
          <w:color w:val="000000" w:themeColor="text1"/>
        </w:rPr>
      </w:pPr>
      <w:bookmarkStart w:id="12" w:name="_Toc393800659"/>
      <w:r w:rsidRPr="00476FC9">
        <w:rPr>
          <w:color w:val="000000" w:themeColor="text1"/>
        </w:rPr>
        <w:t>Cognitive Fluency</w:t>
      </w:r>
      <w:r w:rsidR="006463B9" w:rsidRPr="00476FC9">
        <w:rPr>
          <w:color w:val="000000" w:themeColor="text1"/>
        </w:rPr>
        <w:t xml:space="preserve"> and </w:t>
      </w:r>
      <w:r w:rsidR="00816D79" w:rsidRPr="00476FC9">
        <w:rPr>
          <w:color w:val="000000" w:themeColor="text1"/>
        </w:rPr>
        <w:t>Risk Disclosure Processing</w:t>
      </w:r>
      <w:bookmarkEnd w:id="12"/>
    </w:p>
    <w:p w:rsidR="006D4750" w:rsidRPr="00476FC9" w:rsidRDefault="007452E2"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With regard to</w:t>
      </w:r>
      <w:r w:rsidR="0016600F" w:rsidRPr="00476FC9">
        <w:rPr>
          <w:color w:val="000000" w:themeColor="text1"/>
        </w:rPr>
        <w:t xml:space="preserve"> risk disclosure </w:t>
      </w:r>
      <w:r w:rsidR="00E8245D" w:rsidRPr="00476FC9">
        <w:rPr>
          <w:color w:val="000000" w:themeColor="text1"/>
        </w:rPr>
        <w:t>processing</w:t>
      </w:r>
      <w:r w:rsidR="0016600F" w:rsidRPr="00476FC9">
        <w:rPr>
          <w:color w:val="000000" w:themeColor="text1"/>
        </w:rPr>
        <w:t>, consumers’ cognitive fluency represents an important consideration. C</w:t>
      </w:r>
      <w:r w:rsidR="006D4750" w:rsidRPr="00476FC9">
        <w:rPr>
          <w:color w:val="000000" w:themeColor="text1"/>
        </w:rPr>
        <w:t xml:space="preserve">onsumer information processing is affected by a wide range of factors and </w:t>
      </w:r>
      <w:r w:rsidR="006D4750" w:rsidRPr="00476FC9">
        <w:rPr>
          <w:i/>
          <w:color w:val="000000" w:themeColor="text1"/>
        </w:rPr>
        <w:t xml:space="preserve">cognitive </w:t>
      </w:r>
      <w:r w:rsidR="00D33F07" w:rsidRPr="00476FC9">
        <w:rPr>
          <w:i/>
          <w:color w:val="000000" w:themeColor="text1"/>
        </w:rPr>
        <w:t>fluency</w:t>
      </w:r>
      <w:r w:rsidR="006D4750" w:rsidRPr="00476FC9">
        <w:rPr>
          <w:color w:val="000000" w:themeColor="text1"/>
        </w:rPr>
        <w:t xml:space="preserve"> </w:t>
      </w:r>
      <w:r w:rsidR="0016600F" w:rsidRPr="00476FC9">
        <w:rPr>
          <w:color w:val="000000" w:themeColor="text1"/>
        </w:rPr>
        <w:t xml:space="preserve">has been </w:t>
      </w:r>
      <w:r w:rsidR="00D33F07" w:rsidRPr="00476FC9">
        <w:rPr>
          <w:color w:val="000000" w:themeColor="text1"/>
        </w:rPr>
        <w:t xml:space="preserve">known to </w:t>
      </w:r>
      <w:r w:rsidR="006D4750" w:rsidRPr="00476FC9">
        <w:rPr>
          <w:color w:val="000000" w:themeColor="text1"/>
        </w:rPr>
        <w:t>play a</w:t>
      </w:r>
      <w:r w:rsidR="00D33F07" w:rsidRPr="00476FC9">
        <w:rPr>
          <w:color w:val="000000" w:themeColor="text1"/>
        </w:rPr>
        <w:t>n important</w:t>
      </w:r>
      <w:r w:rsidR="006D4750" w:rsidRPr="00476FC9">
        <w:rPr>
          <w:color w:val="000000" w:themeColor="text1"/>
        </w:rPr>
        <w:t xml:space="preserve"> role </w:t>
      </w:r>
      <w:r w:rsidR="00361C44" w:rsidRPr="00476FC9">
        <w:rPr>
          <w:color w:val="000000" w:themeColor="text1"/>
        </w:rPr>
        <w:t>(Bettman &amp; Kakkar, 1977; Bettman et al., 1986; Moorman, Diehl, Brinberg, &amp; Kidwell, 2004).</w:t>
      </w:r>
      <w:r w:rsidR="006D4750" w:rsidRPr="00476FC9">
        <w:rPr>
          <w:color w:val="000000" w:themeColor="text1"/>
        </w:rPr>
        <w:t xml:space="preserve"> </w:t>
      </w:r>
      <w:r w:rsidR="00530B5B" w:rsidRPr="00476FC9">
        <w:rPr>
          <w:color w:val="000000" w:themeColor="text1"/>
        </w:rPr>
        <w:t xml:space="preserve">During the 1970s and 1980s, a body of research attempted to examine the </w:t>
      </w:r>
      <w:r w:rsidR="00E8245D" w:rsidRPr="00476FC9">
        <w:rPr>
          <w:color w:val="000000" w:themeColor="text1"/>
        </w:rPr>
        <w:t xml:space="preserve">utility </w:t>
      </w:r>
      <w:r w:rsidR="00530B5B" w:rsidRPr="00476FC9">
        <w:rPr>
          <w:color w:val="000000" w:themeColor="text1"/>
        </w:rPr>
        <w:t xml:space="preserve">of information processing principles in examining risk disclosure effects (e.g., Dyer &amp; Shimp, 1977; Jacoby &amp; Small, 1975; Wilkie &amp; Gardner, 1974). The studies suggested in common that effective disclosure programs need an understanding of consumer information processing mechanisms (Mazis &amp; Staelin, 1982). </w:t>
      </w:r>
      <w:r w:rsidR="0016600F" w:rsidRPr="00476FC9">
        <w:rPr>
          <w:color w:val="000000" w:themeColor="text1"/>
        </w:rPr>
        <w:t>In this regard, b</w:t>
      </w:r>
      <w:r w:rsidR="00500149" w:rsidRPr="00476FC9">
        <w:rPr>
          <w:color w:val="000000" w:themeColor="text1"/>
        </w:rPr>
        <w:t xml:space="preserve">orrowing from </w:t>
      </w:r>
      <w:r w:rsidR="006D4750" w:rsidRPr="00476FC9">
        <w:rPr>
          <w:color w:val="000000" w:themeColor="text1"/>
        </w:rPr>
        <w:t xml:space="preserve">information processing research will </w:t>
      </w:r>
      <w:r w:rsidR="00500149" w:rsidRPr="00476FC9">
        <w:rPr>
          <w:color w:val="000000" w:themeColor="text1"/>
        </w:rPr>
        <w:t>shed much light on</w:t>
      </w:r>
      <w:r w:rsidRPr="00476FC9">
        <w:rPr>
          <w:color w:val="000000" w:themeColor="text1"/>
        </w:rPr>
        <w:t xml:space="preserve"> understanding</w:t>
      </w:r>
      <w:r w:rsidR="00500149" w:rsidRPr="00476FC9">
        <w:rPr>
          <w:color w:val="000000" w:themeColor="text1"/>
        </w:rPr>
        <w:t xml:space="preserve"> t</w:t>
      </w:r>
      <w:r w:rsidR="006D4750" w:rsidRPr="00476FC9">
        <w:rPr>
          <w:color w:val="000000" w:themeColor="text1"/>
        </w:rPr>
        <w:t xml:space="preserve">he dynamic </w:t>
      </w:r>
      <w:r w:rsidRPr="00476FC9">
        <w:rPr>
          <w:color w:val="000000" w:themeColor="text1"/>
        </w:rPr>
        <w:t xml:space="preserve">mechanism of </w:t>
      </w:r>
      <w:r w:rsidR="00CB6851" w:rsidRPr="00476FC9">
        <w:rPr>
          <w:color w:val="000000" w:themeColor="text1"/>
        </w:rPr>
        <w:t xml:space="preserve">DTCA </w:t>
      </w:r>
      <w:r w:rsidR="006D4750" w:rsidRPr="00476FC9">
        <w:rPr>
          <w:color w:val="000000" w:themeColor="text1"/>
        </w:rPr>
        <w:t>disclosure</w:t>
      </w:r>
      <w:r w:rsidRPr="00476FC9">
        <w:rPr>
          <w:color w:val="000000" w:themeColor="text1"/>
        </w:rPr>
        <w:t xml:space="preserve"> processing</w:t>
      </w:r>
      <w:r w:rsidR="00CB6851" w:rsidRPr="00476FC9">
        <w:rPr>
          <w:color w:val="000000" w:themeColor="text1"/>
        </w:rPr>
        <w:t>.</w:t>
      </w:r>
      <w:r w:rsidR="006D4750" w:rsidRPr="00476FC9">
        <w:rPr>
          <w:color w:val="000000" w:themeColor="text1"/>
        </w:rPr>
        <w:t xml:space="preserve"> </w:t>
      </w:r>
    </w:p>
    <w:p w:rsidR="00B34C70" w:rsidRPr="00476FC9" w:rsidRDefault="006D4750"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lastRenderedPageBreak/>
        <w:tab/>
      </w:r>
      <w:r w:rsidR="00E8245D" w:rsidRPr="00476FC9">
        <w:rPr>
          <w:color w:val="000000" w:themeColor="text1"/>
        </w:rPr>
        <w:t xml:space="preserve">Hierarchy-of-effects communication models provide a theoretical foundation of the current research. </w:t>
      </w:r>
      <w:r w:rsidR="00B34C70" w:rsidRPr="00476FC9">
        <w:rPr>
          <w:color w:val="000000" w:themeColor="text1"/>
        </w:rPr>
        <w:t xml:space="preserve">McGuire (1976) was one of frontiers who laid out the </w:t>
      </w:r>
      <w:r w:rsidR="00AE3575" w:rsidRPr="00476FC9">
        <w:rPr>
          <w:color w:val="000000" w:themeColor="text1"/>
        </w:rPr>
        <w:t xml:space="preserve">theoretical </w:t>
      </w:r>
      <w:r w:rsidR="00B34C70" w:rsidRPr="00476FC9">
        <w:rPr>
          <w:color w:val="000000" w:themeColor="text1"/>
        </w:rPr>
        <w:t>framework to understand consumer information processing</w:t>
      </w:r>
      <w:r w:rsidR="00E8245D" w:rsidRPr="00476FC9">
        <w:rPr>
          <w:color w:val="000000" w:themeColor="text1"/>
        </w:rPr>
        <w:t xml:space="preserve"> sequences</w:t>
      </w:r>
      <w:r w:rsidR="00B34C70" w:rsidRPr="00476FC9">
        <w:rPr>
          <w:color w:val="000000" w:themeColor="text1"/>
        </w:rPr>
        <w:t xml:space="preserve">. According to his framework, consumers typically goes through a serious of sequences in acquiring, processing, and using information. More </w:t>
      </w:r>
      <w:r w:rsidR="00AE3575" w:rsidRPr="00476FC9">
        <w:rPr>
          <w:color w:val="000000" w:themeColor="text1"/>
        </w:rPr>
        <w:t xml:space="preserve">specifically, the sequences </w:t>
      </w:r>
      <w:r w:rsidR="00B34C70" w:rsidRPr="00476FC9">
        <w:rPr>
          <w:color w:val="000000" w:themeColor="text1"/>
        </w:rPr>
        <w:t xml:space="preserve">have </w:t>
      </w:r>
      <w:r w:rsidR="00AE3575" w:rsidRPr="00476FC9">
        <w:rPr>
          <w:color w:val="000000" w:themeColor="text1"/>
        </w:rPr>
        <w:t xml:space="preserve">at least </w:t>
      </w:r>
      <w:r w:rsidR="00B34C70" w:rsidRPr="00476FC9">
        <w:rPr>
          <w:color w:val="000000" w:themeColor="text1"/>
        </w:rPr>
        <w:t xml:space="preserve">five folds: </w:t>
      </w:r>
      <w:r w:rsidR="00B34C70" w:rsidRPr="00476FC9">
        <w:rPr>
          <w:i/>
          <w:color w:val="000000" w:themeColor="text1"/>
        </w:rPr>
        <w:t>exposure</w:t>
      </w:r>
      <w:r w:rsidR="00B34C70" w:rsidRPr="00476FC9">
        <w:rPr>
          <w:color w:val="000000" w:themeColor="text1"/>
        </w:rPr>
        <w:t xml:space="preserve">, </w:t>
      </w:r>
      <w:r w:rsidR="00B34C70" w:rsidRPr="00476FC9">
        <w:rPr>
          <w:i/>
          <w:color w:val="000000" w:themeColor="text1"/>
        </w:rPr>
        <w:t>attention</w:t>
      </w:r>
      <w:r w:rsidR="00B34C70" w:rsidRPr="00476FC9">
        <w:rPr>
          <w:color w:val="000000" w:themeColor="text1"/>
        </w:rPr>
        <w:t xml:space="preserve">, </w:t>
      </w:r>
      <w:r w:rsidR="00B34C70" w:rsidRPr="00476FC9">
        <w:rPr>
          <w:i/>
          <w:color w:val="000000" w:themeColor="text1"/>
        </w:rPr>
        <w:t>comprehension</w:t>
      </w:r>
      <w:r w:rsidR="00B34C70" w:rsidRPr="00476FC9">
        <w:rPr>
          <w:color w:val="000000" w:themeColor="text1"/>
        </w:rPr>
        <w:t xml:space="preserve">, </w:t>
      </w:r>
      <w:r w:rsidR="00B34C70" w:rsidRPr="00476FC9">
        <w:rPr>
          <w:i/>
          <w:color w:val="000000" w:themeColor="text1"/>
        </w:rPr>
        <w:t>retention</w:t>
      </w:r>
      <w:r w:rsidR="00B34C70" w:rsidRPr="00476FC9">
        <w:rPr>
          <w:color w:val="000000" w:themeColor="text1"/>
        </w:rPr>
        <w:t>/</w:t>
      </w:r>
      <w:r w:rsidR="00B34C70" w:rsidRPr="00476FC9">
        <w:rPr>
          <w:i/>
          <w:color w:val="000000" w:themeColor="text1"/>
        </w:rPr>
        <w:t>retrieval</w:t>
      </w:r>
      <w:r w:rsidR="00B34C70" w:rsidRPr="00476FC9">
        <w:rPr>
          <w:color w:val="000000" w:themeColor="text1"/>
        </w:rPr>
        <w:t xml:space="preserve">, and </w:t>
      </w:r>
      <w:r w:rsidR="00B34C70" w:rsidRPr="00476FC9">
        <w:rPr>
          <w:i/>
          <w:color w:val="000000" w:themeColor="text1"/>
        </w:rPr>
        <w:t>decision</w:t>
      </w:r>
      <w:r w:rsidR="00B34C70" w:rsidRPr="00476FC9">
        <w:rPr>
          <w:color w:val="000000" w:themeColor="text1"/>
        </w:rPr>
        <w:t xml:space="preserve"> </w:t>
      </w:r>
      <w:r w:rsidR="00B34C70" w:rsidRPr="00476FC9">
        <w:rPr>
          <w:i/>
          <w:color w:val="000000" w:themeColor="text1"/>
        </w:rPr>
        <w:t>making</w:t>
      </w:r>
      <w:r w:rsidR="00B34C70" w:rsidRPr="00476FC9">
        <w:rPr>
          <w:color w:val="000000" w:themeColor="text1"/>
        </w:rPr>
        <w:t xml:space="preserve"> (McGuire, 1976). Although these phases are not </w:t>
      </w:r>
      <w:r w:rsidR="002F04E3" w:rsidRPr="00476FC9">
        <w:rPr>
          <w:color w:val="000000" w:themeColor="text1"/>
        </w:rPr>
        <w:t xml:space="preserve">always </w:t>
      </w:r>
      <w:r w:rsidR="00B34C70" w:rsidRPr="00476FC9">
        <w:rPr>
          <w:color w:val="000000" w:themeColor="text1"/>
        </w:rPr>
        <w:t xml:space="preserve">clearly distinct </w:t>
      </w:r>
      <w:r w:rsidR="00530B5B" w:rsidRPr="00476FC9">
        <w:rPr>
          <w:color w:val="000000" w:themeColor="text1"/>
        </w:rPr>
        <w:t xml:space="preserve">from </w:t>
      </w:r>
      <w:r w:rsidR="00B34C70" w:rsidRPr="00476FC9">
        <w:rPr>
          <w:color w:val="000000" w:themeColor="text1"/>
        </w:rPr>
        <w:t>each other</w:t>
      </w:r>
      <w:r w:rsidR="00AE3575" w:rsidRPr="00476FC9">
        <w:rPr>
          <w:color w:val="000000" w:themeColor="text1"/>
        </w:rPr>
        <w:t xml:space="preserve"> </w:t>
      </w:r>
      <w:r w:rsidR="00530B5B" w:rsidRPr="00476FC9">
        <w:rPr>
          <w:color w:val="000000" w:themeColor="text1"/>
        </w:rPr>
        <w:t>or</w:t>
      </w:r>
      <w:r w:rsidR="00AE3575" w:rsidRPr="00476FC9">
        <w:rPr>
          <w:color w:val="000000" w:themeColor="text1"/>
        </w:rPr>
        <w:t xml:space="preserve"> </w:t>
      </w:r>
      <w:r w:rsidR="00A552D8" w:rsidRPr="00476FC9">
        <w:rPr>
          <w:color w:val="000000" w:themeColor="text1"/>
        </w:rPr>
        <w:t xml:space="preserve">do not </w:t>
      </w:r>
      <w:r w:rsidR="00AE3575" w:rsidRPr="00476FC9">
        <w:rPr>
          <w:color w:val="000000" w:themeColor="text1"/>
        </w:rPr>
        <w:t xml:space="preserve">always </w:t>
      </w:r>
      <w:r w:rsidR="00530B5B" w:rsidRPr="00476FC9">
        <w:rPr>
          <w:color w:val="000000" w:themeColor="text1"/>
        </w:rPr>
        <w:t>go through</w:t>
      </w:r>
      <w:r w:rsidR="00AE3575" w:rsidRPr="00476FC9">
        <w:rPr>
          <w:color w:val="000000" w:themeColor="text1"/>
        </w:rPr>
        <w:t xml:space="preserve"> this order</w:t>
      </w:r>
      <w:r w:rsidR="00BD14A9" w:rsidRPr="00476FC9">
        <w:rPr>
          <w:color w:val="000000" w:themeColor="text1"/>
        </w:rPr>
        <w:t xml:space="preserve">, the framework serves as a useful </w:t>
      </w:r>
      <w:r w:rsidR="00AE3575" w:rsidRPr="00476FC9">
        <w:rPr>
          <w:color w:val="000000" w:themeColor="text1"/>
        </w:rPr>
        <w:t xml:space="preserve">foundation </w:t>
      </w:r>
      <w:r w:rsidR="00BD14A9" w:rsidRPr="00476FC9">
        <w:rPr>
          <w:color w:val="000000" w:themeColor="text1"/>
        </w:rPr>
        <w:t xml:space="preserve">for examining </w:t>
      </w:r>
      <w:r w:rsidR="00AE3575" w:rsidRPr="00476FC9">
        <w:rPr>
          <w:color w:val="000000" w:themeColor="text1"/>
        </w:rPr>
        <w:t>how consumer information processing operates and which cognitive factors should be examined</w:t>
      </w:r>
      <w:r w:rsidR="00BD14A9" w:rsidRPr="00476FC9">
        <w:rPr>
          <w:color w:val="000000" w:themeColor="text1"/>
        </w:rPr>
        <w:t xml:space="preserve"> (Mazis &amp; Staelin, 1982).</w:t>
      </w:r>
    </w:p>
    <w:p w:rsidR="001C082A" w:rsidRPr="00476FC9" w:rsidRDefault="00AE3575"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More importantly, the model suggests that there could be factors that enhance or impede communication effectiveness. </w:t>
      </w:r>
      <w:r w:rsidR="00BD14A9" w:rsidRPr="00476FC9">
        <w:rPr>
          <w:color w:val="000000" w:themeColor="text1"/>
        </w:rPr>
        <w:t xml:space="preserve">In </w:t>
      </w:r>
      <w:r w:rsidRPr="00476FC9">
        <w:rPr>
          <w:color w:val="000000" w:themeColor="text1"/>
        </w:rPr>
        <w:t xml:space="preserve">light of </w:t>
      </w:r>
      <w:r w:rsidR="00BD14A9" w:rsidRPr="00476FC9">
        <w:rPr>
          <w:color w:val="000000" w:themeColor="text1"/>
        </w:rPr>
        <w:t>the current research, a</w:t>
      </w:r>
      <w:r w:rsidRPr="00476FC9">
        <w:rPr>
          <w:color w:val="000000" w:themeColor="text1"/>
        </w:rPr>
        <w:t>n important info</w:t>
      </w:r>
      <w:r w:rsidR="00BD14A9" w:rsidRPr="00476FC9">
        <w:rPr>
          <w:color w:val="000000" w:themeColor="text1"/>
        </w:rPr>
        <w:t xml:space="preserve">rmation processing </w:t>
      </w:r>
      <w:r w:rsidRPr="00476FC9">
        <w:rPr>
          <w:color w:val="000000" w:themeColor="text1"/>
        </w:rPr>
        <w:t xml:space="preserve">phase </w:t>
      </w:r>
      <w:r w:rsidR="00BD14A9" w:rsidRPr="00476FC9">
        <w:rPr>
          <w:color w:val="000000" w:themeColor="text1"/>
        </w:rPr>
        <w:t xml:space="preserve">may be </w:t>
      </w:r>
      <w:r w:rsidR="00BD14A9" w:rsidRPr="00476FC9">
        <w:rPr>
          <w:i/>
          <w:color w:val="000000" w:themeColor="text1"/>
        </w:rPr>
        <w:t>attention</w:t>
      </w:r>
      <w:r w:rsidRPr="00476FC9">
        <w:rPr>
          <w:i/>
          <w:color w:val="000000" w:themeColor="text1"/>
        </w:rPr>
        <w:t xml:space="preserve">. </w:t>
      </w:r>
      <w:r w:rsidR="00A552D8" w:rsidRPr="00476FC9">
        <w:rPr>
          <w:color w:val="000000" w:themeColor="text1"/>
        </w:rPr>
        <w:t>Attention measures</w:t>
      </w:r>
      <w:r w:rsidR="00A552D8" w:rsidRPr="00476FC9">
        <w:rPr>
          <w:i/>
          <w:color w:val="000000" w:themeColor="text1"/>
        </w:rPr>
        <w:t xml:space="preserve"> </w:t>
      </w:r>
      <w:r w:rsidR="00A552D8" w:rsidRPr="00476FC9">
        <w:rPr>
          <w:color w:val="000000" w:themeColor="text1"/>
        </w:rPr>
        <w:t xml:space="preserve">serve as an important variable for the early stages of information processing (Krugman, Fox, Fletcher, Fischer, &amp; Rojas, 1994). </w:t>
      </w:r>
      <w:r w:rsidR="00BD14A9" w:rsidRPr="00476FC9">
        <w:rPr>
          <w:color w:val="000000" w:themeColor="text1"/>
        </w:rPr>
        <w:t xml:space="preserve">It has been </w:t>
      </w:r>
      <w:r w:rsidRPr="00476FC9">
        <w:rPr>
          <w:color w:val="000000" w:themeColor="text1"/>
        </w:rPr>
        <w:t>well-</w:t>
      </w:r>
      <w:r w:rsidR="00BD14A9" w:rsidRPr="00476FC9">
        <w:rPr>
          <w:color w:val="000000" w:themeColor="text1"/>
        </w:rPr>
        <w:t xml:space="preserve">documented that </w:t>
      </w:r>
      <w:r w:rsidR="00674268" w:rsidRPr="00476FC9">
        <w:rPr>
          <w:color w:val="000000" w:themeColor="text1"/>
        </w:rPr>
        <w:t xml:space="preserve">despite their limited cognitive capacity (Lynch &amp; Srull, 1982; Mazis &amp; Staelin, 1982), </w:t>
      </w:r>
      <w:r w:rsidR="00BD14A9" w:rsidRPr="00476FC9">
        <w:rPr>
          <w:color w:val="000000" w:themeColor="text1"/>
        </w:rPr>
        <w:t>today</w:t>
      </w:r>
      <w:r w:rsidR="008906B1" w:rsidRPr="00476FC9">
        <w:rPr>
          <w:color w:val="000000" w:themeColor="text1"/>
        </w:rPr>
        <w:t>’s</w:t>
      </w:r>
      <w:r w:rsidR="00BD14A9" w:rsidRPr="00476FC9">
        <w:rPr>
          <w:color w:val="000000" w:themeColor="text1"/>
        </w:rPr>
        <w:t xml:space="preserve"> consumers are exposed to a vast amount of marketplace information (Boush et al., 2009; Knowles &amp; Linn, 2003). </w:t>
      </w:r>
      <w:r w:rsidR="001C082A" w:rsidRPr="00476FC9">
        <w:rPr>
          <w:color w:val="000000" w:themeColor="text1"/>
        </w:rPr>
        <w:t xml:space="preserve">If advertisers fail to </w:t>
      </w:r>
      <w:r w:rsidR="002F04E3" w:rsidRPr="00476FC9">
        <w:rPr>
          <w:color w:val="000000" w:themeColor="text1"/>
        </w:rPr>
        <w:t>attract</w:t>
      </w:r>
      <w:r w:rsidR="001C082A" w:rsidRPr="00476FC9">
        <w:rPr>
          <w:color w:val="000000" w:themeColor="text1"/>
        </w:rPr>
        <w:t xml:space="preserve"> consumer attention to important </w:t>
      </w:r>
      <w:r w:rsidR="002F04E3" w:rsidRPr="00476FC9">
        <w:rPr>
          <w:color w:val="000000" w:themeColor="text1"/>
        </w:rPr>
        <w:t xml:space="preserve">product attribute </w:t>
      </w:r>
      <w:r w:rsidR="001C082A" w:rsidRPr="00476FC9">
        <w:rPr>
          <w:color w:val="000000" w:themeColor="text1"/>
        </w:rPr>
        <w:t>information, communication effectiveness will be significantly decreased</w:t>
      </w:r>
      <w:r w:rsidR="00A552D8" w:rsidRPr="00476FC9">
        <w:rPr>
          <w:color w:val="000000" w:themeColor="text1"/>
        </w:rPr>
        <w:t xml:space="preserve"> (Krugman et al., 1994)</w:t>
      </w:r>
      <w:r w:rsidR="001C082A" w:rsidRPr="00476FC9">
        <w:rPr>
          <w:color w:val="000000" w:themeColor="text1"/>
        </w:rPr>
        <w:t xml:space="preserve">. </w:t>
      </w:r>
    </w:p>
    <w:p w:rsidR="006B49B8" w:rsidRPr="00476FC9" w:rsidRDefault="00F13EAA"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O</w:t>
      </w:r>
      <w:r w:rsidR="000853B2" w:rsidRPr="00476FC9">
        <w:rPr>
          <w:color w:val="000000" w:themeColor="text1"/>
        </w:rPr>
        <w:t xml:space="preserve">nce consumers paid </w:t>
      </w:r>
      <w:r w:rsidR="00AB753B" w:rsidRPr="00476FC9">
        <w:rPr>
          <w:color w:val="000000" w:themeColor="text1"/>
        </w:rPr>
        <w:t xml:space="preserve">sufficient </w:t>
      </w:r>
      <w:r w:rsidR="000853B2" w:rsidRPr="00476FC9">
        <w:rPr>
          <w:color w:val="000000" w:themeColor="text1"/>
        </w:rPr>
        <w:t xml:space="preserve">attention to information, </w:t>
      </w:r>
      <w:r w:rsidRPr="00476FC9">
        <w:rPr>
          <w:color w:val="000000" w:themeColor="text1"/>
        </w:rPr>
        <w:t>consumers should be able to retrieve the stored information</w:t>
      </w:r>
      <w:r w:rsidR="002F04E3" w:rsidRPr="00476FC9">
        <w:rPr>
          <w:color w:val="000000" w:themeColor="text1"/>
        </w:rPr>
        <w:t>,</w:t>
      </w:r>
      <w:r w:rsidRPr="00476FC9">
        <w:rPr>
          <w:color w:val="000000" w:themeColor="text1"/>
        </w:rPr>
        <w:t xml:space="preserve"> and more prominent information is more likely to be retrieved in a decision making situation (Alba &amp; Hutchinson, 1987; Lynch &amp; Srull, 1982). </w:t>
      </w:r>
      <w:r w:rsidR="0012321B" w:rsidRPr="00476FC9">
        <w:rPr>
          <w:color w:val="000000" w:themeColor="text1"/>
        </w:rPr>
        <w:t xml:space="preserve">When consumers are exposed to information, it is transformed into consumers’ cognitive storage (i.e., memory), </w:t>
      </w:r>
      <w:r w:rsidR="00530B5B" w:rsidRPr="00476FC9">
        <w:rPr>
          <w:color w:val="000000" w:themeColor="text1"/>
        </w:rPr>
        <w:t xml:space="preserve">a </w:t>
      </w:r>
      <w:r w:rsidR="00530B5B" w:rsidRPr="00476FC9">
        <w:rPr>
          <w:color w:val="000000" w:themeColor="text1"/>
        </w:rPr>
        <w:lastRenderedPageBreak/>
        <w:t xml:space="preserve">process </w:t>
      </w:r>
      <w:r w:rsidR="0012321B" w:rsidRPr="00476FC9">
        <w:rPr>
          <w:color w:val="000000" w:themeColor="text1"/>
        </w:rPr>
        <w:t xml:space="preserve">referred to as </w:t>
      </w:r>
      <w:r w:rsidR="0012321B" w:rsidRPr="00476FC9">
        <w:rPr>
          <w:i/>
          <w:color w:val="000000" w:themeColor="text1"/>
        </w:rPr>
        <w:t>encoding</w:t>
      </w:r>
      <w:r w:rsidR="0012321B" w:rsidRPr="00476FC9">
        <w:rPr>
          <w:color w:val="000000" w:themeColor="text1"/>
        </w:rPr>
        <w:t xml:space="preserve">. Prominence of information has been regarded as a factor that </w:t>
      </w:r>
      <w:r w:rsidR="00A552D8" w:rsidRPr="00476FC9">
        <w:rPr>
          <w:color w:val="000000" w:themeColor="text1"/>
        </w:rPr>
        <w:t>enhances</w:t>
      </w:r>
      <w:r w:rsidR="0012321B" w:rsidRPr="00476FC9">
        <w:rPr>
          <w:color w:val="000000" w:themeColor="text1"/>
        </w:rPr>
        <w:t xml:space="preserve"> </w:t>
      </w:r>
      <w:r w:rsidR="0012321B" w:rsidRPr="00476FC9">
        <w:rPr>
          <w:i/>
          <w:color w:val="000000" w:themeColor="text1"/>
        </w:rPr>
        <w:t>ease of encoding</w:t>
      </w:r>
      <w:r w:rsidR="0012321B" w:rsidRPr="00476FC9">
        <w:rPr>
          <w:color w:val="000000" w:themeColor="text1"/>
        </w:rPr>
        <w:t xml:space="preserve"> (Alba &amp; Hutchinson, 1987; Lynch &amp; Srull, 1982)</w:t>
      </w:r>
      <w:r w:rsidRPr="00476FC9">
        <w:rPr>
          <w:color w:val="000000" w:themeColor="text1"/>
        </w:rPr>
        <w:t xml:space="preserve">. </w:t>
      </w:r>
      <w:r w:rsidR="005C4608" w:rsidRPr="00476FC9">
        <w:rPr>
          <w:color w:val="000000" w:themeColor="text1"/>
        </w:rPr>
        <w:t>That is</w:t>
      </w:r>
      <w:r w:rsidRPr="00476FC9">
        <w:rPr>
          <w:color w:val="000000" w:themeColor="text1"/>
        </w:rPr>
        <w:t>,</w:t>
      </w:r>
      <w:r w:rsidR="0012321B" w:rsidRPr="00476FC9">
        <w:rPr>
          <w:color w:val="000000" w:themeColor="text1"/>
        </w:rPr>
        <w:t xml:space="preserve"> more prominent events in the information environment </w:t>
      </w:r>
      <w:r w:rsidR="008906B1" w:rsidRPr="00476FC9">
        <w:rPr>
          <w:color w:val="000000" w:themeColor="text1"/>
        </w:rPr>
        <w:t>are</w:t>
      </w:r>
      <w:r w:rsidR="0012321B" w:rsidRPr="00476FC9">
        <w:rPr>
          <w:color w:val="000000" w:themeColor="text1"/>
        </w:rPr>
        <w:t xml:space="preserve"> more likely to enhance consumer encoding of information (Bettman et al, 1986). In this regard, Mazis and Staelin (1982) note that information presented in a confusing manner is more </w:t>
      </w:r>
      <w:r w:rsidR="00B83D00" w:rsidRPr="00476FC9">
        <w:rPr>
          <w:color w:val="000000" w:themeColor="text1"/>
        </w:rPr>
        <w:t xml:space="preserve">difficult to encode and </w:t>
      </w:r>
      <w:r w:rsidR="005C4608" w:rsidRPr="00476FC9">
        <w:rPr>
          <w:color w:val="000000" w:themeColor="text1"/>
        </w:rPr>
        <w:t xml:space="preserve">retrieve (i.e., </w:t>
      </w:r>
      <w:r w:rsidR="00B83D00" w:rsidRPr="00476FC9">
        <w:rPr>
          <w:color w:val="000000" w:themeColor="text1"/>
        </w:rPr>
        <w:t>decode</w:t>
      </w:r>
      <w:r w:rsidR="005C4608" w:rsidRPr="00476FC9">
        <w:rPr>
          <w:color w:val="000000" w:themeColor="text1"/>
        </w:rPr>
        <w:t>)</w:t>
      </w:r>
      <w:r w:rsidR="00646830" w:rsidRPr="00476FC9">
        <w:rPr>
          <w:color w:val="000000" w:themeColor="text1"/>
        </w:rPr>
        <w:t xml:space="preserve">. </w:t>
      </w:r>
      <w:r w:rsidR="00B731FE" w:rsidRPr="00476FC9">
        <w:rPr>
          <w:color w:val="000000" w:themeColor="text1"/>
        </w:rPr>
        <w:t xml:space="preserve">This line of studies suggests </w:t>
      </w:r>
      <w:r w:rsidR="00B83D00" w:rsidRPr="00476FC9">
        <w:rPr>
          <w:color w:val="000000" w:themeColor="text1"/>
        </w:rPr>
        <w:t xml:space="preserve">to examine the effects of prominence on consumers’ attention and memory. </w:t>
      </w:r>
      <w:r w:rsidR="00B25470" w:rsidRPr="00476FC9">
        <w:rPr>
          <w:color w:val="000000" w:themeColor="text1"/>
        </w:rPr>
        <w:tab/>
      </w:r>
      <w:r w:rsidR="006B49B8" w:rsidRPr="00476FC9">
        <w:rPr>
          <w:color w:val="000000" w:themeColor="text1"/>
        </w:rPr>
        <w:t xml:space="preserve"> </w:t>
      </w:r>
    </w:p>
    <w:p w:rsidR="00B83D00" w:rsidRPr="00476FC9" w:rsidRDefault="00B83D00" w:rsidP="007D2ACE">
      <w:pPr>
        <w:pStyle w:val="Heading2"/>
        <w:rPr>
          <w:color w:val="000000" w:themeColor="text1"/>
        </w:rPr>
      </w:pPr>
    </w:p>
    <w:p w:rsidR="00B83D00" w:rsidRPr="00476FC9" w:rsidRDefault="00B83D00" w:rsidP="007D2ACE">
      <w:pPr>
        <w:pStyle w:val="Heading2"/>
        <w:rPr>
          <w:color w:val="000000" w:themeColor="text1"/>
        </w:rPr>
      </w:pPr>
      <w:bookmarkStart w:id="13" w:name="_Toc393800660"/>
      <w:r w:rsidRPr="00476FC9">
        <w:rPr>
          <w:color w:val="000000" w:themeColor="text1"/>
        </w:rPr>
        <w:t>The Influence of Cognitive Structure</w:t>
      </w:r>
      <w:bookmarkEnd w:id="13"/>
    </w:p>
    <w:p w:rsidR="00D771DB" w:rsidRPr="00476FC9" w:rsidRDefault="00102980"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To better understand the risk disclosure processing phenomenon, one needs to look to consumer-side aspects as well as message-side factors. </w:t>
      </w:r>
      <w:r w:rsidR="00B83D00" w:rsidRPr="00476FC9">
        <w:rPr>
          <w:color w:val="000000" w:themeColor="text1"/>
        </w:rPr>
        <w:t xml:space="preserve">Mazis and Staelin (1982) note that </w:t>
      </w:r>
      <w:r w:rsidR="00B83D00" w:rsidRPr="00476FC9">
        <w:rPr>
          <w:i/>
          <w:color w:val="000000" w:themeColor="text1"/>
        </w:rPr>
        <w:t>attention</w:t>
      </w:r>
      <w:r w:rsidR="00B83D00" w:rsidRPr="00476FC9">
        <w:rPr>
          <w:color w:val="000000" w:themeColor="text1"/>
        </w:rPr>
        <w:t xml:space="preserve"> </w:t>
      </w:r>
      <w:r w:rsidR="00A552D8" w:rsidRPr="00476FC9">
        <w:rPr>
          <w:color w:val="000000" w:themeColor="text1"/>
        </w:rPr>
        <w:t xml:space="preserve">and information </w:t>
      </w:r>
      <w:r w:rsidR="00A552D8" w:rsidRPr="00476FC9">
        <w:rPr>
          <w:i/>
          <w:color w:val="000000" w:themeColor="text1"/>
        </w:rPr>
        <w:t>retention/retrieval</w:t>
      </w:r>
      <w:r w:rsidR="00A552D8" w:rsidRPr="00476FC9">
        <w:rPr>
          <w:color w:val="000000" w:themeColor="text1"/>
        </w:rPr>
        <w:t xml:space="preserve"> are </w:t>
      </w:r>
      <w:r w:rsidR="00B83D00" w:rsidRPr="00476FC9">
        <w:rPr>
          <w:color w:val="000000" w:themeColor="text1"/>
        </w:rPr>
        <w:t xml:space="preserve">affected by both internal and external </w:t>
      </w:r>
      <w:r w:rsidR="00663A01" w:rsidRPr="00476FC9">
        <w:rPr>
          <w:color w:val="000000" w:themeColor="text1"/>
        </w:rPr>
        <w:t xml:space="preserve">factors. </w:t>
      </w:r>
      <w:r w:rsidR="005C4608" w:rsidRPr="00476FC9">
        <w:rPr>
          <w:color w:val="000000" w:themeColor="text1"/>
        </w:rPr>
        <w:t>As noted, e</w:t>
      </w:r>
      <w:r w:rsidR="00663A01" w:rsidRPr="00476FC9">
        <w:rPr>
          <w:color w:val="000000" w:themeColor="text1"/>
        </w:rPr>
        <w:t xml:space="preserve">xternal factors may involve the characteristics of the message itself such as risk disclosure prominence. On the other hand, </w:t>
      </w:r>
      <w:r w:rsidR="00B83D00" w:rsidRPr="00476FC9">
        <w:rPr>
          <w:color w:val="000000" w:themeColor="text1"/>
        </w:rPr>
        <w:t xml:space="preserve">internal </w:t>
      </w:r>
      <w:r w:rsidR="00663A01" w:rsidRPr="00476FC9">
        <w:rPr>
          <w:color w:val="000000" w:themeColor="text1"/>
        </w:rPr>
        <w:t xml:space="preserve">factors </w:t>
      </w:r>
      <w:r w:rsidR="00B83D00" w:rsidRPr="00476FC9">
        <w:rPr>
          <w:color w:val="000000" w:themeColor="text1"/>
        </w:rPr>
        <w:t xml:space="preserve">may include consumer </w:t>
      </w:r>
      <w:r w:rsidR="005C4608" w:rsidRPr="00476FC9">
        <w:rPr>
          <w:color w:val="000000" w:themeColor="text1"/>
        </w:rPr>
        <w:t>capacity</w:t>
      </w:r>
      <w:r w:rsidR="00663A01" w:rsidRPr="00476FC9">
        <w:rPr>
          <w:color w:val="000000" w:themeColor="text1"/>
        </w:rPr>
        <w:t xml:space="preserve"> and </w:t>
      </w:r>
      <w:r w:rsidR="00B83D00" w:rsidRPr="00476FC9">
        <w:rPr>
          <w:color w:val="000000" w:themeColor="text1"/>
        </w:rPr>
        <w:t xml:space="preserve">motivation </w:t>
      </w:r>
      <w:r w:rsidR="00663A01" w:rsidRPr="00476FC9">
        <w:rPr>
          <w:color w:val="000000" w:themeColor="text1"/>
        </w:rPr>
        <w:t xml:space="preserve">to process </w:t>
      </w:r>
      <w:r w:rsidR="00B83D00" w:rsidRPr="00476FC9">
        <w:rPr>
          <w:color w:val="000000" w:themeColor="text1"/>
        </w:rPr>
        <w:t>the information</w:t>
      </w:r>
      <w:r w:rsidR="00383FB5" w:rsidRPr="00476FC9">
        <w:rPr>
          <w:color w:val="000000" w:themeColor="text1"/>
        </w:rPr>
        <w:t xml:space="preserve"> (Mazis &amp; Staelin, 1982)</w:t>
      </w:r>
      <w:r w:rsidR="00B83D00" w:rsidRPr="00476FC9">
        <w:rPr>
          <w:color w:val="000000" w:themeColor="text1"/>
        </w:rPr>
        <w:t xml:space="preserve">. </w:t>
      </w:r>
      <w:r w:rsidR="00B87904" w:rsidRPr="00476FC9">
        <w:rPr>
          <w:color w:val="000000" w:themeColor="text1"/>
        </w:rPr>
        <w:t>In particular, c</w:t>
      </w:r>
      <w:r w:rsidR="00663A01" w:rsidRPr="00476FC9">
        <w:rPr>
          <w:color w:val="000000" w:themeColor="text1"/>
        </w:rPr>
        <w:t xml:space="preserve">ognitive structure such as </w:t>
      </w:r>
      <w:r w:rsidRPr="00476FC9">
        <w:rPr>
          <w:color w:val="000000" w:themeColor="text1"/>
        </w:rPr>
        <w:t>persuasion</w:t>
      </w:r>
      <w:r w:rsidR="00663A01" w:rsidRPr="00476FC9">
        <w:rPr>
          <w:color w:val="000000" w:themeColor="text1"/>
        </w:rPr>
        <w:t xml:space="preserve"> knowledge has been suggested as an important consideration </w:t>
      </w:r>
      <w:r w:rsidR="00B87904" w:rsidRPr="00476FC9">
        <w:rPr>
          <w:color w:val="000000" w:themeColor="text1"/>
        </w:rPr>
        <w:t xml:space="preserve">in information processing </w:t>
      </w:r>
      <w:r w:rsidR="00663A01" w:rsidRPr="00476FC9">
        <w:rPr>
          <w:color w:val="000000" w:themeColor="text1"/>
        </w:rPr>
        <w:t xml:space="preserve">(Alba &amp; Hutchinson, 1987; Friestad &amp; Wright, 1994; </w:t>
      </w:r>
      <w:r w:rsidR="00D771DB" w:rsidRPr="00476FC9">
        <w:rPr>
          <w:color w:val="000000" w:themeColor="text1"/>
        </w:rPr>
        <w:t xml:space="preserve">Goodstein, 1993; </w:t>
      </w:r>
      <w:r w:rsidR="00663A01" w:rsidRPr="00476FC9">
        <w:rPr>
          <w:color w:val="000000" w:themeColor="text1"/>
        </w:rPr>
        <w:t>Kardes</w:t>
      </w:r>
      <w:r w:rsidR="00862ED7" w:rsidRPr="00476FC9">
        <w:rPr>
          <w:color w:val="000000" w:themeColor="text1"/>
        </w:rPr>
        <w:t xml:space="preserve"> et al., </w:t>
      </w:r>
      <w:r w:rsidR="00663A01" w:rsidRPr="00476FC9">
        <w:rPr>
          <w:color w:val="000000" w:themeColor="text1"/>
        </w:rPr>
        <w:t>2004</w:t>
      </w:r>
      <w:r w:rsidR="00D771DB" w:rsidRPr="00476FC9">
        <w:rPr>
          <w:color w:val="000000" w:themeColor="text1"/>
        </w:rPr>
        <w:t>). In light of this, e</w:t>
      </w:r>
      <w:r w:rsidR="00B83D00" w:rsidRPr="00476FC9">
        <w:rPr>
          <w:color w:val="000000" w:themeColor="text1"/>
        </w:rPr>
        <w:t xml:space="preserve">xamining </w:t>
      </w:r>
      <w:r w:rsidR="007110C8" w:rsidRPr="00476FC9">
        <w:rPr>
          <w:color w:val="000000" w:themeColor="text1"/>
        </w:rPr>
        <w:t>the interplay between</w:t>
      </w:r>
      <w:r w:rsidR="00B83D00" w:rsidRPr="00476FC9">
        <w:rPr>
          <w:color w:val="000000" w:themeColor="text1"/>
        </w:rPr>
        <w:t xml:space="preserve"> internal and external factors may </w:t>
      </w:r>
      <w:r w:rsidR="00D771DB" w:rsidRPr="00476FC9">
        <w:rPr>
          <w:color w:val="000000" w:themeColor="text1"/>
        </w:rPr>
        <w:t xml:space="preserve">provide invaluable insight into our understanding of </w:t>
      </w:r>
      <w:r w:rsidR="001C6DA0" w:rsidRPr="00476FC9">
        <w:rPr>
          <w:color w:val="000000" w:themeColor="text1"/>
        </w:rPr>
        <w:t xml:space="preserve">consumers’ </w:t>
      </w:r>
      <w:r w:rsidR="00D771DB" w:rsidRPr="00476FC9">
        <w:rPr>
          <w:color w:val="000000" w:themeColor="text1"/>
        </w:rPr>
        <w:t xml:space="preserve">risk disclosure </w:t>
      </w:r>
      <w:r w:rsidR="00B87904" w:rsidRPr="00476FC9">
        <w:rPr>
          <w:color w:val="000000" w:themeColor="text1"/>
        </w:rPr>
        <w:t>coping strategies</w:t>
      </w:r>
      <w:r w:rsidR="00D771DB" w:rsidRPr="00476FC9">
        <w:rPr>
          <w:color w:val="000000" w:themeColor="text1"/>
        </w:rPr>
        <w:t>.</w:t>
      </w:r>
    </w:p>
    <w:p w:rsidR="00B83D00" w:rsidRPr="00476FC9" w:rsidRDefault="00BB2744"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Among others, the current research address</w:t>
      </w:r>
      <w:r w:rsidR="00530B5B" w:rsidRPr="00476FC9">
        <w:rPr>
          <w:color w:val="000000" w:themeColor="text1"/>
        </w:rPr>
        <w:t>es</w:t>
      </w:r>
      <w:r w:rsidRPr="00476FC9">
        <w:rPr>
          <w:color w:val="000000" w:themeColor="text1"/>
        </w:rPr>
        <w:t xml:space="preserve"> </w:t>
      </w:r>
      <w:r w:rsidR="00EB1FEC" w:rsidRPr="00476FC9">
        <w:rPr>
          <w:i/>
          <w:color w:val="000000" w:themeColor="text1"/>
        </w:rPr>
        <w:t>DTCA regulatory knowledge</w:t>
      </w:r>
      <w:r w:rsidR="00614D22" w:rsidRPr="00476FC9">
        <w:rPr>
          <w:i/>
          <w:color w:val="000000" w:themeColor="text1"/>
        </w:rPr>
        <w:t xml:space="preserve"> </w:t>
      </w:r>
      <w:r w:rsidR="00614D22" w:rsidRPr="00476FC9">
        <w:rPr>
          <w:color w:val="000000" w:themeColor="text1"/>
        </w:rPr>
        <w:t xml:space="preserve">to examine how consumers’ category-based processing (Goodstein, 1993) </w:t>
      </w:r>
      <w:r w:rsidRPr="00476FC9">
        <w:rPr>
          <w:color w:val="000000" w:themeColor="text1"/>
        </w:rPr>
        <w:t>affect</w:t>
      </w:r>
      <w:r w:rsidR="00AF54C7" w:rsidRPr="00476FC9">
        <w:rPr>
          <w:color w:val="000000" w:themeColor="text1"/>
        </w:rPr>
        <w:t>s</w:t>
      </w:r>
      <w:r w:rsidRPr="00476FC9">
        <w:rPr>
          <w:color w:val="000000" w:themeColor="text1"/>
        </w:rPr>
        <w:t xml:space="preserve"> </w:t>
      </w:r>
      <w:r w:rsidR="00530B5B" w:rsidRPr="00476FC9">
        <w:rPr>
          <w:color w:val="000000" w:themeColor="text1"/>
        </w:rPr>
        <w:t>their</w:t>
      </w:r>
      <w:r w:rsidR="00AF54C7" w:rsidRPr="00476FC9">
        <w:rPr>
          <w:color w:val="000000" w:themeColor="text1"/>
        </w:rPr>
        <w:t xml:space="preserve"> response to the </w:t>
      </w:r>
      <w:r w:rsidR="007110C8" w:rsidRPr="00476FC9">
        <w:rPr>
          <w:color w:val="000000" w:themeColor="text1"/>
        </w:rPr>
        <w:t xml:space="preserve">DTC </w:t>
      </w:r>
      <w:r w:rsidR="00AF54C7" w:rsidRPr="00476FC9">
        <w:rPr>
          <w:color w:val="000000" w:themeColor="text1"/>
        </w:rPr>
        <w:t>ad</w:t>
      </w:r>
      <w:r w:rsidRPr="00476FC9">
        <w:rPr>
          <w:color w:val="000000" w:themeColor="text1"/>
        </w:rPr>
        <w:t xml:space="preserve">. Consumer psychology indicates that </w:t>
      </w:r>
      <w:r w:rsidR="007110C8" w:rsidRPr="00476FC9">
        <w:rPr>
          <w:color w:val="000000" w:themeColor="text1"/>
        </w:rPr>
        <w:t xml:space="preserve">preexisting category knowledge </w:t>
      </w:r>
      <w:r w:rsidRPr="00476FC9">
        <w:rPr>
          <w:color w:val="000000" w:themeColor="text1"/>
        </w:rPr>
        <w:t xml:space="preserve">links consumers’ </w:t>
      </w:r>
      <w:r w:rsidRPr="00476FC9">
        <w:rPr>
          <w:color w:val="000000" w:themeColor="text1"/>
        </w:rPr>
        <w:lastRenderedPageBreak/>
        <w:t xml:space="preserve">expectations to their motivation to process </w:t>
      </w:r>
      <w:r w:rsidR="007110C8" w:rsidRPr="00476FC9">
        <w:rPr>
          <w:color w:val="000000" w:themeColor="text1"/>
        </w:rPr>
        <w:t>a</w:t>
      </w:r>
      <w:r w:rsidRPr="00476FC9">
        <w:rPr>
          <w:color w:val="000000" w:themeColor="text1"/>
        </w:rPr>
        <w:t>nd evaluat</w:t>
      </w:r>
      <w:r w:rsidR="007110C8" w:rsidRPr="00476FC9">
        <w:rPr>
          <w:color w:val="000000" w:themeColor="text1"/>
        </w:rPr>
        <w:t xml:space="preserve">e </w:t>
      </w:r>
      <w:r w:rsidR="004803DF" w:rsidRPr="00476FC9">
        <w:rPr>
          <w:color w:val="000000" w:themeColor="text1"/>
        </w:rPr>
        <w:t xml:space="preserve">information </w:t>
      </w:r>
      <w:r w:rsidRPr="00476FC9">
        <w:rPr>
          <w:color w:val="000000" w:themeColor="text1"/>
        </w:rPr>
        <w:t xml:space="preserve">stimuli (Sujan, 1985). This </w:t>
      </w:r>
      <w:r w:rsidR="004049CF" w:rsidRPr="00476FC9">
        <w:rPr>
          <w:color w:val="000000" w:themeColor="text1"/>
        </w:rPr>
        <w:t xml:space="preserve">category </w:t>
      </w:r>
      <w:r w:rsidRPr="00476FC9">
        <w:rPr>
          <w:color w:val="000000" w:themeColor="text1"/>
        </w:rPr>
        <w:t xml:space="preserve">knowledge structure is referred to as </w:t>
      </w:r>
      <w:r w:rsidRPr="00476FC9">
        <w:rPr>
          <w:i/>
          <w:color w:val="000000" w:themeColor="text1"/>
        </w:rPr>
        <w:t>schemata</w:t>
      </w:r>
      <w:r w:rsidRPr="00476FC9">
        <w:rPr>
          <w:color w:val="000000" w:themeColor="text1"/>
        </w:rPr>
        <w:t xml:space="preserve"> (Goodstein, 1993).</w:t>
      </w:r>
      <w:r w:rsidR="00AF54C7" w:rsidRPr="00476FC9">
        <w:rPr>
          <w:color w:val="000000" w:themeColor="text1"/>
        </w:rPr>
        <w:t xml:space="preserve"> Advertising schemas are developed through repeated </w:t>
      </w:r>
      <w:r w:rsidR="007110C8" w:rsidRPr="00476FC9">
        <w:rPr>
          <w:color w:val="000000" w:themeColor="text1"/>
        </w:rPr>
        <w:t xml:space="preserve">learning regarding </w:t>
      </w:r>
      <w:r w:rsidR="00AF54C7" w:rsidRPr="00476FC9">
        <w:rPr>
          <w:color w:val="000000" w:themeColor="text1"/>
        </w:rPr>
        <w:t>a particular advertising category</w:t>
      </w:r>
      <w:r w:rsidR="004049CF" w:rsidRPr="00476FC9">
        <w:rPr>
          <w:color w:val="000000" w:themeColor="text1"/>
        </w:rPr>
        <w:t>,</w:t>
      </w:r>
      <w:r w:rsidR="00ED384C" w:rsidRPr="00476FC9">
        <w:rPr>
          <w:color w:val="000000" w:themeColor="text1"/>
        </w:rPr>
        <w:t xml:space="preserve"> and this can </w:t>
      </w:r>
      <w:r w:rsidR="0054669F" w:rsidRPr="00476FC9">
        <w:rPr>
          <w:color w:val="000000" w:themeColor="text1"/>
        </w:rPr>
        <w:t>involve</w:t>
      </w:r>
      <w:r w:rsidR="00ED384C" w:rsidRPr="00476FC9">
        <w:rPr>
          <w:color w:val="000000" w:themeColor="text1"/>
        </w:rPr>
        <w:t xml:space="preserve"> semantic and structural features</w:t>
      </w:r>
      <w:r w:rsidR="00AF54C7" w:rsidRPr="00476FC9">
        <w:rPr>
          <w:color w:val="000000" w:themeColor="text1"/>
        </w:rPr>
        <w:t xml:space="preserve"> </w:t>
      </w:r>
      <w:r w:rsidR="00862ED7" w:rsidRPr="00476FC9">
        <w:rPr>
          <w:color w:val="000000" w:themeColor="text1"/>
        </w:rPr>
        <w:t>(Friestad &amp; Wright, 1994)</w:t>
      </w:r>
      <w:r w:rsidR="00AF54C7" w:rsidRPr="00476FC9">
        <w:rPr>
          <w:color w:val="000000" w:themeColor="text1"/>
        </w:rPr>
        <w:t xml:space="preserve">. </w:t>
      </w:r>
      <w:r w:rsidR="00B87904" w:rsidRPr="00476FC9">
        <w:rPr>
          <w:color w:val="000000" w:themeColor="text1"/>
        </w:rPr>
        <w:t xml:space="preserve">Based on </w:t>
      </w:r>
      <w:r w:rsidR="008964AF" w:rsidRPr="00476FC9">
        <w:rPr>
          <w:color w:val="000000" w:themeColor="text1"/>
        </w:rPr>
        <w:t xml:space="preserve">the literature, therefore, </w:t>
      </w:r>
      <w:r w:rsidR="00B87904" w:rsidRPr="00476FC9">
        <w:rPr>
          <w:color w:val="000000" w:themeColor="text1"/>
        </w:rPr>
        <w:t>i</w:t>
      </w:r>
      <w:r w:rsidR="00AF54C7" w:rsidRPr="00476FC9">
        <w:rPr>
          <w:color w:val="000000" w:themeColor="text1"/>
        </w:rPr>
        <w:t xml:space="preserve">t is </w:t>
      </w:r>
      <w:r w:rsidR="008C3DC6" w:rsidRPr="00476FC9">
        <w:rPr>
          <w:color w:val="000000" w:themeColor="text1"/>
        </w:rPr>
        <w:t>expected</w:t>
      </w:r>
      <w:r w:rsidR="00AF54C7" w:rsidRPr="00476FC9">
        <w:rPr>
          <w:color w:val="000000" w:themeColor="text1"/>
        </w:rPr>
        <w:t xml:space="preserve"> that</w:t>
      </w:r>
      <w:r w:rsidR="00FE6910" w:rsidRPr="00476FC9">
        <w:rPr>
          <w:color w:val="000000" w:themeColor="text1"/>
        </w:rPr>
        <w:t xml:space="preserve"> consumers’ </w:t>
      </w:r>
      <w:r w:rsidR="00917C9E" w:rsidRPr="00476FC9">
        <w:rPr>
          <w:color w:val="000000" w:themeColor="text1"/>
        </w:rPr>
        <w:t xml:space="preserve">cognitive </w:t>
      </w:r>
      <w:r w:rsidR="00FE6910" w:rsidRPr="00476FC9">
        <w:rPr>
          <w:color w:val="000000" w:themeColor="text1"/>
        </w:rPr>
        <w:t>schemas</w:t>
      </w:r>
      <w:r w:rsidR="00116C9A" w:rsidRPr="00476FC9">
        <w:rPr>
          <w:color w:val="000000" w:themeColor="text1"/>
        </w:rPr>
        <w:t xml:space="preserve"> </w:t>
      </w:r>
      <w:r w:rsidR="00FE6910" w:rsidRPr="00476FC9">
        <w:rPr>
          <w:color w:val="000000" w:themeColor="text1"/>
        </w:rPr>
        <w:t xml:space="preserve">regarding a </w:t>
      </w:r>
      <w:r w:rsidR="00917C9E" w:rsidRPr="00476FC9">
        <w:rPr>
          <w:color w:val="000000" w:themeColor="text1"/>
        </w:rPr>
        <w:t xml:space="preserve">particular </w:t>
      </w:r>
      <w:r w:rsidR="00FE6910" w:rsidRPr="00476FC9">
        <w:rPr>
          <w:color w:val="000000" w:themeColor="text1"/>
        </w:rPr>
        <w:t>regulatory context for ad design</w:t>
      </w:r>
      <w:r w:rsidR="00116C9A" w:rsidRPr="00476FC9">
        <w:rPr>
          <w:color w:val="000000" w:themeColor="text1"/>
        </w:rPr>
        <w:t xml:space="preserve"> (i.e., DTCA regulatory knowledge) </w:t>
      </w:r>
      <w:r w:rsidR="00AF54C7" w:rsidRPr="00476FC9">
        <w:rPr>
          <w:color w:val="000000" w:themeColor="text1"/>
        </w:rPr>
        <w:t>can be organized around produ</w:t>
      </w:r>
      <w:r w:rsidR="00917C9E" w:rsidRPr="00476FC9">
        <w:rPr>
          <w:color w:val="000000" w:themeColor="text1"/>
        </w:rPr>
        <w:t xml:space="preserve">ct categories (Goodstein, 1993). In </w:t>
      </w:r>
      <w:r w:rsidR="00116C9A" w:rsidRPr="00476FC9">
        <w:rPr>
          <w:color w:val="000000" w:themeColor="text1"/>
        </w:rPr>
        <w:t xml:space="preserve">addition, </w:t>
      </w:r>
      <w:r w:rsidR="00B87904" w:rsidRPr="00476FC9">
        <w:rPr>
          <w:color w:val="000000" w:themeColor="text1"/>
        </w:rPr>
        <w:t xml:space="preserve">individuals </w:t>
      </w:r>
      <w:r w:rsidR="00AF54C7" w:rsidRPr="00476FC9">
        <w:rPr>
          <w:color w:val="000000" w:themeColor="text1"/>
        </w:rPr>
        <w:t xml:space="preserve">may have different levels of </w:t>
      </w:r>
      <w:r w:rsidR="00EB1FEC" w:rsidRPr="00476FC9">
        <w:rPr>
          <w:color w:val="000000" w:themeColor="text1"/>
        </w:rPr>
        <w:t>DTCA regulatory knowledge</w:t>
      </w:r>
      <w:r w:rsidR="00316F43" w:rsidRPr="00476FC9">
        <w:rPr>
          <w:color w:val="000000" w:themeColor="text1"/>
        </w:rPr>
        <w:t xml:space="preserve"> because they may have varying levels of experience with DTCA</w:t>
      </w:r>
      <w:r w:rsidR="00AF54C7" w:rsidRPr="00476FC9">
        <w:rPr>
          <w:color w:val="000000" w:themeColor="text1"/>
        </w:rPr>
        <w:t>.</w:t>
      </w:r>
      <w:r w:rsidR="00B87904" w:rsidRPr="00476FC9">
        <w:rPr>
          <w:color w:val="000000" w:themeColor="text1"/>
        </w:rPr>
        <w:t xml:space="preserve"> Addressing the role of DTCA regulatory knowledge may </w:t>
      </w:r>
      <w:r w:rsidR="00316F43" w:rsidRPr="00476FC9">
        <w:rPr>
          <w:color w:val="000000" w:themeColor="text1"/>
        </w:rPr>
        <w:t xml:space="preserve">shed light on </w:t>
      </w:r>
      <w:r w:rsidR="00B87904" w:rsidRPr="00476FC9">
        <w:rPr>
          <w:color w:val="000000" w:themeColor="text1"/>
        </w:rPr>
        <w:t>how consumers cope with DTCA information using their regulatory schema regarding the DTCA category, which is an underexplored area.</w:t>
      </w:r>
    </w:p>
    <w:p w:rsidR="00A81BAD" w:rsidRPr="00476FC9" w:rsidRDefault="00A81BAD" w:rsidP="007D2ACE">
      <w:pPr>
        <w:keepNext w:val="0"/>
        <w:widowControl w:val="0"/>
        <w:kinsoku w:val="0"/>
        <w:overflowPunct w:val="0"/>
        <w:autoSpaceDE w:val="0"/>
        <w:autoSpaceDN w:val="0"/>
        <w:adjustRightInd w:val="0"/>
        <w:snapToGrid w:val="0"/>
        <w:spacing w:before="0" w:after="0"/>
        <w:ind w:firstLine="720"/>
        <w:rPr>
          <w:color w:val="000000" w:themeColor="text1"/>
        </w:rPr>
      </w:pPr>
    </w:p>
    <w:p w:rsidR="00A81BAD" w:rsidRPr="00476FC9" w:rsidRDefault="00A81BAD" w:rsidP="007D2ACE">
      <w:pPr>
        <w:pStyle w:val="Heading2"/>
        <w:rPr>
          <w:color w:val="000000" w:themeColor="text1"/>
        </w:rPr>
      </w:pPr>
      <w:bookmarkStart w:id="14" w:name="_Toc393800661"/>
      <w:r w:rsidRPr="00476FC9">
        <w:rPr>
          <w:color w:val="000000" w:themeColor="text1"/>
        </w:rPr>
        <w:t xml:space="preserve">DTCA </w:t>
      </w:r>
      <w:r w:rsidR="00EB1FEC" w:rsidRPr="00476FC9">
        <w:rPr>
          <w:color w:val="000000" w:themeColor="text1"/>
        </w:rPr>
        <w:t>Regulatory</w:t>
      </w:r>
      <w:r w:rsidRPr="00476FC9">
        <w:rPr>
          <w:color w:val="000000" w:themeColor="text1"/>
        </w:rPr>
        <w:t xml:space="preserve"> Knowledge and Risk Disclosure Prominence</w:t>
      </w:r>
      <w:bookmarkEnd w:id="14"/>
    </w:p>
    <w:p w:rsidR="000B731B" w:rsidRPr="00476FC9" w:rsidRDefault="00B83D00"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The notion of information </w:t>
      </w:r>
      <w:r w:rsidRPr="00476FC9">
        <w:rPr>
          <w:i/>
          <w:color w:val="000000" w:themeColor="text1"/>
        </w:rPr>
        <w:t>encoding</w:t>
      </w:r>
      <w:r w:rsidR="00BB2744" w:rsidRPr="00476FC9">
        <w:rPr>
          <w:color w:val="000000" w:themeColor="text1"/>
        </w:rPr>
        <w:t xml:space="preserve"> </w:t>
      </w:r>
      <w:r w:rsidR="00556C37" w:rsidRPr="00476FC9">
        <w:rPr>
          <w:color w:val="000000" w:themeColor="text1"/>
        </w:rPr>
        <w:t xml:space="preserve">(i.e., storing) </w:t>
      </w:r>
      <w:r w:rsidR="00BB2744" w:rsidRPr="00476FC9">
        <w:rPr>
          <w:color w:val="000000" w:themeColor="text1"/>
        </w:rPr>
        <w:t xml:space="preserve">and </w:t>
      </w:r>
      <w:r w:rsidR="00BB2744" w:rsidRPr="00476FC9">
        <w:rPr>
          <w:i/>
          <w:color w:val="000000" w:themeColor="text1"/>
        </w:rPr>
        <w:t>decoding</w:t>
      </w:r>
      <w:r w:rsidRPr="00476FC9">
        <w:rPr>
          <w:color w:val="000000" w:themeColor="text1"/>
        </w:rPr>
        <w:t xml:space="preserve"> </w:t>
      </w:r>
      <w:r w:rsidR="00B87904" w:rsidRPr="00476FC9">
        <w:rPr>
          <w:color w:val="000000" w:themeColor="text1"/>
        </w:rPr>
        <w:t xml:space="preserve">(i.e., retrieving) </w:t>
      </w:r>
      <w:r w:rsidRPr="00476FC9">
        <w:rPr>
          <w:color w:val="000000" w:themeColor="text1"/>
        </w:rPr>
        <w:t>proficiency is often associated with preexisting memory structure</w:t>
      </w:r>
      <w:r w:rsidR="00BB2744" w:rsidRPr="00476FC9">
        <w:rPr>
          <w:color w:val="000000" w:themeColor="text1"/>
        </w:rPr>
        <w:t xml:space="preserve"> </w:t>
      </w:r>
      <w:r w:rsidRPr="00476FC9">
        <w:rPr>
          <w:color w:val="000000" w:themeColor="text1"/>
        </w:rPr>
        <w:t xml:space="preserve">(Bettman et al., 1986; Mazis &amp; Staelin, 1982). </w:t>
      </w:r>
      <w:r w:rsidR="00ED044E" w:rsidRPr="00476FC9">
        <w:rPr>
          <w:color w:val="000000" w:themeColor="text1"/>
        </w:rPr>
        <w:t>As noted, c</w:t>
      </w:r>
      <w:r w:rsidR="00B95362" w:rsidRPr="00476FC9">
        <w:rPr>
          <w:color w:val="000000" w:themeColor="text1"/>
        </w:rPr>
        <w:t>ognitive schemata involve</w:t>
      </w:r>
      <w:r w:rsidRPr="00476FC9">
        <w:rPr>
          <w:color w:val="000000" w:themeColor="text1"/>
        </w:rPr>
        <w:t xml:space="preserve"> how information is organized</w:t>
      </w:r>
      <w:r w:rsidR="00ED044E" w:rsidRPr="00476FC9">
        <w:rPr>
          <w:color w:val="000000" w:themeColor="text1"/>
        </w:rPr>
        <w:t xml:space="preserve"> in </w:t>
      </w:r>
      <w:r w:rsidR="00AC6DE0" w:rsidRPr="00476FC9">
        <w:rPr>
          <w:color w:val="000000" w:themeColor="text1"/>
        </w:rPr>
        <w:t xml:space="preserve">a long-term </w:t>
      </w:r>
      <w:r w:rsidR="00ED044E" w:rsidRPr="00476FC9">
        <w:rPr>
          <w:color w:val="000000" w:themeColor="text1"/>
        </w:rPr>
        <w:t>memory</w:t>
      </w:r>
      <w:r w:rsidRPr="00476FC9">
        <w:rPr>
          <w:color w:val="000000" w:themeColor="text1"/>
        </w:rPr>
        <w:t xml:space="preserve"> </w:t>
      </w:r>
      <w:r w:rsidR="00ED044E" w:rsidRPr="00476FC9">
        <w:rPr>
          <w:color w:val="000000" w:themeColor="text1"/>
        </w:rPr>
        <w:t>regarding a particular category</w:t>
      </w:r>
      <w:r w:rsidRPr="00476FC9">
        <w:rPr>
          <w:color w:val="000000" w:themeColor="text1"/>
        </w:rPr>
        <w:t xml:space="preserve">. </w:t>
      </w:r>
      <w:r w:rsidR="00EB1FEC" w:rsidRPr="00476FC9">
        <w:rPr>
          <w:color w:val="000000" w:themeColor="text1"/>
        </w:rPr>
        <w:t>DTCA regulatory knowledge</w:t>
      </w:r>
      <w:r w:rsidR="00ED044E" w:rsidRPr="00476FC9">
        <w:rPr>
          <w:color w:val="000000" w:themeColor="text1"/>
        </w:rPr>
        <w:t xml:space="preserve"> may represent one type of cognitive schemata regarding the DTCA category. This knowledge can include overall understanding of FDA’s </w:t>
      </w:r>
      <w:r w:rsidR="00290B97" w:rsidRPr="00476FC9">
        <w:rPr>
          <w:color w:val="000000" w:themeColor="text1"/>
        </w:rPr>
        <w:t xml:space="preserve">overall </w:t>
      </w:r>
      <w:r w:rsidR="00ED044E" w:rsidRPr="00476FC9">
        <w:rPr>
          <w:color w:val="000000" w:themeColor="text1"/>
        </w:rPr>
        <w:t>control</w:t>
      </w:r>
      <w:r w:rsidR="00290B97" w:rsidRPr="00476FC9">
        <w:rPr>
          <w:color w:val="000000" w:themeColor="text1"/>
        </w:rPr>
        <w:t xml:space="preserve"> over DTCA</w:t>
      </w:r>
      <w:r w:rsidR="00ED044E" w:rsidRPr="00476FC9">
        <w:rPr>
          <w:color w:val="000000" w:themeColor="text1"/>
        </w:rPr>
        <w:t xml:space="preserve">, </w:t>
      </w:r>
      <w:r w:rsidR="00290B97" w:rsidRPr="00476FC9">
        <w:rPr>
          <w:color w:val="000000" w:themeColor="text1"/>
        </w:rPr>
        <w:t xml:space="preserve">particularly </w:t>
      </w:r>
      <w:r w:rsidR="00ED044E" w:rsidRPr="00476FC9">
        <w:rPr>
          <w:color w:val="000000" w:themeColor="text1"/>
        </w:rPr>
        <w:t>its content</w:t>
      </w:r>
      <w:r w:rsidR="00290B97" w:rsidRPr="00476FC9">
        <w:rPr>
          <w:color w:val="000000" w:themeColor="text1"/>
        </w:rPr>
        <w:t xml:space="preserve"> and </w:t>
      </w:r>
      <w:r w:rsidR="00ED044E" w:rsidRPr="00476FC9">
        <w:rPr>
          <w:color w:val="000000" w:themeColor="text1"/>
        </w:rPr>
        <w:t>design</w:t>
      </w:r>
      <w:r w:rsidR="00290B97" w:rsidRPr="00476FC9">
        <w:rPr>
          <w:color w:val="000000" w:themeColor="text1"/>
        </w:rPr>
        <w:t>,</w:t>
      </w:r>
      <w:r w:rsidR="00ED044E" w:rsidRPr="00476FC9">
        <w:rPr>
          <w:color w:val="000000" w:themeColor="text1"/>
        </w:rPr>
        <w:t xml:space="preserve"> </w:t>
      </w:r>
      <w:r w:rsidR="00290B97" w:rsidRPr="00476FC9">
        <w:rPr>
          <w:color w:val="000000" w:themeColor="text1"/>
        </w:rPr>
        <w:t xml:space="preserve">and </w:t>
      </w:r>
      <w:r w:rsidR="00ED044E" w:rsidRPr="00476FC9">
        <w:rPr>
          <w:color w:val="000000" w:themeColor="text1"/>
        </w:rPr>
        <w:t>developmental and approval proce</w:t>
      </w:r>
      <w:r w:rsidR="00290B97" w:rsidRPr="00476FC9">
        <w:rPr>
          <w:color w:val="000000" w:themeColor="text1"/>
        </w:rPr>
        <w:t>ss</w:t>
      </w:r>
      <w:r w:rsidR="00ED044E" w:rsidRPr="00476FC9">
        <w:rPr>
          <w:color w:val="000000" w:themeColor="text1"/>
        </w:rPr>
        <w:t xml:space="preserve">. </w:t>
      </w:r>
      <w:r w:rsidR="00B87904" w:rsidRPr="00476FC9">
        <w:rPr>
          <w:color w:val="000000" w:themeColor="text1"/>
        </w:rPr>
        <w:t xml:space="preserve">In addition, </w:t>
      </w:r>
      <w:r w:rsidR="00B87904" w:rsidRPr="00476FC9">
        <w:rPr>
          <w:i/>
          <w:color w:val="000000" w:themeColor="text1"/>
        </w:rPr>
        <w:t>t</w:t>
      </w:r>
      <w:r w:rsidRPr="00476FC9">
        <w:rPr>
          <w:i/>
          <w:color w:val="000000" w:themeColor="text1"/>
        </w:rPr>
        <w:t xml:space="preserve">extual schemata </w:t>
      </w:r>
      <w:r w:rsidRPr="00476FC9">
        <w:rPr>
          <w:color w:val="000000" w:themeColor="text1"/>
        </w:rPr>
        <w:t xml:space="preserve">relate </w:t>
      </w:r>
      <w:r w:rsidR="00711923" w:rsidRPr="00476FC9">
        <w:rPr>
          <w:color w:val="000000" w:themeColor="text1"/>
        </w:rPr>
        <w:t>the extent to which c</w:t>
      </w:r>
      <w:r w:rsidRPr="00476FC9">
        <w:rPr>
          <w:color w:val="000000" w:themeColor="text1"/>
        </w:rPr>
        <w:t>onsumers are familiar with a particular way of information presentation</w:t>
      </w:r>
      <w:r w:rsidR="00A9637E" w:rsidRPr="00476FC9">
        <w:rPr>
          <w:color w:val="000000" w:themeColor="text1"/>
        </w:rPr>
        <w:t xml:space="preserve"> in a particular information category</w:t>
      </w:r>
      <w:r w:rsidRPr="00476FC9">
        <w:rPr>
          <w:color w:val="000000" w:themeColor="text1"/>
        </w:rPr>
        <w:t xml:space="preserve"> (Bettman et al., 1986; Sheehan, 2007). Given that consumers are socialized </w:t>
      </w:r>
      <w:r w:rsidRPr="00476FC9">
        <w:rPr>
          <w:color w:val="000000" w:themeColor="text1"/>
        </w:rPr>
        <w:lastRenderedPageBreak/>
        <w:t>to learn about how DTCA</w:t>
      </w:r>
      <w:r w:rsidR="006158B2" w:rsidRPr="00476FC9">
        <w:rPr>
          <w:color w:val="000000" w:themeColor="text1"/>
        </w:rPr>
        <w:t xml:space="preserve"> tends to </w:t>
      </w:r>
      <w:r w:rsidRPr="00476FC9">
        <w:rPr>
          <w:color w:val="000000" w:themeColor="text1"/>
        </w:rPr>
        <w:t xml:space="preserve">present information </w:t>
      </w:r>
      <w:r w:rsidR="006158B2" w:rsidRPr="00476FC9">
        <w:rPr>
          <w:color w:val="000000" w:themeColor="text1"/>
        </w:rPr>
        <w:t xml:space="preserve">about the medicine </w:t>
      </w:r>
      <w:r w:rsidRPr="00476FC9">
        <w:rPr>
          <w:color w:val="000000" w:themeColor="text1"/>
        </w:rPr>
        <w:t>(i.e., headline, uses and efficacy information, and risk disclosure)</w:t>
      </w:r>
      <w:r w:rsidR="00B87904" w:rsidRPr="00476FC9">
        <w:rPr>
          <w:color w:val="000000" w:themeColor="text1"/>
        </w:rPr>
        <w:t xml:space="preserve"> and how such information </w:t>
      </w:r>
      <w:r w:rsidR="006158B2" w:rsidRPr="00476FC9">
        <w:rPr>
          <w:color w:val="000000" w:themeColor="text1"/>
        </w:rPr>
        <w:t xml:space="preserve">is regulated by </w:t>
      </w:r>
      <w:r w:rsidR="00B87904" w:rsidRPr="00476FC9">
        <w:rPr>
          <w:color w:val="000000" w:themeColor="text1"/>
        </w:rPr>
        <w:t>law</w:t>
      </w:r>
      <w:r w:rsidRPr="00476FC9">
        <w:rPr>
          <w:color w:val="000000" w:themeColor="text1"/>
        </w:rPr>
        <w:t xml:space="preserve">, </w:t>
      </w:r>
      <w:r w:rsidR="006158B2" w:rsidRPr="00476FC9">
        <w:rPr>
          <w:color w:val="000000" w:themeColor="text1"/>
        </w:rPr>
        <w:t xml:space="preserve">the overall heuristic based on type regulatory and textual schemata regarding DTCA serves as cognitive processing facilitators. That is, </w:t>
      </w:r>
      <w:r w:rsidR="00250233" w:rsidRPr="00476FC9">
        <w:rPr>
          <w:color w:val="000000" w:themeColor="text1"/>
        </w:rPr>
        <w:t xml:space="preserve">information </w:t>
      </w:r>
      <w:r w:rsidRPr="00476FC9">
        <w:rPr>
          <w:color w:val="000000" w:themeColor="text1"/>
        </w:rPr>
        <w:t xml:space="preserve">organization </w:t>
      </w:r>
      <w:r w:rsidR="00250233" w:rsidRPr="00476FC9">
        <w:rPr>
          <w:color w:val="000000" w:themeColor="text1"/>
        </w:rPr>
        <w:t>that is compatible with</w:t>
      </w:r>
      <w:r w:rsidR="00BE60C4" w:rsidRPr="00476FC9">
        <w:rPr>
          <w:color w:val="000000" w:themeColor="text1"/>
        </w:rPr>
        <w:t xml:space="preserve"> consuimers’ </w:t>
      </w:r>
      <w:r w:rsidR="00250233" w:rsidRPr="00476FC9">
        <w:rPr>
          <w:color w:val="000000" w:themeColor="text1"/>
        </w:rPr>
        <w:t xml:space="preserve">pre-existing schemata </w:t>
      </w:r>
      <w:r w:rsidRPr="00476FC9">
        <w:rPr>
          <w:color w:val="000000" w:themeColor="text1"/>
        </w:rPr>
        <w:t>would be</w:t>
      </w:r>
      <w:r w:rsidR="00250233" w:rsidRPr="00476FC9">
        <w:rPr>
          <w:color w:val="000000" w:themeColor="text1"/>
        </w:rPr>
        <w:t xml:space="preserve"> more</w:t>
      </w:r>
      <w:r w:rsidRPr="00476FC9">
        <w:rPr>
          <w:color w:val="000000" w:themeColor="text1"/>
        </w:rPr>
        <w:t xml:space="preserve"> </w:t>
      </w:r>
      <w:r w:rsidR="00BE60C4" w:rsidRPr="00476FC9">
        <w:rPr>
          <w:color w:val="000000" w:themeColor="text1"/>
        </w:rPr>
        <w:t xml:space="preserve">easily recognized and therefore </w:t>
      </w:r>
      <w:r w:rsidRPr="00476FC9">
        <w:rPr>
          <w:color w:val="000000" w:themeColor="text1"/>
        </w:rPr>
        <w:t xml:space="preserve">effective (Sheehan, 2007). </w:t>
      </w:r>
      <w:r w:rsidR="00940023" w:rsidRPr="00476FC9">
        <w:rPr>
          <w:color w:val="000000" w:themeColor="text1"/>
        </w:rPr>
        <w:t>Although Sheehan (2007) notes that textual schemata would facilitate consumer information processing</w:t>
      </w:r>
      <w:r w:rsidR="00F64F03" w:rsidRPr="00476FC9">
        <w:rPr>
          <w:color w:val="000000" w:themeColor="text1"/>
        </w:rPr>
        <w:t xml:space="preserve"> from DTCA</w:t>
      </w:r>
      <w:r w:rsidR="00940023" w:rsidRPr="00476FC9">
        <w:rPr>
          <w:color w:val="000000" w:themeColor="text1"/>
        </w:rPr>
        <w:t xml:space="preserve">, given the unique regulatory context of DTCA </w:t>
      </w:r>
      <w:r w:rsidR="00CC0EA2" w:rsidRPr="00476FC9">
        <w:rPr>
          <w:color w:val="000000" w:themeColor="text1"/>
        </w:rPr>
        <w:t xml:space="preserve">for ad design, </w:t>
      </w:r>
      <w:r w:rsidR="00940023" w:rsidRPr="00476FC9">
        <w:rPr>
          <w:color w:val="000000" w:themeColor="text1"/>
        </w:rPr>
        <w:t xml:space="preserve">examining the interactive influence of textual and regulatory schemata could provide richer insight into our understanding of risk disclosure effects. </w:t>
      </w:r>
    </w:p>
    <w:p w:rsidR="00DC692F" w:rsidRPr="00476FC9" w:rsidRDefault="00250233"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In this regard, c</w:t>
      </w:r>
      <w:r w:rsidR="00892AE9" w:rsidRPr="00476FC9">
        <w:rPr>
          <w:color w:val="000000" w:themeColor="text1"/>
        </w:rPr>
        <w:t>onsumers</w:t>
      </w:r>
      <w:r w:rsidR="00B83D00" w:rsidRPr="00476FC9">
        <w:rPr>
          <w:color w:val="000000" w:themeColor="text1"/>
        </w:rPr>
        <w:t xml:space="preserve"> are </w:t>
      </w:r>
      <w:r w:rsidR="00636F66" w:rsidRPr="00476FC9">
        <w:rPr>
          <w:color w:val="000000" w:themeColor="text1"/>
        </w:rPr>
        <w:t xml:space="preserve">more </w:t>
      </w:r>
      <w:r w:rsidR="00B83D00" w:rsidRPr="00476FC9">
        <w:rPr>
          <w:color w:val="000000" w:themeColor="text1"/>
        </w:rPr>
        <w:t xml:space="preserve">likely to </w:t>
      </w:r>
      <w:r w:rsidRPr="00476FC9">
        <w:rPr>
          <w:color w:val="000000" w:themeColor="text1"/>
        </w:rPr>
        <w:t>view</w:t>
      </w:r>
      <w:r w:rsidR="00B83D00" w:rsidRPr="00476FC9">
        <w:rPr>
          <w:color w:val="000000" w:themeColor="text1"/>
        </w:rPr>
        <w:t xml:space="preserve"> that important information is highlighted using various message execution devices such as color, font, size, or location.</w:t>
      </w:r>
      <w:r w:rsidR="00636F66" w:rsidRPr="00476FC9">
        <w:rPr>
          <w:color w:val="000000" w:themeColor="text1"/>
        </w:rPr>
        <w:t xml:space="preserve"> </w:t>
      </w:r>
      <w:r w:rsidR="000B731B" w:rsidRPr="00476FC9">
        <w:rPr>
          <w:color w:val="000000" w:themeColor="text1"/>
        </w:rPr>
        <w:t xml:space="preserve">The </w:t>
      </w:r>
      <w:r w:rsidR="00824CF9" w:rsidRPr="00476FC9">
        <w:rPr>
          <w:color w:val="000000" w:themeColor="text1"/>
        </w:rPr>
        <w:t xml:space="preserve">risk disclosure </w:t>
      </w:r>
      <w:r w:rsidR="000B731B" w:rsidRPr="00476FC9">
        <w:rPr>
          <w:color w:val="000000" w:themeColor="text1"/>
        </w:rPr>
        <w:t xml:space="preserve">prominence effects could be a result of consumers’ textual schemata. On the other hand, those who have high DTCA regulatory knowledge may recognize the advertising category must present important risk information and are more likely to look to risk disclosure to make </w:t>
      </w:r>
      <w:r w:rsidR="00824CF9" w:rsidRPr="00476FC9">
        <w:rPr>
          <w:color w:val="000000" w:themeColor="text1"/>
        </w:rPr>
        <w:t xml:space="preserve">sound </w:t>
      </w:r>
      <w:r w:rsidR="000B731B" w:rsidRPr="00476FC9">
        <w:rPr>
          <w:color w:val="000000" w:themeColor="text1"/>
        </w:rPr>
        <w:t xml:space="preserve">health decisions regardless of textual devices. </w:t>
      </w:r>
      <w:r w:rsidRPr="00476FC9">
        <w:rPr>
          <w:color w:val="000000" w:themeColor="text1"/>
        </w:rPr>
        <w:t>Based on this, DTCA</w:t>
      </w:r>
      <w:r w:rsidR="00ED384C" w:rsidRPr="00476FC9">
        <w:rPr>
          <w:color w:val="000000" w:themeColor="text1"/>
        </w:rPr>
        <w:t xml:space="preserve"> regulatory knowledge </w:t>
      </w:r>
      <w:r w:rsidR="00B83D00" w:rsidRPr="00476FC9">
        <w:rPr>
          <w:color w:val="000000" w:themeColor="text1"/>
        </w:rPr>
        <w:t xml:space="preserve">could serve as </w:t>
      </w:r>
      <w:r w:rsidR="00B83D00" w:rsidRPr="00476FC9">
        <w:rPr>
          <w:i/>
          <w:color w:val="000000" w:themeColor="text1"/>
        </w:rPr>
        <w:t>heuristic inference</w:t>
      </w:r>
      <w:r w:rsidR="00B83D00" w:rsidRPr="00476FC9">
        <w:rPr>
          <w:color w:val="000000" w:themeColor="text1"/>
        </w:rPr>
        <w:t xml:space="preserve"> cues and will signal consumer</w:t>
      </w:r>
      <w:r w:rsidR="00824CF9" w:rsidRPr="00476FC9">
        <w:rPr>
          <w:color w:val="000000" w:themeColor="text1"/>
        </w:rPr>
        <w:t>s’</w:t>
      </w:r>
      <w:r w:rsidR="00B83D00" w:rsidRPr="00476FC9">
        <w:rPr>
          <w:color w:val="000000" w:themeColor="text1"/>
        </w:rPr>
        <w:t xml:space="preserve"> </w:t>
      </w:r>
      <w:r w:rsidR="00ED384C" w:rsidRPr="00476FC9">
        <w:rPr>
          <w:color w:val="000000" w:themeColor="text1"/>
        </w:rPr>
        <w:t>locating</w:t>
      </w:r>
      <w:r w:rsidR="00B83D00" w:rsidRPr="00476FC9">
        <w:rPr>
          <w:color w:val="000000" w:themeColor="text1"/>
        </w:rPr>
        <w:t xml:space="preserve"> of </w:t>
      </w:r>
      <w:r w:rsidR="00ED384C" w:rsidRPr="00476FC9">
        <w:rPr>
          <w:color w:val="000000" w:themeColor="text1"/>
        </w:rPr>
        <w:t>risk disclosure information</w:t>
      </w:r>
      <w:r w:rsidR="005F767A" w:rsidRPr="00476FC9">
        <w:rPr>
          <w:color w:val="000000" w:themeColor="text1"/>
        </w:rPr>
        <w:t xml:space="preserve"> in DTC ads</w:t>
      </w:r>
      <w:r w:rsidR="00B83D00" w:rsidRPr="00476FC9">
        <w:rPr>
          <w:color w:val="000000" w:themeColor="text1"/>
        </w:rPr>
        <w:t xml:space="preserve">. </w:t>
      </w:r>
      <w:r w:rsidR="00ED384C" w:rsidRPr="00476FC9">
        <w:rPr>
          <w:color w:val="000000" w:themeColor="text1"/>
        </w:rPr>
        <w:t>W</w:t>
      </w:r>
      <w:r w:rsidR="00B83D00" w:rsidRPr="00476FC9">
        <w:rPr>
          <w:color w:val="000000" w:themeColor="text1"/>
        </w:rPr>
        <w:t xml:space="preserve">hen </w:t>
      </w:r>
      <w:r w:rsidR="00ED384C" w:rsidRPr="00476FC9">
        <w:rPr>
          <w:color w:val="000000" w:themeColor="text1"/>
        </w:rPr>
        <w:t xml:space="preserve">DTCA regulatory knowledge </w:t>
      </w:r>
      <w:r w:rsidR="00D845BD" w:rsidRPr="00476FC9">
        <w:rPr>
          <w:color w:val="000000" w:themeColor="text1"/>
        </w:rPr>
        <w:t>is</w:t>
      </w:r>
      <w:r w:rsidR="00B83D00" w:rsidRPr="00476FC9">
        <w:rPr>
          <w:color w:val="000000" w:themeColor="text1"/>
        </w:rPr>
        <w:t xml:space="preserve"> high</w:t>
      </w:r>
      <w:r w:rsidR="00ED384C" w:rsidRPr="00476FC9">
        <w:rPr>
          <w:color w:val="000000" w:themeColor="text1"/>
        </w:rPr>
        <w:t>, consumers’ diagnocity of risk information in DTC ads will be high</w:t>
      </w:r>
      <w:r w:rsidR="0087172D" w:rsidRPr="00476FC9">
        <w:rPr>
          <w:color w:val="000000" w:themeColor="text1"/>
        </w:rPr>
        <w:t>,</w:t>
      </w:r>
      <w:r w:rsidR="00ED384C" w:rsidRPr="00476FC9">
        <w:rPr>
          <w:color w:val="000000" w:themeColor="text1"/>
        </w:rPr>
        <w:t xml:space="preserve"> and such enhanced diagnocity is more likely to improve cognitive performance regarding locating and memorizing information</w:t>
      </w:r>
      <w:r w:rsidR="00B83D00" w:rsidRPr="00476FC9">
        <w:rPr>
          <w:color w:val="000000" w:themeColor="text1"/>
        </w:rPr>
        <w:t xml:space="preserve"> (Kardes et al., 2004).</w:t>
      </w:r>
    </w:p>
    <w:p w:rsidR="003708B4" w:rsidRDefault="00290B97"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On the other hand, </w:t>
      </w:r>
      <w:r w:rsidR="00F70480" w:rsidRPr="00476FC9">
        <w:rPr>
          <w:color w:val="000000" w:themeColor="text1"/>
        </w:rPr>
        <w:t>DTCA regulatory knowledge, as consumer marketplace persuasion knowledge,</w:t>
      </w:r>
      <w:r w:rsidRPr="00476FC9">
        <w:rPr>
          <w:color w:val="000000" w:themeColor="text1"/>
        </w:rPr>
        <w:t xml:space="preserve"> will moderate the risk disclosure prominence effects because individuals will have </w:t>
      </w:r>
      <w:r w:rsidRPr="00476FC9">
        <w:rPr>
          <w:color w:val="000000" w:themeColor="text1"/>
        </w:rPr>
        <w:lastRenderedPageBreak/>
        <w:t xml:space="preserve">varying levels of </w:t>
      </w:r>
      <w:r w:rsidR="00EB1FEC" w:rsidRPr="00476FC9">
        <w:rPr>
          <w:color w:val="000000" w:themeColor="text1"/>
        </w:rPr>
        <w:t>DTCA regulatory knowledge</w:t>
      </w:r>
      <w:r w:rsidRPr="00476FC9">
        <w:rPr>
          <w:color w:val="000000" w:themeColor="text1"/>
        </w:rPr>
        <w:t xml:space="preserve">. </w:t>
      </w:r>
      <w:r w:rsidR="003814CA" w:rsidRPr="00476FC9">
        <w:rPr>
          <w:color w:val="000000" w:themeColor="text1"/>
        </w:rPr>
        <w:t>A</w:t>
      </w:r>
      <w:r w:rsidR="00F70480" w:rsidRPr="00476FC9">
        <w:rPr>
          <w:color w:val="000000" w:themeColor="text1"/>
        </w:rPr>
        <w:t xml:space="preserve">mong those with high DTCA regulatory knowledge, their superior </w:t>
      </w:r>
      <w:r w:rsidR="00250233" w:rsidRPr="00476FC9">
        <w:rPr>
          <w:color w:val="000000" w:themeColor="text1"/>
        </w:rPr>
        <w:t xml:space="preserve">regulatory and </w:t>
      </w:r>
      <w:r w:rsidR="00F70480" w:rsidRPr="00476FC9">
        <w:rPr>
          <w:color w:val="000000" w:themeColor="text1"/>
        </w:rPr>
        <w:t>textual schemata regarding risk disclosure presentation will lead to improved search selectivity and memory of risk information, whereas among those with low DTCA regulatory knowledge, varying levels of risk disclosure prominence plays a more important role</w:t>
      </w:r>
      <w:r w:rsidR="00250233" w:rsidRPr="00476FC9">
        <w:rPr>
          <w:color w:val="000000" w:themeColor="text1"/>
        </w:rPr>
        <w:t xml:space="preserve"> as peripheral signals or cues (Petty &amp; Cacioppo, 1986)</w:t>
      </w:r>
      <w:r w:rsidR="00163322" w:rsidRPr="00476FC9">
        <w:rPr>
          <w:color w:val="000000" w:themeColor="text1"/>
        </w:rPr>
        <w:t xml:space="preserve"> and consumers are more likely to activate their general textual schemata dominantly than regulatory schemata</w:t>
      </w:r>
      <w:r w:rsidR="00F70480" w:rsidRPr="00476FC9">
        <w:rPr>
          <w:color w:val="000000" w:themeColor="text1"/>
        </w:rPr>
        <w:t>. That is, more prominent risk disclosure is more likely to provoke enhanced search selectivity and thereby improved memory of information. Put differently, a</w:t>
      </w:r>
      <w:r w:rsidRPr="00476FC9">
        <w:rPr>
          <w:color w:val="000000" w:themeColor="text1"/>
        </w:rPr>
        <w:t>mong less knowledgeable individuals, a heuristic cognitive path</w:t>
      </w:r>
      <w:r w:rsidR="009650AE" w:rsidRPr="00476FC9">
        <w:rPr>
          <w:color w:val="000000" w:themeColor="text1"/>
        </w:rPr>
        <w:t xml:space="preserve"> for textual schemata</w:t>
      </w:r>
      <w:r w:rsidRPr="00476FC9">
        <w:rPr>
          <w:color w:val="000000" w:themeColor="text1"/>
        </w:rPr>
        <w:t xml:space="preserve"> will prevail, such that m</w:t>
      </w:r>
      <w:r w:rsidR="002F78B2" w:rsidRPr="00476FC9">
        <w:rPr>
          <w:color w:val="000000" w:themeColor="text1"/>
        </w:rPr>
        <w:t>ore prominent disclosure will be easily detected and utilized, whereas less prominent disclosure will be less attended and memorized</w:t>
      </w:r>
      <w:r w:rsidRPr="00476FC9">
        <w:rPr>
          <w:color w:val="000000" w:themeColor="text1"/>
        </w:rPr>
        <w:t>.</w:t>
      </w:r>
      <w:r w:rsidR="002F78B2" w:rsidRPr="00476FC9">
        <w:rPr>
          <w:color w:val="000000" w:themeColor="text1"/>
        </w:rPr>
        <w:t xml:space="preserve"> </w:t>
      </w:r>
      <w:r w:rsidR="00250233" w:rsidRPr="00476FC9">
        <w:rPr>
          <w:color w:val="000000" w:themeColor="text1"/>
        </w:rPr>
        <w:t xml:space="preserve">Based on the foregoing review of literature, examining the role of DTCA regulatory knowledge will illuminate how consumers’ knowledge about the DTCA’s regulatory context may improve their </w:t>
      </w:r>
      <w:r w:rsidR="004E7512" w:rsidRPr="00476FC9">
        <w:rPr>
          <w:color w:val="000000" w:themeColor="text1"/>
        </w:rPr>
        <w:t xml:space="preserve">DTCA health </w:t>
      </w:r>
      <w:r w:rsidR="00250233" w:rsidRPr="00476FC9">
        <w:rPr>
          <w:color w:val="000000" w:themeColor="text1"/>
        </w:rPr>
        <w:t>risk information coping strategies.</w:t>
      </w:r>
    </w:p>
    <w:p w:rsidR="008509AA" w:rsidRPr="00476FC9" w:rsidRDefault="008509AA" w:rsidP="007D2ACE">
      <w:pPr>
        <w:keepNext w:val="0"/>
        <w:widowControl w:val="0"/>
        <w:kinsoku w:val="0"/>
        <w:overflowPunct w:val="0"/>
        <w:autoSpaceDE w:val="0"/>
        <w:autoSpaceDN w:val="0"/>
        <w:adjustRightInd w:val="0"/>
        <w:snapToGrid w:val="0"/>
        <w:spacing w:before="0" w:after="0" w:line="240" w:lineRule="auto"/>
        <w:outlineLvl w:val="9"/>
        <w:rPr>
          <w:color w:val="000000" w:themeColor="text1"/>
        </w:rPr>
      </w:pPr>
    </w:p>
    <w:p w:rsidR="00D24A0D" w:rsidRPr="00476FC9" w:rsidRDefault="005237B0" w:rsidP="007D2ACE">
      <w:pPr>
        <w:pStyle w:val="Heading1"/>
        <w:rPr>
          <w:color w:val="000000" w:themeColor="text1"/>
        </w:rPr>
      </w:pPr>
      <w:bookmarkStart w:id="15" w:name="_Toc393800662"/>
      <w:r w:rsidRPr="00476FC9">
        <w:rPr>
          <w:color w:val="000000" w:themeColor="text1"/>
        </w:rPr>
        <w:t>The</w:t>
      </w:r>
      <w:r w:rsidR="00D65071" w:rsidRPr="00476FC9">
        <w:rPr>
          <w:color w:val="000000" w:themeColor="text1"/>
        </w:rPr>
        <w:t xml:space="preserve"> Framework of Dissertation</w:t>
      </w:r>
      <w:bookmarkEnd w:id="15"/>
    </w:p>
    <w:p w:rsidR="008A2332" w:rsidRPr="00476FC9" w:rsidRDefault="002E2F06" w:rsidP="007D2ACE">
      <w:pPr>
        <w:pStyle w:val="Heading2"/>
        <w:rPr>
          <w:color w:val="000000" w:themeColor="text1"/>
        </w:rPr>
      </w:pPr>
      <w:bookmarkStart w:id="16" w:name="_Toc393800663"/>
      <w:r w:rsidRPr="00476FC9">
        <w:rPr>
          <w:color w:val="000000" w:themeColor="text1"/>
        </w:rPr>
        <w:t>Conceptualization of</w:t>
      </w:r>
      <w:r w:rsidR="00EB163E" w:rsidRPr="00476FC9">
        <w:rPr>
          <w:color w:val="000000" w:themeColor="text1"/>
        </w:rPr>
        <w:t xml:space="preserve"> </w:t>
      </w:r>
      <w:r w:rsidR="00C73467" w:rsidRPr="00476FC9">
        <w:rPr>
          <w:color w:val="000000" w:themeColor="text1"/>
        </w:rPr>
        <w:t>Risk Disclosure</w:t>
      </w:r>
      <w:r w:rsidR="00456B93" w:rsidRPr="00476FC9">
        <w:rPr>
          <w:color w:val="000000" w:themeColor="text1"/>
        </w:rPr>
        <w:t xml:space="preserve"> </w:t>
      </w:r>
      <w:r w:rsidR="00EB163E" w:rsidRPr="00476FC9">
        <w:rPr>
          <w:color w:val="000000" w:themeColor="text1"/>
        </w:rPr>
        <w:t>Prominence</w:t>
      </w:r>
      <w:r w:rsidR="000F4EB5" w:rsidRPr="00476FC9">
        <w:rPr>
          <w:color w:val="000000" w:themeColor="text1"/>
        </w:rPr>
        <w:t xml:space="preserve"> in the Literature</w:t>
      </w:r>
      <w:bookmarkEnd w:id="16"/>
    </w:p>
    <w:p w:rsidR="001F365A" w:rsidRPr="00476FC9" w:rsidRDefault="008A2332"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D65071" w:rsidRPr="00476FC9">
        <w:rPr>
          <w:color w:val="000000" w:themeColor="text1"/>
        </w:rPr>
        <w:t xml:space="preserve">It has long been </w:t>
      </w:r>
      <w:r w:rsidR="001F365A" w:rsidRPr="00476FC9">
        <w:rPr>
          <w:color w:val="000000" w:themeColor="text1"/>
        </w:rPr>
        <w:t>documented</w:t>
      </w:r>
      <w:r w:rsidR="00D65071" w:rsidRPr="00476FC9">
        <w:rPr>
          <w:color w:val="000000" w:themeColor="text1"/>
        </w:rPr>
        <w:t xml:space="preserve"> that </w:t>
      </w:r>
      <w:r w:rsidR="001F365A" w:rsidRPr="00476FC9">
        <w:rPr>
          <w:color w:val="000000" w:themeColor="text1"/>
        </w:rPr>
        <w:t xml:space="preserve">a wide range of advertising </w:t>
      </w:r>
      <w:r w:rsidR="00D65071" w:rsidRPr="00476FC9">
        <w:rPr>
          <w:color w:val="000000" w:themeColor="text1"/>
        </w:rPr>
        <w:t xml:space="preserve">message factors affect consumer perception and behavior </w:t>
      </w:r>
      <w:r w:rsidR="00E41D9E" w:rsidRPr="00476FC9">
        <w:rPr>
          <w:color w:val="000000" w:themeColor="text1"/>
        </w:rPr>
        <w:t>(</w:t>
      </w:r>
      <w:r w:rsidR="00B55F6D" w:rsidRPr="00476FC9">
        <w:rPr>
          <w:color w:val="000000" w:themeColor="text1"/>
        </w:rPr>
        <w:t xml:space="preserve">e.g., </w:t>
      </w:r>
      <w:r w:rsidR="00E41D9E" w:rsidRPr="00476FC9">
        <w:rPr>
          <w:color w:val="000000" w:themeColor="text1"/>
        </w:rPr>
        <w:t>Jackson, 1992; Liebermann &amp; Flint-Goor, 1996; O’Keefe, 2002, 2003; Taylor, 1999)</w:t>
      </w:r>
      <w:r w:rsidR="005E03DD" w:rsidRPr="00476FC9">
        <w:rPr>
          <w:color w:val="000000" w:themeColor="text1"/>
        </w:rPr>
        <w:t xml:space="preserve">. </w:t>
      </w:r>
      <w:r w:rsidR="009D4AEF" w:rsidRPr="00476FC9">
        <w:rPr>
          <w:color w:val="000000" w:themeColor="text1"/>
        </w:rPr>
        <w:t>A number of studies have examined whether</w:t>
      </w:r>
      <w:r w:rsidR="001E6EA8" w:rsidRPr="00476FC9">
        <w:rPr>
          <w:color w:val="000000" w:themeColor="text1"/>
        </w:rPr>
        <w:t xml:space="preserve"> </w:t>
      </w:r>
      <w:r w:rsidR="009D4AEF" w:rsidRPr="00476FC9">
        <w:rPr>
          <w:color w:val="000000" w:themeColor="text1"/>
        </w:rPr>
        <w:t>vivid messages are more effective than non</w:t>
      </w:r>
      <w:r w:rsidR="002F03B2" w:rsidRPr="00476FC9">
        <w:rPr>
          <w:color w:val="000000" w:themeColor="text1"/>
        </w:rPr>
        <w:t>-</w:t>
      </w:r>
      <w:r w:rsidR="009D4AEF" w:rsidRPr="00476FC9">
        <w:rPr>
          <w:color w:val="000000" w:themeColor="text1"/>
        </w:rPr>
        <w:t xml:space="preserve">vivid messages (e.g., Collins, Taylor, Wood, &amp; Thompson, 1988; Frey &amp; Eagly, 1993; Taylor &amp; Thompson, 1982). </w:t>
      </w:r>
      <w:r w:rsidR="00456B93" w:rsidRPr="00476FC9">
        <w:rPr>
          <w:color w:val="000000" w:themeColor="text1"/>
        </w:rPr>
        <w:t xml:space="preserve">The literature on message presentation </w:t>
      </w:r>
      <w:r w:rsidR="00C73467" w:rsidRPr="00476FC9">
        <w:rPr>
          <w:color w:val="000000" w:themeColor="text1"/>
        </w:rPr>
        <w:t>strategies</w:t>
      </w:r>
      <w:r w:rsidR="00456B93" w:rsidRPr="00476FC9">
        <w:rPr>
          <w:color w:val="000000" w:themeColor="text1"/>
        </w:rPr>
        <w:t xml:space="preserve"> shows that </w:t>
      </w:r>
      <w:r w:rsidR="00010DB0" w:rsidRPr="00476FC9">
        <w:rPr>
          <w:color w:val="000000" w:themeColor="text1"/>
        </w:rPr>
        <w:t xml:space="preserve">various </w:t>
      </w:r>
      <w:r w:rsidR="00456B93" w:rsidRPr="00476FC9">
        <w:rPr>
          <w:color w:val="000000" w:themeColor="text1"/>
        </w:rPr>
        <w:t xml:space="preserve">advertising execution factors can influence consumer </w:t>
      </w:r>
      <w:r w:rsidR="00456B93" w:rsidRPr="00476FC9">
        <w:rPr>
          <w:i/>
          <w:color w:val="000000" w:themeColor="text1"/>
        </w:rPr>
        <w:lastRenderedPageBreak/>
        <w:t>motivation</w:t>
      </w:r>
      <w:r w:rsidR="00456B93" w:rsidRPr="00476FC9">
        <w:rPr>
          <w:color w:val="000000" w:themeColor="text1"/>
        </w:rPr>
        <w:t xml:space="preserve"> and </w:t>
      </w:r>
      <w:r w:rsidR="00456B93" w:rsidRPr="00476FC9">
        <w:rPr>
          <w:i/>
          <w:color w:val="000000" w:themeColor="text1"/>
        </w:rPr>
        <w:t>ability</w:t>
      </w:r>
      <w:r w:rsidR="00456B93" w:rsidRPr="00476FC9">
        <w:rPr>
          <w:color w:val="000000" w:themeColor="text1"/>
        </w:rPr>
        <w:t xml:space="preserve"> to process information, including message specificity (Morris &amp; Millstein, 1984), the amount of information (Tucker &amp; Smith, 1987), the emphasis of risk information (Morris, Ruffner, and Klimberg, 1985), and the completeness of risk information (Davis, 2000). </w:t>
      </w:r>
      <w:r w:rsidR="001E6EA8" w:rsidRPr="00476FC9">
        <w:rPr>
          <w:color w:val="000000" w:themeColor="text1"/>
        </w:rPr>
        <w:t xml:space="preserve">Andrews (1998) notes that </w:t>
      </w:r>
      <w:r w:rsidR="00C73467" w:rsidRPr="00476FC9">
        <w:rPr>
          <w:color w:val="000000" w:themeColor="text1"/>
        </w:rPr>
        <w:t xml:space="preserve">these </w:t>
      </w:r>
      <w:r w:rsidR="001E6EA8" w:rsidRPr="00476FC9">
        <w:rPr>
          <w:color w:val="000000" w:themeColor="text1"/>
        </w:rPr>
        <w:t xml:space="preserve">“message factors can play a pivotal role in the processing of disclosure information by consumers” (p. 1). </w:t>
      </w:r>
      <w:r w:rsidR="00C73467" w:rsidRPr="00476FC9">
        <w:rPr>
          <w:color w:val="000000" w:themeColor="text1"/>
        </w:rPr>
        <w:t>Based on the literature</w:t>
      </w:r>
      <w:r w:rsidR="005E03DD" w:rsidRPr="00476FC9">
        <w:rPr>
          <w:color w:val="000000" w:themeColor="text1"/>
        </w:rPr>
        <w:t>,</w:t>
      </w:r>
      <w:r w:rsidR="00D65071" w:rsidRPr="00476FC9">
        <w:rPr>
          <w:color w:val="000000" w:themeColor="text1"/>
        </w:rPr>
        <w:t xml:space="preserve"> </w:t>
      </w:r>
      <w:r w:rsidR="00C73467" w:rsidRPr="00476FC9">
        <w:rPr>
          <w:color w:val="000000" w:themeColor="text1"/>
        </w:rPr>
        <w:t xml:space="preserve">varying levels of </w:t>
      </w:r>
      <w:r w:rsidR="00D65071" w:rsidRPr="00476FC9">
        <w:rPr>
          <w:color w:val="000000" w:themeColor="text1"/>
        </w:rPr>
        <w:t xml:space="preserve">risk disclosure </w:t>
      </w:r>
      <w:r w:rsidR="00C73467" w:rsidRPr="00476FC9">
        <w:rPr>
          <w:color w:val="000000" w:themeColor="text1"/>
        </w:rPr>
        <w:t>prominence</w:t>
      </w:r>
      <w:r w:rsidR="00D65071" w:rsidRPr="00476FC9">
        <w:rPr>
          <w:color w:val="000000" w:themeColor="text1"/>
        </w:rPr>
        <w:t xml:space="preserve"> can lead to </w:t>
      </w:r>
      <w:r w:rsidR="00C73467" w:rsidRPr="00476FC9">
        <w:rPr>
          <w:color w:val="000000" w:themeColor="text1"/>
        </w:rPr>
        <w:t xml:space="preserve">different </w:t>
      </w:r>
      <w:r w:rsidR="00D65071" w:rsidRPr="00476FC9">
        <w:rPr>
          <w:color w:val="000000" w:themeColor="text1"/>
        </w:rPr>
        <w:t xml:space="preserve">communication effects. </w:t>
      </w:r>
    </w:p>
    <w:p w:rsidR="002121EE" w:rsidRPr="00476FC9" w:rsidRDefault="00D65071"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There could be various </w:t>
      </w:r>
      <w:r w:rsidR="00E828D8" w:rsidRPr="00476FC9">
        <w:rPr>
          <w:color w:val="000000" w:themeColor="text1"/>
        </w:rPr>
        <w:t>approaches</w:t>
      </w:r>
      <w:r w:rsidRPr="00476FC9">
        <w:rPr>
          <w:color w:val="000000" w:themeColor="text1"/>
        </w:rPr>
        <w:t xml:space="preserve"> to conceptualize message prominence. For instance, </w:t>
      </w:r>
      <w:r w:rsidR="00120A55" w:rsidRPr="00476FC9">
        <w:rPr>
          <w:color w:val="000000" w:themeColor="text1"/>
        </w:rPr>
        <w:t xml:space="preserve">the </w:t>
      </w:r>
      <w:r w:rsidR="00C73467" w:rsidRPr="00476FC9">
        <w:rPr>
          <w:i/>
          <w:color w:val="000000" w:themeColor="text1"/>
        </w:rPr>
        <w:t>location</w:t>
      </w:r>
      <w:r w:rsidRPr="00476FC9">
        <w:rPr>
          <w:color w:val="000000" w:themeColor="text1"/>
        </w:rPr>
        <w:t xml:space="preserve"> </w:t>
      </w:r>
      <w:r w:rsidR="00120A55" w:rsidRPr="00476FC9">
        <w:rPr>
          <w:color w:val="000000" w:themeColor="text1"/>
        </w:rPr>
        <w:t>of the message</w:t>
      </w:r>
      <w:r w:rsidR="00764C3F" w:rsidRPr="00476FC9">
        <w:rPr>
          <w:color w:val="000000" w:themeColor="text1"/>
        </w:rPr>
        <w:t xml:space="preserve"> in an ad</w:t>
      </w:r>
      <w:r w:rsidR="00120A55" w:rsidRPr="00476FC9">
        <w:rPr>
          <w:color w:val="000000" w:themeColor="text1"/>
        </w:rPr>
        <w:t xml:space="preserve"> </w:t>
      </w:r>
      <w:r w:rsidRPr="00476FC9">
        <w:rPr>
          <w:color w:val="000000" w:themeColor="text1"/>
        </w:rPr>
        <w:t xml:space="preserve">may affect consumer perception </w:t>
      </w:r>
      <w:r w:rsidR="00BA716E" w:rsidRPr="00476FC9">
        <w:rPr>
          <w:color w:val="000000" w:themeColor="text1"/>
        </w:rPr>
        <w:t>about</w:t>
      </w:r>
      <w:r w:rsidRPr="00476FC9">
        <w:rPr>
          <w:color w:val="000000" w:themeColor="text1"/>
        </w:rPr>
        <w:t xml:space="preserve"> the </w:t>
      </w:r>
      <w:r w:rsidR="00B34D97" w:rsidRPr="00476FC9">
        <w:rPr>
          <w:color w:val="000000" w:themeColor="text1"/>
        </w:rPr>
        <w:t xml:space="preserve">ad </w:t>
      </w:r>
      <w:r w:rsidRPr="00476FC9">
        <w:rPr>
          <w:color w:val="000000" w:themeColor="text1"/>
        </w:rPr>
        <w:t>(Crowley &amp; Hoyer, 1994; Haugtvedt &amp; Wegener, 1994). Pieters, Rosenbergen, and Hartog’s (1996) eye-tracking study found that subjects processed ad headline first</w:t>
      </w:r>
      <w:r w:rsidR="0024472F" w:rsidRPr="00476FC9">
        <w:rPr>
          <w:color w:val="000000" w:themeColor="text1"/>
        </w:rPr>
        <w:t>,</w:t>
      </w:r>
      <w:r w:rsidRPr="00476FC9">
        <w:rPr>
          <w:color w:val="000000" w:themeColor="text1"/>
        </w:rPr>
        <w:t xml:space="preserve"> followed by body copy visual among others. This finding implies that information in the top portion of the ad </w:t>
      </w:r>
      <w:r w:rsidR="00142CB3" w:rsidRPr="00476FC9">
        <w:rPr>
          <w:color w:val="000000" w:themeColor="text1"/>
        </w:rPr>
        <w:t xml:space="preserve">may be </w:t>
      </w:r>
      <w:r w:rsidRPr="00476FC9">
        <w:rPr>
          <w:color w:val="000000" w:themeColor="text1"/>
        </w:rPr>
        <w:t xml:space="preserve">more likely to </w:t>
      </w:r>
      <w:r w:rsidR="000F5F1E" w:rsidRPr="00476FC9">
        <w:rPr>
          <w:color w:val="000000" w:themeColor="text1"/>
        </w:rPr>
        <w:t xml:space="preserve">attract </w:t>
      </w:r>
      <w:r w:rsidRPr="00476FC9">
        <w:rPr>
          <w:color w:val="000000" w:themeColor="text1"/>
        </w:rPr>
        <w:t>viewers' attention than other information elements in the ad</w:t>
      </w:r>
      <w:r w:rsidR="00FB1761" w:rsidRPr="00476FC9">
        <w:rPr>
          <w:color w:val="000000" w:themeColor="text1"/>
        </w:rPr>
        <w:t xml:space="preserve"> (Royne &amp; Myers, 2008)</w:t>
      </w:r>
      <w:r w:rsidRPr="00476FC9">
        <w:rPr>
          <w:color w:val="000000" w:themeColor="text1"/>
        </w:rPr>
        <w:t>.</w:t>
      </w:r>
      <w:r w:rsidR="00221734" w:rsidRPr="00476FC9">
        <w:rPr>
          <w:color w:val="000000" w:themeColor="text1"/>
        </w:rPr>
        <w:t xml:space="preserve"> </w:t>
      </w:r>
      <w:r w:rsidR="00C73467" w:rsidRPr="00476FC9">
        <w:rPr>
          <w:color w:val="000000" w:themeColor="text1"/>
        </w:rPr>
        <w:t xml:space="preserve">However, </w:t>
      </w:r>
      <w:r w:rsidRPr="00476FC9">
        <w:rPr>
          <w:color w:val="000000" w:themeColor="text1"/>
        </w:rPr>
        <w:t>Main, Argo, and Buhman (2004) examined print DTC ads and found that risk information was typically presented at the bottom of the ads.</w:t>
      </w:r>
      <w:r w:rsidR="00C73467" w:rsidRPr="00476FC9">
        <w:rPr>
          <w:color w:val="000000" w:themeColor="text1"/>
        </w:rPr>
        <w:t xml:space="preserve"> </w:t>
      </w:r>
      <w:r w:rsidR="00C03C9E" w:rsidRPr="00476FC9">
        <w:rPr>
          <w:color w:val="000000" w:themeColor="text1"/>
        </w:rPr>
        <w:t>In this case, b</w:t>
      </w:r>
      <w:r w:rsidRPr="00476FC9">
        <w:rPr>
          <w:color w:val="000000" w:themeColor="text1"/>
        </w:rPr>
        <w:t xml:space="preserve">ecause the relegated risk disclosure </w:t>
      </w:r>
      <w:r w:rsidR="00C73467" w:rsidRPr="00476FC9">
        <w:rPr>
          <w:color w:val="000000" w:themeColor="text1"/>
        </w:rPr>
        <w:t xml:space="preserve">is </w:t>
      </w:r>
      <w:r w:rsidRPr="00476FC9">
        <w:rPr>
          <w:color w:val="000000" w:themeColor="text1"/>
        </w:rPr>
        <w:t xml:space="preserve">less </w:t>
      </w:r>
      <w:r w:rsidR="002903BC" w:rsidRPr="00476FC9">
        <w:rPr>
          <w:color w:val="000000" w:themeColor="text1"/>
        </w:rPr>
        <w:t>noticeable</w:t>
      </w:r>
      <w:r w:rsidRPr="00476FC9">
        <w:rPr>
          <w:color w:val="000000" w:themeColor="text1"/>
        </w:rPr>
        <w:t xml:space="preserve">, consumer decision making will be based </w:t>
      </w:r>
      <w:r w:rsidR="00C73467" w:rsidRPr="00476FC9">
        <w:rPr>
          <w:color w:val="000000" w:themeColor="text1"/>
        </w:rPr>
        <w:t xml:space="preserve">exclusively </w:t>
      </w:r>
      <w:r w:rsidRPr="00476FC9">
        <w:rPr>
          <w:color w:val="000000" w:themeColor="text1"/>
        </w:rPr>
        <w:t xml:space="preserve">on </w:t>
      </w:r>
      <w:r w:rsidR="00737589" w:rsidRPr="00476FC9">
        <w:rPr>
          <w:color w:val="000000" w:themeColor="text1"/>
        </w:rPr>
        <w:t xml:space="preserve">information about </w:t>
      </w:r>
      <w:r w:rsidRPr="00476FC9">
        <w:rPr>
          <w:color w:val="000000" w:themeColor="text1"/>
        </w:rPr>
        <w:t>drug</w:t>
      </w:r>
      <w:r w:rsidR="002E2F06" w:rsidRPr="00476FC9">
        <w:rPr>
          <w:color w:val="000000" w:themeColor="text1"/>
        </w:rPr>
        <w:t xml:space="preserve"> efficacy</w:t>
      </w:r>
      <w:r w:rsidR="007F486F" w:rsidRPr="00476FC9">
        <w:rPr>
          <w:color w:val="000000" w:themeColor="text1"/>
        </w:rPr>
        <w:t xml:space="preserve"> that is typically presented in a more noticeable portion of ads</w:t>
      </w:r>
      <w:r w:rsidR="002E2F06" w:rsidRPr="00476FC9">
        <w:rPr>
          <w:color w:val="000000" w:themeColor="text1"/>
        </w:rPr>
        <w:t>.</w:t>
      </w:r>
    </w:p>
    <w:p w:rsidR="00D65071" w:rsidRDefault="000E0EF3"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In the context of</w:t>
      </w:r>
      <w:r w:rsidR="007F4F2C" w:rsidRPr="00476FC9">
        <w:rPr>
          <w:color w:val="000000" w:themeColor="text1"/>
        </w:rPr>
        <w:t xml:space="preserve"> </w:t>
      </w:r>
      <w:r w:rsidR="00D65071" w:rsidRPr="00476FC9">
        <w:rPr>
          <w:color w:val="000000" w:themeColor="text1"/>
        </w:rPr>
        <w:t xml:space="preserve">DTCA risk disclosure, if consumers pay attention </w:t>
      </w:r>
      <w:r w:rsidR="00A74DE7" w:rsidRPr="00476FC9">
        <w:rPr>
          <w:color w:val="000000" w:themeColor="text1"/>
        </w:rPr>
        <w:t xml:space="preserve">exclusively </w:t>
      </w:r>
      <w:r w:rsidR="00D65071" w:rsidRPr="00476FC9">
        <w:rPr>
          <w:color w:val="000000" w:themeColor="text1"/>
        </w:rPr>
        <w:t xml:space="preserve">to the </w:t>
      </w:r>
      <w:r w:rsidR="005A400B" w:rsidRPr="00476FC9">
        <w:rPr>
          <w:color w:val="000000" w:themeColor="text1"/>
        </w:rPr>
        <w:t>medicine’s</w:t>
      </w:r>
      <w:r w:rsidR="00354210" w:rsidRPr="00476FC9">
        <w:rPr>
          <w:color w:val="000000" w:themeColor="text1"/>
        </w:rPr>
        <w:t xml:space="preserve"> </w:t>
      </w:r>
      <w:r w:rsidR="00D65071" w:rsidRPr="00476FC9">
        <w:rPr>
          <w:color w:val="000000" w:themeColor="text1"/>
        </w:rPr>
        <w:t xml:space="preserve">efficacy, </w:t>
      </w:r>
      <w:r w:rsidR="00546B44" w:rsidRPr="00476FC9">
        <w:rPr>
          <w:color w:val="000000" w:themeColor="text1"/>
        </w:rPr>
        <w:t xml:space="preserve">they are </w:t>
      </w:r>
      <w:r w:rsidR="003D2AE7" w:rsidRPr="00476FC9">
        <w:rPr>
          <w:color w:val="000000" w:themeColor="text1"/>
        </w:rPr>
        <w:t xml:space="preserve">more </w:t>
      </w:r>
      <w:r w:rsidR="00D65071" w:rsidRPr="00476FC9">
        <w:rPr>
          <w:color w:val="000000" w:themeColor="text1"/>
        </w:rPr>
        <w:t>likely to dismiss risk information</w:t>
      </w:r>
      <w:r w:rsidR="00A42993" w:rsidRPr="00476FC9">
        <w:rPr>
          <w:color w:val="000000" w:themeColor="text1"/>
        </w:rPr>
        <w:t xml:space="preserve"> that is </w:t>
      </w:r>
      <w:r w:rsidR="00A74DE7" w:rsidRPr="00476FC9">
        <w:rPr>
          <w:color w:val="000000" w:themeColor="text1"/>
        </w:rPr>
        <w:t xml:space="preserve">central to </w:t>
      </w:r>
      <w:r w:rsidR="00A42993" w:rsidRPr="00476FC9">
        <w:rPr>
          <w:color w:val="000000" w:themeColor="text1"/>
        </w:rPr>
        <w:t>informed health decisions</w:t>
      </w:r>
      <w:r w:rsidR="00D65071" w:rsidRPr="00476FC9">
        <w:rPr>
          <w:color w:val="000000" w:themeColor="text1"/>
        </w:rPr>
        <w:t>.</w:t>
      </w:r>
      <w:r w:rsidR="00AF7270" w:rsidRPr="00476FC9">
        <w:rPr>
          <w:color w:val="000000" w:themeColor="text1"/>
        </w:rPr>
        <w:t xml:space="preserve"> </w:t>
      </w:r>
      <w:r w:rsidR="00A74DE7" w:rsidRPr="00476FC9">
        <w:rPr>
          <w:color w:val="000000" w:themeColor="text1"/>
        </w:rPr>
        <w:t xml:space="preserve">Considering </w:t>
      </w:r>
      <w:r w:rsidR="00AD0519" w:rsidRPr="00476FC9">
        <w:rPr>
          <w:color w:val="000000" w:themeColor="text1"/>
        </w:rPr>
        <w:t xml:space="preserve">that </w:t>
      </w:r>
      <w:r w:rsidR="00A74DE7" w:rsidRPr="00476FC9">
        <w:rPr>
          <w:color w:val="000000" w:themeColor="text1"/>
        </w:rPr>
        <w:t>consumers typically do not pay much attention to risk information at the bottom of the DTC ad, the risk disclosure effectiveness will largely hinge on its prominence.</w:t>
      </w:r>
    </w:p>
    <w:p w:rsidR="007D2ACE" w:rsidRPr="00476FC9" w:rsidRDefault="007D2ACE" w:rsidP="007D2ACE">
      <w:pPr>
        <w:keepNext w:val="0"/>
        <w:widowControl w:val="0"/>
        <w:kinsoku w:val="0"/>
        <w:overflowPunct w:val="0"/>
        <w:autoSpaceDE w:val="0"/>
        <w:autoSpaceDN w:val="0"/>
        <w:adjustRightInd w:val="0"/>
        <w:snapToGrid w:val="0"/>
        <w:spacing w:before="0" w:after="0"/>
        <w:ind w:firstLine="720"/>
        <w:rPr>
          <w:color w:val="000000" w:themeColor="text1"/>
        </w:rPr>
      </w:pPr>
    </w:p>
    <w:p w:rsidR="00EB163E" w:rsidRPr="00476FC9" w:rsidRDefault="00E57A5A" w:rsidP="007D2ACE">
      <w:pPr>
        <w:pStyle w:val="Heading3"/>
        <w:widowControl w:val="0"/>
        <w:kinsoku w:val="0"/>
        <w:overflowPunct w:val="0"/>
        <w:autoSpaceDE w:val="0"/>
        <w:autoSpaceDN w:val="0"/>
        <w:snapToGrid w:val="0"/>
        <w:contextualSpacing w:val="0"/>
        <w:rPr>
          <w:color w:val="000000" w:themeColor="text1"/>
        </w:rPr>
      </w:pPr>
      <w:bookmarkStart w:id="17" w:name="_Toc393800664"/>
      <w:r w:rsidRPr="00476FC9">
        <w:rPr>
          <w:color w:val="000000" w:themeColor="text1"/>
        </w:rPr>
        <w:lastRenderedPageBreak/>
        <w:t xml:space="preserve">The FDA’s Conceptualization of </w:t>
      </w:r>
      <w:r w:rsidR="00EB163E" w:rsidRPr="00476FC9">
        <w:rPr>
          <w:color w:val="000000" w:themeColor="text1"/>
        </w:rPr>
        <w:t>Risk Disclosure</w:t>
      </w:r>
      <w:r w:rsidRPr="00476FC9">
        <w:rPr>
          <w:color w:val="000000" w:themeColor="text1"/>
        </w:rPr>
        <w:t xml:space="preserve"> Prominence</w:t>
      </w:r>
      <w:r w:rsidR="00FF3CBC" w:rsidRPr="00476FC9">
        <w:rPr>
          <w:color w:val="000000" w:themeColor="text1"/>
        </w:rPr>
        <w:t xml:space="preserve"> in DTCA</w:t>
      </w:r>
      <w:bookmarkEnd w:id="17"/>
    </w:p>
    <w:p w:rsidR="00D65071" w:rsidRPr="00476FC9" w:rsidRDefault="00D65071"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A74DE7" w:rsidRPr="00476FC9">
        <w:rPr>
          <w:color w:val="000000" w:themeColor="text1"/>
        </w:rPr>
        <w:t>It is worth noting how the FDA conceptualizes risk disclosure prominence and guide</w:t>
      </w:r>
      <w:r w:rsidR="00691D0A" w:rsidRPr="00476FC9">
        <w:rPr>
          <w:color w:val="000000" w:themeColor="text1"/>
        </w:rPr>
        <w:t>s</w:t>
      </w:r>
      <w:r w:rsidR="00A74DE7" w:rsidRPr="00476FC9">
        <w:rPr>
          <w:color w:val="000000" w:themeColor="text1"/>
        </w:rPr>
        <w:t xml:space="preserve"> pharmaceutical advertisers regarding the development of DTCA risk communication. T</w:t>
      </w:r>
      <w:r w:rsidRPr="00476FC9">
        <w:rPr>
          <w:color w:val="000000" w:themeColor="text1"/>
        </w:rPr>
        <w:t xml:space="preserve">he FDA </w:t>
      </w:r>
      <w:r w:rsidR="001966C0" w:rsidRPr="00476FC9">
        <w:rPr>
          <w:color w:val="000000" w:themeColor="text1"/>
        </w:rPr>
        <w:t xml:space="preserve">(2009) </w:t>
      </w:r>
      <w:r w:rsidRPr="00476FC9">
        <w:rPr>
          <w:color w:val="000000" w:themeColor="text1"/>
        </w:rPr>
        <w:t xml:space="preserve">conceptualizes </w:t>
      </w:r>
      <w:r w:rsidR="00EB17BB" w:rsidRPr="00476FC9">
        <w:rPr>
          <w:color w:val="000000" w:themeColor="text1"/>
        </w:rPr>
        <w:t xml:space="preserve">that </w:t>
      </w:r>
      <w:r w:rsidRPr="00476FC9">
        <w:rPr>
          <w:i/>
          <w:color w:val="000000" w:themeColor="text1"/>
        </w:rPr>
        <w:t>disclosure prominence</w:t>
      </w:r>
      <w:r w:rsidRPr="00476FC9">
        <w:rPr>
          <w:color w:val="000000" w:themeColor="text1"/>
        </w:rPr>
        <w:t xml:space="preserve"> </w:t>
      </w:r>
      <w:r w:rsidR="00F46F0D" w:rsidRPr="00476FC9">
        <w:rPr>
          <w:color w:val="000000" w:themeColor="text1"/>
        </w:rPr>
        <w:t xml:space="preserve">could </w:t>
      </w:r>
      <w:r w:rsidR="00EB17BB" w:rsidRPr="00476FC9">
        <w:rPr>
          <w:color w:val="000000" w:themeColor="text1"/>
        </w:rPr>
        <w:t xml:space="preserve">consist of </w:t>
      </w:r>
      <w:r w:rsidRPr="00476FC9">
        <w:rPr>
          <w:color w:val="000000" w:themeColor="text1"/>
        </w:rPr>
        <w:t>various</w:t>
      </w:r>
      <w:r w:rsidR="00EE4CAD" w:rsidRPr="00476FC9">
        <w:rPr>
          <w:color w:val="000000" w:themeColor="text1"/>
        </w:rPr>
        <w:t xml:space="preserve"> message </w:t>
      </w:r>
      <w:r w:rsidR="001C47A2" w:rsidRPr="00476FC9">
        <w:rPr>
          <w:color w:val="000000" w:themeColor="text1"/>
        </w:rPr>
        <w:t xml:space="preserve">execution </w:t>
      </w:r>
      <w:r w:rsidR="00E67F75" w:rsidRPr="00476FC9">
        <w:rPr>
          <w:color w:val="000000" w:themeColor="text1"/>
        </w:rPr>
        <w:t xml:space="preserve">variables </w:t>
      </w:r>
      <w:r w:rsidRPr="00476FC9">
        <w:rPr>
          <w:color w:val="000000" w:themeColor="text1"/>
        </w:rPr>
        <w:t xml:space="preserve">rather than </w:t>
      </w:r>
      <w:r w:rsidR="00C003C4" w:rsidRPr="00476FC9">
        <w:rPr>
          <w:color w:val="000000" w:themeColor="text1"/>
        </w:rPr>
        <w:t xml:space="preserve">a particular </w:t>
      </w:r>
      <w:r w:rsidRPr="00476FC9">
        <w:rPr>
          <w:color w:val="000000" w:themeColor="text1"/>
        </w:rPr>
        <w:t xml:space="preserve">message </w:t>
      </w:r>
      <w:r w:rsidR="00204682" w:rsidRPr="00476FC9">
        <w:rPr>
          <w:color w:val="000000" w:themeColor="text1"/>
        </w:rPr>
        <w:t xml:space="preserve">implementing </w:t>
      </w:r>
      <w:r w:rsidRPr="00476FC9">
        <w:rPr>
          <w:color w:val="000000" w:themeColor="text1"/>
        </w:rPr>
        <w:t>factor</w:t>
      </w:r>
      <w:r w:rsidR="00A74DE7" w:rsidRPr="00476FC9">
        <w:rPr>
          <w:color w:val="000000" w:themeColor="text1"/>
        </w:rPr>
        <w:t xml:space="preserve">. </w:t>
      </w:r>
      <w:r w:rsidR="0025502E" w:rsidRPr="00476FC9">
        <w:rPr>
          <w:color w:val="000000" w:themeColor="text1"/>
        </w:rPr>
        <w:t>The agency</w:t>
      </w:r>
      <w:r w:rsidR="00A74DE7" w:rsidRPr="00476FC9">
        <w:rPr>
          <w:color w:val="000000" w:themeColor="text1"/>
        </w:rPr>
        <w:t xml:space="preserve"> pays attention to consumers’ </w:t>
      </w:r>
      <w:r w:rsidR="00A74DE7" w:rsidRPr="00476FC9">
        <w:rPr>
          <w:i/>
          <w:color w:val="000000" w:themeColor="text1"/>
        </w:rPr>
        <w:t>net impression</w:t>
      </w:r>
      <w:r w:rsidR="00A74DE7" w:rsidRPr="00476FC9">
        <w:rPr>
          <w:color w:val="000000" w:themeColor="text1"/>
        </w:rPr>
        <w:t xml:space="preserve"> as a whole (FDA, 2009).</w:t>
      </w:r>
      <w:r w:rsidRPr="00476FC9">
        <w:rPr>
          <w:color w:val="000000" w:themeColor="text1"/>
        </w:rPr>
        <w:t xml:space="preserve"> </w:t>
      </w:r>
      <w:r w:rsidR="00FE1899" w:rsidRPr="00476FC9">
        <w:rPr>
          <w:color w:val="000000" w:themeColor="text1"/>
        </w:rPr>
        <w:t xml:space="preserve">For instance, </w:t>
      </w:r>
      <w:r w:rsidR="00B67F0D" w:rsidRPr="00476FC9">
        <w:rPr>
          <w:color w:val="000000" w:themeColor="text1"/>
        </w:rPr>
        <w:t xml:space="preserve">if </w:t>
      </w:r>
      <w:r w:rsidRPr="00476FC9">
        <w:rPr>
          <w:color w:val="000000" w:themeColor="text1"/>
        </w:rPr>
        <w:t xml:space="preserve">a </w:t>
      </w:r>
      <w:r w:rsidR="00A74DE7" w:rsidRPr="00476FC9">
        <w:rPr>
          <w:color w:val="000000" w:themeColor="text1"/>
        </w:rPr>
        <w:t>D</w:t>
      </w:r>
      <w:r w:rsidRPr="00476FC9">
        <w:rPr>
          <w:color w:val="000000" w:themeColor="text1"/>
        </w:rPr>
        <w:t xml:space="preserve">TC ad presents risk </w:t>
      </w:r>
      <w:r w:rsidR="00555EDB" w:rsidRPr="00476FC9">
        <w:rPr>
          <w:color w:val="000000" w:themeColor="text1"/>
        </w:rPr>
        <w:t>disclosure</w:t>
      </w:r>
      <w:r w:rsidRPr="00476FC9">
        <w:rPr>
          <w:color w:val="000000" w:themeColor="text1"/>
        </w:rPr>
        <w:t xml:space="preserve"> in smaller, non-bolded font without sufficient surrounding white space, while </w:t>
      </w:r>
      <w:r w:rsidR="00976624" w:rsidRPr="00476FC9">
        <w:rPr>
          <w:color w:val="000000" w:themeColor="text1"/>
        </w:rPr>
        <w:t>benefit information</w:t>
      </w:r>
      <w:r w:rsidRPr="00476FC9">
        <w:rPr>
          <w:color w:val="000000" w:themeColor="text1"/>
        </w:rPr>
        <w:t xml:space="preserve"> is presented in larger bolded font with abundant surrounding white space, th</w:t>
      </w:r>
      <w:r w:rsidR="00DB33F0" w:rsidRPr="00476FC9">
        <w:rPr>
          <w:color w:val="000000" w:themeColor="text1"/>
        </w:rPr>
        <w:t xml:space="preserve">is </w:t>
      </w:r>
      <w:r w:rsidR="00CC32A4" w:rsidRPr="00476FC9">
        <w:rPr>
          <w:color w:val="000000" w:themeColor="text1"/>
        </w:rPr>
        <w:t>practice</w:t>
      </w:r>
      <w:r w:rsidR="00203ABA" w:rsidRPr="00476FC9">
        <w:rPr>
          <w:color w:val="000000" w:themeColor="text1"/>
        </w:rPr>
        <w:t xml:space="preserve"> </w:t>
      </w:r>
      <w:r w:rsidR="00A74DE7" w:rsidRPr="00476FC9">
        <w:rPr>
          <w:color w:val="000000" w:themeColor="text1"/>
        </w:rPr>
        <w:t>may be</w:t>
      </w:r>
      <w:r w:rsidR="00B67F0D" w:rsidRPr="00476FC9">
        <w:rPr>
          <w:color w:val="000000" w:themeColor="text1"/>
        </w:rPr>
        <w:t xml:space="preserve"> </w:t>
      </w:r>
      <w:r w:rsidR="002C1A09" w:rsidRPr="00476FC9">
        <w:rPr>
          <w:color w:val="000000" w:themeColor="text1"/>
        </w:rPr>
        <w:t>regarded</w:t>
      </w:r>
      <w:r w:rsidRPr="00476FC9">
        <w:rPr>
          <w:color w:val="000000" w:themeColor="text1"/>
        </w:rPr>
        <w:t xml:space="preserve"> </w:t>
      </w:r>
      <w:r w:rsidR="00204682" w:rsidRPr="00476FC9">
        <w:rPr>
          <w:color w:val="000000" w:themeColor="text1"/>
        </w:rPr>
        <w:t xml:space="preserve">as </w:t>
      </w:r>
      <w:r w:rsidRPr="00476FC9">
        <w:rPr>
          <w:i/>
          <w:color w:val="000000" w:themeColor="text1"/>
        </w:rPr>
        <w:t>risk-minimizing</w:t>
      </w:r>
      <w:r w:rsidR="008C4580" w:rsidRPr="00476FC9">
        <w:rPr>
          <w:color w:val="000000" w:themeColor="text1"/>
        </w:rPr>
        <w:t xml:space="preserve"> </w:t>
      </w:r>
      <w:r w:rsidR="00B67F0D" w:rsidRPr="00476FC9">
        <w:rPr>
          <w:color w:val="000000" w:themeColor="text1"/>
        </w:rPr>
        <w:t xml:space="preserve">or </w:t>
      </w:r>
      <w:r w:rsidR="008C4580" w:rsidRPr="00476FC9">
        <w:rPr>
          <w:color w:val="000000" w:themeColor="text1"/>
        </w:rPr>
        <w:t xml:space="preserve">potentially </w:t>
      </w:r>
      <w:r w:rsidR="008C4580" w:rsidRPr="00476FC9">
        <w:rPr>
          <w:i/>
          <w:color w:val="000000" w:themeColor="text1"/>
        </w:rPr>
        <w:t>misleading</w:t>
      </w:r>
      <w:r w:rsidRPr="00476FC9">
        <w:rPr>
          <w:i/>
          <w:color w:val="000000" w:themeColor="text1"/>
        </w:rPr>
        <w:t xml:space="preserve"> </w:t>
      </w:r>
      <w:r w:rsidR="00204682" w:rsidRPr="00476FC9">
        <w:rPr>
          <w:color w:val="000000" w:themeColor="text1"/>
        </w:rPr>
        <w:t>(FDA, 2009)</w:t>
      </w:r>
      <w:r w:rsidRPr="00476FC9">
        <w:rPr>
          <w:color w:val="000000" w:themeColor="text1"/>
        </w:rPr>
        <w:t>.</w:t>
      </w:r>
    </w:p>
    <w:p w:rsidR="00691971" w:rsidRPr="00476FC9" w:rsidRDefault="000D2CF4"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2C1A09" w:rsidRPr="00476FC9">
        <w:rPr>
          <w:color w:val="000000" w:themeColor="text1"/>
        </w:rPr>
        <w:t xml:space="preserve">This conceptualization is well represented in the FDA’s </w:t>
      </w:r>
      <w:r w:rsidR="004F6C3A" w:rsidRPr="00476FC9">
        <w:rPr>
          <w:color w:val="000000" w:themeColor="text1"/>
        </w:rPr>
        <w:t>administrative letters</w:t>
      </w:r>
      <w:r w:rsidR="00211435" w:rsidRPr="00476FC9">
        <w:rPr>
          <w:color w:val="000000" w:themeColor="text1"/>
        </w:rPr>
        <w:t xml:space="preserve"> </w:t>
      </w:r>
      <w:r w:rsidR="002C1A09" w:rsidRPr="00476FC9">
        <w:rPr>
          <w:color w:val="000000" w:themeColor="text1"/>
        </w:rPr>
        <w:t xml:space="preserve">(i.e., </w:t>
      </w:r>
      <w:r w:rsidR="002C1A09" w:rsidRPr="00476FC9">
        <w:rPr>
          <w:i/>
          <w:color w:val="000000" w:themeColor="text1"/>
        </w:rPr>
        <w:t>warning</w:t>
      </w:r>
      <w:r w:rsidR="002C1A09" w:rsidRPr="00476FC9">
        <w:rPr>
          <w:color w:val="000000" w:themeColor="text1"/>
        </w:rPr>
        <w:t xml:space="preserve"> or </w:t>
      </w:r>
      <w:r w:rsidR="002C1A09" w:rsidRPr="00476FC9">
        <w:rPr>
          <w:i/>
          <w:color w:val="000000" w:themeColor="text1"/>
        </w:rPr>
        <w:t>untitled</w:t>
      </w:r>
      <w:r w:rsidR="002C1A09" w:rsidRPr="00476FC9">
        <w:rPr>
          <w:color w:val="000000" w:themeColor="text1"/>
        </w:rPr>
        <w:t xml:space="preserve"> letters) </w:t>
      </w:r>
      <w:r w:rsidR="001C157F" w:rsidRPr="00476FC9">
        <w:rPr>
          <w:color w:val="000000" w:themeColor="text1"/>
        </w:rPr>
        <w:t>explaining</w:t>
      </w:r>
      <w:r w:rsidR="00211435" w:rsidRPr="00476FC9">
        <w:rPr>
          <w:color w:val="000000" w:themeColor="text1"/>
        </w:rPr>
        <w:t xml:space="preserve"> </w:t>
      </w:r>
      <w:r w:rsidR="00A74DE7" w:rsidRPr="00476FC9">
        <w:rPr>
          <w:color w:val="000000" w:themeColor="text1"/>
        </w:rPr>
        <w:t xml:space="preserve">pharmaceutical advertisers’ </w:t>
      </w:r>
      <w:r w:rsidR="00FE49FA" w:rsidRPr="00476FC9">
        <w:rPr>
          <w:color w:val="000000" w:themeColor="text1"/>
        </w:rPr>
        <w:t>violations</w:t>
      </w:r>
      <w:r w:rsidR="00211435" w:rsidRPr="00476FC9">
        <w:rPr>
          <w:color w:val="000000" w:themeColor="text1"/>
        </w:rPr>
        <w:t xml:space="preserve"> of the </w:t>
      </w:r>
      <w:r w:rsidR="00211435" w:rsidRPr="00476FC9">
        <w:rPr>
          <w:i/>
          <w:color w:val="000000" w:themeColor="text1"/>
        </w:rPr>
        <w:t>fair balance</w:t>
      </w:r>
      <w:r w:rsidR="00211435" w:rsidRPr="00476FC9">
        <w:rPr>
          <w:color w:val="000000" w:themeColor="text1"/>
        </w:rPr>
        <w:t xml:space="preserve"> requirement</w:t>
      </w:r>
      <w:r w:rsidR="00D65071" w:rsidRPr="00476FC9">
        <w:rPr>
          <w:color w:val="000000" w:themeColor="text1"/>
        </w:rPr>
        <w:t>.</w:t>
      </w:r>
      <w:r w:rsidR="0007758E" w:rsidRPr="00476FC9">
        <w:rPr>
          <w:color w:val="000000" w:themeColor="text1"/>
        </w:rPr>
        <w:t xml:space="preserve"> These letters </w:t>
      </w:r>
      <w:r w:rsidR="001C157F" w:rsidRPr="00476FC9">
        <w:rPr>
          <w:color w:val="000000" w:themeColor="text1"/>
        </w:rPr>
        <w:t>signal to</w:t>
      </w:r>
      <w:r w:rsidR="0007758E" w:rsidRPr="00476FC9">
        <w:rPr>
          <w:color w:val="000000" w:themeColor="text1"/>
        </w:rPr>
        <w:t xml:space="preserve"> the advertisers </w:t>
      </w:r>
      <w:r w:rsidR="002C1A09" w:rsidRPr="00476FC9">
        <w:rPr>
          <w:color w:val="000000" w:themeColor="text1"/>
        </w:rPr>
        <w:t>their</w:t>
      </w:r>
      <w:r w:rsidR="0007758E" w:rsidRPr="00476FC9">
        <w:rPr>
          <w:color w:val="000000" w:themeColor="text1"/>
        </w:rPr>
        <w:t xml:space="preserve"> violat</w:t>
      </w:r>
      <w:r w:rsidR="001C157F" w:rsidRPr="00476FC9">
        <w:rPr>
          <w:color w:val="000000" w:themeColor="text1"/>
        </w:rPr>
        <w:t>ive</w:t>
      </w:r>
      <w:r w:rsidR="0007758E" w:rsidRPr="00476FC9">
        <w:rPr>
          <w:color w:val="000000" w:themeColor="text1"/>
        </w:rPr>
        <w:t xml:space="preserve"> promotional practices and advise </w:t>
      </w:r>
      <w:r w:rsidR="00A74DE7" w:rsidRPr="00476FC9">
        <w:rPr>
          <w:color w:val="000000" w:themeColor="text1"/>
        </w:rPr>
        <w:t xml:space="preserve">them </w:t>
      </w:r>
      <w:r w:rsidR="0007758E" w:rsidRPr="00476FC9">
        <w:rPr>
          <w:color w:val="000000" w:themeColor="text1"/>
        </w:rPr>
        <w:t>to release corrective advertising if needed (FDA, 2009)</w:t>
      </w:r>
      <w:r w:rsidR="003E5E78" w:rsidRPr="00476FC9">
        <w:rPr>
          <w:color w:val="000000" w:themeColor="text1"/>
        </w:rPr>
        <w:t xml:space="preserve">. </w:t>
      </w:r>
      <w:r w:rsidR="00513AFB" w:rsidRPr="00476FC9">
        <w:rPr>
          <w:color w:val="000000" w:themeColor="text1"/>
        </w:rPr>
        <w:t xml:space="preserve">During the period of 1997-2001 the FDA issued between 15 and 25 letters </w:t>
      </w:r>
      <w:r w:rsidR="00A74DE7" w:rsidRPr="00476FC9">
        <w:rPr>
          <w:color w:val="000000" w:themeColor="text1"/>
        </w:rPr>
        <w:t xml:space="preserve">per year, </w:t>
      </w:r>
      <w:r w:rsidR="00513AFB" w:rsidRPr="00476FC9">
        <w:rPr>
          <w:color w:val="000000" w:themeColor="text1"/>
        </w:rPr>
        <w:t xml:space="preserve">citing DTC </w:t>
      </w:r>
      <w:r w:rsidR="00A74DE7" w:rsidRPr="00476FC9">
        <w:rPr>
          <w:color w:val="000000" w:themeColor="text1"/>
        </w:rPr>
        <w:t xml:space="preserve">promotional </w:t>
      </w:r>
      <w:r w:rsidR="00513AFB" w:rsidRPr="00476FC9">
        <w:rPr>
          <w:color w:val="000000" w:themeColor="text1"/>
        </w:rPr>
        <w:t>materials (</w:t>
      </w:r>
      <w:r w:rsidR="00C56AC8" w:rsidRPr="00476FC9">
        <w:rPr>
          <w:color w:val="000000" w:themeColor="text1"/>
        </w:rPr>
        <w:t>US Government Accountability Office</w:t>
      </w:r>
      <w:r w:rsidR="00AD5FEF" w:rsidRPr="00476FC9">
        <w:rPr>
          <w:color w:val="000000" w:themeColor="text1"/>
        </w:rPr>
        <w:t xml:space="preserve">; </w:t>
      </w:r>
      <w:r w:rsidR="00513AFB" w:rsidRPr="00476FC9">
        <w:rPr>
          <w:color w:val="000000" w:themeColor="text1"/>
        </w:rPr>
        <w:t>GAO, 2008)</w:t>
      </w:r>
      <w:r w:rsidR="00A74DE7" w:rsidRPr="00476FC9">
        <w:rPr>
          <w:color w:val="000000" w:themeColor="text1"/>
        </w:rPr>
        <w:t>. F</w:t>
      </w:r>
      <w:r w:rsidR="00513AFB" w:rsidRPr="00476FC9">
        <w:rPr>
          <w:color w:val="000000" w:themeColor="text1"/>
        </w:rPr>
        <w:t>rom 1997 to 2002,</w:t>
      </w:r>
      <w:r w:rsidR="00D65071" w:rsidRPr="00476FC9">
        <w:rPr>
          <w:color w:val="000000" w:themeColor="text1"/>
        </w:rPr>
        <w:t xml:space="preserve"> the FDA issued 99 administrative letters </w:t>
      </w:r>
      <w:r w:rsidR="00691971" w:rsidRPr="00476FC9">
        <w:rPr>
          <w:color w:val="000000" w:themeColor="text1"/>
        </w:rPr>
        <w:t>(Sheehan, 2003). In addition, from 2002 to 2005, the agency issued between 8 and 11 regulatory letters per year that cited DTC</w:t>
      </w:r>
      <w:r w:rsidR="00C56AC8" w:rsidRPr="00476FC9">
        <w:rPr>
          <w:color w:val="000000" w:themeColor="text1"/>
        </w:rPr>
        <w:t xml:space="preserve"> promotional</w:t>
      </w:r>
      <w:r w:rsidR="00691971" w:rsidRPr="00476FC9">
        <w:rPr>
          <w:color w:val="000000" w:themeColor="text1"/>
        </w:rPr>
        <w:t xml:space="preserve"> materials (GAO, 2008). Although the GAO points out that the overall number of letters </w:t>
      </w:r>
      <w:r w:rsidR="00513AFB" w:rsidRPr="00476FC9">
        <w:rPr>
          <w:color w:val="000000" w:themeColor="text1"/>
        </w:rPr>
        <w:t xml:space="preserve">per year </w:t>
      </w:r>
      <w:r w:rsidR="00691971" w:rsidRPr="00476FC9">
        <w:rPr>
          <w:color w:val="000000" w:themeColor="text1"/>
        </w:rPr>
        <w:t xml:space="preserve">has continued to decline, given </w:t>
      </w:r>
      <w:r w:rsidR="00C93403" w:rsidRPr="00476FC9">
        <w:rPr>
          <w:color w:val="000000" w:themeColor="text1"/>
        </w:rPr>
        <w:t xml:space="preserve">that </w:t>
      </w:r>
      <w:r w:rsidR="00691971" w:rsidRPr="00476FC9">
        <w:rPr>
          <w:color w:val="000000" w:themeColor="text1"/>
        </w:rPr>
        <w:t xml:space="preserve">the 2002 policy change lengthened the agency’s process for issuing letters, it is hard to </w:t>
      </w:r>
      <w:r w:rsidR="00C93403" w:rsidRPr="00476FC9">
        <w:rPr>
          <w:color w:val="000000" w:themeColor="text1"/>
        </w:rPr>
        <w:t>judge</w:t>
      </w:r>
      <w:r w:rsidR="00691971" w:rsidRPr="00476FC9">
        <w:rPr>
          <w:color w:val="000000" w:themeColor="text1"/>
        </w:rPr>
        <w:t xml:space="preserve"> </w:t>
      </w:r>
      <w:r w:rsidR="00C93403" w:rsidRPr="00476FC9">
        <w:rPr>
          <w:color w:val="000000" w:themeColor="text1"/>
        </w:rPr>
        <w:t>whether</w:t>
      </w:r>
      <w:r w:rsidR="00691971" w:rsidRPr="00476FC9">
        <w:rPr>
          <w:color w:val="000000" w:themeColor="text1"/>
        </w:rPr>
        <w:t xml:space="preserve"> pharmaceutical advertisers</w:t>
      </w:r>
      <w:r w:rsidR="00C93403" w:rsidRPr="00476FC9">
        <w:rPr>
          <w:color w:val="000000" w:themeColor="text1"/>
        </w:rPr>
        <w:t>’</w:t>
      </w:r>
      <w:r w:rsidR="00691971" w:rsidRPr="00476FC9">
        <w:rPr>
          <w:color w:val="000000" w:themeColor="text1"/>
        </w:rPr>
        <w:t xml:space="preserve"> misleading or risk-minimizing DTCA practices </w:t>
      </w:r>
      <w:r w:rsidR="00A83DA6" w:rsidRPr="00476FC9">
        <w:rPr>
          <w:color w:val="000000" w:themeColor="text1"/>
        </w:rPr>
        <w:t xml:space="preserve">have </w:t>
      </w:r>
      <w:r w:rsidR="00691971" w:rsidRPr="00476FC9">
        <w:rPr>
          <w:color w:val="000000" w:themeColor="text1"/>
        </w:rPr>
        <w:t>continuously decrease</w:t>
      </w:r>
      <w:r w:rsidR="00A83DA6" w:rsidRPr="00476FC9">
        <w:rPr>
          <w:color w:val="000000" w:themeColor="text1"/>
        </w:rPr>
        <w:t>d</w:t>
      </w:r>
      <w:r w:rsidR="00691971" w:rsidRPr="00476FC9">
        <w:rPr>
          <w:color w:val="000000" w:themeColor="text1"/>
        </w:rPr>
        <w:t>. Rather, the GAO</w:t>
      </w:r>
      <w:r w:rsidR="00513AFB" w:rsidRPr="00476FC9">
        <w:rPr>
          <w:color w:val="000000" w:themeColor="text1"/>
        </w:rPr>
        <w:t xml:space="preserve"> (2006, 2008)</w:t>
      </w:r>
      <w:r w:rsidR="00691971" w:rsidRPr="00476FC9">
        <w:rPr>
          <w:color w:val="000000" w:themeColor="text1"/>
        </w:rPr>
        <w:t xml:space="preserve"> recommend</w:t>
      </w:r>
      <w:r w:rsidR="00513AFB" w:rsidRPr="00476FC9">
        <w:rPr>
          <w:color w:val="000000" w:themeColor="text1"/>
        </w:rPr>
        <w:t>s</w:t>
      </w:r>
      <w:r w:rsidR="00691971" w:rsidRPr="00476FC9">
        <w:rPr>
          <w:color w:val="000000" w:themeColor="text1"/>
        </w:rPr>
        <w:t xml:space="preserve"> </w:t>
      </w:r>
      <w:r w:rsidR="00A83DA6" w:rsidRPr="00476FC9">
        <w:rPr>
          <w:color w:val="000000" w:themeColor="text1"/>
        </w:rPr>
        <w:t xml:space="preserve">that </w:t>
      </w:r>
      <w:r w:rsidR="00691971" w:rsidRPr="00476FC9">
        <w:rPr>
          <w:color w:val="000000" w:themeColor="text1"/>
        </w:rPr>
        <w:t>the FDA improve</w:t>
      </w:r>
      <w:r w:rsidR="00A83DA6" w:rsidRPr="00476FC9">
        <w:rPr>
          <w:color w:val="000000" w:themeColor="text1"/>
        </w:rPr>
        <w:t>s</w:t>
      </w:r>
      <w:r w:rsidR="00691971" w:rsidRPr="00476FC9">
        <w:rPr>
          <w:color w:val="000000" w:themeColor="text1"/>
        </w:rPr>
        <w:t xml:space="preserve"> their oversight of DTA</w:t>
      </w:r>
      <w:r w:rsidR="00A83DA6" w:rsidRPr="00476FC9">
        <w:rPr>
          <w:color w:val="000000" w:themeColor="text1"/>
        </w:rPr>
        <w:t>,</w:t>
      </w:r>
      <w:r w:rsidR="00691971" w:rsidRPr="00476FC9">
        <w:rPr>
          <w:color w:val="000000" w:themeColor="text1"/>
        </w:rPr>
        <w:t xml:space="preserve"> by </w:t>
      </w:r>
      <w:r w:rsidR="00513AFB" w:rsidRPr="00476FC9">
        <w:rPr>
          <w:color w:val="000000" w:themeColor="text1"/>
        </w:rPr>
        <w:t xml:space="preserve">establishing a complete and systematic process for tracking and </w:t>
      </w:r>
      <w:r w:rsidR="00513AFB" w:rsidRPr="00476FC9">
        <w:rPr>
          <w:color w:val="000000" w:themeColor="text1"/>
        </w:rPr>
        <w:lastRenderedPageBreak/>
        <w:t>prioritizing all materials that the agency receive</w:t>
      </w:r>
      <w:r w:rsidR="00A83DA6" w:rsidRPr="00476FC9">
        <w:rPr>
          <w:color w:val="000000" w:themeColor="text1"/>
        </w:rPr>
        <w:t>s</w:t>
      </w:r>
      <w:r w:rsidR="00513AFB" w:rsidRPr="00476FC9">
        <w:rPr>
          <w:color w:val="000000" w:themeColor="text1"/>
        </w:rPr>
        <w:t xml:space="preserve"> for review.</w:t>
      </w:r>
    </w:p>
    <w:p w:rsidR="00884D6A" w:rsidRPr="00476FC9" w:rsidRDefault="00513AFB"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Among various </w:t>
      </w:r>
      <w:r w:rsidR="00D1248D" w:rsidRPr="00476FC9">
        <w:rPr>
          <w:color w:val="000000" w:themeColor="text1"/>
        </w:rPr>
        <w:t>problematic</w:t>
      </w:r>
      <w:r w:rsidRPr="00476FC9">
        <w:rPr>
          <w:color w:val="000000" w:themeColor="text1"/>
        </w:rPr>
        <w:t xml:space="preserve"> DTCA practices, a number of </w:t>
      </w:r>
      <w:r w:rsidR="00D65071" w:rsidRPr="00476FC9">
        <w:rPr>
          <w:color w:val="000000" w:themeColor="text1"/>
        </w:rPr>
        <w:t xml:space="preserve">letters state that the promotional materials </w:t>
      </w:r>
      <w:r w:rsidR="00904F53" w:rsidRPr="00476FC9">
        <w:rPr>
          <w:color w:val="000000" w:themeColor="text1"/>
        </w:rPr>
        <w:t xml:space="preserve">for prescription drugs </w:t>
      </w:r>
      <w:r w:rsidR="009B380F" w:rsidRPr="00476FC9">
        <w:rPr>
          <w:color w:val="000000" w:themeColor="text1"/>
        </w:rPr>
        <w:t xml:space="preserve">employed message techniques that are likely to </w:t>
      </w:r>
      <w:r w:rsidR="00D65071" w:rsidRPr="00476FC9">
        <w:rPr>
          <w:color w:val="000000" w:themeColor="text1"/>
        </w:rPr>
        <w:t xml:space="preserve">minimize </w:t>
      </w:r>
      <w:r w:rsidR="009B380F" w:rsidRPr="00476FC9">
        <w:rPr>
          <w:color w:val="000000" w:themeColor="text1"/>
        </w:rPr>
        <w:t>consumers</w:t>
      </w:r>
      <w:r w:rsidRPr="00476FC9">
        <w:rPr>
          <w:color w:val="000000" w:themeColor="text1"/>
        </w:rPr>
        <w:t>’</w:t>
      </w:r>
      <w:r w:rsidR="00B23648" w:rsidRPr="00476FC9">
        <w:rPr>
          <w:color w:val="000000" w:themeColor="text1"/>
        </w:rPr>
        <w:t xml:space="preserve"> risk perception </w:t>
      </w:r>
      <w:r w:rsidR="00C73944" w:rsidRPr="00476FC9">
        <w:rPr>
          <w:color w:val="000000" w:themeColor="text1"/>
        </w:rPr>
        <w:t>about</w:t>
      </w:r>
      <w:r w:rsidR="00B23648" w:rsidRPr="00476FC9">
        <w:rPr>
          <w:color w:val="000000" w:themeColor="text1"/>
        </w:rPr>
        <w:t xml:space="preserve"> </w:t>
      </w:r>
      <w:r w:rsidR="00D65071" w:rsidRPr="00476FC9">
        <w:rPr>
          <w:color w:val="000000" w:themeColor="text1"/>
        </w:rPr>
        <w:t xml:space="preserve">the medicine </w:t>
      </w:r>
      <w:r w:rsidR="00472943" w:rsidRPr="00476FC9">
        <w:rPr>
          <w:color w:val="000000" w:themeColor="text1"/>
        </w:rPr>
        <w:t xml:space="preserve">through </w:t>
      </w:r>
      <w:r w:rsidR="00D65071" w:rsidRPr="00476FC9">
        <w:rPr>
          <w:color w:val="000000" w:themeColor="text1"/>
        </w:rPr>
        <w:t>a wide range of message presentation formats</w:t>
      </w:r>
      <w:r w:rsidR="00F573C0" w:rsidRPr="00476FC9">
        <w:rPr>
          <w:color w:val="000000" w:themeColor="text1"/>
        </w:rPr>
        <w:t xml:space="preserve"> (Sheehan, 2003)</w:t>
      </w:r>
      <w:r w:rsidR="00D65071" w:rsidRPr="00476FC9">
        <w:rPr>
          <w:color w:val="000000" w:themeColor="text1"/>
        </w:rPr>
        <w:t xml:space="preserve">. </w:t>
      </w:r>
      <w:r w:rsidR="00D1248D" w:rsidRPr="00476FC9">
        <w:rPr>
          <w:color w:val="000000" w:themeColor="text1"/>
        </w:rPr>
        <w:t xml:space="preserve">More importantly, </w:t>
      </w:r>
      <w:r w:rsidR="00087B5D" w:rsidRPr="00476FC9">
        <w:rPr>
          <w:color w:val="000000" w:themeColor="text1"/>
        </w:rPr>
        <w:t>e</w:t>
      </w:r>
      <w:r w:rsidR="00D65071" w:rsidRPr="00476FC9">
        <w:rPr>
          <w:color w:val="000000" w:themeColor="text1"/>
        </w:rPr>
        <w:t xml:space="preserve">ven </w:t>
      </w:r>
      <w:r w:rsidR="002B5084" w:rsidRPr="00476FC9">
        <w:rPr>
          <w:color w:val="000000" w:themeColor="text1"/>
        </w:rPr>
        <w:t xml:space="preserve">when </w:t>
      </w:r>
      <w:r w:rsidR="00D65071" w:rsidRPr="00476FC9">
        <w:rPr>
          <w:color w:val="000000" w:themeColor="text1"/>
        </w:rPr>
        <w:t xml:space="preserve">the ads presented required risk information, </w:t>
      </w:r>
      <w:r w:rsidR="00B55138" w:rsidRPr="00476FC9">
        <w:rPr>
          <w:color w:val="000000" w:themeColor="text1"/>
        </w:rPr>
        <w:t>they</w:t>
      </w:r>
      <w:r w:rsidRPr="00476FC9">
        <w:rPr>
          <w:color w:val="000000" w:themeColor="text1"/>
        </w:rPr>
        <w:t xml:space="preserve"> appeared to</w:t>
      </w:r>
      <w:r w:rsidR="00D65071" w:rsidRPr="00476FC9">
        <w:rPr>
          <w:color w:val="000000" w:themeColor="text1"/>
        </w:rPr>
        <w:t xml:space="preserve"> fail to provide sufficient </w:t>
      </w:r>
      <w:r w:rsidR="007B0B2C" w:rsidRPr="00476FC9">
        <w:rPr>
          <w:color w:val="000000" w:themeColor="text1"/>
        </w:rPr>
        <w:t>prominence of</w:t>
      </w:r>
      <w:r w:rsidR="00D65071" w:rsidRPr="00476FC9">
        <w:rPr>
          <w:color w:val="000000" w:themeColor="text1"/>
        </w:rPr>
        <w:t xml:space="preserve"> risk </w:t>
      </w:r>
      <w:r w:rsidR="001F31CE" w:rsidRPr="00476FC9">
        <w:rPr>
          <w:color w:val="000000" w:themeColor="text1"/>
        </w:rPr>
        <w:t>disclosure</w:t>
      </w:r>
      <w:r w:rsidR="00D65071" w:rsidRPr="00476FC9">
        <w:rPr>
          <w:color w:val="000000" w:themeColor="text1"/>
        </w:rPr>
        <w:t xml:space="preserve"> comparable </w:t>
      </w:r>
      <w:r w:rsidR="001F3788" w:rsidRPr="00476FC9">
        <w:rPr>
          <w:color w:val="000000" w:themeColor="text1"/>
        </w:rPr>
        <w:t>with</w:t>
      </w:r>
      <w:r w:rsidR="00D65071" w:rsidRPr="00476FC9">
        <w:rPr>
          <w:color w:val="000000" w:themeColor="text1"/>
        </w:rPr>
        <w:t xml:space="preserve"> </w:t>
      </w:r>
      <w:r w:rsidR="00D1248D" w:rsidRPr="00476FC9">
        <w:rPr>
          <w:color w:val="000000" w:themeColor="text1"/>
        </w:rPr>
        <w:t xml:space="preserve">that of </w:t>
      </w:r>
      <w:r w:rsidR="00D70D78" w:rsidRPr="00476FC9">
        <w:rPr>
          <w:color w:val="000000" w:themeColor="text1"/>
        </w:rPr>
        <w:t>benefit</w:t>
      </w:r>
      <w:r w:rsidR="008C174F" w:rsidRPr="00476FC9">
        <w:rPr>
          <w:color w:val="000000" w:themeColor="text1"/>
        </w:rPr>
        <w:t xml:space="preserve"> information (Sheehan, 2003).</w:t>
      </w:r>
      <w:r w:rsidR="001C1A00" w:rsidRPr="00476FC9">
        <w:rPr>
          <w:color w:val="000000" w:themeColor="text1"/>
        </w:rPr>
        <w:t xml:space="preserve"> </w:t>
      </w:r>
      <w:r w:rsidRPr="00476FC9">
        <w:rPr>
          <w:color w:val="000000" w:themeColor="text1"/>
        </w:rPr>
        <w:t xml:space="preserve">This </w:t>
      </w:r>
      <w:r w:rsidR="00884D6A" w:rsidRPr="00476FC9">
        <w:rPr>
          <w:color w:val="000000" w:themeColor="text1"/>
        </w:rPr>
        <w:t>is</w:t>
      </w:r>
      <w:r w:rsidRPr="00476FC9">
        <w:rPr>
          <w:color w:val="000000" w:themeColor="text1"/>
        </w:rPr>
        <w:t xml:space="preserve"> undesirable given that </w:t>
      </w:r>
      <w:r w:rsidR="00B67F0D" w:rsidRPr="00476FC9">
        <w:rPr>
          <w:color w:val="000000" w:themeColor="text1"/>
        </w:rPr>
        <w:t>i</w:t>
      </w:r>
      <w:r w:rsidR="001A104A" w:rsidRPr="00476FC9">
        <w:rPr>
          <w:color w:val="000000" w:themeColor="text1"/>
        </w:rPr>
        <w:t xml:space="preserve">mbalanced emphasis on benefit information is </w:t>
      </w:r>
      <w:r w:rsidR="00B67F0D" w:rsidRPr="00476FC9">
        <w:rPr>
          <w:color w:val="000000" w:themeColor="text1"/>
        </w:rPr>
        <w:t xml:space="preserve">likely to </w:t>
      </w:r>
      <w:r w:rsidR="00884D6A" w:rsidRPr="00476FC9">
        <w:rPr>
          <w:color w:val="000000" w:themeColor="text1"/>
        </w:rPr>
        <w:t xml:space="preserve">relate to </w:t>
      </w:r>
      <w:r w:rsidRPr="00476FC9">
        <w:rPr>
          <w:color w:val="000000" w:themeColor="text1"/>
        </w:rPr>
        <w:t>unrealisti</w:t>
      </w:r>
      <w:r w:rsidR="00C93403" w:rsidRPr="00476FC9">
        <w:rPr>
          <w:color w:val="000000" w:themeColor="text1"/>
        </w:rPr>
        <w:t>c</w:t>
      </w:r>
      <w:r w:rsidRPr="00476FC9">
        <w:rPr>
          <w:color w:val="000000" w:themeColor="text1"/>
        </w:rPr>
        <w:t xml:space="preserve"> </w:t>
      </w:r>
      <w:r w:rsidR="00884D6A" w:rsidRPr="00476FC9">
        <w:rPr>
          <w:color w:val="000000" w:themeColor="text1"/>
        </w:rPr>
        <w:t>perception</w:t>
      </w:r>
      <w:r w:rsidR="001A104A" w:rsidRPr="00476FC9">
        <w:rPr>
          <w:color w:val="000000" w:themeColor="text1"/>
        </w:rPr>
        <w:t xml:space="preserve"> about the medicine</w:t>
      </w:r>
      <w:r w:rsidRPr="00476FC9">
        <w:rPr>
          <w:color w:val="000000" w:themeColor="text1"/>
        </w:rPr>
        <w:t xml:space="preserve">’s efficacy, while </w:t>
      </w:r>
      <w:r w:rsidR="004F424A" w:rsidRPr="00476FC9">
        <w:rPr>
          <w:color w:val="000000" w:themeColor="text1"/>
        </w:rPr>
        <w:t xml:space="preserve">leading </w:t>
      </w:r>
      <w:r w:rsidRPr="00476FC9">
        <w:rPr>
          <w:color w:val="000000" w:themeColor="text1"/>
        </w:rPr>
        <w:t xml:space="preserve">consumers </w:t>
      </w:r>
      <w:r w:rsidR="004F424A" w:rsidRPr="00476FC9">
        <w:rPr>
          <w:color w:val="000000" w:themeColor="text1"/>
        </w:rPr>
        <w:t xml:space="preserve">to </w:t>
      </w:r>
      <w:r w:rsidR="00884D6A" w:rsidRPr="00476FC9">
        <w:rPr>
          <w:color w:val="000000" w:themeColor="text1"/>
        </w:rPr>
        <w:t>disregard</w:t>
      </w:r>
      <w:r w:rsidR="004F424A" w:rsidRPr="00476FC9">
        <w:rPr>
          <w:color w:val="000000" w:themeColor="text1"/>
        </w:rPr>
        <w:t xml:space="preserve"> potential health risks of the drug</w:t>
      </w:r>
      <w:r w:rsidR="001A104A" w:rsidRPr="00476FC9">
        <w:rPr>
          <w:color w:val="000000" w:themeColor="text1"/>
        </w:rPr>
        <w:t xml:space="preserve"> </w:t>
      </w:r>
      <w:r w:rsidR="00D65071" w:rsidRPr="00476FC9">
        <w:rPr>
          <w:color w:val="000000" w:themeColor="text1"/>
        </w:rPr>
        <w:t>(An &amp; Muturi, 2011).</w:t>
      </w:r>
      <w:r w:rsidR="00884D6A" w:rsidRPr="00476FC9">
        <w:rPr>
          <w:color w:val="000000" w:themeColor="text1"/>
        </w:rPr>
        <w:t xml:space="preserve"> </w:t>
      </w:r>
      <w:r w:rsidR="004F424A" w:rsidRPr="00476FC9">
        <w:rPr>
          <w:color w:val="000000" w:themeColor="text1"/>
        </w:rPr>
        <w:t>To address this public health concern, t</w:t>
      </w:r>
      <w:r w:rsidR="00167402" w:rsidRPr="00476FC9">
        <w:rPr>
          <w:color w:val="000000" w:themeColor="text1"/>
        </w:rPr>
        <w:t xml:space="preserve">he current </w:t>
      </w:r>
      <w:r w:rsidR="00D65071" w:rsidRPr="00476FC9">
        <w:rPr>
          <w:color w:val="000000" w:themeColor="text1"/>
        </w:rPr>
        <w:t xml:space="preserve">research </w:t>
      </w:r>
      <w:r w:rsidR="00532359" w:rsidRPr="00476FC9">
        <w:rPr>
          <w:color w:val="000000" w:themeColor="text1"/>
        </w:rPr>
        <w:t xml:space="preserve">builds on </w:t>
      </w:r>
      <w:r w:rsidR="00D65071" w:rsidRPr="00476FC9">
        <w:rPr>
          <w:color w:val="000000" w:themeColor="text1"/>
        </w:rPr>
        <w:t xml:space="preserve">the FDA’s conceptualization of risk disclosure prominence </w:t>
      </w:r>
      <w:r w:rsidR="00B67F0D" w:rsidRPr="00476FC9">
        <w:rPr>
          <w:color w:val="000000" w:themeColor="text1"/>
        </w:rPr>
        <w:t>and operationalize</w:t>
      </w:r>
      <w:r w:rsidR="005557D8" w:rsidRPr="00476FC9">
        <w:rPr>
          <w:color w:val="000000" w:themeColor="text1"/>
        </w:rPr>
        <w:t>s</w:t>
      </w:r>
      <w:r w:rsidR="00B67F0D" w:rsidRPr="00476FC9">
        <w:rPr>
          <w:color w:val="000000" w:themeColor="text1"/>
        </w:rPr>
        <w:t xml:space="preserve"> disclosure prominence as a combination of </w:t>
      </w:r>
      <w:r w:rsidR="004F424A" w:rsidRPr="00476FC9">
        <w:rPr>
          <w:color w:val="000000" w:themeColor="text1"/>
        </w:rPr>
        <w:t xml:space="preserve">various </w:t>
      </w:r>
      <w:r w:rsidR="00B67F0D" w:rsidRPr="00476FC9">
        <w:rPr>
          <w:color w:val="000000" w:themeColor="text1"/>
        </w:rPr>
        <w:t>message factors</w:t>
      </w:r>
      <w:r w:rsidR="004F424A" w:rsidRPr="00476FC9">
        <w:rPr>
          <w:color w:val="000000" w:themeColor="text1"/>
        </w:rPr>
        <w:t xml:space="preserve"> that are selected from the FDA’s (2009) draft guidance </w:t>
      </w:r>
      <w:r w:rsidR="00884D6A" w:rsidRPr="00476FC9">
        <w:rPr>
          <w:color w:val="000000" w:themeColor="text1"/>
        </w:rPr>
        <w:t>of</w:t>
      </w:r>
      <w:r w:rsidR="004F424A" w:rsidRPr="00476FC9">
        <w:rPr>
          <w:color w:val="000000" w:themeColor="text1"/>
        </w:rPr>
        <w:t xml:space="preserve"> DTCA risk communication</w:t>
      </w:r>
      <w:r w:rsidR="00B67F0D" w:rsidRPr="00476FC9">
        <w:rPr>
          <w:color w:val="000000" w:themeColor="text1"/>
        </w:rPr>
        <w:t xml:space="preserve">. </w:t>
      </w:r>
    </w:p>
    <w:p w:rsidR="00264E7B" w:rsidRPr="00476FC9" w:rsidRDefault="00B83DA1"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To be more specific</w:t>
      </w:r>
      <w:r w:rsidR="00D65071" w:rsidRPr="00476FC9">
        <w:rPr>
          <w:color w:val="000000" w:themeColor="text1"/>
        </w:rPr>
        <w:t xml:space="preserve">, the FDA (2009) </w:t>
      </w:r>
      <w:r w:rsidR="004F424A" w:rsidRPr="00476FC9">
        <w:rPr>
          <w:color w:val="000000" w:themeColor="text1"/>
        </w:rPr>
        <w:t>lays out</w:t>
      </w:r>
      <w:r w:rsidR="007707CC" w:rsidRPr="00476FC9">
        <w:rPr>
          <w:color w:val="000000" w:themeColor="text1"/>
        </w:rPr>
        <w:t xml:space="preserve"> </w:t>
      </w:r>
      <w:r w:rsidR="00D65071" w:rsidRPr="00476FC9">
        <w:rPr>
          <w:color w:val="000000" w:themeColor="text1"/>
        </w:rPr>
        <w:t xml:space="preserve">major risk minimizing message </w:t>
      </w:r>
      <w:r w:rsidR="00833123" w:rsidRPr="00476FC9">
        <w:rPr>
          <w:color w:val="000000" w:themeColor="text1"/>
        </w:rPr>
        <w:t>techniques</w:t>
      </w:r>
      <w:r w:rsidR="00D65071" w:rsidRPr="00476FC9">
        <w:rPr>
          <w:color w:val="000000" w:themeColor="text1"/>
        </w:rPr>
        <w:t xml:space="preserve"> in their draft guidance, </w:t>
      </w:r>
      <w:r w:rsidR="004F424A" w:rsidRPr="00476FC9">
        <w:rPr>
          <w:color w:val="000000" w:themeColor="text1"/>
        </w:rPr>
        <w:t xml:space="preserve">titled </w:t>
      </w:r>
      <w:r w:rsidR="000657E2" w:rsidRPr="00476FC9">
        <w:rPr>
          <w:color w:val="000000" w:themeColor="text1"/>
        </w:rPr>
        <w:t>“Presenting Risk Information in Prescription Drug and Medical Device Promotion</w:t>
      </w:r>
      <w:r w:rsidR="001233CB" w:rsidRPr="00476FC9">
        <w:rPr>
          <w:color w:val="000000" w:themeColor="text1"/>
        </w:rPr>
        <w:t>.</w:t>
      </w:r>
      <w:r w:rsidR="000657E2" w:rsidRPr="00476FC9">
        <w:rPr>
          <w:color w:val="000000" w:themeColor="text1"/>
        </w:rPr>
        <w:t xml:space="preserve">” </w:t>
      </w:r>
      <w:r w:rsidR="001233CB" w:rsidRPr="00476FC9">
        <w:rPr>
          <w:color w:val="000000" w:themeColor="text1"/>
        </w:rPr>
        <w:t xml:space="preserve">This guidance </w:t>
      </w:r>
      <w:r w:rsidR="00D65071" w:rsidRPr="00476FC9">
        <w:rPr>
          <w:color w:val="000000" w:themeColor="text1"/>
        </w:rPr>
        <w:t>stat</w:t>
      </w:r>
      <w:r w:rsidR="001233CB" w:rsidRPr="00476FC9">
        <w:rPr>
          <w:color w:val="000000" w:themeColor="text1"/>
        </w:rPr>
        <w:t xml:space="preserve">es </w:t>
      </w:r>
      <w:r w:rsidR="00D65071" w:rsidRPr="00476FC9">
        <w:rPr>
          <w:color w:val="000000" w:themeColor="text1"/>
        </w:rPr>
        <w:t xml:space="preserve">that promotional materials are misleading if they fail to present information about risks associated with a drug with a </w:t>
      </w:r>
      <w:r w:rsidR="00D65071" w:rsidRPr="00476FC9">
        <w:rPr>
          <w:i/>
          <w:color w:val="000000" w:themeColor="text1"/>
        </w:rPr>
        <w:t>prominence</w:t>
      </w:r>
      <w:r w:rsidR="00EA3D17" w:rsidRPr="00476FC9">
        <w:rPr>
          <w:color w:val="000000" w:themeColor="text1"/>
        </w:rPr>
        <w:t xml:space="preserve"> </w:t>
      </w:r>
      <w:r w:rsidR="00D65071" w:rsidRPr="00476FC9">
        <w:rPr>
          <w:color w:val="000000" w:themeColor="text1"/>
        </w:rPr>
        <w:t xml:space="preserve">reasonably comparable to the presentation of information </w:t>
      </w:r>
      <w:r w:rsidR="00C55E5C" w:rsidRPr="00476FC9">
        <w:rPr>
          <w:color w:val="000000" w:themeColor="text1"/>
        </w:rPr>
        <w:t>related</w:t>
      </w:r>
      <w:r w:rsidR="00D65071" w:rsidRPr="00476FC9">
        <w:rPr>
          <w:color w:val="000000" w:themeColor="text1"/>
        </w:rPr>
        <w:t xml:space="preserve"> to the effectiveness of the drug</w:t>
      </w:r>
      <w:r w:rsidR="002C0A37" w:rsidRPr="00476FC9">
        <w:rPr>
          <w:color w:val="000000" w:themeColor="text1"/>
        </w:rPr>
        <w:t xml:space="preserve">. </w:t>
      </w:r>
    </w:p>
    <w:p w:rsidR="00D65071" w:rsidRPr="00476FC9" w:rsidRDefault="00264E7B"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In particular, t</w:t>
      </w:r>
      <w:r w:rsidR="00D65071" w:rsidRPr="00476FC9">
        <w:rPr>
          <w:color w:val="000000" w:themeColor="text1"/>
        </w:rPr>
        <w:t>he FDA take</w:t>
      </w:r>
      <w:r w:rsidR="00B67F0D" w:rsidRPr="00476FC9">
        <w:rPr>
          <w:color w:val="000000" w:themeColor="text1"/>
        </w:rPr>
        <w:t>s</w:t>
      </w:r>
      <w:r w:rsidR="00D65071" w:rsidRPr="00476FC9">
        <w:rPr>
          <w:color w:val="000000" w:themeColor="text1"/>
        </w:rPr>
        <w:t xml:space="preserve"> into account “all implementing factors such as typography, layout, contrast, headlines, paragraphing, white space, and any other techniques apt to achieve emphasis" (21 CFR 202.1(e)(7)(viii)). </w:t>
      </w:r>
      <w:r w:rsidRPr="00476FC9">
        <w:rPr>
          <w:color w:val="000000" w:themeColor="text1"/>
        </w:rPr>
        <w:t>T</w:t>
      </w:r>
      <w:r w:rsidR="003E6DD3" w:rsidRPr="00476FC9">
        <w:rPr>
          <w:color w:val="000000" w:themeColor="text1"/>
        </w:rPr>
        <w:t>o encourage consumers</w:t>
      </w:r>
      <w:r w:rsidR="004A4B6C" w:rsidRPr="00476FC9">
        <w:rPr>
          <w:color w:val="000000" w:themeColor="text1"/>
        </w:rPr>
        <w:t xml:space="preserve"> to </w:t>
      </w:r>
      <w:r w:rsidR="00406557" w:rsidRPr="00476FC9">
        <w:rPr>
          <w:color w:val="000000" w:themeColor="text1"/>
        </w:rPr>
        <w:t xml:space="preserve">make informed </w:t>
      </w:r>
      <w:r w:rsidRPr="00476FC9">
        <w:rPr>
          <w:color w:val="000000" w:themeColor="text1"/>
        </w:rPr>
        <w:t xml:space="preserve">prescription </w:t>
      </w:r>
      <w:r w:rsidR="00406557" w:rsidRPr="00476FC9">
        <w:rPr>
          <w:color w:val="000000" w:themeColor="text1"/>
        </w:rPr>
        <w:t>decisions</w:t>
      </w:r>
      <w:r w:rsidR="00F46E62" w:rsidRPr="00476FC9">
        <w:rPr>
          <w:color w:val="000000" w:themeColor="text1"/>
        </w:rPr>
        <w:t>,</w:t>
      </w:r>
      <w:r w:rsidR="004A4B6C" w:rsidRPr="00476FC9">
        <w:rPr>
          <w:color w:val="000000" w:themeColor="text1"/>
        </w:rPr>
        <w:t xml:space="preserve"> </w:t>
      </w:r>
      <w:r w:rsidR="005A5C63" w:rsidRPr="00476FC9">
        <w:rPr>
          <w:color w:val="000000" w:themeColor="text1"/>
        </w:rPr>
        <w:t xml:space="preserve">it is critical to </w:t>
      </w:r>
      <w:r w:rsidR="005E4ACB" w:rsidRPr="00476FC9">
        <w:rPr>
          <w:color w:val="000000" w:themeColor="text1"/>
        </w:rPr>
        <w:t>make</w:t>
      </w:r>
      <w:r w:rsidRPr="00476FC9">
        <w:rPr>
          <w:color w:val="000000" w:themeColor="text1"/>
        </w:rPr>
        <w:t xml:space="preserve"> consumers p</w:t>
      </w:r>
      <w:r w:rsidR="004A4B6C" w:rsidRPr="00476FC9">
        <w:rPr>
          <w:color w:val="000000" w:themeColor="text1"/>
        </w:rPr>
        <w:t xml:space="preserve">ay </w:t>
      </w:r>
      <w:r w:rsidRPr="00476FC9">
        <w:rPr>
          <w:color w:val="000000" w:themeColor="text1"/>
        </w:rPr>
        <w:t xml:space="preserve">sufficient </w:t>
      </w:r>
      <w:r w:rsidR="004A4B6C" w:rsidRPr="00476FC9">
        <w:rPr>
          <w:color w:val="000000" w:themeColor="text1"/>
        </w:rPr>
        <w:t xml:space="preserve">attention to </w:t>
      </w:r>
      <w:r w:rsidR="00E332CA" w:rsidRPr="00476FC9">
        <w:rPr>
          <w:color w:val="000000" w:themeColor="text1"/>
        </w:rPr>
        <w:t xml:space="preserve">risk disclosure as well as </w:t>
      </w:r>
      <w:r w:rsidR="00E332CA" w:rsidRPr="00476FC9">
        <w:rPr>
          <w:color w:val="000000" w:themeColor="text1"/>
        </w:rPr>
        <w:lastRenderedPageBreak/>
        <w:t>information about the drug’s efficacy</w:t>
      </w:r>
      <w:r w:rsidR="004F424A" w:rsidRPr="00476FC9">
        <w:rPr>
          <w:color w:val="000000" w:themeColor="text1"/>
        </w:rPr>
        <w:t xml:space="preserve"> or uses</w:t>
      </w:r>
      <w:r w:rsidR="00D1457D" w:rsidRPr="00476FC9">
        <w:rPr>
          <w:color w:val="000000" w:themeColor="text1"/>
        </w:rPr>
        <w:t>.</w:t>
      </w:r>
      <w:r w:rsidRPr="00476FC9">
        <w:rPr>
          <w:color w:val="000000" w:themeColor="text1"/>
        </w:rPr>
        <w:t xml:space="preserve"> Further, the information should be properly recalled or recognized in their decision making situations. Depending on how advertisers use the above message techniques to present risk disclosure, </w:t>
      </w:r>
      <w:r w:rsidR="00282EE3" w:rsidRPr="00476FC9">
        <w:rPr>
          <w:color w:val="000000" w:themeColor="text1"/>
        </w:rPr>
        <w:t>prominence can be differently operationalized. In this research, two levels of disclosure prominence is operationalized to represent high and low prominence, using the techniques outlined by the FDA (2009).</w:t>
      </w:r>
    </w:p>
    <w:p w:rsidR="00D65071" w:rsidRDefault="002E006C"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017C13" w:rsidRPr="00476FC9">
        <w:rPr>
          <w:color w:val="000000" w:themeColor="text1"/>
        </w:rPr>
        <w:t>In sum</w:t>
      </w:r>
      <w:r w:rsidR="00FD1BA4" w:rsidRPr="00476FC9">
        <w:rPr>
          <w:color w:val="000000" w:themeColor="text1"/>
        </w:rPr>
        <w:t>, t</w:t>
      </w:r>
      <w:r w:rsidR="00D65071" w:rsidRPr="00476FC9">
        <w:rPr>
          <w:color w:val="000000" w:themeColor="text1"/>
        </w:rPr>
        <w:t xml:space="preserve">he Code of Federal Regulation (21 CFR 202.1) and the FDA’s </w:t>
      </w:r>
      <w:r w:rsidR="004F424A" w:rsidRPr="00476FC9">
        <w:rPr>
          <w:color w:val="000000" w:themeColor="text1"/>
        </w:rPr>
        <w:t xml:space="preserve">draft </w:t>
      </w:r>
      <w:r w:rsidR="00DB76B9" w:rsidRPr="00476FC9">
        <w:rPr>
          <w:color w:val="000000" w:themeColor="text1"/>
        </w:rPr>
        <w:t xml:space="preserve">guidance </w:t>
      </w:r>
      <w:r w:rsidR="00D65071" w:rsidRPr="00476FC9">
        <w:rPr>
          <w:color w:val="000000" w:themeColor="text1"/>
        </w:rPr>
        <w:t xml:space="preserve">for prescription drug </w:t>
      </w:r>
      <w:r w:rsidR="00DB76B9" w:rsidRPr="00476FC9">
        <w:rPr>
          <w:color w:val="000000" w:themeColor="text1"/>
        </w:rPr>
        <w:t>promotion</w:t>
      </w:r>
      <w:r w:rsidR="00D65071" w:rsidRPr="00476FC9">
        <w:rPr>
          <w:color w:val="000000" w:themeColor="text1"/>
        </w:rPr>
        <w:t xml:space="preserve"> (FDA, 2009) clearly </w:t>
      </w:r>
      <w:r w:rsidR="004A5DD1" w:rsidRPr="00476FC9">
        <w:rPr>
          <w:color w:val="000000" w:themeColor="text1"/>
        </w:rPr>
        <w:t>document</w:t>
      </w:r>
      <w:r w:rsidR="00D65071" w:rsidRPr="00476FC9">
        <w:rPr>
          <w:color w:val="000000" w:themeColor="text1"/>
        </w:rPr>
        <w:t xml:space="preserve"> how risk information as well as benefit information </w:t>
      </w:r>
      <w:r w:rsidR="00DA3235" w:rsidRPr="00476FC9">
        <w:rPr>
          <w:color w:val="000000" w:themeColor="text1"/>
        </w:rPr>
        <w:t>can</w:t>
      </w:r>
      <w:r w:rsidR="00D65071" w:rsidRPr="00476FC9">
        <w:rPr>
          <w:color w:val="000000" w:themeColor="text1"/>
        </w:rPr>
        <w:t xml:space="preserve"> be </w:t>
      </w:r>
      <w:r w:rsidR="004F424A" w:rsidRPr="00476FC9">
        <w:rPr>
          <w:color w:val="000000" w:themeColor="text1"/>
        </w:rPr>
        <w:t>developed to be</w:t>
      </w:r>
      <w:r w:rsidR="00D65071" w:rsidRPr="00476FC9">
        <w:rPr>
          <w:color w:val="000000" w:themeColor="text1"/>
        </w:rPr>
        <w:t xml:space="preserve"> noticeable so that consumers </w:t>
      </w:r>
      <w:r w:rsidR="00424349" w:rsidRPr="00476FC9">
        <w:rPr>
          <w:color w:val="000000" w:themeColor="text1"/>
        </w:rPr>
        <w:t>are ab</w:t>
      </w:r>
      <w:r w:rsidR="00D65071" w:rsidRPr="00476FC9">
        <w:rPr>
          <w:color w:val="000000" w:themeColor="text1"/>
        </w:rPr>
        <w:t xml:space="preserve">le to </w:t>
      </w:r>
      <w:r w:rsidR="00282EE3" w:rsidRPr="00476FC9">
        <w:rPr>
          <w:color w:val="000000" w:themeColor="text1"/>
        </w:rPr>
        <w:t>pay sufficient attention to both</w:t>
      </w:r>
      <w:r w:rsidR="00D65071" w:rsidRPr="00476FC9">
        <w:rPr>
          <w:color w:val="000000" w:themeColor="text1"/>
        </w:rPr>
        <w:t xml:space="preserve"> </w:t>
      </w:r>
      <w:r w:rsidR="00406557" w:rsidRPr="00476FC9">
        <w:rPr>
          <w:color w:val="000000" w:themeColor="text1"/>
        </w:rPr>
        <w:t xml:space="preserve">information </w:t>
      </w:r>
      <w:r w:rsidR="00D65071" w:rsidRPr="00476FC9">
        <w:rPr>
          <w:color w:val="000000" w:themeColor="text1"/>
        </w:rPr>
        <w:t>with similar ease.</w:t>
      </w:r>
      <w:r w:rsidR="007A3847" w:rsidRPr="00476FC9">
        <w:rPr>
          <w:color w:val="000000" w:themeColor="text1"/>
        </w:rPr>
        <w:t xml:space="preserve"> </w:t>
      </w:r>
      <w:r w:rsidR="006C4D84" w:rsidRPr="00476FC9">
        <w:rPr>
          <w:color w:val="000000" w:themeColor="text1"/>
        </w:rPr>
        <w:t>B</w:t>
      </w:r>
      <w:r w:rsidR="00D65071" w:rsidRPr="00476FC9">
        <w:rPr>
          <w:color w:val="000000" w:themeColor="text1"/>
        </w:rPr>
        <w:t>a</w:t>
      </w:r>
      <w:r w:rsidR="004F424A" w:rsidRPr="00476FC9">
        <w:rPr>
          <w:color w:val="000000" w:themeColor="text1"/>
        </w:rPr>
        <w:t>sed on the foregoing discussion,</w:t>
      </w:r>
      <w:r w:rsidR="006C4D84" w:rsidRPr="00476FC9">
        <w:rPr>
          <w:color w:val="000000" w:themeColor="text1"/>
        </w:rPr>
        <w:t xml:space="preserve"> in the following section the </w:t>
      </w:r>
      <w:r w:rsidR="00B871C6" w:rsidRPr="00476FC9">
        <w:rPr>
          <w:color w:val="000000" w:themeColor="text1"/>
        </w:rPr>
        <w:t>theoretical</w:t>
      </w:r>
      <w:r w:rsidR="006C4D84" w:rsidRPr="00476FC9">
        <w:rPr>
          <w:color w:val="000000" w:themeColor="text1"/>
        </w:rPr>
        <w:t xml:space="preserve"> background and operationalization</w:t>
      </w:r>
      <w:r w:rsidR="003E314C" w:rsidRPr="00476FC9">
        <w:rPr>
          <w:color w:val="000000" w:themeColor="text1"/>
        </w:rPr>
        <w:t xml:space="preserve"> of </w:t>
      </w:r>
      <w:r w:rsidR="00282EE3" w:rsidRPr="00476FC9">
        <w:rPr>
          <w:color w:val="000000" w:themeColor="text1"/>
        </w:rPr>
        <w:t xml:space="preserve">DTCA </w:t>
      </w:r>
      <w:r w:rsidR="00451560" w:rsidRPr="00476FC9">
        <w:rPr>
          <w:color w:val="000000" w:themeColor="text1"/>
        </w:rPr>
        <w:t>risk disclosure prominence</w:t>
      </w:r>
      <w:r w:rsidR="006C4D84" w:rsidRPr="00476FC9">
        <w:rPr>
          <w:color w:val="000000" w:themeColor="text1"/>
        </w:rPr>
        <w:t xml:space="preserve"> are addressed.</w:t>
      </w:r>
    </w:p>
    <w:p w:rsidR="00EC7A80" w:rsidRPr="00476FC9" w:rsidRDefault="00EC7A80" w:rsidP="007D2ACE">
      <w:pPr>
        <w:keepNext w:val="0"/>
        <w:widowControl w:val="0"/>
        <w:kinsoku w:val="0"/>
        <w:overflowPunct w:val="0"/>
        <w:autoSpaceDE w:val="0"/>
        <w:autoSpaceDN w:val="0"/>
        <w:adjustRightInd w:val="0"/>
        <w:snapToGrid w:val="0"/>
        <w:spacing w:before="0" w:after="0" w:line="240" w:lineRule="auto"/>
        <w:outlineLvl w:val="9"/>
        <w:rPr>
          <w:rFonts w:cs="Arial"/>
          <w:bCs w:val="0"/>
          <w:iCs/>
          <w:color w:val="000000" w:themeColor="text1"/>
        </w:rPr>
      </w:pPr>
    </w:p>
    <w:p w:rsidR="00282EE3" w:rsidRPr="00476FC9" w:rsidRDefault="00282EE3" w:rsidP="007D2ACE">
      <w:pPr>
        <w:pStyle w:val="Heading2"/>
        <w:rPr>
          <w:color w:val="000000" w:themeColor="text1"/>
        </w:rPr>
      </w:pPr>
      <w:bookmarkStart w:id="18" w:name="_Toc393800665"/>
      <w:r w:rsidRPr="00476FC9">
        <w:rPr>
          <w:color w:val="000000" w:themeColor="text1"/>
        </w:rPr>
        <w:t>The Study</w:t>
      </w:r>
      <w:bookmarkEnd w:id="18"/>
    </w:p>
    <w:p w:rsidR="00B82064" w:rsidRPr="00476FC9" w:rsidRDefault="00FD04D1" w:rsidP="007D2ACE">
      <w:pPr>
        <w:pStyle w:val="Heading3"/>
        <w:widowControl w:val="0"/>
        <w:kinsoku w:val="0"/>
        <w:overflowPunct w:val="0"/>
        <w:autoSpaceDE w:val="0"/>
        <w:autoSpaceDN w:val="0"/>
        <w:snapToGrid w:val="0"/>
        <w:contextualSpacing w:val="0"/>
        <w:rPr>
          <w:color w:val="000000" w:themeColor="text1"/>
          <w:specVanish/>
        </w:rPr>
      </w:pPr>
      <w:bookmarkStart w:id="19" w:name="_Toc393800666"/>
      <w:r w:rsidRPr="00476FC9">
        <w:rPr>
          <w:color w:val="000000" w:themeColor="text1"/>
        </w:rPr>
        <w:t>Risk Disclosure P</w:t>
      </w:r>
      <w:r w:rsidR="001625E1" w:rsidRPr="00476FC9">
        <w:rPr>
          <w:color w:val="000000" w:themeColor="text1"/>
        </w:rPr>
        <w:t>rominence</w:t>
      </w:r>
      <w:r w:rsidR="000A3604" w:rsidRPr="00476FC9">
        <w:rPr>
          <w:color w:val="000000" w:themeColor="text1"/>
        </w:rPr>
        <w:t xml:space="preserve"> as a Message Factor</w:t>
      </w:r>
      <w:r w:rsidR="00991AC5" w:rsidRPr="00476FC9">
        <w:rPr>
          <w:color w:val="000000" w:themeColor="text1"/>
        </w:rPr>
        <w:t xml:space="preserve"> (Main Effects)</w:t>
      </w:r>
      <w:bookmarkEnd w:id="19"/>
    </w:p>
    <w:p w:rsidR="00C52D55" w:rsidRPr="00476FC9" w:rsidRDefault="00645AE7"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 xml:space="preserve"> </w:t>
      </w:r>
      <w:r w:rsidR="001625E1" w:rsidRPr="00476FC9">
        <w:rPr>
          <w:color w:val="000000" w:themeColor="text1"/>
        </w:rPr>
        <w:tab/>
      </w:r>
      <w:r w:rsidR="008843D8" w:rsidRPr="00476FC9">
        <w:rPr>
          <w:color w:val="000000" w:themeColor="text1"/>
        </w:rPr>
        <w:t>T</w:t>
      </w:r>
      <w:r w:rsidR="00FD04D1" w:rsidRPr="00476FC9">
        <w:rPr>
          <w:color w:val="000000" w:themeColor="text1"/>
        </w:rPr>
        <w:t xml:space="preserve">o </w:t>
      </w:r>
      <w:r w:rsidR="00C61E5A" w:rsidRPr="00476FC9">
        <w:rPr>
          <w:color w:val="000000" w:themeColor="text1"/>
        </w:rPr>
        <w:t>secure intended</w:t>
      </w:r>
      <w:r w:rsidR="00FA4C41" w:rsidRPr="00476FC9">
        <w:rPr>
          <w:color w:val="000000" w:themeColor="text1"/>
        </w:rPr>
        <w:t xml:space="preserve"> </w:t>
      </w:r>
      <w:r w:rsidR="00B2470C" w:rsidRPr="00476FC9">
        <w:rPr>
          <w:color w:val="000000" w:themeColor="text1"/>
        </w:rPr>
        <w:t>risk disclosure</w:t>
      </w:r>
      <w:r w:rsidR="00FD04D1" w:rsidRPr="00476FC9">
        <w:rPr>
          <w:color w:val="000000" w:themeColor="text1"/>
        </w:rPr>
        <w:t xml:space="preserve"> effectiveness</w:t>
      </w:r>
      <w:r w:rsidR="00BB4706" w:rsidRPr="00476FC9">
        <w:rPr>
          <w:color w:val="000000" w:themeColor="text1"/>
        </w:rPr>
        <w:t>,</w:t>
      </w:r>
      <w:r w:rsidR="00FD04D1" w:rsidRPr="00476FC9">
        <w:rPr>
          <w:color w:val="000000" w:themeColor="text1"/>
        </w:rPr>
        <w:t xml:space="preserve"> </w:t>
      </w:r>
      <w:r w:rsidR="00B2470C" w:rsidRPr="00476FC9">
        <w:rPr>
          <w:color w:val="000000" w:themeColor="text1"/>
        </w:rPr>
        <w:t xml:space="preserve">DTCA </w:t>
      </w:r>
      <w:r w:rsidR="00C61E5A" w:rsidRPr="00476FC9">
        <w:rPr>
          <w:color w:val="000000" w:themeColor="text1"/>
        </w:rPr>
        <w:t>designers</w:t>
      </w:r>
      <w:r w:rsidR="00665FFD" w:rsidRPr="00476FC9">
        <w:rPr>
          <w:color w:val="000000" w:themeColor="text1"/>
        </w:rPr>
        <w:t xml:space="preserve"> </w:t>
      </w:r>
      <w:r w:rsidR="00B2470C" w:rsidRPr="00476FC9">
        <w:rPr>
          <w:color w:val="000000" w:themeColor="text1"/>
        </w:rPr>
        <w:t xml:space="preserve">should </w:t>
      </w:r>
      <w:r w:rsidR="00665FFD" w:rsidRPr="00476FC9">
        <w:rPr>
          <w:color w:val="000000" w:themeColor="text1"/>
        </w:rPr>
        <w:t xml:space="preserve">consider persuasion </w:t>
      </w:r>
      <w:r w:rsidR="00C61E5A" w:rsidRPr="00476FC9">
        <w:rPr>
          <w:color w:val="000000" w:themeColor="text1"/>
        </w:rPr>
        <w:t xml:space="preserve">sequences including </w:t>
      </w:r>
      <w:r w:rsidR="00FD04D1" w:rsidRPr="00476FC9">
        <w:rPr>
          <w:i/>
          <w:color w:val="000000" w:themeColor="text1"/>
        </w:rPr>
        <w:t>exposure</w:t>
      </w:r>
      <w:r w:rsidR="00FD04D1" w:rsidRPr="00476FC9">
        <w:rPr>
          <w:color w:val="000000" w:themeColor="text1"/>
        </w:rPr>
        <w:t xml:space="preserve">, </w:t>
      </w:r>
      <w:r w:rsidR="00FD04D1" w:rsidRPr="00476FC9">
        <w:rPr>
          <w:i/>
          <w:color w:val="000000" w:themeColor="text1"/>
        </w:rPr>
        <w:t>processing</w:t>
      </w:r>
      <w:r w:rsidR="00C61E5A" w:rsidRPr="00476FC9">
        <w:rPr>
          <w:color w:val="000000" w:themeColor="text1"/>
        </w:rPr>
        <w:t>, and</w:t>
      </w:r>
      <w:r w:rsidR="00FD04D1" w:rsidRPr="00476FC9">
        <w:rPr>
          <w:color w:val="000000" w:themeColor="text1"/>
        </w:rPr>
        <w:t xml:space="preserve"> </w:t>
      </w:r>
      <w:r w:rsidR="00FD04D1" w:rsidRPr="00476FC9">
        <w:rPr>
          <w:i/>
          <w:color w:val="000000" w:themeColor="text1"/>
        </w:rPr>
        <w:t>action</w:t>
      </w:r>
      <w:r w:rsidR="00FD04D1" w:rsidRPr="00476FC9">
        <w:rPr>
          <w:color w:val="000000" w:themeColor="text1"/>
        </w:rPr>
        <w:t xml:space="preserve"> (</w:t>
      </w:r>
      <w:r w:rsidR="00B2470C" w:rsidRPr="00476FC9">
        <w:rPr>
          <w:color w:val="000000" w:themeColor="text1"/>
        </w:rPr>
        <w:t>Bettman</w:t>
      </w:r>
      <w:r w:rsidR="000653BD" w:rsidRPr="00476FC9">
        <w:rPr>
          <w:color w:val="000000" w:themeColor="text1"/>
        </w:rPr>
        <w:t xml:space="preserve"> et al., 1986;</w:t>
      </w:r>
      <w:r w:rsidR="00B2470C" w:rsidRPr="00476FC9">
        <w:rPr>
          <w:color w:val="000000" w:themeColor="text1"/>
        </w:rPr>
        <w:t xml:space="preserve"> Wogalter, Conzola, &amp; Smith-Jackson, 2002</w:t>
      </w:r>
      <w:r w:rsidR="00FD04D1" w:rsidRPr="00476FC9">
        <w:rPr>
          <w:color w:val="000000" w:themeColor="text1"/>
        </w:rPr>
        <w:t xml:space="preserve">). </w:t>
      </w:r>
      <w:r w:rsidR="00F56711" w:rsidRPr="00476FC9">
        <w:rPr>
          <w:color w:val="000000" w:themeColor="text1"/>
        </w:rPr>
        <w:t>In particular, a</w:t>
      </w:r>
      <w:r w:rsidR="00FD04D1" w:rsidRPr="00476FC9">
        <w:rPr>
          <w:color w:val="000000" w:themeColor="text1"/>
        </w:rPr>
        <w:t>s to advertising execution</w:t>
      </w:r>
      <w:r w:rsidR="000A3ADF" w:rsidRPr="00476FC9">
        <w:rPr>
          <w:color w:val="000000" w:themeColor="text1"/>
        </w:rPr>
        <w:t xml:space="preserve"> </w:t>
      </w:r>
      <w:r w:rsidR="00F56711" w:rsidRPr="00476FC9">
        <w:rPr>
          <w:color w:val="000000" w:themeColor="text1"/>
        </w:rPr>
        <w:t>factors</w:t>
      </w:r>
      <w:r w:rsidR="00FD04D1" w:rsidRPr="00476FC9">
        <w:rPr>
          <w:color w:val="000000" w:themeColor="text1"/>
        </w:rPr>
        <w:t xml:space="preserve">, </w:t>
      </w:r>
      <w:r w:rsidR="00B2470C" w:rsidRPr="00476FC9">
        <w:rPr>
          <w:color w:val="000000" w:themeColor="text1"/>
        </w:rPr>
        <w:t xml:space="preserve">DTCA </w:t>
      </w:r>
      <w:r w:rsidR="00F56711" w:rsidRPr="00476FC9">
        <w:rPr>
          <w:color w:val="000000" w:themeColor="text1"/>
        </w:rPr>
        <w:t>researchers have</w:t>
      </w:r>
      <w:r w:rsidR="00D127B2" w:rsidRPr="00476FC9">
        <w:rPr>
          <w:color w:val="000000" w:themeColor="text1"/>
        </w:rPr>
        <w:t xml:space="preserve"> </w:t>
      </w:r>
      <w:r w:rsidR="00B2470C" w:rsidRPr="00476FC9">
        <w:rPr>
          <w:color w:val="000000" w:themeColor="text1"/>
        </w:rPr>
        <w:t xml:space="preserve">paid attention to </w:t>
      </w:r>
      <w:r w:rsidR="00F56711" w:rsidRPr="00476FC9">
        <w:rPr>
          <w:color w:val="000000" w:themeColor="text1"/>
        </w:rPr>
        <w:t xml:space="preserve">the </w:t>
      </w:r>
      <w:r w:rsidR="00474D87" w:rsidRPr="00476FC9">
        <w:rPr>
          <w:color w:val="000000" w:themeColor="text1"/>
        </w:rPr>
        <w:t xml:space="preserve">exposure </w:t>
      </w:r>
      <w:r w:rsidR="00F56711" w:rsidRPr="00476FC9">
        <w:rPr>
          <w:color w:val="000000" w:themeColor="text1"/>
        </w:rPr>
        <w:t xml:space="preserve">stage </w:t>
      </w:r>
      <w:r w:rsidR="00FD04D1" w:rsidRPr="00476FC9">
        <w:rPr>
          <w:color w:val="000000" w:themeColor="text1"/>
        </w:rPr>
        <w:t xml:space="preserve">because </w:t>
      </w:r>
      <w:r w:rsidR="0055210B" w:rsidRPr="00476FC9">
        <w:rPr>
          <w:color w:val="000000" w:themeColor="text1"/>
        </w:rPr>
        <w:t xml:space="preserve">attracting consumers’ </w:t>
      </w:r>
      <w:r w:rsidR="0055210B" w:rsidRPr="00476FC9">
        <w:rPr>
          <w:i/>
          <w:color w:val="000000" w:themeColor="text1"/>
        </w:rPr>
        <w:t>attention</w:t>
      </w:r>
      <w:r w:rsidR="0055210B" w:rsidRPr="00476FC9">
        <w:rPr>
          <w:color w:val="000000" w:themeColor="text1"/>
        </w:rPr>
        <w:t xml:space="preserve"> to </w:t>
      </w:r>
      <w:r w:rsidR="00B2470C" w:rsidRPr="00476FC9">
        <w:rPr>
          <w:color w:val="000000" w:themeColor="text1"/>
        </w:rPr>
        <w:t>risk disclosure i</w:t>
      </w:r>
      <w:r w:rsidR="00FD04D1" w:rsidRPr="00476FC9">
        <w:rPr>
          <w:color w:val="000000" w:themeColor="text1"/>
        </w:rPr>
        <w:t>s the first step for effective advertising campaigns</w:t>
      </w:r>
      <w:r w:rsidR="00AD6B14" w:rsidRPr="00476FC9">
        <w:rPr>
          <w:color w:val="000000" w:themeColor="text1"/>
        </w:rPr>
        <w:t xml:space="preserve"> (Hoek et al., 2011)</w:t>
      </w:r>
      <w:r w:rsidR="003A5E01" w:rsidRPr="00476FC9">
        <w:rPr>
          <w:color w:val="000000" w:themeColor="text1"/>
        </w:rPr>
        <w:t xml:space="preserve">. </w:t>
      </w:r>
    </w:p>
    <w:p w:rsidR="00A948F3" w:rsidRPr="00476FC9" w:rsidRDefault="00C52D55"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55210B" w:rsidRPr="00476FC9">
        <w:rPr>
          <w:color w:val="000000" w:themeColor="text1"/>
        </w:rPr>
        <w:t xml:space="preserve">A couple of theoretical perspectives on consumer information processing provide </w:t>
      </w:r>
      <w:r w:rsidR="00DF3F8B" w:rsidRPr="00476FC9">
        <w:rPr>
          <w:color w:val="000000" w:themeColor="text1"/>
        </w:rPr>
        <w:t xml:space="preserve">convincing </w:t>
      </w:r>
      <w:r w:rsidR="0055210B" w:rsidRPr="00476FC9">
        <w:rPr>
          <w:color w:val="000000" w:themeColor="text1"/>
        </w:rPr>
        <w:t xml:space="preserve">explanations </w:t>
      </w:r>
      <w:r w:rsidR="00DF3F8B" w:rsidRPr="00476FC9">
        <w:rPr>
          <w:color w:val="000000" w:themeColor="text1"/>
        </w:rPr>
        <w:t>regarding the importance of risk disclosure prominence</w:t>
      </w:r>
      <w:r w:rsidR="0055210B" w:rsidRPr="00476FC9">
        <w:rPr>
          <w:color w:val="000000" w:themeColor="text1"/>
        </w:rPr>
        <w:t xml:space="preserve">. First of all, </w:t>
      </w:r>
      <w:r w:rsidR="00A948F3" w:rsidRPr="00476FC9">
        <w:rPr>
          <w:i/>
          <w:color w:val="000000" w:themeColor="text1"/>
        </w:rPr>
        <w:lastRenderedPageBreak/>
        <w:t>selective attention</w:t>
      </w:r>
      <w:r w:rsidR="00DF3F8B" w:rsidRPr="00476FC9">
        <w:rPr>
          <w:i/>
          <w:color w:val="000000" w:themeColor="text1"/>
        </w:rPr>
        <w:t xml:space="preserve"> </w:t>
      </w:r>
      <w:r w:rsidR="00DF3F8B" w:rsidRPr="00476FC9">
        <w:rPr>
          <w:color w:val="000000" w:themeColor="text1"/>
        </w:rPr>
        <w:t>r</w:t>
      </w:r>
      <w:r w:rsidR="00FD04D1" w:rsidRPr="00476FC9">
        <w:rPr>
          <w:color w:val="000000" w:themeColor="text1"/>
        </w:rPr>
        <w:t xml:space="preserve">esearch </w:t>
      </w:r>
      <w:r w:rsidR="00A948F3" w:rsidRPr="00476FC9">
        <w:rPr>
          <w:color w:val="000000" w:themeColor="text1"/>
        </w:rPr>
        <w:t>suggests</w:t>
      </w:r>
      <w:r w:rsidR="00FD04D1" w:rsidRPr="00476FC9">
        <w:rPr>
          <w:color w:val="000000" w:themeColor="text1"/>
        </w:rPr>
        <w:t xml:space="preserve"> that human information processing </w:t>
      </w:r>
      <w:r w:rsidR="000653BD" w:rsidRPr="00476FC9">
        <w:rPr>
          <w:color w:val="000000" w:themeColor="text1"/>
        </w:rPr>
        <w:t>capacity</w:t>
      </w:r>
      <w:r w:rsidR="00FD04D1" w:rsidRPr="00476FC9">
        <w:rPr>
          <w:color w:val="000000" w:themeColor="text1"/>
        </w:rPr>
        <w:t xml:space="preserve"> has limitations</w:t>
      </w:r>
      <w:r w:rsidR="005106E5" w:rsidRPr="00476FC9">
        <w:rPr>
          <w:color w:val="000000" w:themeColor="text1"/>
        </w:rPr>
        <w:t xml:space="preserve"> </w:t>
      </w:r>
      <w:r w:rsidR="00FD04D1" w:rsidRPr="00476FC9">
        <w:rPr>
          <w:color w:val="000000" w:themeColor="text1"/>
        </w:rPr>
        <w:t xml:space="preserve">and therefore </w:t>
      </w:r>
      <w:r w:rsidR="00E571F8" w:rsidRPr="00476FC9">
        <w:rPr>
          <w:color w:val="000000" w:themeColor="text1"/>
        </w:rPr>
        <w:t xml:space="preserve">consumers tend to select and focus </w:t>
      </w:r>
      <w:r w:rsidR="00A948F3" w:rsidRPr="00476FC9">
        <w:rPr>
          <w:color w:val="000000" w:themeColor="text1"/>
        </w:rPr>
        <w:t xml:space="preserve">more </w:t>
      </w:r>
      <w:r w:rsidR="00E571F8" w:rsidRPr="00476FC9">
        <w:rPr>
          <w:color w:val="000000" w:themeColor="text1"/>
        </w:rPr>
        <w:t xml:space="preserve">on </w:t>
      </w:r>
      <w:r w:rsidR="00AC216E" w:rsidRPr="00476FC9">
        <w:rPr>
          <w:color w:val="000000" w:themeColor="text1"/>
        </w:rPr>
        <w:t>particular</w:t>
      </w:r>
      <w:r w:rsidR="00E571F8" w:rsidRPr="00476FC9">
        <w:rPr>
          <w:color w:val="000000" w:themeColor="text1"/>
        </w:rPr>
        <w:t xml:space="preserve"> </w:t>
      </w:r>
      <w:r w:rsidR="0055210B" w:rsidRPr="00476FC9">
        <w:rPr>
          <w:color w:val="000000" w:themeColor="text1"/>
        </w:rPr>
        <w:t xml:space="preserve">portion of </w:t>
      </w:r>
      <w:r w:rsidR="00A948F3" w:rsidRPr="00476FC9">
        <w:rPr>
          <w:color w:val="000000" w:themeColor="text1"/>
        </w:rPr>
        <w:t>the message</w:t>
      </w:r>
      <w:r w:rsidR="0055210B" w:rsidRPr="00476FC9">
        <w:rPr>
          <w:color w:val="000000" w:themeColor="text1"/>
        </w:rPr>
        <w:t xml:space="preserve"> at a time </w:t>
      </w:r>
      <w:r w:rsidR="00257F67" w:rsidRPr="00476FC9">
        <w:rPr>
          <w:color w:val="000000" w:themeColor="text1"/>
        </w:rPr>
        <w:t>(</w:t>
      </w:r>
      <w:r w:rsidR="00F876E6" w:rsidRPr="00476FC9">
        <w:rPr>
          <w:color w:val="000000" w:themeColor="text1"/>
        </w:rPr>
        <w:t xml:space="preserve">e.g., </w:t>
      </w:r>
      <w:r w:rsidR="00257F67" w:rsidRPr="00476FC9">
        <w:rPr>
          <w:color w:val="000000" w:themeColor="text1"/>
        </w:rPr>
        <w:t>Bettman et al., 1986;</w:t>
      </w:r>
      <w:r w:rsidR="00F876E6" w:rsidRPr="00476FC9">
        <w:rPr>
          <w:color w:val="000000" w:themeColor="text1"/>
        </w:rPr>
        <w:t xml:space="preserve"> </w:t>
      </w:r>
      <w:r w:rsidR="00A948F3" w:rsidRPr="00476FC9">
        <w:rPr>
          <w:color w:val="000000" w:themeColor="text1"/>
        </w:rPr>
        <w:t xml:space="preserve">Lavie, 2001; </w:t>
      </w:r>
      <w:r w:rsidR="00257F67" w:rsidRPr="00476FC9">
        <w:rPr>
          <w:color w:val="000000" w:themeColor="text1"/>
        </w:rPr>
        <w:t>Mayer &amp; Moreno, 2003;</w:t>
      </w:r>
      <w:r w:rsidR="00A948F3" w:rsidRPr="00476FC9">
        <w:rPr>
          <w:color w:val="000000" w:themeColor="text1"/>
        </w:rPr>
        <w:t xml:space="preserve"> Miller, 1994</w:t>
      </w:r>
      <w:r w:rsidR="00F876E6" w:rsidRPr="00476FC9">
        <w:rPr>
          <w:color w:val="000000" w:themeColor="text1"/>
        </w:rPr>
        <w:t>; Paas, Renkl, &amp; Sweller, 2004</w:t>
      </w:r>
      <w:r w:rsidR="00257F67" w:rsidRPr="00476FC9">
        <w:rPr>
          <w:color w:val="000000" w:themeColor="text1"/>
        </w:rPr>
        <w:t>)</w:t>
      </w:r>
      <w:r w:rsidR="00E571F8" w:rsidRPr="00476FC9">
        <w:rPr>
          <w:color w:val="000000" w:themeColor="text1"/>
        </w:rPr>
        <w:t>.</w:t>
      </w:r>
    </w:p>
    <w:p w:rsidR="00A948F3" w:rsidRPr="00476FC9" w:rsidRDefault="00AC216E"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Regarding DTCA, </w:t>
      </w:r>
      <w:r w:rsidR="00B56AD5" w:rsidRPr="00476FC9">
        <w:rPr>
          <w:color w:val="000000" w:themeColor="text1"/>
        </w:rPr>
        <w:t>these cognitive limitations are more likely to be found. C</w:t>
      </w:r>
      <w:r w:rsidRPr="00476FC9">
        <w:rPr>
          <w:color w:val="000000" w:themeColor="text1"/>
        </w:rPr>
        <w:t xml:space="preserve">ompared with </w:t>
      </w:r>
      <w:r w:rsidR="00B56AD5" w:rsidRPr="00476FC9">
        <w:rPr>
          <w:color w:val="000000" w:themeColor="text1"/>
        </w:rPr>
        <w:t>health</w:t>
      </w:r>
      <w:r w:rsidRPr="00476FC9">
        <w:rPr>
          <w:color w:val="000000" w:themeColor="text1"/>
        </w:rPr>
        <w:t xml:space="preserve"> professionals, </w:t>
      </w:r>
      <w:r w:rsidR="00467E01" w:rsidRPr="00476FC9">
        <w:rPr>
          <w:color w:val="000000" w:themeColor="text1"/>
        </w:rPr>
        <w:t>novice</w:t>
      </w:r>
      <w:r w:rsidRPr="00476FC9">
        <w:rPr>
          <w:color w:val="000000" w:themeColor="text1"/>
        </w:rPr>
        <w:t xml:space="preserve"> consumers </w:t>
      </w:r>
      <w:r w:rsidR="00DF3F8B" w:rsidRPr="00476FC9">
        <w:rPr>
          <w:color w:val="000000" w:themeColor="text1"/>
        </w:rPr>
        <w:t xml:space="preserve">will have </w:t>
      </w:r>
      <w:r w:rsidRPr="00476FC9">
        <w:rPr>
          <w:color w:val="000000" w:themeColor="text1"/>
        </w:rPr>
        <w:t xml:space="preserve">limited </w:t>
      </w:r>
      <w:r w:rsidR="00B56AD5" w:rsidRPr="00476FC9">
        <w:rPr>
          <w:color w:val="000000" w:themeColor="text1"/>
        </w:rPr>
        <w:t xml:space="preserve">medical </w:t>
      </w:r>
      <w:r w:rsidR="00DF3F8B" w:rsidRPr="00476FC9">
        <w:rPr>
          <w:color w:val="000000" w:themeColor="text1"/>
        </w:rPr>
        <w:t xml:space="preserve">knowledge. For this reason, negative medical information presented less prominently </w:t>
      </w:r>
      <w:r w:rsidR="00B56AD5" w:rsidRPr="00476FC9">
        <w:rPr>
          <w:color w:val="000000" w:themeColor="text1"/>
        </w:rPr>
        <w:t xml:space="preserve">is more </w:t>
      </w:r>
      <w:r w:rsidR="006B13CE" w:rsidRPr="00476FC9">
        <w:rPr>
          <w:color w:val="000000" w:themeColor="text1"/>
        </w:rPr>
        <w:t xml:space="preserve">likely to </w:t>
      </w:r>
      <w:r w:rsidR="00B56AD5" w:rsidRPr="00476FC9">
        <w:rPr>
          <w:color w:val="000000" w:themeColor="text1"/>
        </w:rPr>
        <w:t xml:space="preserve">result in </w:t>
      </w:r>
      <w:r w:rsidR="00DF3F8B" w:rsidRPr="00476FC9">
        <w:rPr>
          <w:color w:val="000000" w:themeColor="text1"/>
        </w:rPr>
        <w:t>information avoidance</w:t>
      </w:r>
      <w:r w:rsidR="006B13CE" w:rsidRPr="00476FC9">
        <w:rPr>
          <w:color w:val="000000" w:themeColor="text1"/>
        </w:rPr>
        <w:t xml:space="preserve">. </w:t>
      </w:r>
      <w:r w:rsidR="00DF3F8B" w:rsidRPr="00476FC9">
        <w:rPr>
          <w:color w:val="000000" w:themeColor="text1"/>
        </w:rPr>
        <w:t>In general, prescription drug advertising presents more difficult medical information compared with o</w:t>
      </w:r>
      <w:r w:rsidR="005557D8" w:rsidRPr="00476FC9">
        <w:rPr>
          <w:color w:val="000000" w:themeColor="text1"/>
        </w:rPr>
        <w:t>ver-the-counter (</w:t>
      </w:r>
      <w:r w:rsidR="00A948F3" w:rsidRPr="00476FC9">
        <w:rPr>
          <w:color w:val="000000" w:themeColor="text1"/>
        </w:rPr>
        <w:t>OTC</w:t>
      </w:r>
      <w:r w:rsidR="005557D8" w:rsidRPr="00476FC9">
        <w:rPr>
          <w:color w:val="000000" w:themeColor="text1"/>
        </w:rPr>
        <w:t>)</w:t>
      </w:r>
      <w:r w:rsidR="00A948F3" w:rsidRPr="00476FC9">
        <w:rPr>
          <w:color w:val="000000" w:themeColor="text1"/>
        </w:rPr>
        <w:t xml:space="preserve"> drugs (Andrews, 1998)</w:t>
      </w:r>
      <w:r w:rsidR="00DF3F8B" w:rsidRPr="00476FC9">
        <w:rPr>
          <w:color w:val="000000" w:themeColor="text1"/>
        </w:rPr>
        <w:t xml:space="preserve">. Based on this, </w:t>
      </w:r>
      <w:r w:rsidR="00B56AD5" w:rsidRPr="00476FC9">
        <w:rPr>
          <w:color w:val="000000" w:themeColor="text1"/>
        </w:rPr>
        <w:t>less</w:t>
      </w:r>
      <w:r w:rsidR="00A948F3" w:rsidRPr="00476FC9">
        <w:rPr>
          <w:color w:val="000000" w:themeColor="text1"/>
        </w:rPr>
        <w:t xml:space="preserve"> knowledgeable consumers are more likely to selectively attend particular information in the DTC ad</w:t>
      </w:r>
      <w:r w:rsidR="00B56AD5" w:rsidRPr="00476FC9">
        <w:rPr>
          <w:color w:val="000000" w:themeColor="text1"/>
        </w:rPr>
        <w:t xml:space="preserve"> to reduce cognitive overload (Alba &amp; Hutchinson, 1987)</w:t>
      </w:r>
      <w:r w:rsidR="00A948F3" w:rsidRPr="00476FC9">
        <w:rPr>
          <w:color w:val="000000" w:themeColor="text1"/>
        </w:rPr>
        <w:t>.</w:t>
      </w:r>
    </w:p>
    <w:p w:rsidR="00B56AD5" w:rsidRPr="00476FC9" w:rsidRDefault="00DF3F8B"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T</w:t>
      </w:r>
      <w:r w:rsidR="00257F67" w:rsidRPr="00476FC9">
        <w:rPr>
          <w:color w:val="000000" w:themeColor="text1"/>
        </w:rPr>
        <w:t xml:space="preserve">his implies that </w:t>
      </w:r>
      <w:r w:rsidR="00FD04D1" w:rsidRPr="00476FC9">
        <w:rPr>
          <w:color w:val="000000" w:themeColor="text1"/>
        </w:rPr>
        <w:t xml:space="preserve">information that causes cognitive </w:t>
      </w:r>
      <w:r w:rsidR="00B56AD5" w:rsidRPr="00476FC9">
        <w:rPr>
          <w:color w:val="000000" w:themeColor="text1"/>
        </w:rPr>
        <w:t>over</w:t>
      </w:r>
      <w:r w:rsidR="00FD04D1" w:rsidRPr="00476FC9">
        <w:rPr>
          <w:color w:val="000000" w:themeColor="text1"/>
        </w:rPr>
        <w:t xml:space="preserve">load </w:t>
      </w:r>
      <w:r w:rsidR="00257F67" w:rsidRPr="00476FC9">
        <w:rPr>
          <w:color w:val="000000" w:themeColor="text1"/>
        </w:rPr>
        <w:t xml:space="preserve">in DTCA </w:t>
      </w:r>
      <w:r w:rsidR="00FD04D1" w:rsidRPr="00476FC9">
        <w:rPr>
          <w:color w:val="000000" w:themeColor="text1"/>
        </w:rPr>
        <w:t xml:space="preserve">may </w:t>
      </w:r>
      <w:r w:rsidR="00257F67" w:rsidRPr="00476FC9">
        <w:rPr>
          <w:color w:val="000000" w:themeColor="text1"/>
        </w:rPr>
        <w:t>result in</w:t>
      </w:r>
      <w:r w:rsidR="00FD04D1" w:rsidRPr="00476FC9">
        <w:rPr>
          <w:color w:val="000000" w:themeColor="text1"/>
        </w:rPr>
        <w:t xml:space="preserve"> </w:t>
      </w:r>
      <w:r w:rsidR="00EF3DF3" w:rsidRPr="00476FC9">
        <w:rPr>
          <w:color w:val="000000" w:themeColor="text1"/>
        </w:rPr>
        <w:t>biased</w:t>
      </w:r>
      <w:r w:rsidR="00FD04D1" w:rsidRPr="00476FC9">
        <w:rPr>
          <w:color w:val="000000" w:themeColor="text1"/>
        </w:rPr>
        <w:t xml:space="preserve"> </w:t>
      </w:r>
      <w:r w:rsidR="00FD04D1" w:rsidRPr="00476FC9">
        <w:rPr>
          <w:i/>
          <w:color w:val="000000" w:themeColor="text1"/>
        </w:rPr>
        <w:t>net impression</w:t>
      </w:r>
      <w:r w:rsidR="00FD04D1" w:rsidRPr="00476FC9">
        <w:rPr>
          <w:color w:val="000000" w:themeColor="text1"/>
        </w:rPr>
        <w:t xml:space="preserve"> about the </w:t>
      </w:r>
      <w:r w:rsidR="00B73719" w:rsidRPr="00476FC9">
        <w:rPr>
          <w:color w:val="000000" w:themeColor="text1"/>
        </w:rPr>
        <w:t>medicine</w:t>
      </w:r>
      <w:r w:rsidR="001334F2" w:rsidRPr="00476FC9">
        <w:rPr>
          <w:color w:val="000000" w:themeColor="text1"/>
        </w:rPr>
        <w:t xml:space="preserve"> (Hoek et al., 2011)</w:t>
      </w:r>
      <w:r w:rsidR="00B56AD5" w:rsidRPr="00476FC9">
        <w:rPr>
          <w:color w:val="000000" w:themeColor="text1"/>
        </w:rPr>
        <w:t>. To ordinary consumers, less prominent risk disclosure is likely to cause cognitive fatigue because it requires consumers to exert more efforts to find and focus on the less legible messages</w:t>
      </w:r>
      <w:r w:rsidR="00B93692" w:rsidRPr="00476FC9">
        <w:rPr>
          <w:color w:val="000000" w:themeColor="text1"/>
        </w:rPr>
        <w:t xml:space="preserve"> (Davis, 2010)</w:t>
      </w:r>
      <w:r w:rsidR="00B56AD5" w:rsidRPr="00476FC9">
        <w:rPr>
          <w:color w:val="000000" w:themeColor="text1"/>
        </w:rPr>
        <w:t xml:space="preserve">. More prominent disclosure </w:t>
      </w:r>
      <w:r w:rsidR="00B93692" w:rsidRPr="00476FC9">
        <w:rPr>
          <w:color w:val="000000" w:themeColor="text1"/>
        </w:rPr>
        <w:t>could encourage less knowledgeable co</w:t>
      </w:r>
      <w:r w:rsidR="00B56AD5" w:rsidRPr="00476FC9">
        <w:rPr>
          <w:color w:val="000000" w:themeColor="text1"/>
        </w:rPr>
        <w:t>nsumer</w:t>
      </w:r>
      <w:r w:rsidR="00B93692" w:rsidRPr="00476FC9">
        <w:rPr>
          <w:color w:val="000000" w:themeColor="text1"/>
        </w:rPr>
        <w:t>s</w:t>
      </w:r>
      <w:r w:rsidR="00B56AD5" w:rsidRPr="00476FC9">
        <w:rPr>
          <w:color w:val="000000" w:themeColor="text1"/>
        </w:rPr>
        <w:t xml:space="preserve"> to closely scrutinize </w:t>
      </w:r>
      <w:r w:rsidR="00B93692" w:rsidRPr="00476FC9">
        <w:rPr>
          <w:color w:val="000000" w:themeColor="text1"/>
        </w:rPr>
        <w:t>DTCA</w:t>
      </w:r>
      <w:r w:rsidR="00B56AD5" w:rsidRPr="00476FC9">
        <w:rPr>
          <w:color w:val="000000" w:themeColor="text1"/>
        </w:rPr>
        <w:t xml:space="preserve"> </w:t>
      </w:r>
      <w:r w:rsidR="00B93692" w:rsidRPr="00476FC9">
        <w:rPr>
          <w:color w:val="000000" w:themeColor="text1"/>
        </w:rPr>
        <w:t>risk information</w:t>
      </w:r>
      <w:r w:rsidR="00B56AD5" w:rsidRPr="00476FC9">
        <w:rPr>
          <w:color w:val="000000" w:themeColor="text1"/>
        </w:rPr>
        <w:t xml:space="preserve"> (Wilkie, 1986)</w:t>
      </w:r>
      <w:r w:rsidR="00B93692" w:rsidRPr="00476FC9">
        <w:rPr>
          <w:color w:val="000000" w:themeColor="text1"/>
        </w:rPr>
        <w:t>.</w:t>
      </w:r>
    </w:p>
    <w:p w:rsidR="00ED3E8B" w:rsidRPr="00476FC9" w:rsidRDefault="00C52D55"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B93692" w:rsidRPr="00476FC9">
        <w:rPr>
          <w:color w:val="000000" w:themeColor="text1"/>
        </w:rPr>
        <w:t>D</w:t>
      </w:r>
      <w:r w:rsidR="003B0B8A" w:rsidRPr="00476FC9">
        <w:rPr>
          <w:color w:val="000000" w:themeColor="text1"/>
        </w:rPr>
        <w:t xml:space="preserve">epending on </w:t>
      </w:r>
      <w:r w:rsidR="00B93692" w:rsidRPr="00476FC9">
        <w:rPr>
          <w:color w:val="000000" w:themeColor="text1"/>
        </w:rPr>
        <w:t>risk disclosure prominence</w:t>
      </w:r>
      <w:r w:rsidR="00F876E6" w:rsidRPr="00476FC9">
        <w:rPr>
          <w:color w:val="000000" w:themeColor="text1"/>
        </w:rPr>
        <w:t>,</w:t>
      </w:r>
      <w:r w:rsidR="00B93692" w:rsidRPr="00476FC9">
        <w:rPr>
          <w:color w:val="000000" w:themeColor="text1"/>
        </w:rPr>
        <w:t xml:space="preserve"> </w:t>
      </w:r>
      <w:r w:rsidR="003B0B8A" w:rsidRPr="00476FC9">
        <w:rPr>
          <w:color w:val="000000" w:themeColor="text1"/>
        </w:rPr>
        <w:t xml:space="preserve">ease of processing </w:t>
      </w:r>
      <w:r w:rsidR="00F876E6" w:rsidRPr="00476FC9">
        <w:rPr>
          <w:color w:val="000000" w:themeColor="text1"/>
        </w:rPr>
        <w:t xml:space="preserve">may </w:t>
      </w:r>
      <w:r w:rsidR="003B0B8A" w:rsidRPr="00476FC9">
        <w:rPr>
          <w:color w:val="000000" w:themeColor="text1"/>
        </w:rPr>
        <w:t>var</w:t>
      </w:r>
      <w:r w:rsidR="004559C0" w:rsidRPr="00476FC9">
        <w:rPr>
          <w:color w:val="000000" w:themeColor="text1"/>
        </w:rPr>
        <w:t>y.</w:t>
      </w:r>
      <w:r w:rsidR="00B93692" w:rsidRPr="00476FC9">
        <w:rPr>
          <w:color w:val="000000" w:themeColor="text1"/>
        </w:rPr>
        <w:t xml:space="preserve"> </w:t>
      </w:r>
      <w:r w:rsidR="007119E2" w:rsidRPr="00476FC9">
        <w:rPr>
          <w:color w:val="000000" w:themeColor="text1"/>
        </w:rPr>
        <w:t>T</w:t>
      </w:r>
      <w:r w:rsidR="00B93692" w:rsidRPr="00476FC9">
        <w:rPr>
          <w:color w:val="000000" w:themeColor="text1"/>
        </w:rPr>
        <w:t>his study</w:t>
      </w:r>
      <w:r w:rsidR="007119E2" w:rsidRPr="00476FC9">
        <w:rPr>
          <w:color w:val="000000" w:themeColor="text1"/>
        </w:rPr>
        <w:t xml:space="preserve"> </w:t>
      </w:r>
      <w:r w:rsidR="00010DB0" w:rsidRPr="00476FC9">
        <w:rPr>
          <w:color w:val="000000" w:themeColor="text1"/>
        </w:rPr>
        <w:t xml:space="preserve">examines </w:t>
      </w:r>
      <w:r w:rsidR="00B93692" w:rsidRPr="00476FC9">
        <w:rPr>
          <w:color w:val="000000" w:themeColor="text1"/>
        </w:rPr>
        <w:t xml:space="preserve">perceived attention as </w:t>
      </w:r>
      <w:r w:rsidR="004559C0" w:rsidRPr="00476FC9">
        <w:rPr>
          <w:color w:val="000000" w:themeColor="text1"/>
        </w:rPr>
        <w:t xml:space="preserve">a proxy measure of </w:t>
      </w:r>
      <w:r w:rsidR="00010DB0" w:rsidRPr="00476FC9">
        <w:rPr>
          <w:color w:val="000000" w:themeColor="text1"/>
        </w:rPr>
        <w:t>objective attention</w:t>
      </w:r>
      <w:r w:rsidR="00B93692" w:rsidRPr="00476FC9">
        <w:rPr>
          <w:color w:val="000000" w:themeColor="text1"/>
        </w:rPr>
        <w:t xml:space="preserve">. As cognitive fluency is </w:t>
      </w:r>
      <w:r w:rsidR="00010DB0" w:rsidRPr="00476FC9">
        <w:rPr>
          <w:color w:val="000000" w:themeColor="text1"/>
        </w:rPr>
        <w:t xml:space="preserve">likely to be </w:t>
      </w:r>
      <w:r w:rsidR="00B93692" w:rsidRPr="00476FC9">
        <w:rPr>
          <w:color w:val="000000" w:themeColor="text1"/>
        </w:rPr>
        <w:t xml:space="preserve">affected by prominence </w:t>
      </w:r>
      <w:r w:rsidR="004559C0" w:rsidRPr="00476FC9">
        <w:rPr>
          <w:color w:val="000000" w:themeColor="text1"/>
        </w:rPr>
        <w:t xml:space="preserve">(e.g., </w:t>
      </w:r>
      <w:r w:rsidR="004559C0" w:rsidRPr="00476FC9">
        <w:rPr>
          <w:color w:val="000000" w:themeColor="text1"/>
          <w:szCs w:val="24"/>
        </w:rPr>
        <w:t>Hyönä</w:t>
      </w:r>
      <w:r w:rsidR="004559C0" w:rsidRPr="00476FC9">
        <w:rPr>
          <w:color w:val="000000" w:themeColor="text1"/>
        </w:rPr>
        <w:t xml:space="preserve"> &amp; Lorch, 2004; Lorch, Lorch, &amp; Inman, 1993; Loman &amp; Mayer, 1983; Spyridakis &amp; Standal, 1987),</w:t>
      </w:r>
      <w:r w:rsidR="00B93692" w:rsidRPr="00476FC9">
        <w:rPr>
          <w:color w:val="000000" w:themeColor="text1"/>
        </w:rPr>
        <w:t xml:space="preserve"> perceived attention to risk disclosure will be also increased by high prominence. Further, perceived attention will lead to increased recall </w:t>
      </w:r>
      <w:r w:rsidR="00B93692" w:rsidRPr="00476FC9">
        <w:rPr>
          <w:color w:val="000000" w:themeColor="text1"/>
        </w:rPr>
        <w:lastRenderedPageBreak/>
        <w:t xml:space="preserve">and recognition performance. </w:t>
      </w:r>
      <w:r w:rsidR="004559C0" w:rsidRPr="00476FC9">
        <w:rPr>
          <w:color w:val="000000" w:themeColor="text1"/>
        </w:rPr>
        <w:t>In this regard, t</w:t>
      </w:r>
      <w:r w:rsidR="00B93692" w:rsidRPr="00476FC9">
        <w:rPr>
          <w:color w:val="000000" w:themeColor="text1"/>
        </w:rPr>
        <w:t>h</w:t>
      </w:r>
      <w:r w:rsidR="004559C0" w:rsidRPr="00476FC9">
        <w:rPr>
          <w:color w:val="000000" w:themeColor="text1"/>
        </w:rPr>
        <w:t xml:space="preserve">is </w:t>
      </w:r>
      <w:r w:rsidR="00B93692" w:rsidRPr="00476FC9">
        <w:rPr>
          <w:color w:val="000000" w:themeColor="text1"/>
        </w:rPr>
        <w:t xml:space="preserve">research addresses risk disclosure prominence as an important message factor regarding consumers’ informed </w:t>
      </w:r>
      <w:r w:rsidR="004559C0" w:rsidRPr="00476FC9">
        <w:rPr>
          <w:color w:val="000000" w:themeColor="text1"/>
        </w:rPr>
        <w:t>prescription</w:t>
      </w:r>
      <w:r w:rsidR="00B93692" w:rsidRPr="00476FC9">
        <w:rPr>
          <w:color w:val="000000" w:themeColor="text1"/>
        </w:rPr>
        <w:t xml:space="preserve"> decision making.</w:t>
      </w:r>
    </w:p>
    <w:p w:rsidR="00C107CD" w:rsidRPr="00476FC9" w:rsidRDefault="004147C7" w:rsidP="007D2ACE">
      <w:pPr>
        <w:pStyle w:val="Heading3"/>
        <w:widowControl w:val="0"/>
        <w:kinsoku w:val="0"/>
        <w:overflowPunct w:val="0"/>
        <w:autoSpaceDE w:val="0"/>
        <w:autoSpaceDN w:val="0"/>
        <w:snapToGrid w:val="0"/>
        <w:contextualSpacing w:val="0"/>
        <w:rPr>
          <w:color w:val="000000" w:themeColor="text1"/>
        </w:rPr>
      </w:pPr>
      <w:bookmarkStart w:id="20" w:name="_Toc393800667"/>
      <w:r w:rsidRPr="00476FC9">
        <w:rPr>
          <w:color w:val="000000" w:themeColor="text1"/>
        </w:rPr>
        <w:t>Operationalization of Risk Disclosure Prominence</w:t>
      </w:r>
      <w:bookmarkEnd w:id="20"/>
    </w:p>
    <w:p w:rsidR="00B93692" w:rsidRPr="00476FC9" w:rsidRDefault="00B93692"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A couple of typographical devices are utilized to operaionalize risk disclosure prominence of DTCA. Those factors include text color, title, font size, bold texts, box outline, and </w:t>
      </w:r>
      <w:r w:rsidR="001D7C55" w:rsidRPr="00476FC9">
        <w:rPr>
          <w:color w:val="000000" w:themeColor="text1"/>
        </w:rPr>
        <w:t>location</w:t>
      </w:r>
      <w:r w:rsidRPr="00476FC9">
        <w:rPr>
          <w:color w:val="000000" w:themeColor="text1"/>
        </w:rPr>
        <w:t xml:space="preserve"> based on the FDA’s (2009) risk communication draft guidance. To be more specific, to manipulate the risk disclosure prominence, this research employs a couple of attention signaling cues. </w:t>
      </w:r>
      <w:r w:rsidRPr="00476FC9">
        <w:rPr>
          <w:i/>
          <w:color w:val="000000" w:themeColor="text1"/>
        </w:rPr>
        <w:t>Signaling</w:t>
      </w:r>
      <w:r w:rsidRPr="00476FC9">
        <w:rPr>
          <w:color w:val="000000" w:themeColor="text1"/>
        </w:rPr>
        <w:t xml:space="preserve"> can be defined as the use of typographical devices designed to highlight aspects of a text’s structure or content without altering the information in the ad (Lorch et al., 1993). </w:t>
      </w:r>
    </w:p>
    <w:p w:rsidR="00B93692" w:rsidRPr="00476FC9" w:rsidRDefault="00B93692" w:rsidP="007D2ACE">
      <w:pPr>
        <w:keepNext w:val="0"/>
        <w:widowControl w:val="0"/>
        <w:kinsoku w:val="0"/>
        <w:overflowPunct w:val="0"/>
        <w:autoSpaceDE w:val="0"/>
        <w:autoSpaceDN w:val="0"/>
        <w:adjustRightInd w:val="0"/>
        <w:snapToGrid w:val="0"/>
        <w:spacing w:before="0" w:after="0"/>
        <w:ind w:firstLine="720"/>
        <w:rPr>
          <w:vanish/>
          <w:color w:val="000000" w:themeColor="text1"/>
          <w:specVanish/>
        </w:rPr>
      </w:pPr>
      <w:r w:rsidRPr="00476FC9">
        <w:rPr>
          <w:color w:val="000000" w:themeColor="text1"/>
        </w:rPr>
        <w:t xml:space="preserve">Among others, most widely employed signaling devices may include </w:t>
      </w:r>
      <w:r w:rsidRPr="00476FC9">
        <w:rPr>
          <w:i/>
          <w:color w:val="000000" w:themeColor="text1"/>
        </w:rPr>
        <w:t>headlines</w:t>
      </w:r>
      <w:r w:rsidRPr="00476FC9">
        <w:rPr>
          <w:color w:val="000000" w:themeColor="text1"/>
        </w:rPr>
        <w:t xml:space="preserve"> or </w:t>
      </w:r>
      <w:r w:rsidRPr="00476FC9">
        <w:rPr>
          <w:i/>
          <w:color w:val="000000" w:themeColor="text1"/>
        </w:rPr>
        <w:t>subheads</w:t>
      </w:r>
      <w:r w:rsidRPr="00476FC9">
        <w:rPr>
          <w:color w:val="000000" w:themeColor="text1"/>
        </w:rPr>
        <w:t xml:space="preserve"> </w:t>
      </w:r>
      <w:r w:rsidR="004559C0" w:rsidRPr="00476FC9">
        <w:rPr>
          <w:color w:val="000000" w:themeColor="text1"/>
        </w:rPr>
        <w:t>(</w:t>
      </w:r>
      <w:r w:rsidR="004559C0" w:rsidRPr="00476FC9">
        <w:rPr>
          <w:color w:val="000000" w:themeColor="text1"/>
          <w:szCs w:val="24"/>
        </w:rPr>
        <w:t>Hyönä</w:t>
      </w:r>
      <w:r w:rsidR="004559C0" w:rsidRPr="00476FC9">
        <w:rPr>
          <w:color w:val="000000" w:themeColor="text1"/>
        </w:rPr>
        <w:t xml:space="preserve"> &amp; Lorch, 2004). </w:t>
      </w:r>
      <w:r w:rsidR="001D7C55" w:rsidRPr="00476FC9">
        <w:rPr>
          <w:color w:val="000000" w:themeColor="text1"/>
        </w:rPr>
        <w:t>Th</w:t>
      </w:r>
      <w:r w:rsidRPr="00476FC9">
        <w:rPr>
          <w:color w:val="000000" w:themeColor="text1"/>
        </w:rPr>
        <w:t xml:space="preserve">e FDA (2009) requires that pharmaceutical promotional materials use appropriate typographical signals consistently across benefit and risk information to foster accurate and non-misleading impressions about the drug. Furthermore, the literature suggests that product warnings need to employ vivid colors and noticeable font sizes, and use any symbols to summarize and reinforce key warning details, which would help consumers easily </w:t>
      </w:r>
      <w:r w:rsidR="001D7C55" w:rsidRPr="00476FC9">
        <w:rPr>
          <w:color w:val="000000" w:themeColor="text1"/>
        </w:rPr>
        <w:t xml:space="preserve">locate </w:t>
      </w:r>
      <w:r w:rsidRPr="00476FC9">
        <w:rPr>
          <w:color w:val="000000" w:themeColor="text1"/>
        </w:rPr>
        <w:t>risk information (Bettman et al., 1986).</w:t>
      </w:r>
    </w:p>
    <w:p w:rsidR="00B93692" w:rsidRPr="00476FC9" w:rsidRDefault="00B93692"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p>
    <w:p w:rsidR="00B93692" w:rsidRPr="00476FC9" w:rsidRDefault="00B93692"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1D7C55" w:rsidRPr="00476FC9">
        <w:rPr>
          <w:color w:val="000000" w:themeColor="text1"/>
        </w:rPr>
        <w:t xml:space="preserve">In a similar vein, </w:t>
      </w:r>
      <w:r w:rsidRPr="00476FC9">
        <w:rPr>
          <w:color w:val="000000" w:themeColor="text1"/>
        </w:rPr>
        <w:t xml:space="preserve">Argo and Main (2004) conducted a meta-analysis and found that vivid color such as </w:t>
      </w:r>
      <w:r w:rsidRPr="00476FC9">
        <w:rPr>
          <w:i/>
          <w:color w:val="000000" w:themeColor="text1"/>
        </w:rPr>
        <w:t>red</w:t>
      </w:r>
      <w:r w:rsidRPr="00476FC9">
        <w:rPr>
          <w:color w:val="000000" w:themeColor="text1"/>
        </w:rPr>
        <w:t xml:space="preserve"> enhances consumer attention to risk information. In addition, physical location of risk information </w:t>
      </w:r>
      <w:r w:rsidR="004559C0" w:rsidRPr="00476FC9">
        <w:rPr>
          <w:color w:val="000000" w:themeColor="text1"/>
        </w:rPr>
        <w:t>may</w:t>
      </w:r>
      <w:r w:rsidRPr="00476FC9">
        <w:rPr>
          <w:color w:val="000000" w:themeColor="text1"/>
        </w:rPr>
        <w:t xml:space="preserve"> affect message prominence (Hoek et al., 2011). For instance, risk information </w:t>
      </w:r>
      <w:r w:rsidR="001D7C55" w:rsidRPr="00476FC9">
        <w:rPr>
          <w:color w:val="000000" w:themeColor="text1"/>
        </w:rPr>
        <w:t xml:space="preserve">close to benefit information </w:t>
      </w:r>
      <w:r w:rsidRPr="00476FC9">
        <w:rPr>
          <w:color w:val="000000" w:themeColor="text1"/>
        </w:rPr>
        <w:t xml:space="preserve">was found to be more noticeable than risk information near the bottom of a print ad (Torres, Sierra, &amp; Heiser, 2007). Texts with frame lines were </w:t>
      </w:r>
      <w:r w:rsidR="001D7C55" w:rsidRPr="00476FC9">
        <w:rPr>
          <w:color w:val="000000" w:themeColor="text1"/>
        </w:rPr>
        <w:t xml:space="preserve">also </w:t>
      </w:r>
      <w:r w:rsidRPr="00476FC9">
        <w:rPr>
          <w:color w:val="000000" w:themeColor="text1"/>
        </w:rPr>
        <w:lastRenderedPageBreak/>
        <w:t xml:space="preserve">found to be superior to texts without outlines in leading attention to information and retaining memory for short periods </w:t>
      </w:r>
      <w:r w:rsidR="00F84634" w:rsidRPr="00476FC9">
        <w:rPr>
          <w:color w:val="000000" w:themeColor="text1"/>
        </w:rPr>
        <w:t>(Bettman et al., 1986; Hoek et al., 2011; Wogalter et al., 2002; Wogalter &amp; Shaver, 2001).</w:t>
      </w:r>
    </w:p>
    <w:p w:rsidR="001D50AB" w:rsidRPr="00476FC9" w:rsidRDefault="00B93692" w:rsidP="007D2ACE">
      <w:pPr>
        <w:keepNext w:val="0"/>
        <w:widowControl w:val="0"/>
        <w:kinsoku w:val="0"/>
        <w:overflowPunct w:val="0"/>
        <w:autoSpaceDE w:val="0"/>
        <w:autoSpaceDN w:val="0"/>
        <w:adjustRightInd w:val="0"/>
        <w:snapToGrid w:val="0"/>
        <w:spacing w:before="0" w:after="0"/>
        <w:ind w:firstLine="720"/>
        <w:rPr>
          <w:rFonts w:cs="Arial"/>
          <w:bCs w:val="0"/>
          <w:iCs/>
          <w:color w:val="000000" w:themeColor="text1"/>
        </w:rPr>
      </w:pPr>
      <w:r w:rsidRPr="00476FC9">
        <w:rPr>
          <w:color w:val="000000" w:themeColor="text1"/>
        </w:rPr>
        <w:t xml:space="preserve">In this dissertation, </w:t>
      </w:r>
      <w:r w:rsidR="00281D6D" w:rsidRPr="00476FC9">
        <w:rPr>
          <w:color w:val="000000" w:themeColor="text1"/>
        </w:rPr>
        <w:t>b</w:t>
      </w:r>
      <w:r w:rsidR="00507A56" w:rsidRPr="00476FC9">
        <w:rPr>
          <w:color w:val="000000" w:themeColor="text1"/>
        </w:rPr>
        <w:t xml:space="preserve">ased on the FDA’s (2009) </w:t>
      </w:r>
      <w:r w:rsidR="005221F5" w:rsidRPr="00476FC9">
        <w:rPr>
          <w:color w:val="000000" w:themeColor="text1"/>
        </w:rPr>
        <w:t xml:space="preserve">draft </w:t>
      </w:r>
      <w:r w:rsidR="00507A56" w:rsidRPr="00476FC9">
        <w:rPr>
          <w:color w:val="000000" w:themeColor="text1"/>
        </w:rPr>
        <w:t>guidance</w:t>
      </w:r>
      <w:r w:rsidR="00281D6D" w:rsidRPr="00476FC9">
        <w:rPr>
          <w:color w:val="000000" w:themeColor="text1"/>
        </w:rPr>
        <w:t xml:space="preserve">, </w:t>
      </w:r>
      <w:r w:rsidR="007119E2" w:rsidRPr="00476FC9">
        <w:rPr>
          <w:color w:val="000000" w:themeColor="text1"/>
        </w:rPr>
        <w:t xml:space="preserve">the </w:t>
      </w:r>
      <w:r w:rsidR="005221F5" w:rsidRPr="00476FC9">
        <w:rPr>
          <w:color w:val="000000" w:themeColor="text1"/>
        </w:rPr>
        <w:t xml:space="preserve">previous literature on </w:t>
      </w:r>
      <w:r w:rsidR="00507A56" w:rsidRPr="00476FC9">
        <w:rPr>
          <w:color w:val="000000" w:themeColor="text1"/>
        </w:rPr>
        <w:t xml:space="preserve">risk </w:t>
      </w:r>
      <w:r w:rsidR="005221F5" w:rsidRPr="00476FC9">
        <w:rPr>
          <w:color w:val="000000" w:themeColor="text1"/>
        </w:rPr>
        <w:t>disclosure</w:t>
      </w:r>
      <w:r w:rsidR="00422595" w:rsidRPr="00476FC9">
        <w:rPr>
          <w:color w:val="000000" w:themeColor="text1"/>
        </w:rPr>
        <w:t xml:space="preserve"> presentation</w:t>
      </w:r>
      <w:r w:rsidR="00281D6D" w:rsidRPr="00476FC9">
        <w:rPr>
          <w:color w:val="000000" w:themeColor="text1"/>
        </w:rPr>
        <w:t>, and the preliminary analysis of hundreds of DTC ads</w:t>
      </w:r>
      <w:r w:rsidR="00507A56" w:rsidRPr="00476FC9">
        <w:rPr>
          <w:color w:val="000000" w:themeColor="text1"/>
        </w:rPr>
        <w:t>, t</w:t>
      </w:r>
      <w:r w:rsidR="00215863" w:rsidRPr="00476FC9">
        <w:rPr>
          <w:color w:val="000000" w:themeColor="text1"/>
        </w:rPr>
        <w:t xml:space="preserve">he </w:t>
      </w:r>
      <w:r w:rsidR="00507A56" w:rsidRPr="00476FC9">
        <w:rPr>
          <w:color w:val="000000" w:themeColor="text1"/>
        </w:rPr>
        <w:t>attention-enhancing</w:t>
      </w:r>
      <w:r w:rsidR="00215863" w:rsidRPr="00476FC9">
        <w:rPr>
          <w:color w:val="000000" w:themeColor="text1"/>
        </w:rPr>
        <w:t xml:space="preserve"> factors </w:t>
      </w:r>
      <w:r w:rsidR="005221F5" w:rsidRPr="00476FC9">
        <w:rPr>
          <w:color w:val="000000" w:themeColor="text1"/>
        </w:rPr>
        <w:t>were selected, including</w:t>
      </w:r>
      <w:r w:rsidR="00215863" w:rsidRPr="00476FC9">
        <w:rPr>
          <w:color w:val="000000" w:themeColor="text1"/>
        </w:rPr>
        <w:t xml:space="preserve"> the use of </w:t>
      </w:r>
      <w:r w:rsidR="00507A56" w:rsidRPr="00476FC9">
        <w:rPr>
          <w:color w:val="000000" w:themeColor="text1"/>
        </w:rPr>
        <w:t xml:space="preserve">cueing </w:t>
      </w:r>
      <w:r w:rsidR="00215863" w:rsidRPr="00476FC9">
        <w:rPr>
          <w:color w:val="000000" w:themeColor="text1"/>
        </w:rPr>
        <w:t>signal</w:t>
      </w:r>
      <w:r w:rsidR="00507A56" w:rsidRPr="00476FC9">
        <w:rPr>
          <w:color w:val="000000" w:themeColor="text1"/>
        </w:rPr>
        <w:t>s</w:t>
      </w:r>
      <w:r w:rsidR="00215863" w:rsidRPr="00476FC9">
        <w:rPr>
          <w:color w:val="000000" w:themeColor="text1"/>
        </w:rPr>
        <w:t xml:space="preserve"> (</w:t>
      </w:r>
      <w:r w:rsidR="00F84634" w:rsidRPr="00476FC9">
        <w:rPr>
          <w:color w:val="000000" w:themeColor="text1"/>
        </w:rPr>
        <w:t>i.e.,</w:t>
      </w:r>
      <w:r w:rsidR="00215863" w:rsidRPr="00476FC9">
        <w:rPr>
          <w:color w:val="000000" w:themeColor="text1"/>
        </w:rPr>
        <w:t xml:space="preserve"> bullet points, bold texts, capitalized first words), use of color (</w:t>
      </w:r>
      <w:r w:rsidR="00F84634" w:rsidRPr="00476FC9">
        <w:rPr>
          <w:color w:val="000000" w:themeColor="text1"/>
        </w:rPr>
        <w:t>i.e.</w:t>
      </w:r>
      <w:r w:rsidR="00215863" w:rsidRPr="00476FC9">
        <w:rPr>
          <w:color w:val="000000" w:themeColor="text1"/>
        </w:rPr>
        <w:t>, red), box</w:t>
      </w:r>
      <w:r w:rsidR="00507A56" w:rsidRPr="00476FC9">
        <w:rPr>
          <w:color w:val="000000" w:themeColor="text1"/>
        </w:rPr>
        <w:t>ed frame</w:t>
      </w:r>
      <w:r w:rsidR="00215863" w:rsidRPr="00476FC9">
        <w:rPr>
          <w:color w:val="000000" w:themeColor="text1"/>
        </w:rPr>
        <w:t xml:space="preserve"> lines, larger font sizes, and </w:t>
      </w:r>
      <w:r w:rsidR="00507A56" w:rsidRPr="00476FC9">
        <w:rPr>
          <w:color w:val="000000" w:themeColor="text1"/>
        </w:rPr>
        <w:t xml:space="preserve">position </w:t>
      </w:r>
      <w:r w:rsidR="00215863" w:rsidRPr="00476FC9">
        <w:rPr>
          <w:color w:val="000000" w:themeColor="text1"/>
        </w:rPr>
        <w:t>of texts</w:t>
      </w:r>
      <w:r w:rsidR="00F84634" w:rsidRPr="00476FC9">
        <w:rPr>
          <w:color w:val="000000" w:themeColor="text1"/>
        </w:rPr>
        <w:t xml:space="preserve"> (i.e., close to use and benefit information vs. bottom of  the ad)</w:t>
      </w:r>
      <w:r w:rsidR="00215863" w:rsidRPr="00476FC9">
        <w:rPr>
          <w:color w:val="000000" w:themeColor="text1"/>
        </w:rPr>
        <w:t xml:space="preserve">. In contrast, </w:t>
      </w:r>
      <w:r w:rsidR="00507A56" w:rsidRPr="00476FC9">
        <w:rPr>
          <w:color w:val="000000" w:themeColor="text1"/>
        </w:rPr>
        <w:t xml:space="preserve">the </w:t>
      </w:r>
      <w:r w:rsidR="00215863" w:rsidRPr="00476FC9">
        <w:rPr>
          <w:color w:val="000000" w:themeColor="text1"/>
        </w:rPr>
        <w:t xml:space="preserve">less prominence condition </w:t>
      </w:r>
      <w:r w:rsidR="005221F5" w:rsidRPr="00476FC9">
        <w:rPr>
          <w:color w:val="000000" w:themeColor="text1"/>
        </w:rPr>
        <w:t>is manipulated as disclosures using</w:t>
      </w:r>
      <w:r w:rsidR="00215863" w:rsidRPr="00476FC9">
        <w:rPr>
          <w:color w:val="000000" w:themeColor="text1"/>
        </w:rPr>
        <w:t xml:space="preserve"> no bullet points, no</w:t>
      </w:r>
      <w:r w:rsidR="00E70AAA" w:rsidRPr="00476FC9">
        <w:rPr>
          <w:color w:val="000000" w:themeColor="text1"/>
        </w:rPr>
        <w:t xml:space="preserve"> </w:t>
      </w:r>
      <w:r w:rsidR="00215863" w:rsidRPr="00476FC9">
        <w:rPr>
          <w:color w:val="000000" w:themeColor="text1"/>
        </w:rPr>
        <w:t>bold texts, no capitalization</w:t>
      </w:r>
      <w:r w:rsidR="005221F5" w:rsidRPr="00476FC9">
        <w:rPr>
          <w:color w:val="000000" w:themeColor="text1"/>
        </w:rPr>
        <w:t xml:space="preserve"> of first words</w:t>
      </w:r>
      <w:r w:rsidR="00215863" w:rsidRPr="00476FC9">
        <w:rPr>
          <w:color w:val="000000" w:themeColor="text1"/>
        </w:rPr>
        <w:t xml:space="preserve">, no </w:t>
      </w:r>
      <w:r w:rsidR="005221F5" w:rsidRPr="00476FC9">
        <w:rPr>
          <w:color w:val="000000" w:themeColor="text1"/>
        </w:rPr>
        <w:t xml:space="preserve">red </w:t>
      </w:r>
      <w:r w:rsidR="00215863" w:rsidRPr="00476FC9">
        <w:rPr>
          <w:color w:val="000000" w:themeColor="text1"/>
        </w:rPr>
        <w:t>color, no box lines, smaller font sizes, and</w:t>
      </w:r>
      <w:r w:rsidR="005221F5" w:rsidRPr="00476FC9">
        <w:rPr>
          <w:color w:val="000000" w:themeColor="text1"/>
        </w:rPr>
        <w:t xml:space="preserve"> relegation toward the </w:t>
      </w:r>
      <w:r w:rsidR="00215863" w:rsidRPr="00476FC9">
        <w:rPr>
          <w:color w:val="000000" w:themeColor="text1"/>
        </w:rPr>
        <w:t>bottom of the ad</w:t>
      </w:r>
      <w:r w:rsidR="005221F5" w:rsidRPr="00476FC9">
        <w:rPr>
          <w:color w:val="000000" w:themeColor="text1"/>
        </w:rPr>
        <w:t xml:space="preserve"> page</w:t>
      </w:r>
      <w:r w:rsidR="00215863" w:rsidRPr="00476FC9">
        <w:rPr>
          <w:color w:val="000000" w:themeColor="text1"/>
        </w:rPr>
        <w:t xml:space="preserve">. </w:t>
      </w:r>
    </w:p>
    <w:p w:rsidR="00EA49D9" w:rsidRPr="00476FC9" w:rsidRDefault="00EA49D9" w:rsidP="007D2ACE">
      <w:pPr>
        <w:pStyle w:val="Heading2"/>
        <w:rPr>
          <w:color w:val="000000" w:themeColor="text1"/>
        </w:rPr>
      </w:pPr>
    </w:p>
    <w:p w:rsidR="004147C7" w:rsidRPr="00476FC9" w:rsidRDefault="00FD5A40" w:rsidP="007D2ACE">
      <w:pPr>
        <w:pStyle w:val="Heading2"/>
        <w:rPr>
          <w:color w:val="000000" w:themeColor="text1"/>
        </w:rPr>
      </w:pPr>
      <w:bookmarkStart w:id="21" w:name="_Toc393800668"/>
      <w:r w:rsidRPr="00476FC9">
        <w:rPr>
          <w:color w:val="000000" w:themeColor="text1"/>
        </w:rPr>
        <w:t>Research Hypotheses</w:t>
      </w:r>
      <w:bookmarkEnd w:id="21"/>
    </w:p>
    <w:p w:rsidR="00561D1A" w:rsidRPr="00476FC9" w:rsidRDefault="00DD1CC0" w:rsidP="007D2ACE">
      <w:pPr>
        <w:pStyle w:val="Heading3"/>
        <w:widowControl w:val="0"/>
        <w:kinsoku w:val="0"/>
        <w:overflowPunct w:val="0"/>
        <w:autoSpaceDE w:val="0"/>
        <w:autoSpaceDN w:val="0"/>
        <w:snapToGrid w:val="0"/>
        <w:contextualSpacing w:val="0"/>
        <w:rPr>
          <w:color w:val="000000" w:themeColor="text1"/>
        </w:rPr>
      </w:pPr>
      <w:bookmarkStart w:id="22" w:name="_Toc393800669"/>
      <w:r w:rsidRPr="00476FC9">
        <w:rPr>
          <w:color w:val="000000" w:themeColor="text1"/>
        </w:rPr>
        <w:t xml:space="preserve">Perceived Attention to </w:t>
      </w:r>
      <w:r w:rsidR="00561D1A" w:rsidRPr="00476FC9">
        <w:rPr>
          <w:color w:val="000000" w:themeColor="text1"/>
        </w:rPr>
        <w:t>Risk Disclosure</w:t>
      </w:r>
      <w:bookmarkEnd w:id="22"/>
    </w:p>
    <w:p w:rsidR="001A2842" w:rsidRPr="00476FC9" w:rsidRDefault="00A214F4"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4F30E9" w:rsidRPr="00476FC9">
        <w:rPr>
          <w:color w:val="000000" w:themeColor="text1"/>
        </w:rPr>
        <w:t>Research</w:t>
      </w:r>
      <w:r w:rsidR="00411BD0" w:rsidRPr="00476FC9">
        <w:rPr>
          <w:color w:val="000000" w:themeColor="text1"/>
        </w:rPr>
        <w:t xml:space="preserve">ers consider </w:t>
      </w:r>
      <w:r w:rsidR="00411BD0" w:rsidRPr="00476FC9">
        <w:rPr>
          <w:i/>
          <w:color w:val="000000" w:themeColor="text1"/>
        </w:rPr>
        <w:t>atten</w:t>
      </w:r>
      <w:r w:rsidR="004F30E9" w:rsidRPr="00476FC9">
        <w:rPr>
          <w:i/>
          <w:color w:val="000000" w:themeColor="text1"/>
        </w:rPr>
        <w:t>tion</w:t>
      </w:r>
      <w:r w:rsidR="004F30E9" w:rsidRPr="00476FC9">
        <w:rPr>
          <w:color w:val="000000" w:themeColor="text1"/>
        </w:rPr>
        <w:t xml:space="preserve"> an important cognitive process that affect</w:t>
      </w:r>
      <w:r w:rsidR="00F86255" w:rsidRPr="00476FC9">
        <w:rPr>
          <w:color w:val="000000" w:themeColor="text1"/>
        </w:rPr>
        <w:t>s</w:t>
      </w:r>
      <w:r w:rsidR="004F30E9" w:rsidRPr="00476FC9">
        <w:rPr>
          <w:color w:val="000000" w:themeColor="text1"/>
        </w:rPr>
        <w:t xml:space="preserve"> consumer</w:t>
      </w:r>
      <w:r w:rsidR="00F86255" w:rsidRPr="00476FC9">
        <w:rPr>
          <w:color w:val="000000" w:themeColor="text1"/>
        </w:rPr>
        <w:t>s’</w:t>
      </w:r>
      <w:r w:rsidR="004F30E9" w:rsidRPr="00476FC9">
        <w:rPr>
          <w:color w:val="000000" w:themeColor="text1"/>
        </w:rPr>
        <w:t xml:space="preserve"> decision making outcomes (Lynch &amp; Srull, 1982).</w:t>
      </w:r>
      <w:r w:rsidR="00411BD0" w:rsidRPr="00476FC9">
        <w:rPr>
          <w:color w:val="000000" w:themeColor="text1"/>
        </w:rPr>
        <w:t xml:space="preserve"> </w:t>
      </w:r>
      <w:r w:rsidR="0077795C" w:rsidRPr="00476FC9">
        <w:rPr>
          <w:color w:val="000000" w:themeColor="text1"/>
        </w:rPr>
        <w:t>However, i</w:t>
      </w:r>
      <w:r w:rsidR="00281DD2" w:rsidRPr="00476FC9">
        <w:rPr>
          <w:color w:val="000000" w:themeColor="text1"/>
        </w:rPr>
        <w:t xml:space="preserve">t is worthy to note </w:t>
      </w:r>
      <w:r w:rsidR="00411BD0" w:rsidRPr="00476FC9">
        <w:rPr>
          <w:color w:val="000000" w:themeColor="text1"/>
        </w:rPr>
        <w:t>s</w:t>
      </w:r>
      <w:r w:rsidR="00E63AA4" w:rsidRPr="00476FC9">
        <w:rPr>
          <w:color w:val="000000" w:themeColor="text1"/>
        </w:rPr>
        <w:t>elective aspects of attention. Regarding risk disclosure</w:t>
      </w:r>
      <w:r w:rsidR="00B85641" w:rsidRPr="00476FC9">
        <w:rPr>
          <w:color w:val="000000" w:themeColor="text1"/>
        </w:rPr>
        <w:t>,</w:t>
      </w:r>
      <w:r w:rsidR="00E63AA4" w:rsidRPr="00476FC9">
        <w:rPr>
          <w:color w:val="000000" w:themeColor="text1"/>
        </w:rPr>
        <w:t xml:space="preserve"> physically salient information in the environment is more likely to capture a disproportionate amount of attention (Taylor &amp; Fiske, 1978).</w:t>
      </w:r>
      <w:r w:rsidR="00775CE1" w:rsidRPr="00476FC9">
        <w:rPr>
          <w:color w:val="000000" w:themeColor="text1"/>
        </w:rPr>
        <w:t xml:space="preserve"> </w:t>
      </w:r>
      <w:r w:rsidR="004107C2" w:rsidRPr="00476FC9">
        <w:rPr>
          <w:color w:val="000000" w:themeColor="text1"/>
        </w:rPr>
        <w:t xml:space="preserve">Given this, </w:t>
      </w:r>
      <w:r w:rsidR="00FF1F66" w:rsidRPr="00476FC9">
        <w:rPr>
          <w:color w:val="000000" w:themeColor="text1"/>
        </w:rPr>
        <w:t xml:space="preserve">consumers’ attention to </w:t>
      </w:r>
      <w:r w:rsidR="001A2842" w:rsidRPr="00476FC9">
        <w:rPr>
          <w:color w:val="000000" w:themeColor="text1"/>
        </w:rPr>
        <w:t xml:space="preserve">DTCA risk disclosure </w:t>
      </w:r>
      <w:r w:rsidR="002C0D16" w:rsidRPr="00476FC9">
        <w:rPr>
          <w:color w:val="000000" w:themeColor="text1"/>
        </w:rPr>
        <w:t>may p</w:t>
      </w:r>
      <w:r w:rsidR="00FF1F66" w:rsidRPr="00476FC9">
        <w:rPr>
          <w:color w:val="000000" w:themeColor="text1"/>
        </w:rPr>
        <w:t xml:space="preserve">lay a role in </w:t>
      </w:r>
      <w:r w:rsidR="00DE4621" w:rsidRPr="00476FC9">
        <w:rPr>
          <w:color w:val="000000" w:themeColor="text1"/>
        </w:rPr>
        <w:t xml:space="preserve">leading them to discuss </w:t>
      </w:r>
      <w:r w:rsidR="00CD635E" w:rsidRPr="00476FC9">
        <w:rPr>
          <w:color w:val="000000" w:themeColor="text1"/>
        </w:rPr>
        <w:t>the risks of taking the drug with their doctors (Menon, Deshpande, Perri III, &amp; Zinkhan, 2003).</w:t>
      </w:r>
    </w:p>
    <w:p w:rsidR="003D29EC" w:rsidRPr="00476FC9" w:rsidRDefault="003D29EC"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More specifically, in the context of risk communication in advertising, attention has been noted as an important early stage of hierarchy-of-effects communication models (Krugman et al, </w:t>
      </w:r>
      <w:r w:rsidRPr="00476FC9">
        <w:rPr>
          <w:color w:val="000000" w:themeColor="text1"/>
        </w:rPr>
        <w:lastRenderedPageBreak/>
        <w:t>1994). Although risk disclosure has become a common phenomenon in the contemporary information environment</w:t>
      </w:r>
      <w:r w:rsidR="0025502E" w:rsidRPr="00476FC9">
        <w:rPr>
          <w:color w:val="000000" w:themeColor="text1"/>
        </w:rPr>
        <w:t xml:space="preserve"> (Mazis, Morris, &amp; Swasy, 1991)</w:t>
      </w:r>
      <w:r w:rsidRPr="00476FC9">
        <w:rPr>
          <w:color w:val="000000" w:themeColor="text1"/>
        </w:rPr>
        <w:t>, surprisingly few empirical studies have assessed its effectiveness</w:t>
      </w:r>
      <w:r w:rsidR="0025502E" w:rsidRPr="00476FC9">
        <w:rPr>
          <w:color w:val="000000" w:themeColor="text1"/>
        </w:rPr>
        <w:t xml:space="preserve"> in the DTCA context</w:t>
      </w:r>
      <w:r w:rsidRPr="00476FC9">
        <w:rPr>
          <w:color w:val="000000" w:themeColor="text1"/>
        </w:rPr>
        <w:t xml:space="preserve">. Advertising research has reported that mere advertising exposure itself is not always effective for promoting </w:t>
      </w:r>
      <w:r w:rsidR="002C6F98" w:rsidRPr="00476FC9">
        <w:rPr>
          <w:color w:val="000000" w:themeColor="text1"/>
        </w:rPr>
        <w:t>intended</w:t>
      </w:r>
      <w:r w:rsidRPr="00476FC9">
        <w:rPr>
          <w:color w:val="000000" w:themeColor="text1"/>
        </w:rPr>
        <w:t xml:space="preserve"> consumer </w:t>
      </w:r>
      <w:r w:rsidR="002C6F98" w:rsidRPr="00476FC9">
        <w:rPr>
          <w:color w:val="000000" w:themeColor="text1"/>
        </w:rPr>
        <w:t xml:space="preserve">response to </w:t>
      </w:r>
      <w:r w:rsidRPr="00476FC9">
        <w:rPr>
          <w:color w:val="000000" w:themeColor="text1"/>
        </w:rPr>
        <w:t xml:space="preserve">the ad (Goodrich, 2011). Consumer attention to </w:t>
      </w:r>
      <w:r w:rsidR="002C6F98" w:rsidRPr="00476FC9">
        <w:rPr>
          <w:color w:val="000000" w:themeColor="text1"/>
        </w:rPr>
        <w:t xml:space="preserve">ad </w:t>
      </w:r>
      <w:r w:rsidRPr="00476FC9">
        <w:rPr>
          <w:color w:val="000000" w:themeColor="text1"/>
        </w:rPr>
        <w:t xml:space="preserve">information needs to be secured and different ad stimuli (e.g., ad type, ad location, and page type) can affect </w:t>
      </w:r>
      <w:r w:rsidR="002C6F98" w:rsidRPr="00476FC9">
        <w:rPr>
          <w:color w:val="000000" w:themeColor="text1"/>
        </w:rPr>
        <w:t xml:space="preserve">varying </w:t>
      </w:r>
      <w:r w:rsidRPr="00476FC9">
        <w:rPr>
          <w:color w:val="000000" w:themeColor="text1"/>
        </w:rPr>
        <w:t xml:space="preserve">attention levels (Goodrich, 2011). </w:t>
      </w:r>
    </w:p>
    <w:p w:rsidR="003D29EC" w:rsidRPr="00476FC9" w:rsidRDefault="003D29EC" w:rsidP="007D2ACE">
      <w:pPr>
        <w:keepNext w:val="0"/>
        <w:widowControl w:val="0"/>
        <w:kinsoku w:val="0"/>
        <w:overflowPunct w:val="0"/>
        <w:autoSpaceDE w:val="0"/>
        <w:autoSpaceDN w:val="0"/>
        <w:adjustRightInd w:val="0"/>
        <w:snapToGrid w:val="0"/>
        <w:spacing w:before="0"/>
        <w:ind w:firstLine="720"/>
        <w:rPr>
          <w:color w:val="000000" w:themeColor="text1"/>
        </w:rPr>
      </w:pPr>
      <w:r w:rsidRPr="00476FC9">
        <w:rPr>
          <w:color w:val="000000" w:themeColor="text1"/>
        </w:rPr>
        <w:t xml:space="preserve">There could be various ways to conceptualize and </w:t>
      </w:r>
      <w:r w:rsidR="0025502E" w:rsidRPr="00476FC9">
        <w:rPr>
          <w:color w:val="000000" w:themeColor="text1"/>
        </w:rPr>
        <w:t>measure</w:t>
      </w:r>
      <w:r w:rsidRPr="00476FC9">
        <w:rPr>
          <w:color w:val="000000" w:themeColor="text1"/>
        </w:rPr>
        <w:t xml:space="preserve"> attention (i.e., behavior observation, psychophysiology, and self-reports)</w:t>
      </w:r>
      <w:r w:rsidR="002C6F98" w:rsidRPr="00476FC9">
        <w:rPr>
          <w:color w:val="000000" w:themeColor="text1"/>
        </w:rPr>
        <w:t>,</w:t>
      </w:r>
      <w:r w:rsidRPr="00476FC9">
        <w:rPr>
          <w:color w:val="000000" w:themeColor="text1"/>
        </w:rPr>
        <w:t xml:space="preserve"> and each approach has their own methodological pros and cons (Reeves &amp; Thorson, 1986; Thorson, Chi, &amp; Leavitt, 1992). One of the commonly employed measurement approach</w:t>
      </w:r>
      <w:r w:rsidR="002C6F98" w:rsidRPr="00476FC9">
        <w:rPr>
          <w:color w:val="000000" w:themeColor="text1"/>
        </w:rPr>
        <w:t>es</w:t>
      </w:r>
      <w:r w:rsidRPr="00476FC9">
        <w:rPr>
          <w:color w:val="000000" w:themeColor="text1"/>
        </w:rPr>
        <w:t xml:space="preserve"> to attention is introspective self-observation </w:t>
      </w:r>
      <w:r w:rsidR="0025502E" w:rsidRPr="00476FC9">
        <w:rPr>
          <w:color w:val="000000" w:themeColor="text1"/>
        </w:rPr>
        <w:t xml:space="preserve">(i.e., self-reported) </w:t>
      </w:r>
      <w:r w:rsidRPr="00476FC9">
        <w:rPr>
          <w:color w:val="000000" w:themeColor="text1"/>
        </w:rPr>
        <w:t>(</w:t>
      </w:r>
      <w:r w:rsidR="006C411A" w:rsidRPr="00476FC9">
        <w:rPr>
          <w:rFonts w:eastAsiaTheme="minorEastAsia" w:hint="eastAsia"/>
          <w:color w:val="000000" w:themeColor="text1"/>
        </w:rPr>
        <w:t>C</w:t>
      </w:r>
      <w:r w:rsidRPr="00476FC9">
        <w:rPr>
          <w:color w:val="000000" w:themeColor="text1"/>
        </w:rPr>
        <w:t xml:space="preserve">haffee &amp; Schleuder, 1986). In particular, given that more often than not resources and instruments for objective measures of attention are not available to researchers, the simplest </w:t>
      </w:r>
      <w:r w:rsidR="0025502E" w:rsidRPr="00476FC9">
        <w:rPr>
          <w:color w:val="000000" w:themeColor="text1"/>
        </w:rPr>
        <w:t xml:space="preserve">and available </w:t>
      </w:r>
      <w:r w:rsidRPr="00476FC9">
        <w:rPr>
          <w:color w:val="000000" w:themeColor="text1"/>
        </w:rPr>
        <w:t xml:space="preserve">way to assess attention is self-reports (Reeves &amp; Thorson, 1986; Thorson et al., 1992), referred to as </w:t>
      </w:r>
      <w:r w:rsidRPr="00476FC9">
        <w:rPr>
          <w:i/>
          <w:color w:val="000000" w:themeColor="text1"/>
        </w:rPr>
        <w:t>perceived attention</w:t>
      </w:r>
      <w:r w:rsidRPr="00476FC9">
        <w:rPr>
          <w:color w:val="000000" w:themeColor="text1"/>
        </w:rPr>
        <w:t xml:space="preserve"> or self-reported weight of watching. In this regard, despite criticism that perceived attention has limitations for measuring actual attention, as an alternative proxy measure of attention</w:t>
      </w:r>
      <w:r w:rsidR="002C6F98" w:rsidRPr="00476FC9">
        <w:rPr>
          <w:color w:val="000000" w:themeColor="text1"/>
        </w:rPr>
        <w:t>,</w:t>
      </w:r>
      <w:r w:rsidRPr="00476FC9">
        <w:rPr>
          <w:color w:val="000000" w:themeColor="text1"/>
        </w:rPr>
        <w:t xml:space="preserve"> researchers have </w:t>
      </w:r>
      <w:r w:rsidR="002C6F98" w:rsidRPr="00476FC9">
        <w:rPr>
          <w:color w:val="000000" w:themeColor="text1"/>
        </w:rPr>
        <w:t xml:space="preserve">often </w:t>
      </w:r>
      <w:r w:rsidRPr="00476FC9">
        <w:rPr>
          <w:color w:val="000000" w:themeColor="text1"/>
        </w:rPr>
        <w:t xml:space="preserve">employed the </w:t>
      </w:r>
      <w:r w:rsidR="002C6F98" w:rsidRPr="00476FC9">
        <w:rPr>
          <w:color w:val="000000" w:themeColor="text1"/>
        </w:rPr>
        <w:t>subjective</w:t>
      </w:r>
      <w:r w:rsidRPr="00476FC9">
        <w:rPr>
          <w:color w:val="000000" w:themeColor="text1"/>
        </w:rPr>
        <w:t xml:space="preserve"> measure (e.g., Thorson et al., 1992).</w:t>
      </w:r>
    </w:p>
    <w:p w:rsidR="003D29EC" w:rsidRPr="00476FC9" w:rsidRDefault="003D29EC" w:rsidP="007D2ACE">
      <w:pPr>
        <w:keepNext w:val="0"/>
        <w:widowControl w:val="0"/>
        <w:kinsoku w:val="0"/>
        <w:overflowPunct w:val="0"/>
        <w:autoSpaceDE w:val="0"/>
        <w:autoSpaceDN w:val="0"/>
        <w:adjustRightInd w:val="0"/>
        <w:snapToGrid w:val="0"/>
        <w:spacing w:before="0"/>
        <w:ind w:firstLine="720"/>
        <w:rPr>
          <w:color w:val="000000" w:themeColor="text1"/>
        </w:rPr>
      </w:pPr>
      <w:r w:rsidRPr="00476FC9">
        <w:rPr>
          <w:color w:val="000000" w:themeColor="text1"/>
        </w:rPr>
        <w:t xml:space="preserve">The use of self-reported perceived attention can be </w:t>
      </w:r>
      <w:r w:rsidR="00165B30" w:rsidRPr="00476FC9">
        <w:rPr>
          <w:color w:val="000000" w:themeColor="text1"/>
        </w:rPr>
        <w:t>justified</w:t>
      </w:r>
      <w:r w:rsidRPr="00476FC9">
        <w:rPr>
          <w:color w:val="000000" w:themeColor="text1"/>
        </w:rPr>
        <w:t xml:space="preserve"> from the cognitive inference literature. </w:t>
      </w:r>
      <w:r w:rsidR="002C6F98" w:rsidRPr="00476FC9">
        <w:rPr>
          <w:color w:val="000000" w:themeColor="text1"/>
        </w:rPr>
        <w:t>Although c</w:t>
      </w:r>
      <w:r w:rsidRPr="00476FC9">
        <w:rPr>
          <w:color w:val="000000" w:themeColor="text1"/>
        </w:rPr>
        <w:t>onsumers’</w:t>
      </w:r>
      <w:r w:rsidR="002C6F98" w:rsidRPr="00476FC9">
        <w:rPr>
          <w:color w:val="000000" w:themeColor="text1"/>
        </w:rPr>
        <w:t xml:space="preserve"> self-beliefs about a particular phenomenon</w:t>
      </w:r>
      <w:r w:rsidRPr="00476FC9">
        <w:rPr>
          <w:color w:val="000000" w:themeColor="text1"/>
        </w:rPr>
        <w:t xml:space="preserve"> is seldom complete or errorless, consumer research on meta-knowledge has found that their subjective or perceived judgment play</w:t>
      </w:r>
      <w:r w:rsidR="006C411A" w:rsidRPr="00476FC9">
        <w:rPr>
          <w:rFonts w:eastAsiaTheme="minorEastAsia" w:hint="eastAsia"/>
          <w:color w:val="000000" w:themeColor="text1"/>
        </w:rPr>
        <w:t>s</w:t>
      </w:r>
      <w:r w:rsidRPr="00476FC9">
        <w:rPr>
          <w:color w:val="000000" w:themeColor="text1"/>
        </w:rPr>
        <w:t xml:space="preserve"> an important role in cognitive inference processes (Alba &amp; Hutchinson, 2000). </w:t>
      </w:r>
      <w:r w:rsidRPr="00476FC9">
        <w:rPr>
          <w:color w:val="000000" w:themeColor="text1"/>
        </w:rPr>
        <w:lastRenderedPageBreak/>
        <w:t xml:space="preserve">This has been often labeled as </w:t>
      </w:r>
      <w:r w:rsidRPr="00476FC9">
        <w:rPr>
          <w:i/>
          <w:color w:val="000000" w:themeColor="text1"/>
        </w:rPr>
        <w:t>cognitive heuristics</w:t>
      </w:r>
      <w:r w:rsidR="005E0714" w:rsidRPr="00476FC9">
        <w:rPr>
          <w:color w:val="000000" w:themeColor="text1"/>
        </w:rPr>
        <w:t xml:space="preserve"> (Kardes</w:t>
      </w:r>
      <w:r w:rsidR="002C6F98" w:rsidRPr="00476FC9">
        <w:rPr>
          <w:color w:val="000000" w:themeColor="text1"/>
        </w:rPr>
        <w:t xml:space="preserve"> et al., 2004)</w:t>
      </w:r>
      <w:r w:rsidRPr="00476FC9">
        <w:rPr>
          <w:color w:val="000000" w:themeColor="text1"/>
        </w:rPr>
        <w:t xml:space="preserve">. Therefore, although perceived attention measure </w:t>
      </w:r>
      <w:r w:rsidR="00165B30" w:rsidRPr="00476FC9">
        <w:rPr>
          <w:color w:val="000000" w:themeColor="text1"/>
        </w:rPr>
        <w:t>cannot</w:t>
      </w:r>
      <w:r w:rsidRPr="00476FC9">
        <w:rPr>
          <w:color w:val="000000" w:themeColor="text1"/>
        </w:rPr>
        <w:t xml:space="preserve"> represent an ideal approach to assessing objective attention, the utility of it has been </w:t>
      </w:r>
      <w:r w:rsidR="00165B30" w:rsidRPr="00476FC9">
        <w:rPr>
          <w:color w:val="000000" w:themeColor="text1"/>
        </w:rPr>
        <w:t xml:space="preserve">acknowledged </w:t>
      </w:r>
      <w:r w:rsidRPr="00476FC9">
        <w:rPr>
          <w:color w:val="000000" w:themeColor="text1"/>
        </w:rPr>
        <w:t xml:space="preserve">(e.g., Reeves &amp; Thorson, 1986; </w:t>
      </w:r>
      <w:r w:rsidR="005E0714" w:rsidRPr="00476FC9">
        <w:rPr>
          <w:rFonts w:eastAsiaTheme="minorEastAsia" w:hint="eastAsia"/>
          <w:color w:val="000000" w:themeColor="text1"/>
        </w:rPr>
        <w:t>C</w:t>
      </w:r>
      <w:r w:rsidRPr="00476FC9">
        <w:rPr>
          <w:color w:val="000000" w:themeColor="text1"/>
        </w:rPr>
        <w:t xml:space="preserve">haffee &amp; Schleuder, 1986; Thorson et al., 1992). </w:t>
      </w:r>
      <w:r w:rsidR="002C6F98" w:rsidRPr="00476FC9">
        <w:rPr>
          <w:color w:val="000000" w:themeColor="text1"/>
        </w:rPr>
        <w:t xml:space="preserve">In particular, </w:t>
      </w:r>
      <w:r w:rsidR="005E0714" w:rsidRPr="00476FC9">
        <w:rPr>
          <w:rFonts w:eastAsiaTheme="minorEastAsia" w:hint="eastAsia"/>
          <w:color w:val="000000" w:themeColor="text1"/>
        </w:rPr>
        <w:t>C</w:t>
      </w:r>
      <w:r w:rsidR="002C6F98" w:rsidRPr="00476FC9">
        <w:rPr>
          <w:color w:val="000000" w:themeColor="text1"/>
        </w:rPr>
        <w:t>haffee and Schleuder (1986) note that the subjective attention measures are notable for their utility and general validity than for their reliability and precision. Given the literature, w</w:t>
      </w:r>
      <w:r w:rsidRPr="00476FC9">
        <w:rPr>
          <w:color w:val="000000" w:themeColor="text1"/>
        </w:rPr>
        <w:t xml:space="preserve">ith </w:t>
      </w:r>
      <w:r w:rsidR="002C6F98" w:rsidRPr="00476FC9">
        <w:rPr>
          <w:color w:val="000000" w:themeColor="text1"/>
        </w:rPr>
        <w:t xml:space="preserve">rigorous theoretical underpinning and </w:t>
      </w:r>
      <w:r w:rsidRPr="00476FC9">
        <w:rPr>
          <w:color w:val="000000" w:themeColor="text1"/>
        </w:rPr>
        <w:t>careful caution in interpreting the research findings, per</w:t>
      </w:r>
      <w:r w:rsidR="00165B30" w:rsidRPr="00476FC9">
        <w:rPr>
          <w:color w:val="000000" w:themeColor="text1"/>
        </w:rPr>
        <w:t xml:space="preserve">ceived attention measure, as a proxy </w:t>
      </w:r>
      <w:r w:rsidRPr="00476FC9">
        <w:rPr>
          <w:color w:val="000000" w:themeColor="text1"/>
        </w:rPr>
        <w:t>measurement approach, can provide consumer researchers with usability to better understand the phenomenon of consumer attention to advertising.</w:t>
      </w:r>
      <w:r w:rsidR="00D20ED5" w:rsidRPr="00476FC9">
        <w:rPr>
          <w:color w:val="000000" w:themeColor="text1"/>
        </w:rPr>
        <w:t xml:space="preserve"> </w:t>
      </w:r>
      <w:r w:rsidR="00165B30" w:rsidRPr="00476FC9">
        <w:rPr>
          <w:color w:val="000000" w:themeColor="text1"/>
        </w:rPr>
        <w:t>Further, if the researcher employ other theoretically relevant construct measures simultaneously, the construct (e.g., convergence validity) validity or criterion validity (e.g., predictive validity) can be assessed. Based on the consideration of these various methodological issues and limitations, t</w:t>
      </w:r>
      <w:r w:rsidR="00D20ED5" w:rsidRPr="00476FC9">
        <w:rPr>
          <w:color w:val="000000" w:themeColor="text1"/>
        </w:rPr>
        <w:t>he current research in that regard employs a self-reported perceived attention measure</w:t>
      </w:r>
      <w:r w:rsidR="00AB114B" w:rsidRPr="00476FC9">
        <w:rPr>
          <w:color w:val="000000" w:themeColor="text1"/>
        </w:rPr>
        <w:t xml:space="preserve"> (see the method section for more information)</w:t>
      </w:r>
      <w:r w:rsidR="00D20ED5" w:rsidRPr="00476FC9">
        <w:rPr>
          <w:color w:val="000000" w:themeColor="text1"/>
        </w:rPr>
        <w:t>.</w:t>
      </w:r>
    </w:p>
    <w:p w:rsidR="00775CE1" w:rsidRPr="00476FC9" w:rsidRDefault="00D20ED5"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Taken together, </w:t>
      </w:r>
      <w:r w:rsidR="00F727D4" w:rsidRPr="00476FC9">
        <w:rPr>
          <w:color w:val="000000" w:themeColor="text1"/>
        </w:rPr>
        <w:t xml:space="preserve">for consumers </w:t>
      </w:r>
      <w:r w:rsidRPr="00476FC9">
        <w:rPr>
          <w:color w:val="000000" w:themeColor="text1"/>
        </w:rPr>
        <w:t>t</w:t>
      </w:r>
      <w:r w:rsidR="001A2842" w:rsidRPr="00476FC9">
        <w:rPr>
          <w:color w:val="000000" w:themeColor="text1"/>
        </w:rPr>
        <w:t xml:space="preserve">o make sound prescription decisions, </w:t>
      </w:r>
      <w:r w:rsidR="00DE4621" w:rsidRPr="00476FC9">
        <w:rPr>
          <w:color w:val="000000" w:themeColor="text1"/>
        </w:rPr>
        <w:t xml:space="preserve">risk disclosure </w:t>
      </w:r>
      <w:r w:rsidR="00F727D4" w:rsidRPr="00476FC9">
        <w:rPr>
          <w:color w:val="000000" w:themeColor="text1"/>
        </w:rPr>
        <w:t xml:space="preserve">information </w:t>
      </w:r>
      <w:r w:rsidR="00DE4621" w:rsidRPr="00476FC9">
        <w:rPr>
          <w:color w:val="000000" w:themeColor="text1"/>
        </w:rPr>
        <w:t>should be attended</w:t>
      </w:r>
      <w:r w:rsidR="00F727D4" w:rsidRPr="00476FC9">
        <w:rPr>
          <w:color w:val="000000" w:themeColor="text1"/>
        </w:rPr>
        <w:t xml:space="preserve"> so that they</w:t>
      </w:r>
      <w:r w:rsidR="00165B30" w:rsidRPr="00476FC9">
        <w:rPr>
          <w:color w:val="000000" w:themeColor="text1"/>
        </w:rPr>
        <w:t xml:space="preserve"> can</w:t>
      </w:r>
      <w:r w:rsidR="00F727D4" w:rsidRPr="00476FC9">
        <w:rPr>
          <w:color w:val="000000" w:themeColor="text1"/>
        </w:rPr>
        <w:t xml:space="preserve"> utilize the information reasonably</w:t>
      </w:r>
      <w:r w:rsidR="00DE4621" w:rsidRPr="00476FC9">
        <w:rPr>
          <w:color w:val="000000" w:themeColor="text1"/>
        </w:rPr>
        <w:t xml:space="preserve">. </w:t>
      </w:r>
      <w:r w:rsidR="00392A3D" w:rsidRPr="00476FC9">
        <w:rPr>
          <w:color w:val="000000" w:themeColor="text1"/>
        </w:rPr>
        <w:t xml:space="preserve">Prominent risk disclosure in a DTC ad may prime </w:t>
      </w:r>
      <w:r w:rsidR="00F727D4" w:rsidRPr="00476FC9">
        <w:rPr>
          <w:color w:val="000000" w:themeColor="text1"/>
        </w:rPr>
        <w:t xml:space="preserve">important </w:t>
      </w:r>
      <w:r w:rsidR="00281DD2" w:rsidRPr="00476FC9">
        <w:rPr>
          <w:color w:val="000000" w:themeColor="text1"/>
        </w:rPr>
        <w:t>p</w:t>
      </w:r>
      <w:r w:rsidR="00392A3D" w:rsidRPr="00476FC9">
        <w:rPr>
          <w:color w:val="000000" w:themeColor="text1"/>
        </w:rPr>
        <w:t xml:space="preserve">roduct attributes such as </w:t>
      </w:r>
      <w:r w:rsidR="00F727D4" w:rsidRPr="00476FC9">
        <w:rPr>
          <w:color w:val="000000" w:themeColor="text1"/>
        </w:rPr>
        <w:t xml:space="preserve">potential </w:t>
      </w:r>
      <w:r w:rsidR="00392A3D" w:rsidRPr="00476FC9">
        <w:rPr>
          <w:color w:val="000000" w:themeColor="text1"/>
        </w:rPr>
        <w:t>health risks, adverse reactions, and contraindications</w:t>
      </w:r>
      <w:r w:rsidR="002C0D16" w:rsidRPr="00476FC9">
        <w:rPr>
          <w:color w:val="000000" w:themeColor="text1"/>
        </w:rPr>
        <w:t>,</w:t>
      </w:r>
      <w:r w:rsidR="00392A3D" w:rsidRPr="00476FC9">
        <w:rPr>
          <w:color w:val="000000" w:themeColor="text1"/>
        </w:rPr>
        <w:t xml:space="preserve"> and thereby </w:t>
      </w:r>
      <w:r w:rsidR="00281DD2" w:rsidRPr="00476FC9">
        <w:rPr>
          <w:color w:val="000000" w:themeColor="text1"/>
        </w:rPr>
        <w:t xml:space="preserve">make risk </w:t>
      </w:r>
      <w:r w:rsidR="00392A3D" w:rsidRPr="00476FC9">
        <w:rPr>
          <w:color w:val="000000" w:themeColor="text1"/>
        </w:rPr>
        <w:t xml:space="preserve">information more accessible </w:t>
      </w:r>
      <w:r w:rsidR="002E4052" w:rsidRPr="00476FC9">
        <w:rPr>
          <w:color w:val="000000" w:themeColor="text1"/>
        </w:rPr>
        <w:t xml:space="preserve">from memory </w:t>
      </w:r>
      <w:r w:rsidR="00392A3D" w:rsidRPr="00476FC9">
        <w:rPr>
          <w:color w:val="000000" w:themeColor="text1"/>
        </w:rPr>
        <w:t>(Menon et al., 2003</w:t>
      </w:r>
      <w:r w:rsidR="005E0714" w:rsidRPr="00476FC9">
        <w:rPr>
          <w:rFonts w:eastAsiaTheme="minorEastAsia" w:hint="eastAsia"/>
          <w:color w:val="000000" w:themeColor="text1"/>
        </w:rPr>
        <w:t>a</w:t>
      </w:r>
      <w:r w:rsidR="00392A3D" w:rsidRPr="00476FC9">
        <w:rPr>
          <w:color w:val="000000" w:themeColor="text1"/>
        </w:rPr>
        <w:t>).</w:t>
      </w:r>
      <w:r w:rsidR="001A2842" w:rsidRPr="00476FC9">
        <w:rPr>
          <w:color w:val="000000" w:themeColor="text1"/>
        </w:rPr>
        <w:t xml:space="preserve"> V</w:t>
      </w:r>
      <w:r w:rsidR="009D019E" w:rsidRPr="00476FC9">
        <w:rPr>
          <w:color w:val="000000" w:themeColor="text1"/>
        </w:rPr>
        <w:t xml:space="preserve">arying levels of risk disclosure prominence are </w:t>
      </w:r>
      <w:r w:rsidR="00F727D4" w:rsidRPr="00476FC9">
        <w:rPr>
          <w:color w:val="000000" w:themeColor="text1"/>
        </w:rPr>
        <w:t xml:space="preserve">predicted </w:t>
      </w:r>
      <w:r w:rsidR="009D019E" w:rsidRPr="00476FC9">
        <w:rPr>
          <w:color w:val="000000" w:themeColor="text1"/>
        </w:rPr>
        <w:t xml:space="preserve">to result in </w:t>
      </w:r>
      <w:r w:rsidR="00F727D4" w:rsidRPr="00476FC9">
        <w:rPr>
          <w:color w:val="000000" w:themeColor="text1"/>
        </w:rPr>
        <w:t xml:space="preserve">disproportional </w:t>
      </w:r>
      <w:r w:rsidR="009D019E" w:rsidRPr="00476FC9">
        <w:rPr>
          <w:color w:val="000000" w:themeColor="text1"/>
        </w:rPr>
        <w:t xml:space="preserve">levels of </w:t>
      </w:r>
      <w:r w:rsidR="001A2842" w:rsidRPr="00476FC9">
        <w:rPr>
          <w:color w:val="000000" w:themeColor="text1"/>
        </w:rPr>
        <w:t>attention</w:t>
      </w:r>
      <w:r w:rsidR="009D019E" w:rsidRPr="00476FC9">
        <w:rPr>
          <w:color w:val="000000" w:themeColor="text1"/>
        </w:rPr>
        <w:t xml:space="preserve">. </w:t>
      </w:r>
      <w:r w:rsidR="001A2842" w:rsidRPr="00476FC9">
        <w:rPr>
          <w:color w:val="000000" w:themeColor="text1"/>
        </w:rPr>
        <w:t>H</w:t>
      </w:r>
      <w:r w:rsidR="009D019E" w:rsidRPr="00476FC9">
        <w:rPr>
          <w:color w:val="000000" w:themeColor="text1"/>
        </w:rPr>
        <w:t>igh</w:t>
      </w:r>
      <w:r w:rsidR="00F727D4" w:rsidRPr="00476FC9">
        <w:rPr>
          <w:color w:val="000000" w:themeColor="text1"/>
        </w:rPr>
        <w:t>er</w:t>
      </w:r>
      <w:r w:rsidR="009D019E" w:rsidRPr="00476FC9">
        <w:rPr>
          <w:color w:val="000000" w:themeColor="text1"/>
        </w:rPr>
        <w:t xml:space="preserve"> prominence disclosure are more likely to </w:t>
      </w:r>
      <w:r w:rsidR="00F727D4" w:rsidRPr="00476FC9">
        <w:rPr>
          <w:color w:val="000000" w:themeColor="text1"/>
        </w:rPr>
        <w:t>lead to higher</w:t>
      </w:r>
      <w:r w:rsidR="009D019E" w:rsidRPr="00476FC9">
        <w:rPr>
          <w:color w:val="000000" w:themeColor="text1"/>
        </w:rPr>
        <w:t xml:space="preserve"> consumer attention to risk disclosure</w:t>
      </w:r>
      <w:r w:rsidR="001A2842" w:rsidRPr="00476FC9">
        <w:rPr>
          <w:color w:val="000000" w:themeColor="text1"/>
        </w:rPr>
        <w:t xml:space="preserve"> than </w:t>
      </w:r>
      <w:r w:rsidR="009D019E" w:rsidRPr="00476FC9">
        <w:rPr>
          <w:color w:val="000000" w:themeColor="text1"/>
        </w:rPr>
        <w:t>low</w:t>
      </w:r>
      <w:r w:rsidR="00F727D4" w:rsidRPr="00476FC9">
        <w:rPr>
          <w:color w:val="000000" w:themeColor="text1"/>
        </w:rPr>
        <w:t>er</w:t>
      </w:r>
      <w:r w:rsidR="009D019E" w:rsidRPr="00476FC9">
        <w:rPr>
          <w:color w:val="000000" w:themeColor="text1"/>
        </w:rPr>
        <w:t xml:space="preserve"> prominence disclosure</w:t>
      </w:r>
      <w:r w:rsidR="001A2842" w:rsidRPr="00476FC9">
        <w:rPr>
          <w:color w:val="000000" w:themeColor="text1"/>
        </w:rPr>
        <w:t xml:space="preserve">. </w:t>
      </w:r>
      <w:r w:rsidR="00281DD2" w:rsidRPr="00476FC9">
        <w:rPr>
          <w:color w:val="000000" w:themeColor="text1"/>
        </w:rPr>
        <w:t xml:space="preserve">Based on the </w:t>
      </w:r>
      <w:r w:rsidR="00F727D4" w:rsidRPr="00476FC9">
        <w:rPr>
          <w:color w:val="000000" w:themeColor="text1"/>
        </w:rPr>
        <w:t xml:space="preserve">review of </w:t>
      </w:r>
      <w:r w:rsidR="00281DD2" w:rsidRPr="00476FC9">
        <w:rPr>
          <w:color w:val="000000" w:themeColor="text1"/>
        </w:rPr>
        <w:t>literature on prominence and attention, the following hypothesis can be raised:</w:t>
      </w:r>
    </w:p>
    <w:p w:rsidR="00281DD2" w:rsidRPr="00476FC9" w:rsidRDefault="00281DD2" w:rsidP="007D2ACE">
      <w:pPr>
        <w:keepNext w:val="0"/>
        <w:widowControl w:val="0"/>
        <w:kinsoku w:val="0"/>
        <w:overflowPunct w:val="0"/>
        <w:autoSpaceDE w:val="0"/>
        <w:autoSpaceDN w:val="0"/>
        <w:adjustRightInd w:val="0"/>
        <w:snapToGrid w:val="0"/>
        <w:spacing w:before="0" w:after="0" w:line="240" w:lineRule="auto"/>
        <w:ind w:left="1170" w:hanging="450"/>
        <w:rPr>
          <w:b/>
          <w:color w:val="000000" w:themeColor="text1"/>
        </w:rPr>
      </w:pPr>
      <w:r w:rsidRPr="00476FC9">
        <w:rPr>
          <w:b/>
          <w:color w:val="000000" w:themeColor="text1"/>
        </w:rPr>
        <w:t xml:space="preserve">H1: Higher risk disclosure prominence will lead to greater perceived attention to </w:t>
      </w:r>
      <w:r w:rsidRPr="00476FC9">
        <w:rPr>
          <w:b/>
          <w:color w:val="000000" w:themeColor="text1"/>
        </w:rPr>
        <w:lastRenderedPageBreak/>
        <w:t>risk disclosure.</w:t>
      </w:r>
    </w:p>
    <w:p w:rsidR="0040499C" w:rsidRPr="00476FC9" w:rsidRDefault="0040499C" w:rsidP="007D2ACE">
      <w:pPr>
        <w:pStyle w:val="Heading3"/>
        <w:widowControl w:val="0"/>
        <w:kinsoku w:val="0"/>
        <w:overflowPunct w:val="0"/>
        <w:autoSpaceDE w:val="0"/>
        <w:autoSpaceDN w:val="0"/>
        <w:snapToGrid w:val="0"/>
        <w:contextualSpacing w:val="0"/>
        <w:rPr>
          <w:color w:val="000000" w:themeColor="text1"/>
        </w:rPr>
      </w:pPr>
    </w:p>
    <w:p w:rsidR="00561D1A" w:rsidRPr="00476FC9" w:rsidRDefault="00DD1CC0" w:rsidP="007D2ACE">
      <w:pPr>
        <w:pStyle w:val="Heading3"/>
        <w:widowControl w:val="0"/>
        <w:kinsoku w:val="0"/>
        <w:overflowPunct w:val="0"/>
        <w:autoSpaceDE w:val="0"/>
        <w:autoSpaceDN w:val="0"/>
        <w:snapToGrid w:val="0"/>
        <w:contextualSpacing w:val="0"/>
        <w:rPr>
          <w:color w:val="000000" w:themeColor="text1"/>
        </w:rPr>
      </w:pPr>
      <w:bookmarkStart w:id="23" w:name="_Toc393800670"/>
      <w:r w:rsidRPr="00476FC9">
        <w:rPr>
          <w:color w:val="000000" w:themeColor="text1"/>
        </w:rPr>
        <w:t xml:space="preserve">Recall and Recognition of </w:t>
      </w:r>
      <w:r w:rsidR="00561D1A" w:rsidRPr="00476FC9">
        <w:rPr>
          <w:color w:val="000000" w:themeColor="text1"/>
        </w:rPr>
        <w:t>Risk Disclosure</w:t>
      </w:r>
      <w:bookmarkEnd w:id="23"/>
    </w:p>
    <w:p w:rsidR="00F31FA2" w:rsidRPr="00476FC9" w:rsidRDefault="00DD1CC0"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t>Advertising exposure has an impact on consumers’ recall and recognition (Okechuku, 1992</w:t>
      </w:r>
      <w:r w:rsidR="00F31FA2" w:rsidRPr="00476FC9">
        <w:rPr>
          <w:color w:val="000000" w:themeColor="text1"/>
        </w:rPr>
        <w:t>; Pechmann &amp; Stewart, 1990; Rosbergen, Pieters, &amp; Wedel, 1997; Shapiro &amp; Krishnan</w:t>
      </w:r>
      <w:r w:rsidR="00642425" w:rsidRPr="00476FC9">
        <w:rPr>
          <w:rFonts w:eastAsiaTheme="minorEastAsia" w:hint="eastAsia"/>
          <w:color w:val="000000" w:themeColor="text1"/>
        </w:rPr>
        <w:t>, 2001</w:t>
      </w:r>
      <w:r w:rsidRPr="00476FC9">
        <w:rPr>
          <w:color w:val="000000" w:themeColor="text1"/>
        </w:rPr>
        <w:t xml:space="preserve">). </w:t>
      </w:r>
      <w:r w:rsidR="00487B77" w:rsidRPr="00476FC9">
        <w:rPr>
          <w:color w:val="000000" w:themeColor="text1"/>
        </w:rPr>
        <w:t xml:space="preserve">Although </w:t>
      </w:r>
      <w:r w:rsidR="007C1B7B" w:rsidRPr="00476FC9">
        <w:rPr>
          <w:color w:val="000000" w:themeColor="text1"/>
        </w:rPr>
        <w:t xml:space="preserve">these two </w:t>
      </w:r>
      <w:r w:rsidR="00487B77" w:rsidRPr="00476FC9">
        <w:rPr>
          <w:color w:val="000000" w:themeColor="text1"/>
        </w:rPr>
        <w:t xml:space="preserve">cognitive measures </w:t>
      </w:r>
      <w:r w:rsidR="007C1B7B" w:rsidRPr="00476FC9">
        <w:rPr>
          <w:color w:val="000000" w:themeColor="text1"/>
        </w:rPr>
        <w:t xml:space="preserve">have been </w:t>
      </w:r>
      <w:r w:rsidR="00487B77" w:rsidRPr="00476FC9">
        <w:rPr>
          <w:color w:val="000000" w:themeColor="text1"/>
        </w:rPr>
        <w:t xml:space="preserve">widely employed in the advertising literature, the measures of recall </w:t>
      </w:r>
      <w:r w:rsidR="002F0A9F" w:rsidRPr="00476FC9">
        <w:rPr>
          <w:color w:val="000000" w:themeColor="text1"/>
        </w:rPr>
        <w:t>are</w:t>
      </w:r>
      <w:r w:rsidR="00487B77" w:rsidRPr="00476FC9">
        <w:rPr>
          <w:color w:val="000000" w:themeColor="text1"/>
        </w:rPr>
        <w:t xml:space="preserve"> often criticized because </w:t>
      </w:r>
      <w:r w:rsidR="00A81EA6" w:rsidRPr="00476FC9">
        <w:rPr>
          <w:color w:val="000000" w:themeColor="text1"/>
        </w:rPr>
        <w:t xml:space="preserve">they </w:t>
      </w:r>
      <w:r w:rsidR="002F0A9F" w:rsidRPr="00476FC9">
        <w:rPr>
          <w:color w:val="000000" w:themeColor="text1"/>
        </w:rPr>
        <w:t>may</w:t>
      </w:r>
      <w:r w:rsidR="00487B77" w:rsidRPr="00476FC9">
        <w:rPr>
          <w:color w:val="000000" w:themeColor="text1"/>
        </w:rPr>
        <w:t xml:space="preserve"> underestimate advertising effectiveness under low levels of cognitive elaboration conditions (Petty et al., 1983). </w:t>
      </w:r>
      <w:r w:rsidR="0087203E" w:rsidRPr="00476FC9">
        <w:rPr>
          <w:color w:val="000000" w:themeColor="text1"/>
        </w:rPr>
        <w:t xml:space="preserve">In general, </w:t>
      </w:r>
      <w:r w:rsidR="00B85641" w:rsidRPr="00476FC9">
        <w:rPr>
          <w:color w:val="000000" w:themeColor="text1"/>
        </w:rPr>
        <w:t xml:space="preserve">a </w:t>
      </w:r>
      <w:r w:rsidR="0087203E" w:rsidRPr="00476FC9">
        <w:rPr>
          <w:color w:val="000000" w:themeColor="text1"/>
        </w:rPr>
        <w:t xml:space="preserve">recall test involves a situation where a subject must independently retrieve previously acquired information (e.g., </w:t>
      </w:r>
      <w:r w:rsidR="007C1B7B" w:rsidRPr="00476FC9">
        <w:rPr>
          <w:color w:val="000000" w:themeColor="text1"/>
        </w:rPr>
        <w:t xml:space="preserve">subjects are asked to </w:t>
      </w:r>
      <w:r w:rsidR="0087203E" w:rsidRPr="00476FC9">
        <w:rPr>
          <w:color w:val="000000" w:themeColor="text1"/>
        </w:rPr>
        <w:t xml:space="preserve">list all product attributes learned </w:t>
      </w:r>
      <w:r w:rsidR="007C1B7B" w:rsidRPr="00476FC9">
        <w:rPr>
          <w:color w:val="000000" w:themeColor="text1"/>
        </w:rPr>
        <w:t xml:space="preserve">from </w:t>
      </w:r>
      <w:r w:rsidR="0087203E" w:rsidRPr="00476FC9">
        <w:rPr>
          <w:color w:val="000000" w:themeColor="text1"/>
        </w:rPr>
        <w:t xml:space="preserve">an ad). </w:t>
      </w:r>
      <w:r w:rsidR="007C1B7B" w:rsidRPr="00476FC9">
        <w:rPr>
          <w:color w:val="000000" w:themeColor="text1"/>
        </w:rPr>
        <w:t>On the other hand, i</w:t>
      </w:r>
      <w:r w:rsidR="0087203E" w:rsidRPr="00476FC9">
        <w:rPr>
          <w:color w:val="000000" w:themeColor="text1"/>
        </w:rPr>
        <w:t>n a recognition test, subject</w:t>
      </w:r>
      <w:r w:rsidR="007C1B7B" w:rsidRPr="00476FC9">
        <w:rPr>
          <w:color w:val="000000" w:themeColor="text1"/>
        </w:rPr>
        <w:t>s</w:t>
      </w:r>
      <w:r w:rsidR="0087203E" w:rsidRPr="00476FC9">
        <w:rPr>
          <w:color w:val="000000" w:themeColor="text1"/>
        </w:rPr>
        <w:t xml:space="preserve"> </w:t>
      </w:r>
      <w:r w:rsidR="007C1B7B" w:rsidRPr="00476FC9">
        <w:rPr>
          <w:color w:val="000000" w:themeColor="text1"/>
        </w:rPr>
        <w:t xml:space="preserve">are </w:t>
      </w:r>
      <w:r w:rsidR="0087203E" w:rsidRPr="00476FC9">
        <w:rPr>
          <w:color w:val="000000" w:themeColor="text1"/>
        </w:rPr>
        <w:t>given a list of choices and must indicate which one was previously presented</w:t>
      </w:r>
      <w:r w:rsidR="007C1B7B" w:rsidRPr="00476FC9">
        <w:rPr>
          <w:color w:val="000000" w:themeColor="text1"/>
        </w:rPr>
        <w:t xml:space="preserve"> in the ad</w:t>
      </w:r>
      <w:r w:rsidR="0087203E" w:rsidRPr="00476FC9">
        <w:rPr>
          <w:color w:val="000000" w:themeColor="text1"/>
        </w:rPr>
        <w:t xml:space="preserve">. </w:t>
      </w:r>
      <w:r w:rsidR="00F31FA2" w:rsidRPr="00476FC9">
        <w:rPr>
          <w:color w:val="000000" w:themeColor="text1"/>
        </w:rPr>
        <w:t xml:space="preserve">However, </w:t>
      </w:r>
      <w:r w:rsidR="00C63F01" w:rsidRPr="00476FC9">
        <w:rPr>
          <w:color w:val="000000" w:themeColor="text1"/>
        </w:rPr>
        <w:t>Due to th</w:t>
      </w:r>
      <w:r w:rsidR="00F31FA2" w:rsidRPr="00476FC9">
        <w:rPr>
          <w:color w:val="000000" w:themeColor="text1"/>
        </w:rPr>
        <w:t xml:space="preserve">e </w:t>
      </w:r>
      <w:r w:rsidR="00C63F01" w:rsidRPr="00476FC9">
        <w:rPr>
          <w:color w:val="000000" w:themeColor="text1"/>
        </w:rPr>
        <w:t>differen</w:t>
      </w:r>
      <w:r w:rsidR="00F31FA2" w:rsidRPr="00476FC9">
        <w:rPr>
          <w:color w:val="000000" w:themeColor="text1"/>
        </w:rPr>
        <w:t xml:space="preserve">t cognitive task difficulties between the two </w:t>
      </w:r>
      <w:r w:rsidR="00C63F01" w:rsidRPr="00476FC9">
        <w:rPr>
          <w:color w:val="000000" w:themeColor="text1"/>
        </w:rPr>
        <w:t xml:space="preserve">methodological approaches, </w:t>
      </w:r>
      <w:r w:rsidR="002B5DD4" w:rsidRPr="00476FC9">
        <w:rPr>
          <w:color w:val="000000" w:themeColor="text1"/>
        </w:rPr>
        <w:t xml:space="preserve">in general </w:t>
      </w:r>
      <w:r w:rsidR="00C63F01" w:rsidRPr="00476FC9">
        <w:rPr>
          <w:color w:val="000000" w:themeColor="text1"/>
        </w:rPr>
        <w:t xml:space="preserve">recall score is </w:t>
      </w:r>
      <w:r w:rsidR="00F31FA2" w:rsidRPr="00476FC9">
        <w:rPr>
          <w:color w:val="000000" w:themeColor="text1"/>
        </w:rPr>
        <w:t xml:space="preserve">reported as </w:t>
      </w:r>
      <w:r w:rsidR="00C63F01" w:rsidRPr="00476FC9">
        <w:rPr>
          <w:color w:val="000000" w:themeColor="text1"/>
        </w:rPr>
        <w:t>lower than recognition score (Lynch &amp; Srull, 1982), implying that statistical variations in recall tests might be minimal.</w:t>
      </w:r>
      <w:r w:rsidR="009D32F1" w:rsidRPr="00476FC9">
        <w:rPr>
          <w:color w:val="000000" w:themeColor="text1"/>
        </w:rPr>
        <w:t xml:space="preserve"> Nevertheless, the use of recall measure for advertising effectiveness can represent the levels of cognitive elaboration devoted to process</w:t>
      </w:r>
      <w:r w:rsidR="002B5DD4" w:rsidRPr="00476FC9">
        <w:rPr>
          <w:color w:val="000000" w:themeColor="text1"/>
        </w:rPr>
        <w:t>ing</w:t>
      </w:r>
      <w:r w:rsidR="009D32F1" w:rsidRPr="00476FC9">
        <w:rPr>
          <w:color w:val="000000" w:themeColor="text1"/>
        </w:rPr>
        <w:t xml:space="preserve"> information, indicating active cognitive processing (Lord &amp; Burnkrant, 1993). </w:t>
      </w:r>
    </w:p>
    <w:p w:rsidR="00DD1CC0" w:rsidRPr="00476FC9" w:rsidRDefault="009D32F1"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Given the advantages and disadvantages of the two memory measures, c</w:t>
      </w:r>
      <w:r w:rsidR="0087203E" w:rsidRPr="00476FC9">
        <w:rPr>
          <w:color w:val="000000" w:themeColor="text1"/>
        </w:rPr>
        <w:t>ognitive psychology suggests that one of the most simple and parsimonious approach to measure information retrievability takes a two-stage process</w:t>
      </w:r>
      <w:r w:rsidR="007C1B7B" w:rsidRPr="00476FC9">
        <w:rPr>
          <w:color w:val="000000" w:themeColor="text1"/>
        </w:rPr>
        <w:t>,</w:t>
      </w:r>
      <w:r w:rsidR="0087203E" w:rsidRPr="00476FC9">
        <w:rPr>
          <w:color w:val="000000" w:themeColor="text1"/>
        </w:rPr>
        <w:t xml:space="preserve"> where subject</w:t>
      </w:r>
      <w:r w:rsidR="007C1B7B" w:rsidRPr="00476FC9">
        <w:rPr>
          <w:color w:val="000000" w:themeColor="text1"/>
        </w:rPr>
        <w:t>s</w:t>
      </w:r>
      <w:r w:rsidR="0087203E" w:rsidRPr="00476FC9">
        <w:rPr>
          <w:color w:val="000000" w:themeColor="text1"/>
        </w:rPr>
        <w:t xml:space="preserve"> must independently retrieve information </w:t>
      </w:r>
      <w:r w:rsidRPr="00476FC9">
        <w:rPr>
          <w:color w:val="000000" w:themeColor="text1"/>
        </w:rPr>
        <w:t xml:space="preserve">(i.e., unaided recall) </w:t>
      </w:r>
      <w:r w:rsidR="0087203E" w:rsidRPr="00476FC9">
        <w:rPr>
          <w:color w:val="000000" w:themeColor="text1"/>
        </w:rPr>
        <w:t>and then perform some recognition check on whether the item was presented in a particular context</w:t>
      </w:r>
      <w:r w:rsidRPr="00476FC9">
        <w:rPr>
          <w:color w:val="000000" w:themeColor="text1"/>
        </w:rPr>
        <w:t xml:space="preserve"> (i.e., aided recognition)</w:t>
      </w:r>
      <w:r w:rsidR="003D44D4" w:rsidRPr="00476FC9">
        <w:rPr>
          <w:color w:val="000000" w:themeColor="text1"/>
        </w:rPr>
        <w:t xml:space="preserve">, referred to as the </w:t>
      </w:r>
      <w:r w:rsidR="003D44D4" w:rsidRPr="00476FC9">
        <w:rPr>
          <w:i/>
          <w:color w:val="000000" w:themeColor="text1"/>
        </w:rPr>
        <w:t>generation-</w:t>
      </w:r>
      <w:r w:rsidR="003D44D4" w:rsidRPr="00476FC9">
        <w:rPr>
          <w:i/>
          <w:color w:val="000000" w:themeColor="text1"/>
        </w:rPr>
        <w:lastRenderedPageBreak/>
        <w:t>recognition theory</w:t>
      </w:r>
      <w:r w:rsidR="0087203E" w:rsidRPr="00476FC9">
        <w:rPr>
          <w:color w:val="000000" w:themeColor="text1"/>
        </w:rPr>
        <w:t xml:space="preserve"> (Lynch &amp; Srull, 1982).</w:t>
      </w:r>
      <w:r w:rsidRPr="00476FC9">
        <w:rPr>
          <w:color w:val="000000" w:themeColor="text1"/>
        </w:rPr>
        <w:t xml:space="preserve"> R</w:t>
      </w:r>
      <w:r w:rsidR="00487B77" w:rsidRPr="00476FC9">
        <w:rPr>
          <w:color w:val="000000" w:themeColor="text1"/>
        </w:rPr>
        <w:t>esearch</w:t>
      </w:r>
      <w:r w:rsidR="0042537E" w:rsidRPr="00476FC9">
        <w:rPr>
          <w:color w:val="000000" w:themeColor="text1"/>
        </w:rPr>
        <w:t>ers are advised to</w:t>
      </w:r>
      <w:r w:rsidR="00487B77" w:rsidRPr="00476FC9">
        <w:rPr>
          <w:color w:val="000000" w:themeColor="text1"/>
        </w:rPr>
        <w:t xml:space="preserve"> employ recognition measures to complement the </w:t>
      </w:r>
      <w:r w:rsidRPr="00476FC9">
        <w:rPr>
          <w:color w:val="000000" w:themeColor="text1"/>
        </w:rPr>
        <w:t xml:space="preserve">limitations of </w:t>
      </w:r>
      <w:r w:rsidR="00487B77" w:rsidRPr="00476FC9">
        <w:rPr>
          <w:color w:val="000000" w:themeColor="text1"/>
        </w:rPr>
        <w:t>the recall measure in advertising mes</w:t>
      </w:r>
      <w:r w:rsidR="007C1B7B" w:rsidRPr="00476FC9">
        <w:rPr>
          <w:color w:val="000000" w:themeColor="text1"/>
        </w:rPr>
        <w:t>sage research (Okechuku, 1992).</w:t>
      </w:r>
      <w:r w:rsidR="00B81A43" w:rsidRPr="00476FC9">
        <w:rPr>
          <w:color w:val="000000" w:themeColor="text1"/>
        </w:rPr>
        <w:t xml:space="preserve"> </w:t>
      </w:r>
      <w:r w:rsidRPr="00476FC9">
        <w:rPr>
          <w:color w:val="000000" w:themeColor="text1"/>
        </w:rPr>
        <w:t>In this regard, t</w:t>
      </w:r>
      <w:r w:rsidR="00B81A43" w:rsidRPr="00476FC9">
        <w:rPr>
          <w:color w:val="000000" w:themeColor="text1"/>
        </w:rPr>
        <w:t xml:space="preserve">he current research </w:t>
      </w:r>
      <w:r w:rsidRPr="00476FC9">
        <w:rPr>
          <w:color w:val="000000" w:themeColor="text1"/>
        </w:rPr>
        <w:t>adopt</w:t>
      </w:r>
      <w:r w:rsidR="002B5DD4" w:rsidRPr="00476FC9">
        <w:rPr>
          <w:color w:val="000000" w:themeColor="text1"/>
        </w:rPr>
        <w:t>s</w:t>
      </w:r>
      <w:r w:rsidR="00B81A43" w:rsidRPr="00476FC9">
        <w:rPr>
          <w:color w:val="000000" w:themeColor="text1"/>
        </w:rPr>
        <w:t xml:space="preserve"> the generation-recognition approach to </w:t>
      </w:r>
      <w:r w:rsidRPr="00476FC9">
        <w:rPr>
          <w:color w:val="000000" w:themeColor="text1"/>
        </w:rPr>
        <w:t>assess</w:t>
      </w:r>
      <w:r w:rsidR="00B81A43" w:rsidRPr="00476FC9">
        <w:rPr>
          <w:color w:val="000000" w:themeColor="text1"/>
        </w:rPr>
        <w:t xml:space="preserve"> consumer risk information retrievability.</w:t>
      </w:r>
    </w:p>
    <w:p w:rsidR="00487B77" w:rsidRPr="00476FC9" w:rsidRDefault="0087203E"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3D44D4" w:rsidRPr="00476FC9">
        <w:rPr>
          <w:color w:val="000000" w:themeColor="text1"/>
        </w:rPr>
        <w:t xml:space="preserve">There are robust findings that information organization is important for </w:t>
      </w:r>
      <w:r w:rsidR="002C0D16" w:rsidRPr="00476FC9">
        <w:rPr>
          <w:color w:val="000000" w:themeColor="text1"/>
        </w:rPr>
        <w:t>memory</w:t>
      </w:r>
      <w:r w:rsidR="003D44D4" w:rsidRPr="00476FC9">
        <w:rPr>
          <w:color w:val="000000" w:themeColor="text1"/>
        </w:rPr>
        <w:t xml:space="preserve"> </w:t>
      </w:r>
      <w:r w:rsidR="00837641" w:rsidRPr="00476FC9">
        <w:rPr>
          <w:color w:val="000000" w:themeColor="text1"/>
        </w:rPr>
        <w:t xml:space="preserve">performance </w:t>
      </w:r>
      <w:r w:rsidR="003D44D4" w:rsidRPr="00476FC9">
        <w:rPr>
          <w:color w:val="000000" w:themeColor="text1"/>
        </w:rPr>
        <w:t xml:space="preserve">(Lynch &amp; Srull, 1982). </w:t>
      </w:r>
      <w:r w:rsidR="002C0D16" w:rsidRPr="00476FC9">
        <w:rPr>
          <w:color w:val="000000" w:themeColor="text1"/>
        </w:rPr>
        <w:t>Some</w:t>
      </w:r>
      <w:r w:rsidR="003D44D4" w:rsidRPr="00476FC9">
        <w:rPr>
          <w:color w:val="000000" w:themeColor="text1"/>
        </w:rPr>
        <w:t xml:space="preserve"> organizational </w:t>
      </w:r>
      <w:r w:rsidR="00872A65" w:rsidRPr="00476FC9">
        <w:rPr>
          <w:color w:val="000000" w:themeColor="text1"/>
        </w:rPr>
        <w:t>formats</w:t>
      </w:r>
      <w:r w:rsidR="003D44D4" w:rsidRPr="00476FC9">
        <w:rPr>
          <w:color w:val="000000" w:themeColor="text1"/>
        </w:rPr>
        <w:t xml:space="preserve"> may facilitate the retrieval </w:t>
      </w:r>
      <w:r w:rsidR="007C1B7B" w:rsidRPr="00476FC9">
        <w:rPr>
          <w:color w:val="000000" w:themeColor="text1"/>
        </w:rPr>
        <w:t xml:space="preserve">fluency and, </w:t>
      </w:r>
      <w:r w:rsidR="00F9183C" w:rsidRPr="00476FC9">
        <w:rPr>
          <w:color w:val="000000" w:themeColor="text1"/>
        </w:rPr>
        <w:t>therefore</w:t>
      </w:r>
      <w:r w:rsidR="007C1B7B" w:rsidRPr="00476FC9">
        <w:rPr>
          <w:color w:val="000000" w:themeColor="text1"/>
        </w:rPr>
        <w:t xml:space="preserve">, </w:t>
      </w:r>
      <w:r w:rsidR="003D44D4" w:rsidRPr="00476FC9">
        <w:rPr>
          <w:color w:val="000000" w:themeColor="text1"/>
        </w:rPr>
        <w:t>information presentation format</w:t>
      </w:r>
      <w:r w:rsidR="007C1B7B" w:rsidRPr="00476FC9">
        <w:rPr>
          <w:color w:val="000000" w:themeColor="text1"/>
        </w:rPr>
        <w:t xml:space="preserve">s </w:t>
      </w:r>
      <w:r w:rsidR="003D44D4" w:rsidRPr="00476FC9">
        <w:rPr>
          <w:color w:val="000000" w:themeColor="text1"/>
        </w:rPr>
        <w:t>are important</w:t>
      </w:r>
      <w:r w:rsidR="007C1B7B" w:rsidRPr="00476FC9">
        <w:rPr>
          <w:color w:val="000000" w:themeColor="text1"/>
        </w:rPr>
        <w:t xml:space="preserve"> </w:t>
      </w:r>
      <w:r w:rsidR="00872A65" w:rsidRPr="00476FC9">
        <w:rPr>
          <w:color w:val="000000" w:themeColor="text1"/>
        </w:rPr>
        <w:t>for</w:t>
      </w:r>
      <w:r w:rsidR="007C1B7B" w:rsidRPr="00476FC9">
        <w:rPr>
          <w:color w:val="000000" w:themeColor="text1"/>
        </w:rPr>
        <w:t xml:space="preserve"> </w:t>
      </w:r>
      <w:r w:rsidR="003D44D4" w:rsidRPr="00476FC9">
        <w:rPr>
          <w:color w:val="000000" w:themeColor="text1"/>
        </w:rPr>
        <w:t>memory-based j</w:t>
      </w:r>
      <w:r w:rsidR="00872A65" w:rsidRPr="00476FC9">
        <w:rPr>
          <w:color w:val="000000" w:themeColor="text1"/>
        </w:rPr>
        <w:t>udgments (Lynch &amp; Srull, 1982).</w:t>
      </w:r>
      <w:r w:rsidR="006F0197" w:rsidRPr="00476FC9">
        <w:rPr>
          <w:color w:val="000000" w:themeColor="text1"/>
        </w:rPr>
        <w:t xml:space="preserve"> </w:t>
      </w:r>
      <w:r w:rsidR="002C0D16" w:rsidRPr="00476FC9">
        <w:rPr>
          <w:color w:val="000000" w:themeColor="text1"/>
        </w:rPr>
        <w:t>G</w:t>
      </w:r>
      <w:r w:rsidR="00487B77" w:rsidRPr="00476FC9">
        <w:rPr>
          <w:color w:val="000000" w:themeColor="text1"/>
        </w:rPr>
        <w:t>reater attention to information is more likely to lead to greater focus on product’s facts and objective attributes (Alba &amp; Hutchinson, 1987; Lynch &amp; Srull, 1982; Okechuku, 1992; Park &amp; Lessig, 1981)</w:t>
      </w:r>
      <w:r w:rsidR="00F9183C" w:rsidRPr="00476FC9">
        <w:rPr>
          <w:color w:val="000000" w:themeColor="text1"/>
        </w:rPr>
        <w:t xml:space="preserve"> and s</w:t>
      </w:r>
      <w:r w:rsidR="002C0D16" w:rsidRPr="00476FC9">
        <w:rPr>
          <w:color w:val="000000" w:themeColor="text1"/>
        </w:rPr>
        <w:t>uch i</w:t>
      </w:r>
      <w:r w:rsidR="00373056" w:rsidRPr="00476FC9">
        <w:rPr>
          <w:color w:val="000000" w:themeColor="text1"/>
        </w:rPr>
        <w:t xml:space="preserve">ncreased focus on information may lead consumers to memorize </w:t>
      </w:r>
      <w:r w:rsidR="002C0D16" w:rsidRPr="00476FC9">
        <w:rPr>
          <w:color w:val="000000" w:themeColor="text1"/>
        </w:rPr>
        <w:t xml:space="preserve">more </w:t>
      </w:r>
      <w:r w:rsidR="00373056" w:rsidRPr="00476FC9">
        <w:rPr>
          <w:color w:val="000000" w:themeColor="text1"/>
        </w:rPr>
        <w:t xml:space="preserve">details </w:t>
      </w:r>
      <w:r w:rsidR="00F346A4" w:rsidRPr="00476FC9">
        <w:rPr>
          <w:color w:val="000000" w:themeColor="text1"/>
        </w:rPr>
        <w:t>of the information.</w:t>
      </w:r>
    </w:p>
    <w:p w:rsidR="005C1282" w:rsidRPr="00476FC9" w:rsidRDefault="005C1282"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F9183C" w:rsidRPr="00476FC9">
        <w:rPr>
          <w:color w:val="000000" w:themeColor="text1"/>
        </w:rPr>
        <w:t>Therefore, w</w:t>
      </w:r>
      <w:r w:rsidR="0077795C" w:rsidRPr="00476FC9">
        <w:rPr>
          <w:color w:val="000000" w:themeColor="text1"/>
        </w:rPr>
        <w:t xml:space="preserve">hen </w:t>
      </w:r>
      <w:r w:rsidR="00F346A4" w:rsidRPr="00476FC9">
        <w:rPr>
          <w:color w:val="000000" w:themeColor="text1"/>
        </w:rPr>
        <w:t>the consumer takes a memory test</w:t>
      </w:r>
      <w:r w:rsidR="0077795C" w:rsidRPr="00476FC9">
        <w:rPr>
          <w:color w:val="000000" w:themeColor="text1"/>
        </w:rPr>
        <w:t xml:space="preserve">, more prominent </w:t>
      </w:r>
      <w:r w:rsidR="00F346A4" w:rsidRPr="00476FC9">
        <w:rPr>
          <w:color w:val="000000" w:themeColor="text1"/>
        </w:rPr>
        <w:t xml:space="preserve">risk disclosure will lead to </w:t>
      </w:r>
      <w:r w:rsidR="00F9183C" w:rsidRPr="00476FC9">
        <w:rPr>
          <w:color w:val="000000" w:themeColor="text1"/>
        </w:rPr>
        <w:t>higher</w:t>
      </w:r>
      <w:r w:rsidR="00F346A4" w:rsidRPr="00476FC9">
        <w:rPr>
          <w:color w:val="000000" w:themeColor="text1"/>
        </w:rPr>
        <w:t xml:space="preserve"> recall and recognition scores </w:t>
      </w:r>
      <w:r w:rsidR="0077795C" w:rsidRPr="00476FC9">
        <w:rPr>
          <w:color w:val="000000" w:themeColor="text1"/>
        </w:rPr>
        <w:t>(Lynch &amp; Srull, 1982).</w:t>
      </w:r>
      <w:r w:rsidR="00F346A4" w:rsidRPr="00476FC9">
        <w:rPr>
          <w:color w:val="000000" w:themeColor="text1"/>
        </w:rPr>
        <w:t xml:space="preserve"> </w:t>
      </w:r>
      <w:r w:rsidRPr="00476FC9">
        <w:rPr>
          <w:color w:val="000000" w:themeColor="text1"/>
        </w:rPr>
        <w:t xml:space="preserve">In the context of DTCA, </w:t>
      </w:r>
      <w:r w:rsidR="00F9183C" w:rsidRPr="00476FC9">
        <w:rPr>
          <w:color w:val="000000" w:themeColor="text1"/>
        </w:rPr>
        <w:t>examining</w:t>
      </w:r>
      <w:r w:rsidRPr="00476FC9">
        <w:rPr>
          <w:color w:val="000000" w:themeColor="text1"/>
        </w:rPr>
        <w:t xml:space="preserve"> recall and recognition of the drug</w:t>
      </w:r>
      <w:r w:rsidR="00F9183C" w:rsidRPr="00476FC9">
        <w:rPr>
          <w:color w:val="000000" w:themeColor="text1"/>
        </w:rPr>
        <w:t>’s health risks</w:t>
      </w:r>
      <w:r w:rsidR="00F346A4" w:rsidRPr="00476FC9">
        <w:rPr>
          <w:color w:val="000000" w:themeColor="text1"/>
        </w:rPr>
        <w:t xml:space="preserve"> </w:t>
      </w:r>
      <w:r w:rsidR="00F9183C" w:rsidRPr="00476FC9">
        <w:rPr>
          <w:color w:val="000000" w:themeColor="text1"/>
        </w:rPr>
        <w:t xml:space="preserve">may provide important educational implications </w:t>
      </w:r>
      <w:r w:rsidRPr="00476FC9">
        <w:rPr>
          <w:color w:val="000000" w:themeColor="text1"/>
        </w:rPr>
        <w:t>(</w:t>
      </w:r>
      <w:r w:rsidR="00872A65" w:rsidRPr="00476FC9">
        <w:rPr>
          <w:color w:val="000000" w:themeColor="text1"/>
        </w:rPr>
        <w:t xml:space="preserve">e.g., </w:t>
      </w:r>
      <w:r w:rsidRPr="00476FC9">
        <w:rPr>
          <w:color w:val="000000" w:themeColor="text1"/>
        </w:rPr>
        <w:t xml:space="preserve">Davis, 2010). </w:t>
      </w:r>
      <w:r w:rsidR="00F346A4" w:rsidRPr="00476FC9">
        <w:rPr>
          <w:color w:val="000000" w:themeColor="text1"/>
        </w:rPr>
        <w:t>B</w:t>
      </w:r>
      <w:r w:rsidR="00872A65" w:rsidRPr="00476FC9">
        <w:rPr>
          <w:color w:val="000000" w:themeColor="text1"/>
        </w:rPr>
        <w:t>ased on the literature, the following research hypotheses can be raised:</w:t>
      </w:r>
    </w:p>
    <w:p w:rsidR="00872A65" w:rsidRPr="00476FC9" w:rsidRDefault="00872A65" w:rsidP="007D2ACE">
      <w:pPr>
        <w:keepNext w:val="0"/>
        <w:widowControl w:val="0"/>
        <w:kinsoku w:val="0"/>
        <w:overflowPunct w:val="0"/>
        <w:autoSpaceDE w:val="0"/>
        <w:autoSpaceDN w:val="0"/>
        <w:adjustRightInd w:val="0"/>
        <w:snapToGrid w:val="0"/>
        <w:spacing w:before="0" w:after="0" w:line="240" w:lineRule="auto"/>
        <w:ind w:left="1170" w:hanging="450"/>
        <w:rPr>
          <w:b/>
          <w:color w:val="000000" w:themeColor="text1"/>
        </w:rPr>
      </w:pPr>
      <w:r w:rsidRPr="00476FC9">
        <w:rPr>
          <w:b/>
          <w:color w:val="000000" w:themeColor="text1"/>
        </w:rPr>
        <w:t xml:space="preserve">H2: Higher risk disclosure prominence will lead to greater recall of </w:t>
      </w:r>
      <w:r w:rsidR="006F7D43" w:rsidRPr="00476FC9">
        <w:rPr>
          <w:b/>
          <w:color w:val="000000" w:themeColor="text1"/>
        </w:rPr>
        <w:t xml:space="preserve">health </w:t>
      </w:r>
      <w:r w:rsidRPr="00476FC9">
        <w:rPr>
          <w:b/>
          <w:color w:val="000000" w:themeColor="text1"/>
        </w:rPr>
        <w:t>risk information.</w:t>
      </w:r>
    </w:p>
    <w:p w:rsidR="000F23AF" w:rsidRPr="00476FC9" w:rsidRDefault="000F23AF" w:rsidP="007D2ACE">
      <w:pPr>
        <w:keepNext w:val="0"/>
        <w:widowControl w:val="0"/>
        <w:kinsoku w:val="0"/>
        <w:overflowPunct w:val="0"/>
        <w:autoSpaceDE w:val="0"/>
        <w:autoSpaceDN w:val="0"/>
        <w:adjustRightInd w:val="0"/>
        <w:snapToGrid w:val="0"/>
        <w:spacing w:before="0" w:after="0" w:line="240" w:lineRule="auto"/>
        <w:ind w:left="1170" w:hanging="450"/>
        <w:rPr>
          <w:b/>
          <w:color w:val="000000" w:themeColor="text1"/>
        </w:rPr>
      </w:pPr>
    </w:p>
    <w:p w:rsidR="00872A65" w:rsidRPr="00476FC9" w:rsidRDefault="00872A65" w:rsidP="007D2ACE">
      <w:pPr>
        <w:keepNext w:val="0"/>
        <w:widowControl w:val="0"/>
        <w:kinsoku w:val="0"/>
        <w:overflowPunct w:val="0"/>
        <w:autoSpaceDE w:val="0"/>
        <w:autoSpaceDN w:val="0"/>
        <w:adjustRightInd w:val="0"/>
        <w:snapToGrid w:val="0"/>
        <w:spacing w:before="0" w:after="0" w:line="240" w:lineRule="auto"/>
        <w:ind w:left="1170" w:hanging="450"/>
        <w:rPr>
          <w:b/>
          <w:color w:val="000000" w:themeColor="text1"/>
        </w:rPr>
      </w:pPr>
      <w:r w:rsidRPr="00476FC9">
        <w:rPr>
          <w:b/>
          <w:color w:val="000000" w:themeColor="text1"/>
        </w:rPr>
        <w:t xml:space="preserve">H3: Higher risk disclosure prominence will lead to greater recognition of </w:t>
      </w:r>
      <w:r w:rsidR="006F7D43" w:rsidRPr="00476FC9">
        <w:rPr>
          <w:b/>
          <w:color w:val="000000" w:themeColor="text1"/>
        </w:rPr>
        <w:t xml:space="preserve">health </w:t>
      </w:r>
      <w:r w:rsidRPr="00476FC9">
        <w:rPr>
          <w:b/>
          <w:color w:val="000000" w:themeColor="text1"/>
        </w:rPr>
        <w:t>risk information.</w:t>
      </w:r>
    </w:p>
    <w:p w:rsidR="00DD5684" w:rsidRPr="00476FC9" w:rsidRDefault="00DD5684" w:rsidP="007D2ACE">
      <w:pPr>
        <w:pStyle w:val="Heading3"/>
        <w:widowControl w:val="0"/>
        <w:kinsoku w:val="0"/>
        <w:overflowPunct w:val="0"/>
        <w:autoSpaceDE w:val="0"/>
        <w:autoSpaceDN w:val="0"/>
        <w:snapToGrid w:val="0"/>
        <w:contextualSpacing w:val="0"/>
        <w:rPr>
          <w:color w:val="000000" w:themeColor="text1"/>
        </w:rPr>
      </w:pPr>
    </w:p>
    <w:p w:rsidR="007D2ACE" w:rsidRDefault="007D2ACE" w:rsidP="007D2ACE">
      <w:pPr>
        <w:pStyle w:val="Heading3"/>
        <w:widowControl w:val="0"/>
        <w:kinsoku w:val="0"/>
        <w:overflowPunct w:val="0"/>
        <w:autoSpaceDE w:val="0"/>
        <w:autoSpaceDN w:val="0"/>
        <w:snapToGrid w:val="0"/>
        <w:contextualSpacing w:val="0"/>
        <w:rPr>
          <w:color w:val="000000" w:themeColor="text1"/>
        </w:rPr>
      </w:pPr>
    </w:p>
    <w:p w:rsidR="007D2ACE" w:rsidRDefault="007D2ACE" w:rsidP="007D2ACE">
      <w:pPr>
        <w:pStyle w:val="Heading3"/>
        <w:widowControl w:val="0"/>
        <w:kinsoku w:val="0"/>
        <w:overflowPunct w:val="0"/>
        <w:autoSpaceDE w:val="0"/>
        <w:autoSpaceDN w:val="0"/>
        <w:snapToGrid w:val="0"/>
        <w:contextualSpacing w:val="0"/>
        <w:rPr>
          <w:color w:val="000000" w:themeColor="text1"/>
        </w:rPr>
      </w:pPr>
    </w:p>
    <w:p w:rsidR="000A3604" w:rsidRPr="00476FC9" w:rsidRDefault="000754AE" w:rsidP="007D2ACE">
      <w:pPr>
        <w:pStyle w:val="Heading3"/>
        <w:widowControl w:val="0"/>
        <w:kinsoku w:val="0"/>
        <w:overflowPunct w:val="0"/>
        <w:autoSpaceDE w:val="0"/>
        <w:autoSpaceDN w:val="0"/>
        <w:snapToGrid w:val="0"/>
        <w:contextualSpacing w:val="0"/>
        <w:rPr>
          <w:color w:val="000000" w:themeColor="text1"/>
        </w:rPr>
      </w:pPr>
      <w:bookmarkStart w:id="24" w:name="_Toc393800671"/>
      <w:r w:rsidRPr="00476FC9">
        <w:rPr>
          <w:color w:val="000000" w:themeColor="text1"/>
        </w:rPr>
        <w:lastRenderedPageBreak/>
        <w:t>DTCA</w:t>
      </w:r>
      <w:r w:rsidR="00F346A4" w:rsidRPr="00476FC9">
        <w:rPr>
          <w:color w:val="000000" w:themeColor="text1"/>
        </w:rPr>
        <w:t xml:space="preserve"> </w:t>
      </w:r>
      <w:r w:rsidR="00EB1FEC" w:rsidRPr="00476FC9">
        <w:rPr>
          <w:color w:val="000000" w:themeColor="text1"/>
        </w:rPr>
        <w:t>Regulatory</w:t>
      </w:r>
      <w:r w:rsidRPr="00476FC9">
        <w:rPr>
          <w:color w:val="000000" w:themeColor="text1"/>
        </w:rPr>
        <w:t xml:space="preserve"> </w:t>
      </w:r>
      <w:r w:rsidR="000A3604" w:rsidRPr="00476FC9">
        <w:rPr>
          <w:color w:val="000000" w:themeColor="text1"/>
        </w:rPr>
        <w:t>Knowledge</w:t>
      </w:r>
      <w:r w:rsidR="00991AC5" w:rsidRPr="00476FC9">
        <w:rPr>
          <w:color w:val="000000" w:themeColor="text1"/>
        </w:rPr>
        <w:t xml:space="preserve"> as a Consumer Factor (Main Effects)</w:t>
      </w:r>
      <w:bookmarkEnd w:id="24"/>
    </w:p>
    <w:p w:rsidR="00945DC0" w:rsidRPr="00476FC9" w:rsidRDefault="000A3604"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Another important </w:t>
      </w:r>
      <w:r w:rsidR="006F0197" w:rsidRPr="00476FC9">
        <w:rPr>
          <w:color w:val="000000" w:themeColor="text1"/>
        </w:rPr>
        <w:t xml:space="preserve">factor that </w:t>
      </w:r>
      <w:r w:rsidR="00F9183C" w:rsidRPr="00476FC9">
        <w:rPr>
          <w:color w:val="000000" w:themeColor="text1"/>
        </w:rPr>
        <w:t xml:space="preserve">may </w:t>
      </w:r>
      <w:r w:rsidR="006F0197" w:rsidRPr="00476FC9">
        <w:rPr>
          <w:color w:val="000000" w:themeColor="text1"/>
        </w:rPr>
        <w:t xml:space="preserve">affect </w:t>
      </w:r>
      <w:r w:rsidR="00945DC0" w:rsidRPr="00476FC9">
        <w:rPr>
          <w:color w:val="000000" w:themeColor="text1"/>
        </w:rPr>
        <w:t xml:space="preserve">DTCA risk disclosure </w:t>
      </w:r>
      <w:r w:rsidRPr="00476FC9">
        <w:rPr>
          <w:color w:val="000000" w:themeColor="text1"/>
        </w:rPr>
        <w:t xml:space="preserve">processing </w:t>
      </w:r>
      <w:r w:rsidR="00F9183C" w:rsidRPr="00476FC9">
        <w:rPr>
          <w:color w:val="000000" w:themeColor="text1"/>
        </w:rPr>
        <w:t xml:space="preserve">in the current research is </w:t>
      </w:r>
      <w:r w:rsidRPr="00476FC9">
        <w:rPr>
          <w:color w:val="000000" w:themeColor="text1"/>
        </w:rPr>
        <w:t xml:space="preserve">consumers' individual differences in </w:t>
      </w:r>
      <w:r w:rsidR="00EB1FEC" w:rsidRPr="00476FC9">
        <w:rPr>
          <w:color w:val="000000" w:themeColor="text1"/>
        </w:rPr>
        <w:t>DTCA regulatory knowledge</w:t>
      </w:r>
      <w:r w:rsidRPr="00476FC9">
        <w:rPr>
          <w:color w:val="000000" w:themeColor="text1"/>
        </w:rPr>
        <w:t>. Depending on individuals' unique cognitive</w:t>
      </w:r>
      <w:r w:rsidR="00527760" w:rsidRPr="00476FC9">
        <w:rPr>
          <w:color w:val="000000" w:themeColor="text1"/>
        </w:rPr>
        <w:t xml:space="preserve"> </w:t>
      </w:r>
      <w:r w:rsidRPr="00476FC9">
        <w:rPr>
          <w:color w:val="000000" w:themeColor="text1"/>
        </w:rPr>
        <w:t>schema</w:t>
      </w:r>
      <w:r w:rsidR="00461EDB" w:rsidRPr="00476FC9">
        <w:rPr>
          <w:color w:val="000000" w:themeColor="text1"/>
        </w:rPr>
        <w:t>,</w:t>
      </w:r>
      <w:r w:rsidRPr="00476FC9">
        <w:rPr>
          <w:color w:val="000000" w:themeColor="text1"/>
        </w:rPr>
        <w:t xml:space="preserve"> their coping strategies of health information in DTCA will vary.</w:t>
      </w:r>
      <w:r w:rsidR="003821F8" w:rsidRPr="00476FC9">
        <w:rPr>
          <w:color w:val="000000" w:themeColor="text1"/>
        </w:rPr>
        <w:t xml:space="preserve"> Consumer behavior models have described knowledge as an individual difference variable affecting all phases of the decision process, especially information search (Beatty &amp; Smith, 1987; </w:t>
      </w:r>
      <w:r w:rsidR="00261CA4" w:rsidRPr="00476FC9">
        <w:rPr>
          <w:color w:val="000000" w:themeColor="text1"/>
        </w:rPr>
        <w:t>Brucks, 1985;</w:t>
      </w:r>
      <w:r w:rsidR="003821F8" w:rsidRPr="00476FC9">
        <w:rPr>
          <w:color w:val="000000" w:themeColor="text1"/>
        </w:rPr>
        <w:t xml:space="preserve"> </w:t>
      </w:r>
      <w:r w:rsidR="00ED56FF" w:rsidRPr="00476FC9">
        <w:rPr>
          <w:color w:val="000000" w:themeColor="text1"/>
        </w:rPr>
        <w:t>Moorman, D</w:t>
      </w:r>
      <w:r w:rsidR="005C65E5" w:rsidRPr="00476FC9">
        <w:rPr>
          <w:color w:val="000000" w:themeColor="text1"/>
        </w:rPr>
        <w:t>iehl, Brinberg, &amp; Kidwell, 2004</w:t>
      </w:r>
      <w:r w:rsidR="003821F8" w:rsidRPr="00476FC9">
        <w:rPr>
          <w:color w:val="000000" w:themeColor="text1"/>
        </w:rPr>
        <w:t xml:space="preserve">). A number of researchers have examined the impact of knowledge on decision making (e.g., Alba &amp; Hutchinson, 2000; Ellen, 1994; House et al., 2004; Park, Mothersbaugh, &amp; Feick, 1994). </w:t>
      </w:r>
      <w:r w:rsidR="00261CA4" w:rsidRPr="00476FC9">
        <w:rPr>
          <w:color w:val="000000" w:themeColor="text1"/>
        </w:rPr>
        <w:t xml:space="preserve">In the same token, the PKM literature suggests that marketplace knowledge can affect consumer information processing </w:t>
      </w:r>
      <w:r w:rsidR="002B5DD4" w:rsidRPr="00476FC9">
        <w:rPr>
          <w:color w:val="000000" w:themeColor="text1"/>
        </w:rPr>
        <w:t>of</w:t>
      </w:r>
      <w:r w:rsidR="00261CA4" w:rsidRPr="00476FC9">
        <w:rPr>
          <w:color w:val="000000" w:themeColor="text1"/>
        </w:rPr>
        <w:t xml:space="preserve"> marketing messages (Friestad &amp; Wright, 1994). </w:t>
      </w:r>
      <w:r w:rsidR="00945DC0" w:rsidRPr="00476FC9">
        <w:rPr>
          <w:color w:val="000000" w:themeColor="text1"/>
        </w:rPr>
        <w:t xml:space="preserve">From the PKM perspective (Friestad &amp; Wright, 1994), </w:t>
      </w:r>
      <w:r w:rsidR="00EB1FEC" w:rsidRPr="00476FC9">
        <w:rPr>
          <w:color w:val="000000" w:themeColor="text1"/>
        </w:rPr>
        <w:t>DTCA regulatory knowledge</w:t>
      </w:r>
      <w:r w:rsidR="00945DC0" w:rsidRPr="00476FC9">
        <w:rPr>
          <w:color w:val="000000" w:themeColor="text1"/>
        </w:rPr>
        <w:t xml:space="preserve"> can be viewed as one type of consumer marketplace beliefs in the DTCA context. </w:t>
      </w:r>
      <w:r w:rsidR="00A445F5" w:rsidRPr="00476FC9">
        <w:rPr>
          <w:color w:val="000000" w:themeColor="text1"/>
        </w:rPr>
        <w:t>K</w:t>
      </w:r>
      <w:r w:rsidR="00945DC0" w:rsidRPr="00476FC9">
        <w:rPr>
          <w:color w:val="000000" w:themeColor="text1"/>
        </w:rPr>
        <w:t>nowledge about a particular advertising category is expected to exert considerable influence on consumers’ information coping strategies (Boush et al., 2009; Obermiller &amp; Spangenberg, 1998)</w:t>
      </w:r>
      <w:r w:rsidR="00A45EC8" w:rsidRPr="00476FC9">
        <w:rPr>
          <w:color w:val="000000" w:themeColor="text1"/>
        </w:rPr>
        <w:t xml:space="preserve"> and therefore DTCA regulatory knowledge may affect DTCA information coping strategies.</w:t>
      </w:r>
      <w:r w:rsidR="00945DC0" w:rsidRPr="00476FC9">
        <w:rPr>
          <w:color w:val="000000" w:themeColor="text1"/>
        </w:rPr>
        <w:t xml:space="preserve"> </w:t>
      </w:r>
      <w:r w:rsidRPr="00476FC9">
        <w:rPr>
          <w:color w:val="000000" w:themeColor="text1"/>
        </w:rPr>
        <w:t xml:space="preserve"> </w:t>
      </w:r>
    </w:p>
    <w:p w:rsidR="00A45EC8" w:rsidRPr="00476FC9" w:rsidRDefault="00945DC0"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As noted, i</w:t>
      </w:r>
      <w:r w:rsidR="000A3604" w:rsidRPr="00476FC9">
        <w:rPr>
          <w:color w:val="000000" w:themeColor="text1"/>
        </w:rPr>
        <w:t xml:space="preserve">n contemporary marketplace, consumers face a huge amount of persuasive messages and </w:t>
      </w:r>
      <w:r w:rsidRPr="00476FC9">
        <w:rPr>
          <w:color w:val="000000" w:themeColor="text1"/>
        </w:rPr>
        <w:t>might have been</w:t>
      </w:r>
      <w:r w:rsidR="000A3604" w:rsidRPr="00476FC9">
        <w:rPr>
          <w:color w:val="000000" w:themeColor="text1"/>
        </w:rPr>
        <w:t xml:space="preserve"> socialized to </w:t>
      </w:r>
      <w:r w:rsidR="00B247E1" w:rsidRPr="00476FC9">
        <w:rPr>
          <w:color w:val="000000" w:themeColor="text1"/>
        </w:rPr>
        <w:t>develop</w:t>
      </w:r>
      <w:r w:rsidR="000A3604" w:rsidRPr="00476FC9">
        <w:rPr>
          <w:color w:val="000000" w:themeColor="text1"/>
        </w:rPr>
        <w:t xml:space="preserve"> certain beliefs or cognitive structure regarding such influence attempts</w:t>
      </w:r>
      <w:r w:rsidRPr="00476FC9">
        <w:rPr>
          <w:color w:val="000000" w:themeColor="text1"/>
        </w:rPr>
        <w:t xml:space="preserve"> (Boush</w:t>
      </w:r>
      <w:r w:rsidR="00527760" w:rsidRPr="00476FC9">
        <w:rPr>
          <w:color w:val="000000" w:themeColor="text1"/>
        </w:rPr>
        <w:t xml:space="preserve"> et al.</w:t>
      </w:r>
      <w:r w:rsidRPr="00476FC9">
        <w:rPr>
          <w:color w:val="000000" w:themeColor="text1"/>
        </w:rPr>
        <w:t xml:space="preserve">, 2009; Darke &amp; Ritchie, 2007). In </w:t>
      </w:r>
      <w:r w:rsidR="000A3604" w:rsidRPr="00476FC9">
        <w:rPr>
          <w:color w:val="000000" w:themeColor="text1"/>
        </w:rPr>
        <w:t>order to protect their own interests</w:t>
      </w:r>
      <w:r w:rsidRPr="00476FC9">
        <w:rPr>
          <w:color w:val="000000" w:themeColor="text1"/>
        </w:rPr>
        <w:t>, consumers employ such beliefs or cognitive structure</w:t>
      </w:r>
      <w:r w:rsidR="0074267D" w:rsidRPr="00476FC9">
        <w:rPr>
          <w:color w:val="000000" w:themeColor="text1"/>
        </w:rPr>
        <w:t xml:space="preserve"> in their information processing</w:t>
      </w:r>
      <w:r w:rsidRPr="00476FC9">
        <w:rPr>
          <w:color w:val="000000" w:themeColor="text1"/>
        </w:rPr>
        <w:t xml:space="preserve">, referred to as </w:t>
      </w:r>
      <w:r w:rsidRPr="00476FC9">
        <w:rPr>
          <w:i/>
          <w:color w:val="000000" w:themeColor="text1"/>
        </w:rPr>
        <w:t>epistemic doubt</w:t>
      </w:r>
      <w:r w:rsidRPr="00476FC9">
        <w:rPr>
          <w:color w:val="000000" w:themeColor="text1"/>
        </w:rPr>
        <w:t xml:space="preserve">, </w:t>
      </w:r>
      <w:r w:rsidR="000A3604" w:rsidRPr="00476FC9">
        <w:rPr>
          <w:color w:val="000000" w:themeColor="text1"/>
        </w:rPr>
        <w:t xml:space="preserve">and </w:t>
      </w:r>
      <w:r w:rsidR="009114D9" w:rsidRPr="00476FC9">
        <w:rPr>
          <w:color w:val="000000" w:themeColor="text1"/>
        </w:rPr>
        <w:t>act</w:t>
      </w:r>
      <w:r w:rsidR="000A3604" w:rsidRPr="00476FC9">
        <w:rPr>
          <w:color w:val="000000" w:themeColor="text1"/>
        </w:rPr>
        <w:t xml:space="preserve"> as reasonable consumers in the market</w:t>
      </w:r>
      <w:r w:rsidRPr="00476FC9">
        <w:rPr>
          <w:color w:val="000000" w:themeColor="text1"/>
        </w:rPr>
        <w:t xml:space="preserve"> </w:t>
      </w:r>
      <w:r w:rsidR="00527760" w:rsidRPr="00476FC9">
        <w:rPr>
          <w:color w:val="000000" w:themeColor="text1"/>
        </w:rPr>
        <w:t>(Boush et al., 2009; Darke &amp; Ritchie, 2007; Friestad &amp; Wright, 1995, 1999).</w:t>
      </w:r>
      <w:r w:rsidR="00A45EC8" w:rsidRPr="00476FC9">
        <w:rPr>
          <w:color w:val="000000" w:themeColor="text1"/>
        </w:rPr>
        <w:t xml:space="preserve"> </w:t>
      </w:r>
      <w:r w:rsidR="00A445F5" w:rsidRPr="00476FC9">
        <w:rPr>
          <w:color w:val="000000" w:themeColor="text1"/>
        </w:rPr>
        <w:t xml:space="preserve">Given this, </w:t>
      </w:r>
      <w:r w:rsidR="00A445F5" w:rsidRPr="00476FC9">
        <w:rPr>
          <w:color w:val="000000" w:themeColor="text1"/>
        </w:rPr>
        <w:lastRenderedPageBreak/>
        <w:t>c</w:t>
      </w:r>
      <w:r w:rsidR="000A3604" w:rsidRPr="00476FC9">
        <w:rPr>
          <w:color w:val="000000" w:themeColor="text1"/>
        </w:rPr>
        <w:t>onsumers</w:t>
      </w:r>
      <w:r w:rsidR="009114D9" w:rsidRPr="00476FC9">
        <w:rPr>
          <w:color w:val="000000" w:themeColor="text1"/>
        </w:rPr>
        <w:t>’</w:t>
      </w:r>
      <w:r w:rsidR="000A3604" w:rsidRPr="00476FC9">
        <w:rPr>
          <w:color w:val="000000" w:themeColor="text1"/>
        </w:rPr>
        <w:t xml:space="preserve"> use of DTCA </w:t>
      </w:r>
      <w:r w:rsidRPr="00476FC9">
        <w:rPr>
          <w:color w:val="000000" w:themeColor="text1"/>
        </w:rPr>
        <w:t xml:space="preserve">risk </w:t>
      </w:r>
      <w:r w:rsidR="00757D10" w:rsidRPr="00476FC9">
        <w:rPr>
          <w:color w:val="000000" w:themeColor="text1"/>
        </w:rPr>
        <w:t>disclosure</w:t>
      </w:r>
      <w:r w:rsidR="000A3604" w:rsidRPr="00476FC9">
        <w:rPr>
          <w:color w:val="000000" w:themeColor="text1"/>
        </w:rPr>
        <w:t xml:space="preserve"> may be affected by such cognitive structure. </w:t>
      </w:r>
    </w:p>
    <w:p w:rsidR="00A445F5" w:rsidRPr="00476FC9" w:rsidRDefault="00A445F5"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Research on consumers’ knowledge of a product category has a long history in consumer research due to its effects on consumers’ decision making process (Engel, Blackwell, &amp; Miniard, 1990). Since Brucks (1985) described three categories of consumer knowledge including subjective knowledge that is what the consumer thinks he or she knows, objective knowledge that is measured by some type of test, and prior experience with the product category, many scholars have examined this construct (e.g., Alba &amp; Hutchinson, </w:t>
      </w:r>
      <w:r w:rsidR="005C0281" w:rsidRPr="00476FC9">
        <w:rPr>
          <w:color w:val="000000" w:themeColor="text1"/>
        </w:rPr>
        <w:t>1987; Flynn &amp; Goldsmith, 1999).</w:t>
      </w:r>
      <w:r w:rsidR="00261CA4" w:rsidRPr="00476FC9">
        <w:rPr>
          <w:color w:val="000000" w:themeColor="text1"/>
        </w:rPr>
        <w:t xml:space="preserve"> In addition, Peter</w:t>
      </w:r>
      <w:r w:rsidR="00274A2B" w:rsidRPr="00476FC9">
        <w:rPr>
          <w:rFonts w:eastAsiaTheme="minorEastAsia" w:hint="eastAsia"/>
          <w:color w:val="000000" w:themeColor="text1"/>
        </w:rPr>
        <w:t xml:space="preserve">, </w:t>
      </w:r>
      <w:r w:rsidR="00261CA4" w:rsidRPr="00476FC9">
        <w:rPr>
          <w:color w:val="000000" w:themeColor="text1"/>
        </w:rPr>
        <w:t>Olson</w:t>
      </w:r>
      <w:r w:rsidR="00274A2B" w:rsidRPr="00476FC9">
        <w:rPr>
          <w:rFonts w:eastAsiaTheme="minorEastAsia" w:hint="eastAsia"/>
          <w:color w:val="000000" w:themeColor="text1"/>
        </w:rPr>
        <w:t>, Grunert</w:t>
      </w:r>
      <w:r w:rsidR="00261CA4" w:rsidRPr="00476FC9">
        <w:rPr>
          <w:color w:val="000000" w:themeColor="text1"/>
        </w:rPr>
        <w:t xml:space="preserve"> (199</w:t>
      </w:r>
      <w:r w:rsidR="00274A2B" w:rsidRPr="00476FC9">
        <w:rPr>
          <w:rFonts w:eastAsiaTheme="minorEastAsia" w:hint="eastAsia"/>
          <w:color w:val="000000" w:themeColor="text1"/>
        </w:rPr>
        <w:t>9</w:t>
      </w:r>
      <w:r w:rsidR="00261CA4" w:rsidRPr="00476FC9">
        <w:rPr>
          <w:color w:val="000000" w:themeColor="text1"/>
        </w:rPr>
        <w:t xml:space="preserve">) described that consumers have four levels of product knowledge, including product class, product form, brands, and models. </w:t>
      </w:r>
    </w:p>
    <w:p w:rsidR="000A3604" w:rsidRPr="00476FC9" w:rsidRDefault="00261CA4"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However, g</w:t>
      </w:r>
      <w:r w:rsidR="005C0281" w:rsidRPr="00476FC9">
        <w:rPr>
          <w:color w:val="000000" w:themeColor="text1"/>
        </w:rPr>
        <w:t xml:space="preserve">iven all this research attention, it is surprising that little research has </w:t>
      </w:r>
      <w:r w:rsidR="00A45EC8" w:rsidRPr="00476FC9">
        <w:rPr>
          <w:color w:val="000000" w:themeColor="text1"/>
        </w:rPr>
        <w:t xml:space="preserve">addressed </w:t>
      </w:r>
      <w:r w:rsidR="005C0281" w:rsidRPr="00476FC9">
        <w:rPr>
          <w:color w:val="000000" w:themeColor="text1"/>
        </w:rPr>
        <w:t xml:space="preserve">the conceptualization and measurement of it in the context of DTCA. </w:t>
      </w:r>
      <w:r w:rsidR="00511F05" w:rsidRPr="00476FC9">
        <w:rPr>
          <w:color w:val="000000" w:themeColor="text1"/>
        </w:rPr>
        <w:t xml:space="preserve">In particular, despite attention on product category knowledge or issue knowledge, consumers’ cognitive structure regarding a particular advertising category’s regulatory context has been largely ignored in the </w:t>
      </w:r>
      <w:r w:rsidR="00A45EC8" w:rsidRPr="00476FC9">
        <w:rPr>
          <w:color w:val="000000" w:themeColor="text1"/>
        </w:rPr>
        <w:t xml:space="preserve">DTCA </w:t>
      </w:r>
      <w:r w:rsidR="00511F05" w:rsidRPr="00476FC9">
        <w:rPr>
          <w:color w:val="000000" w:themeColor="text1"/>
        </w:rPr>
        <w:t xml:space="preserve">literature. </w:t>
      </w:r>
      <w:r w:rsidR="005C0281" w:rsidRPr="00476FC9">
        <w:rPr>
          <w:color w:val="000000" w:themeColor="text1"/>
        </w:rPr>
        <w:t>To better understand t</w:t>
      </w:r>
      <w:r w:rsidR="000A3604" w:rsidRPr="00476FC9">
        <w:rPr>
          <w:color w:val="000000" w:themeColor="text1"/>
        </w:rPr>
        <w:t>he impact of DTCA</w:t>
      </w:r>
      <w:r w:rsidR="00A45EC8" w:rsidRPr="00476FC9">
        <w:rPr>
          <w:color w:val="000000" w:themeColor="text1"/>
        </w:rPr>
        <w:t xml:space="preserve"> on consumers</w:t>
      </w:r>
      <w:r w:rsidR="005C0281" w:rsidRPr="00476FC9">
        <w:rPr>
          <w:color w:val="000000" w:themeColor="text1"/>
        </w:rPr>
        <w:t>, researcher</w:t>
      </w:r>
      <w:r w:rsidR="00A45EC8" w:rsidRPr="00476FC9">
        <w:rPr>
          <w:color w:val="000000" w:themeColor="text1"/>
        </w:rPr>
        <w:t>s</w:t>
      </w:r>
      <w:r w:rsidR="005C0281" w:rsidRPr="00476FC9">
        <w:rPr>
          <w:color w:val="000000" w:themeColor="text1"/>
        </w:rPr>
        <w:t xml:space="preserve"> </w:t>
      </w:r>
      <w:r w:rsidR="000A3604" w:rsidRPr="00476FC9">
        <w:rPr>
          <w:color w:val="000000" w:themeColor="text1"/>
        </w:rPr>
        <w:t>should examin</w:t>
      </w:r>
      <w:r w:rsidR="005C0281" w:rsidRPr="00476FC9">
        <w:rPr>
          <w:color w:val="000000" w:themeColor="text1"/>
        </w:rPr>
        <w:t xml:space="preserve">e </w:t>
      </w:r>
      <w:r w:rsidR="000A3604" w:rsidRPr="00476FC9">
        <w:rPr>
          <w:color w:val="000000" w:themeColor="text1"/>
        </w:rPr>
        <w:t xml:space="preserve">not only </w:t>
      </w:r>
      <w:r w:rsidR="006F0197" w:rsidRPr="00476FC9">
        <w:rPr>
          <w:color w:val="000000" w:themeColor="text1"/>
        </w:rPr>
        <w:t>its</w:t>
      </w:r>
      <w:r w:rsidR="000A3604" w:rsidRPr="00476FC9">
        <w:rPr>
          <w:color w:val="000000" w:themeColor="text1"/>
        </w:rPr>
        <w:t xml:space="preserve"> </w:t>
      </w:r>
      <w:r w:rsidR="00757D10" w:rsidRPr="00476FC9">
        <w:rPr>
          <w:color w:val="000000" w:themeColor="text1"/>
        </w:rPr>
        <w:t xml:space="preserve">message </w:t>
      </w:r>
      <w:r w:rsidR="005C0281" w:rsidRPr="00476FC9">
        <w:rPr>
          <w:color w:val="000000" w:themeColor="text1"/>
        </w:rPr>
        <w:t>aspects</w:t>
      </w:r>
      <w:r w:rsidR="000A3604" w:rsidRPr="00476FC9">
        <w:rPr>
          <w:color w:val="000000" w:themeColor="text1"/>
        </w:rPr>
        <w:t>,</w:t>
      </w:r>
      <w:r w:rsidR="00757D10" w:rsidRPr="00476FC9">
        <w:rPr>
          <w:color w:val="000000" w:themeColor="text1"/>
        </w:rPr>
        <w:t xml:space="preserve"> but relevant consumer </w:t>
      </w:r>
      <w:r w:rsidR="005C0281" w:rsidRPr="00476FC9">
        <w:rPr>
          <w:color w:val="000000" w:themeColor="text1"/>
        </w:rPr>
        <w:t xml:space="preserve">aspects </w:t>
      </w:r>
      <w:r w:rsidR="00757D10" w:rsidRPr="00476FC9">
        <w:rPr>
          <w:color w:val="000000" w:themeColor="text1"/>
        </w:rPr>
        <w:t xml:space="preserve">such as </w:t>
      </w:r>
      <w:r w:rsidR="000A3604" w:rsidRPr="00476FC9">
        <w:rPr>
          <w:color w:val="000000" w:themeColor="text1"/>
        </w:rPr>
        <w:t xml:space="preserve">individual differences in </w:t>
      </w:r>
      <w:r w:rsidR="00511F05" w:rsidRPr="00476FC9">
        <w:rPr>
          <w:color w:val="000000" w:themeColor="text1"/>
        </w:rPr>
        <w:t xml:space="preserve">DTCA regulatory </w:t>
      </w:r>
      <w:r w:rsidR="005C0281" w:rsidRPr="00476FC9">
        <w:rPr>
          <w:color w:val="000000" w:themeColor="text1"/>
        </w:rPr>
        <w:t>knowledge structure</w:t>
      </w:r>
      <w:r w:rsidR="000A3604" w:rsidRPr="00476FC9">
        <w:rPr>
          <w:color w:val="000000" w:themeColor="text1"/>
        </w:rPr>
        <w:t xml:space="preserve"> (Sheehan, 2007).</w:t>
      </w:r>
    </w:p>
    <w:p w:rsidR="0044487E" w:rsidRPr="00476FC9" w:rsidRDefault="000A3604"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As part of a broader set of marketplace beliefs, </w:t>
      </w:r>
      <w:r w:rsidR="0044487E" w:rsidRPr="00476FC9">
        <w:rPr>
          <w:color w:val="000000" w:themeColor="text1"/>
        </w:rPr>
        <w:t>the current</w:t>
      </w:r>
      <w:r w:rsidRPr="00476FC9">
        <w:rPr>
          <w:color w:val="000000" w:themeColor="text1"/>
        </w:rPr>
        <w:t xml:space="preserve"> research </w:t>
      </w:r>
      <w:r w:rsidR="0044487E" w:rsidRPr="00476FC9">
        <w:rPr>
          <w:color w:val="000000" w:themeColor="text1"/>
        </w:rPr>
        <w:t xml:space="preserve">referred </w:t>
      </w:r>
      <w:r w:rsidR="00EB1FEC" w:rsidRPr="00476FC9">
        <w:rPr>
          <w:i/>
          <w:color w:val="000000" w:themeColor="text1"/>
        </w:rPr>
        <w:t>DTCA regulatory knowledge</w:t>
      </w:r>
      <w:r w:rsidRPr="00476FC9">
        <w:rPr>
          <w:color w:val="000000" w:themeColor="text1"/>
        </w:rPr>
        <w:t xml:space="preserve"> </w:t>
      </w:r>
      <w:r w:rsidR="0044487E" w:rsidRPr="00476FC9">
        <w:rPr>
          <w:color w:val="000000" w:themeColor="text1"/>
        </w:rPr>
        <w:t xml:space="preserve">to </w:t>
      </w:r>
      <w:r w:rsidRPr="00476FC9">
        <w:rPr>
          <w:color w:val="000000" w:themeColor="text1"/>
        </w:rPr>
        <w:t xml:space="preserve">as </w:t>
      </w:r>
      <w:r w:rsidR="00AD2823" w:rsidRPr="00476FC9">
        <w:rPr>
          <w:color w:val="000000" w:themeColor="text1"/>
        </w:rPr>
        <w:t>“</w:t>
      </w:r>
      <w:r w:rsidRPr="00476FC9">
        <w:rPr>
          <w:color w:val="000000" w:themeColor="text1"/>
        </w:rPr>
        <w:t xml:space="preserve">a set of cognitive structures about the FDA’s </w:t>
      </w:r>
      <w:r w:rsidR="00980358" w:rsidRPr="00476FC9">
        <w:rPr>
          <w:color w:val="000000" w:themeColor="text1"/>
        </w:rPr>
        <w:t>general</w:t>
      </w:r>
      <w:r w:rsidR="009114D9" w:rsidRPr="00476FC9">
        <w:rPr>
          <w:color w:val="000000" w:themeColor="text1"/>
        </w:rPr>
        <w:t xml:space="preserve"> control over</w:t>
      </w:r>
      <w:r w:rsidR="00980358" w:rsidRPr="00476FC9">
        <w:rPr>
          <w:color w:val="000000" w:themeColor="text1"/>
        </w:rPr>
        <w:t xml:space="preserve"> </w:t>
      </w:r>
      <w:r w:rsidRPr="00476FC9">
        <w:rPr>
          <w:color w:val="000000" w:themeColor="text1"/>
        </w:rPr>
        <w:t xml:space="preserve">DTCA, </w:t>
      </w:r>
      <w:r w:rsidR="00757D10" w:rsidRPr="00476FC9">
        <w:rPr>
          <w:color w:val="000000" w:themeColor="text1"/>
        </w:rPr>
        <w:t xml:space="preserve">the FDA’s </w:t>
      </w:r>
      <w:r w:rsidR="00980358" w:rsidRPr="00476FC9">
        <w:rPr>
          <w:color w:val="000000" w:themeColor="text1"/>
        </w:rPr>
        <w:t xml:space="preserve">involvement with DTCA </w:t>
      </w:r>
      <w:r w:rsidR="00757D10" w:rsidRPr="00476FC9">
        <w:rPr>
          <w:color w:val="000000" w:themeColor="text1"/>
        </w:rPr>
        <w:t xml:space="preserve">content and design, </w:t>
      </w:r>
      <w:r w:rsidR="00980358" w:rsidRPr="00476FC9">
        <w:rPr>
          <w:color w:val="000000" w:themeColor="text1"/>
        </w:rPr>
        <w:t xml:space="preserve">the ad category’s </w:t>
      </w:r>
      <w:r w:rsidRPr="00476FC9">
        <w:rPr>
          <w:color w:val="000000" w:themeColor="text1"/>
        </w:rPr>
        <w:t xml:space="preserve">developmental and approval process, </w:t>
      </w:r>
      <w:r w:rsidR="00980358" w:rsidRPr="00476FC9">
        <w:rPr>
          <w:color w:val="000000" w:themeColor="text1"/>
        </w:rPr>
        <w:t>and the FDA’s involvement with DTCA research.</w:t>
      </w:r>
      <w:r w:rsidR="00AD2823" w:rsidRPr="00476FC9">
        <w:rPr>
          <w:color w:val="000000" w:themeColor="text1"/>
        </w:rPr>
        <w:t>”</w:t>
      </w:r>
      <w:r w:rsidRPr="00476FC9">
        <w:rPr>
          <w:color w:val="000000" w:themeColor="text1"/>
        </w:rPr>
        <w:t xml:space="preserve"> </w:t>
      </w:r>
      <w:r w:rsidR="00980358" w:rsidRPr="00476FC9">
        <w:rPr>
          <w:color w:val="000000" w:themeColor="text1"/>
        </w:rPr>
        <w:t xml:space="preserve">Despite a possibility to conceptualize </w:t>
      </w:r>
      <w:r w:rsidR="00EB1FEC" w:rsidRPr="00476FC9">
        <w:rPr>
          <w:color w:val="000000" w:themeColor="text1"/>
        </w:rPr>
        <w:t>DTCA regulatory knowledge</w:t>
      </w:r>
      <w:r w:rsidR="00980358" w:rsidRPr="00476FC9">
        <w:rPr>
          <w:color w:val="000000" w:themeColor="text1"/>
        </w:rPr>
        <w:t xml:space="preserve"> in different ways, given a dearth of prior research on this construct in the DTCA literature, the current research will be the first step for further </w:t>
      </w:r>
      <w:r w:rsidR="00980358" w:rsidRPr="00476FC9">
        <w:rPr>
          <w:color w:val="000000" w:themeColor="text1"/>
        </w:rPr>
        <w:lastRenderedPageBreak/>
        <w:t>examination.</w:t>
      </w:r>
    </w:p>
    <w:p w:rsidR="000A3604" w:rsidRPr="00476FC9" w:rsidRDefault="00C85479"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To develop a practical and valid measurement scale, t</w:t>
      </w:r>
      <w:r w:rsidR="00980358" w:rsidRPr="00476FC9">
        <w:rPr>
          <w:color w:val="000000" w:themeColor="text1"/>
        </w:rPr>
        <w:t>his research adopt</w:t>
      </w:r>
      <w:r w:rsidR="009114D9" w:rsidRPr="00476FC9">
        <w:rPr>
          <w:color w:val="000000" w:themeColor="text1"/>
        </w:rPr>
        <w:t>s</w:t>
      </w:r>
      <w:r w:rsidR="00980358" w:rsidRPr="00476FC9">
        <w:rPr>
          <w:color w:val="000000" w:themeColor="text1"/>
        </w:rPr>
        <w:t xml:space="preserve"> the measure items of </w:t>
      </w:r>
      <w:r w:rsidR="00EB1FEC" w:rsidRPr="00476FC9">
        <w:rPr>
          <w:color w:val="000000" w:themeColor="text1"/>
        </w:rPr>
        <w:t>DTCA regulatory knowledge</w:t>
      </w:r>
      <w:r w:rsidR="00980358" w:rsidRPr="00476FC9">
        <w:rPr>
          <w:color w:val="000000" w:themeColor="text1"/>
        </w:rPr>
        <w:t xml:space="preserve"> from the FDA’s (2014) </w:t>
      </w:r>
      <w:r w:rsidR="009114D9" w:rsidRPr="00476FC9">
        <w:rPr>
          <w:color w:val="000000" w:themeColor="text1"/>
        </w:rPr>
        <w:t xml:space="preserve">current page for </w:t>
      </w:r>
      <w:r w:rsidR="00980358" w:rsidRPr="00476FC9">
        <w:rPr>
          <w:color w:val="000000" w:themeColor="text1"/>
        </w:rPr>
        <w:t xml:space="preserve">consumer health education (i.e., </w:t>
      </w:r>
      <w:r w:rsidR="00980358" w:rsidRPr="00476FC9">
        <w:rPr>
          <w:i/>
          <w:color w:val="000000" w:themeColor="text1"/>
        </w:rPr>
        <w:t>For Consumers &amp; Patients</w:t>
      </w:r>
      <w:r w:rsidR="00980358" w:rsidRPr="00476FC9">
        <w:rPr>
          <w:color w:val="000000" w:themeColor="text1"/>
        </w:rPr>
        <w:t>)</w:t>
      </w:r>
      <w:r w:rsidR="009114D9" w:rsidRPr="00476FC9">
        <w:rPr>
          <w:color w:val="000000" w:themeColor="text1"/>
        </w:rPr>
        <w:t>.</w:t>
      </w:r>
      <w:r w:rsidR="00980358" w:rsidRPr="00476FC9">
        <w:rPr>
          <w:color w:val="000000" w:themeColor="text1"/>
        </w:rPr>
        <w:t xml:space="preserve"> </w:t>
      </w:r>
      <w:r w:rsidR="009114D9" w:rsidRPr="00476FC9">
        <w:rPr>
          <w:color w:val="000000" w:themeColor="text1"/>
        </w:rPr>
        <w:t>This</w:t>
      </w:r>
      <w:r w:rsidR="00980358" w:rsidRPr="00476FC9">
        <w:rPr>
          <w:color w:val="000000" w:themeColor="text1"/>
        </w:rPr>
        <w:t xml:space="preserve"> could </w:t>
      </w:r>
      <w:r w:rsidR="009114D9" w:rsidRPr="00476FC9">
        <w:rPr>
          <w:color w:val="000000" w:themeColor="text1"/>
        </w:rPr>
        <w:t>have</w:t>
      </w:r>
      <w:r w:rsidR="00980358" w:rsidRPr="00476FC9">
        <w:rPr>
          <w:color w:val="000000" w:themeColor="text1"/>
        </w:rPr>
        <w:t xml:space="preserve"> a couple of practical implications. First, the items represent actual consumers’ curiosity about the DTCA category</w:t>
      </w:r>
      <w:r w:rsidR="0050287E" w:rsidRPr="00476FC9">
        <w:rPr>
          <w:color w:val="000000" w:themeColor="text1"/>
        </w:rPr>
        <w:t xml:space="preserve">. Low knowledge score could represent low levels of </w:t>
      </w:r>
      <w:r w:rsidR="00D14144" w:rsidRPr="00476FC9">
        <w:rPr>
          <w:color w:val="000000" w:themeColor="text1"/>
        </w:rPr>
        <w:t xml:space="preserve">regulatory </w:t>
      </w:r>
      <w:r w:rsidR="0050287E" w:rsidRPr="00476FC9">
        <w:rPr>
          <w:color w:val="000000" w:themeColor="text1"/>
        </w:rPr>
        <w:t>understanding</w:t>
      </w:r>
      <w:r w:rsidR="00C75900" w:rsidRPr="00476FC9">
        <w:rPr>
          <w:color w:val="000000" w:themeColor="text1"/>
        </w:rPr>
        <w:t xml:space="preserve"> for DTCA</w:t>
      </w:r>
      <w:r w:rsidR="0050287E" w:rsidRPr="00476FC9">
        <w:rPr>
          <w:color w:val="000000" w:themeColor="text1"/>
        </w:rPr>
        <w:t>, whereas high knowledge score could represent reasonable understanding of the advertising category</w:t>
      </w:r>
      <w:r w:rsidR="00D14144" w:rsidRPr="00476FC9">
        <w:rPr>
          <w:color w:val="000000" w:themeColor="text1"/>
        </w:rPr>
        <w:t>’s regulatory context</w:t>
      </w:r>
      <w:r w:rsidR="0050287E" w:rsidRPr="00476FC9">
        <w:rPr>
          <w:color w:val="000000" w:themeColor="text1"/>
        </w:rPr>
        <w:t xml:space="preserve">. Second, the answer </w:t>
      </w:r>
      <w:r w:rsidR="009114D9" w:rsidRPr="00476FC9">
        <w:rPr>
          <w:color w:val="000000" w:themeColor="text1"/>
        </w:rPr>
        <w:t>to</w:t>
      </w:r>
      <w:r w:rsidR="0050287E" w:rsidRPr="00476FC9">
        <w:rPr>
          <w:color w:val="000000" w:themeColor="text1"/>
        </w:rPr>
        <w:t xml:space="preserve"> each item reflect</w:t>
      </w:r>
      <w:r w:rsidR="009114D9" w:rsidRPr="00476FC9">
        <w:rPr>
          <w:color w:val="000000" w:themeColor="text1"/>
        </w:rPr>
        <w:t>s</w:t>
      </w:r>
      <w:r w:rsidR="0050287E" w:rsidRPr="00476FC9">
        <w:rPr>
          <w:color w:val="000000" w:themeColor="text1"/>
        </w:rPr>
        <w:t xml:space="preserve"> the FDA’s </w:t>
      </w:r>
      <w:r w:rsidR="009114D9" w:rsidRPr="00476FC9">
        <w:rPr>
          <w:color w:val="000000" w:themeColor="text1"/>
        </w:rPr>
        <w:t xml:space="preserve">current </w:t>
      </w:r>
      <w:r w:rsidR="0050287E" w:rsidRPr="00476FC9">
        <w:rPr>
          <w:color w:val="000000" w:themeColor="text1"/>
        </w:rPr>
        <w:t>thought</w:t>
      </w:r>
      <w:r w:rsidR="009114D9" w:rsidRPr="00476FC9">
        <w:rPr>
          <w:color w:val="000000" w:themeColor="text1"/>
        </w:rPr>
        <w:t>s</w:t>
      </w:r>
      <w:r w:rsidR="0050287E" w:rsidRPr="00476FC9">
        <w:rPr>
          <w:color w:val="000000" w:themeColor="text1"/>
        </w:rPr>
        <w:t xml:space="preserve"> </w:t>
      </w:r>
      <w:r w:rsidR="009114D9" w:rsidRPr="00476FC9">
        <w:rPr>
          <w:color w:val="000000" w:themeColor="text1"/>
        </w:rPr>
        <w:t xml:space="preserve">and regulations </w:t>
      </w:r>
      <w:r w:rsidR="0050287E" w:rsidRPr="00476FC9">
        <w:rPr>
          <w:color w:val="000000" w:themeColor="text1"/>
        </w:rPr>
        <w:t xml:space="preserve">about the DTCA category. Therefore, employing those items will provide practical insight into </w:t>
      </w:r>
      <w:r w:rsidR="00407E31" w:rsidRPr="00476FC9">
        <w:rPr>
          <w:color w:val="000000" w:themeColor="text1"/>
        </w:rPr>
        <w:t xml:space="preserve">consumer </w:t>
      </w:r>
      <w:r w:rsidR="00C75900" w:rsidRPr="00476FC9">
        <w:rPr>
          <w:color w:val="000000" w:themeColor="text1"/>
        </w:rPr>
        <w:t>education</w:t>
      </w:r>
      <w:r w:rsidR="00407E31" w:rsidRPr="00476FC9">
        <w:rPr>
          <w:color w:val="000000" w:themeColor="text1"/>
        </w:rPr>
        <w:t xml:space="preserve"> by the FDA and DTCA marketers</w:t>
      </w:r>
      <w:r w:rsidR="0050287E" w:rsidRPr="00476FC9">
        <w:rPr>
          <w:color w:val="000000" w:themeColor="text1"/>
        </w:rPr>
        <w:t>.</w:t>
      </w:r>
    </w:p>
    <w:p w:rsidR="000A3604" w:rsidRPr="00476FC9" w:rsidRDefault="00C75900"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In general, k</w:t>
      </w:r>
      <w:r w:rsidR="000A3604" w:rsidRPr="00476FC9">
        <w:rPr>
          <w:color w:val="000000" w:themeColor="text1"/>
        </w:rPr>
        <w:t xml:space="preserve">nowledge about an advertising category enables consumers “to recognize, analyze, interpret, evaluate, and remember persuasion attempts and select and execute coping tactics believed to be effective and appropriate” (Friestad &amp; Wright, 1994, p. 3). Given this presumed role of knowledge, consumers’ </w:t>
      </w:r>
      <w:r w:rsidR="0050287E" w:rsidRPr="00476FC9">
        <w:rPr>
          <w:color w:val="000000" w:themeColor="text1"/>
        </w:rPr>
        <w:t xml:space="preserve">DTCA </w:t>
      </w:r>
      <w:r w:rsidR="00860608" w:rsidRPr="00476FC9">
        <w:rPr>
          <w:color w:val="000000" w:themeColor="text1"/>
        </w:rPr>
        <w:t xml:space="preserve">regulatory </w:t>
      </w:r>
      <w:r w:rsidR="0050287E" w:rsidRPr="00476FC9">
        <w:rPr>
          <w:color w:val="000000" w:themeColor="text1"/>
        </w:rPr>
        <w:t>knowledge</w:t>
      </w:r>
      <w:r w:rsidR="000A3604" w:rsidRPr="00476FC9">
        <w:rPr>
          <w:color w:val="000000" w:themeColor="text1"/>
        </w:rPr>
        <w:t xml:space="preserve"> </w:t>
      </w:r>
      <w:r w:rsidR="005D2621" w:rsidRPr="00476FC9">
        <w:rPr>
          <w:color w:val="000000" w:themeColor="text1"/>
        </w:rPr>
        <w:t xml:space="preserve">may serve as cognitive </w:t>
      </w:r>
      <w:r w:rsidR="000A3604" w:rsidRPr="00476FC9">
        <w:rPr>
          <w:color w:val="000000" w:themeColor="text1"/>
        </w:rPr>
        <w:t xml:space="preserve">reference points for DTCA risk disclosure </w:t>
      </w:r>
      <w:r w:rsidR="00C85479" w:rsidRPr="00476FC9">
        <w:rPr>
          <w:color w:val="000000" w:themeColor="text1"/>
        </w:rPr>
        <w:t>coping strategies</w:t>
      </w:r>
      <w:r w:rsidR="000A3604" w:rsidRPr="00476FC9">
        <w:rPr>
          <w:color w:val="000000" w:themeColor="text1"/>
        </w:rPr>
        <w:t>.</w:t>
      </w:r>
      <w:r w:rsidR="0050287E" w:rsidRPr="00476FC9">
        <w:rPr>
          <w:color w:val="000000" w:themeColor="text1"/>
        </w:rPr>
        <w:t xml:space="preserve"> </w:t>
      </w:r>
      <w:r w:rsidR="005D2621" w:rsidRPr="00476FC9">
        <w:rPr>
          <w:color w:val="000000" w:themeColor="text1"/>
        </w:rPr>
        <w:t>C</w:t>
      </w:r>
      <w:r w:rsidR="000A3604" w:rsidRPr="00476FC9">
        <w:rPr>
          <w:color w:val="000000" w:themeColor="text1"/>
        </w:rPr>
        <w:t xml:space="preserve">onsumers may be more or less motivated and/or able to process disclosures in DTCA, depending on varying levels of DTCA </w:t>
      </w:r>
      <w:r w:rsidR="008A116E" w:rsidRPr="00476FC9">
        <w:rPr>
          <w:color w:val="000000" w:themeColor="text1"/>
        </w:rPr>
        <w:t xml:space="preserve">regulatory </w:t>
      </w:r>
      <w:r w:rsidR="0050287E" w:rsidRPr="00476FC9">
        <w:rPr>
          <w:color w:val="000000" w:themeColor="text1"/>
        </w:rPr>
        <w:t>knowledge</w:t>
      </w:r>
      <w:r w:rsidR="00C85479" w:rsidRPr="00476FC9">
        <w:rPr>
          <w:color w:val="000000" w:themeColor="text1"/>
        </w:rPr>
        <w:t>,</w:t>
      </w:r>
      <w:r w:rsidR="00511F05" w:rsidRPr="00476FC9">
        <w:rPr>
          <w:color w:val="000000" w:themeColor="text1"/>
        </w:rPr>
        <w:t xml:space="preserve"> because risk disclosure is </w:t>
      </w:r>
      <w:r w:rsidR="00C85479" w:rsidRPr="00476FC9">
        <w:rPr>
          <w:color w:val="000000" w:themeColor="text1"/>
        </w:rPr>
        <w:t xml:space="preserve">part of </w:t>
      </w:r>
      <w:r w:rsidR="00511F05" w:rsidRPr="00476FC9">
        <w:rPr>
          <w:color w:val="000000" w:themeColor="text1"/>
        </w:rPr>
        <w:t>regulatory requirement by the FDA</w:t>
      </w:r>
      <w:r w:rsidR="00C85479" w:rsidRPr="00476FC9">
        <w:rPr>
          <w:color w:val="000000" w:themeColor="text1"/>
        </w:rPr>
        <w:t>.</w:t>
      </w:r>
    </w:p>
    <w:p w:rsidR="000A3604" w:rsidRPr="00476FC9" w:rsidRDefault="00C75900"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R</w:t>
      </w:r>
      <w:r w:rsidR="000A3604" w:rsidRPr="00476FC9">
        <w:rPr>
          <w:color w:val="000000" w:themeColor="text1"/>
        </w:rPr>
        <w:t xml:space="preserve">esearch supports this theoretical </w:t>
      </w:r>
      <w:r w:rsidR="00511F05" w:rsidRPr="00476FC9">
        <w:rPr>
          <w:color w:val="000000" w:themeColor="text1"/>
        </w:rPr>
        <w:t>prediction</w:t>
      </w:r>
      <w:r w:rsidR="000A3604" w:rsidRPr="00476FC9">
        <w:rPr>
          <w:color w:val="000000" w:themeColor="text1"/>
        </w:rPr>
        <w:t xml:space="preserve">. </w:t>
      </w:r>
      <w:r w:rsidR="00511F05" w:rsidRPr="00476FC9">
        <w:rPr>
          <w:color w:val="000000" w:themeColor="text1"/>
        </w:rPr>
        <w:t>In general, c</w:t>
      </w:r>
      <w:r w:rsidR="000A3604" w:rsidRPr="00476FC9">
        <w:rPr>
          <w:color w:val="000000" w:themeColor="text1"/>
        </w:rPr>
        <w:t>onsumer response</w:t>
      </w:r>
      <w:r w:rsidR="00511F05" w:rsidRPr="00476FC9">
        <w:rPr>
          <w:color w:val="000000" w:themeColor="text1"/>
        </w:rPr>
        <w:t>s</w:t>
      </w:r>
      <w:r w:rsidR="000A3604" w:rsidRPr="00476FC9">
        <w:rPr>
          <w:color w:val="000000" w:themeColor="text1"/>
        </w:rPr>
        <w:t xml:space="preserve"> to the ad </w:t>
      </w:r>
      <w:r w:rsidR="00511F05" w:rsidRPr="00476FC9">
        <w:rPr>
          <w:color w:val="000000" w:themeColor="text1"/>
        </w:rPr>
        <w:t xml:space="preserve">are </w:t>
      </w:r>
      <w:r w:rsidR="000A3604" w:rsidRPr="00476FC9">
        <w:rPr>
          <w:color w:val="000000" w:themeColor="text1"/>
        </w:rPr>
        <w:t xml:space="preserve">affected by individual differences in consumers’ </w:t>
      </w:r>
      <w:r w:rsidR="000A3604" w:rsidRPr="00476FC9">
        <w:rPr>
          <w:i/>
          <w:color w:val="000000" w:themeColor="text1"/>
        </w:rPr>
        <w:t>motivation</w:t>
      </w:r>
      <w:r w:rsidR="000A3604" w:rsidRPr="00476FC9">
        <w:rPr>
          <w:color w:val="000000" w:themeColor="text1"/>
        </w:rPr>
        <w:t xml:space="preserve"> and </w:t>
      </w:r>
      <w:r w:rsidR="000A3604" w:rsidRPr="00476FC9">
        <w:rPr>
          <w:i/>
          <w:color w:val="000000" w:themeColor="text1"/>
        </w:rPr>
        <w:t>ability to process</w:t>
      </w:r>
      <w:r w:rsidR="000A3604" w:rsidRPr="00476FC9">
        <w:rPr>
          <w:color w:val="000000" w:themeColor="text1"/>
        </w:rPr>
        <w:t xml:space="preserve"> information </w:t>
      </w:r>
      <w:r w:rsidR="00E6155A" w:rsidRPr="00476FC9">
        <w:rPr>
          <w:color w:val="000000" w:themeColor="text1"/>
        </w:rPr>
        <w:t xml:space="preserve">(Kavadas et al., 2007; Petty, Cacioppo, &amp; Schumann, 1983). </w:t>
      </w:r>
      <w:r w:rsidR="000A3604" w:rsidRPr="00476FC9">
        <w:rPr>
          <w:color w:val="000000" w:themeColor="text1"/>
        </w:rPr>
        <w:t xml:space="preserve">Research on </w:t>
      </w:r>
      <w:r w:rsidR="000A3604" w:rsidRPr="00476FC9">
        <w:rPr>
          <w:i/>
          <w:color w:val="000000" w:themeColor="text1"/>
        </w:rPr>
        <w:t>systematic-heuristic inference</w:t>
      </w:r>
      <w:r w:rsidR="000A3604" w:rsidRPr="00476FC9">
        <w:rPr>
          <w:color w:val="000000" w:themeColor="text1"/>
        </w:rPr>
        <w:t xml:space="preserve"> (Chaiken &amp; Eagly, 1989) and </w:t>
      </w:r>
      <w:r w:rsidR="000A3604" w:rsidRPr="00476FC9">
        <w:rPr>
          <w:i/>
          <w:color w:val="000000" w:themeColor="text1"/>
        </w:rPr>
        <w:t>elaborated likelihood model</w:t>
      </w:r>
      <w:r w:rsidR="000A3604" w:rsidRPr="00476FC9">
        <w:rPr>
          <w:color w:val="000000" w:themeColor="text1"/>
        </w:rPr>
        <w:t xml:space="preserve"> (ELM) (Petty &amp; Cacioppo, 1986) provides plausible explanations; cognitively more capable and motivated individuals are </w:t>
      </w:r>
      <w:r w:rsidR="000A3604" w:rsidRPr="00476FC9">
        <w:rPr>
          <w:color w:val="000000" w:themeColor="text1"/>
        </w:rPr>
        <w:lastRenderedPageBreak/>
        <w:t>less affected by peripheral message factors such as information source (Petty et al., 1983) or presentation formats (Artz &amp; Tybout, 1999)</w:t>
      </w:r>
      <w:r w:rsidR="0042684E" w:rsidRPr="00476FC9">
        <w:rPr>
          <w:color w:val="000000" w:themeColor="text1"/>
        </w:rPr>
        <w:t>, whereas less capable and motivated individuals are more</w:t>
      </w:r>
      <w:r w:rsidR="005D2621" w:rsidRPr="00476FC9">
        <w:rPr>
          <w:color w:val="000000" w:themeColor="text1"/>
        </w:rPr>
        <w:t xml:space="preserve"> </w:t>
      </w:r>
      <w:r w:rsidR="0042684E" w:rsidRPr="00476FC9">
        <w:rPr>
          <w:color w:val="000000" w:themeColor="text1"/>
        </w:rPr>
        <w:t>affected by such factors</w:t>
      </w:r>
      <w:r w:rsidR="000A3604" w:rsidRPr="00476FC9">
        <w:rPr>
          <w:color w:val="000000" w:themeColor="text1"/>
        </w:rPr>
        <w:t>.</w:t>
      </w:r>
    </w:p>
    <w:p w:rsidR="00461854" w:rsidRPr="00476FC9" w:rsidRDefault="000A3604"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In addition, through the notion of </w:t>
      </w:r>
      <w:r w:rsidRPr="00476FC9">
        <w:rPr>
          <w:i/>
          <w:color w:val="000000" w:themeColor="text1"/>
        </w:rPr>
        <w:t>consumer expertise</w:t>
      </w:r>
      <w:r w:rsidRPr="00476FC9">
        <w:rPr>
          <w:color w:val="000000" w:themeColor="text1"/>
        </w:rPr>
        <w:t xml:space="preserve">, Alba and Hutchinson (1987) argue that higher consumer </w:t>
      </w:r>
      <w:r w:rsidR="008A116E" w:rsidRPr="00476FC9">
        <w:rPr>
          <w:color w:val="000000" w:themeColor="text1"/>
        </w:rPr>
        <w:t>expertise</w:t>
      </w:r>
      <w:r w:rsidRPr="00476FC9">
        <w:rPr>
          <w:color w:val="000000" w:themeColor="text1"/>
        </w:rPr>
        <w:t xml:space="preserve"> tends to </w:t>
      </w:r>
      <w:r w:rsidR="008A116E" w:rsidRPr="00476FC9">
        <w:rPr>
          <w:color w:val="000000" w:themeColor="text1"/>
        </w:rPr>
        <w:t xml:space="preserve">improve </w:t>
      </w:r>
      <w:r w:rsidRPr="00476FC9">
        <w:rPr>
          <w:color w:val="000000" w:themeColor="text1"/>
        </w:rPr>
        <w:t>cognitive task</w:t>
      </w:r>
      <w:r w:rsidR="008A116E" w:rsidRPr="00476FC9">
        <w:rPr>
          <w:color w:val="000000" w:themeColor="text1"/>
        </w:rPr>
        <w:t xml:space="preserve"> performance regarding complicated information processing that requires </w:t>
      </w:r>
      <w:r w:rsidR="00CC6C03" w:rsidRPr="00476FC9">
        <w:rPr>
          <w:color w:val="000000" w:themeColor="text1"/>
        </w:rPr>
        <w:t xml:space="preserve">cognitive </w:t>
      </w:r>
      <w:r w:rsidR="00C85479" w:rsidRPr="00476FC9">
        <w:rPr>
          <w:color w:val="000000" w:themeColor="text1"/>
        </w:rPr>
        <w:t>resources</w:t>
      </w:r>
      <w:r w:rsidRPr="00476FC9">
        <w:rPr>
          <w:color w:val="000000" w:themeColor="text1"/>
        </w:rPr>
        <w:t xml:space="preserve">. </w:t>
      </w:r>
      <w:r w:rsidR="00C85479" w:rsidRPr="00476FC9">
        <w:rPr>
          <w:color w:val="000000" w:themeColor="text1"/>
        </w:rPr>
        <w:t>More k</w:t>
      </w:r>
      <w:r w:rsidRPr="00476FC9">
        <w:rPr>
          <w:color w:val="000000" w:themeColor="text1"/>
        </w:rPr>
        <w:t xml:space="preserve">nowledgeable consumers’ ability to process and utilize relevant information in decision making may be superior to that of less knowledgeable ones (Alba &amp; Hutchinson, 1987). </w:t>
      </w:r>
      <w:r w:rsidR="00CF0EBD" w:rsidRPr="00476FC9">
        <w:rPr>
          <w:color w:val="000000" w:themeColor="text1"/>
        </w:rPr>
        <w:t xml:space="preserve">The </w:t>
      </w:r>
      <w:r w:rsidR="006B3EDB" w:rsidRPr="00476FC9">
        <w:rPr>
          <w:color w:val="000000" w:themeColor="text1"/>
        </w:rPr>
        <w:t xml:space="preserve">preceding </w:t>
      </w:r>
      <w:r w:rsidR="00CF0EBD" w:rsidRPr="00476FC9">
        <w:rPr>
          <w:color w:val="000000" w:themeColor="text1"/>
        </w:rPr>
        <w:t xml:space="preserve">review of literature suggests </w:t>
      </w:r>
      <w:r w:rsidR="004D07C5" w:rsidRPr="00476FC9">
        <w:rPr>
          <w:color w:val="000000" w:themeColor="text1"/>
        </w:rPr>
        <w:t xml:space="preserve">the </w:t>
      </w:r>
      <w:r w:rsidR="00CF0EBD" w:rsidRPr="00476FC9">
        <w:rPr>
          <w:color w:val="000000" w:themeColor="text1"/>
        </w:rPr>
        <w:t>following research hypothes</w:t>
      </w:r>
      <w:r w:rsidR="004D07C5" w:rsidRPr="00476FC9">
        <w:rPr>
          <w:color w:val="000000" w:themeColor="text1"/>
        </w:rPr>
        <w:t>e</w:t>
      </w:r>
      <w:r w:rsidR="00CF0EBD" w:rsidRPr="00476FC9">
        <w:rPr>
          <w:color w:val="000000" w:themeColor="text1"/>
        </w:rPr>
        <w:t>s:</w:t>
      </w:r>
    </w:p>
    <w:p w:rsidR="00DD650D" w:rsidRPr="00476FC9" w:rsidRDefault="00CF0EBD" w:rsidP="007D2ACE">
      <w:pPr>
        <w:keepNext w:val="0"/>
        <w:widowControl w:val="0"/>
        <w:kinsoku w:val="0"/>
        <w:overflowPunct w:val="0"/>
        <w:autoSpaceDE w:val="0"/>
        <w:autoSpaceDN w:val="0"/>
        <w:adjustRightInd w:val="0"/>
        <w:snapToGrid w:val="0"/>
        <w:spacing w:before="0" w:after="0" w:line="240" w:lineRule="auto"/>
        <w:ind w:left="1170" w:hanging="450"/>
        <w:rPr>
          <w:b/>
          <w:color w:val="000000" w:themeColor="text1"/>
        </w:rPr>
      </w:pPr>
      <w:r w:rsidRPr="00476FC9">
        <w:rPr>
          <w:b/>
          <w:color w:val="000000" w:themeColor="text1"/>
        </w:rPr>
        <w:t xml:space="preserve">H4: Higher </w:t>
      </w:r>
      <w:r w:rsidR="00EB1FEC" w:rsidRPr="00476FC9">
        <w:rPr>
          <w:b/>
          <w:color w:val="000000" w:themeColor="text1"/>
        </w:rPr>
        <w:t>DTCA regulatory knowledge</w:t>
      </w:r>
      <w:r w:rsidRPr="00476FC9">
        <w:rPr>
          <w:b/>
          <w:color w:val="000000" w:themeColor="text1"/>
        </w:rPr>
        <w:t xml:space="preserve"> will lead to greater perceived attention to risk disclosure.</w:t>
      </w:r>
    </w:p>
    <w:p w:rsidR="00C05A09" w:rsidRPr="00476FC9" w:rsidRDefault="00C05A09" w:rsidP="007D2ACE">
      <w:pPr>
        <w:keepNext w:val="0"/>
        <w:widowControl w:val="0"/>
        <w:kinsoku w:val="0"/>
        <w:overflowPunct w:val="0"/>
        <w:autoSpaceDE w:val="0"/>
        <w:autoSpaceDN w:val="0"/>
        <w:adjustRightInd w:val="0"/>
        <w:snapToGrid w:val="0"/>
        <w:spacing w:before="0" w:after="0" w:line="240" w:lineRule="auto"/>
        <w:ind w:left="1170" w:hanging="450"/>
        <w:rPr>
          <w:b/>
          <w:color w:val="000000" w:themeColor="text1"/>
        </w:rPr>
      </w:pPr>
    </w:p>
    <w:p w:rsidR="000F23AF" w:rsidRPr="00476FC9" w:rsidRDefault="00CF0EBD" w:rsidP="007D2ACE">
      <w:pPr>
        <w:keepNext w:val="0"/>
        <w:widowControl w:val="0"/>
        <w:kinsoku w:val="0"/>
        <w:overflowPunct w:val="0"/>
        <w:autoSpaceDE w:val="0"/>
        <w:autoSpaceDN w:val="0"/>
        <w:adjustRightInd w:val="0"/>
        <w:snapToGrid w:val="0"/>
        <w:spacing w:before="0" w:after="0" w:line="240" w:lineRule="auto"/>
        <w:ind w:left="1170" w:hanging="450"/>
        <w:rPr>
          <w:b/>
          <w:color w:val="000000" w:themeColor="text1"/>
        </w:rPr>
      </w:pPr>
      <w:r w:rsidRPr="00476FC9">
        <w:rPr>
          <w:b/>
          <w:color w:val="000000" w:themeColor="text1"/>
        </w:rPr>
        <w:t xml:space="preserve">H5: Higher </w:t>
      </w:r>
      <w:r w:rsidR="00EB1FEC" w:rsidRPr="00476FC9">
        <w:rPr>
          <w:b/>
          <w:color w:val="000000" w:themeColor="text1"/>
        </w:rPr>
        <w:t>DTCA regulatory knowledge</w:t>
      </w:r>
      <w:r w:rsidRPr="00476FC9">
        <w:rPr>
          <w:b/>
          <w:color w:val="000000" w:themeColor="text1"/>
        </w:rPr>
        <w:t xml:space="preserve"> will lead to greater recall of </w:t>
      </w:r>
      <w:r w:rsidR="006F7D43" w:rsidRPr="00476FC9">
        <w:rPr>
          <w:b/>
          <w:color w:val="000000" w:themeColor="text1"/>
        </w:rPr>
        <w:t xml:space="preserve">health </w:t>
      </w:r>
      <w:r w:rsidRPr="00476FC9">
        <w:rPr>
          <w:b/>
          <w:color w:val="000000" w:themeColor="text1"/>
        </w:rPr>
        <w:t xml:space="preserve">risk </w:t>
      </w:r>
      <w:r w:rsidR="006F7D43" w:rsidRPr="00476FC9">
        <w:rPr>
          <w:b/>
          <w:color w:val="000000" w:themeColor="text1"/>
        </w:rPr>
        <w:t>information</w:t>
      </w:r>
      <w:r w:rsidRPr="00476FC9">
        <w:rPr>
          <w:b/>
          <w:color w:val="000000" w:themeColor="text1"/>
        </w:rPr>
        <w:t>.</w:t>
      </w:r>
    </w:p>
    <w:p w:rsidR="00C05A09" w:rsidRPr="00476FC9" w:rsidRDefault="00C05A09" w:rsidP="007D2ACE">
      <w:pPr>
        <w:keepNext w:val="0"/>
        <w:widowControl w:val="0"/>
        <w:kinsoku w:val="0"/>
        <w:overflowPunct w:val="0"/>
        <w:autoSpaceDE w:val="0"/>
        <w:autoSpaceDN w:val="0"/>
        <w:adjustRightInd w:val="0"/>
        <w:snapToGrid w:val="0"/>
        <w:spacing w:before="0" w:after="0" w:line="240" w:lineRule="auto"/>
        <w:ind w:left="1170" w:hanging="450"/>
        <w:rPr>
          <w:b/>
          <w:color w:val="000000" w:themeColor="text1"/>
        </w:rPr>
      </w:pPr>
    </w:p>
    <w:p w:rsidR="00CF0EBD" w:rsidRPr="00476FC9" w:rsidRDefault="00CF0EBD" w:rsidP="007D2ACE">
      <w:pPr>
        <w:keepNext w:val="0"/>
        <w:widowControl w:val="0"/>
        <w:kinsoku w:val="0"/>
        <w:overflowPunct w:val="0"/>
        <w:autoSpaceDE w:val="0"/>
        <w:autoSpaceDN w:val="0"/>
        <w:adjustRightInd w:val="0"/>
        <w:snapToGrid w:val="0"/>
        <w:spacing w:before="0" w:after="0" w:line="240" w:lineRule="auto"/>
        <w:ind w:left="1170" w:hanging="450"/>
        <w:rPr>
          <w:b/>
          <w:color w:val="000000" w:themeColor="text1"/>
        </w:rPr>
      </w:pPr>
      <w:r w:rsidRPr="00476FC9">
        <w:rPr>
          <w:b/>
          <w:color w:val="000000" w:themeColor="text1"/>
        </w:rPr>
        <w:t xml:space="preserve">H6: Higher </w:t>
      </w:r>
      <w:r w:rsidR="00EB1FEC" w:rsidRPr="00476FC9">
        <w:rPr>
          <w:b/>
          <w:color w:val="000000" w:themeColor="text1"/>
        </w:rPr>
        <w:t>DTCA regulatory knowledge</w:t>
      </w:r>
      <w:r w:rsidRPr="00476FC9">
        <w:rPr>
          <w:b/>
          <w:color w:val="000000" w:themeColor="text1"/>
        </w:rPr>
        <w:t xml:space="preserve"> will lead to greater recognition of</w:t>
      </w:r>
      <w:r w:rsidR="006F7D43" w:rsidRPr="00476FC9">
        <w:rPr>
          <w:b/>
          <w:color w:val="000000" w:themeColor="text1"/>
        </w:rPr>
        <w:t xml:space="preserve"> health</w:t>
      </w:r>
      <w:r w:rsidRPr="00476FC9">
        <w:rPr>
          <w:b/>
          <w:color w:val="000000" w:themeColor="text1"/>
        </w:rPr>
        <w:t xml:space="preserve"> risk </w:t>
      </w:r>
      <w:r w:rsidR="006F7D43" w:rsidRPr="00476FC9">
        <w:rPr>
          <w:b/>
          <w:color w:val="000000" w:themeColor="text1"/>
        </w:rPr>
        <w:t>information</w:t>
      </w:r>
      <w:r w:rsidRPr="00476FC9">
        <w:rPr>
          <w:b/>
          <w:color w:val="000000" w:themeColor="text1"/>
        </w:rPr>
        <w:t>.</w:t>
      </w:r>
    </w:p>
    <w:p w:rsidR="00CF0EBD" w:rsidRPr="00476FC9" w:rsidRDefault="00CF0EBD" w:rsidP="007D2ACE">
      <w:pPr>
        <w:keepNext w:val="0"/>
        <w:widowControl w:val="0"/>
        <w:kinsoku w:val="0"/>
        <w:overflowPunct w:val="0"/>
        <w:autoSpaceDE w:val="0"/>
        <w:autoSpaceDN w:val="0"/>
        <w:adjustRightInd w:val="0"/>
        <w:snapToGrid w:val="0"/>
        <w:spacing w:before="0" w:after="0"/>
        <w:ind w:firstLine="720"/>
        <w:rPr>
          <w:color w:val="000000" w:themeColor="text1"/>
        </w:rPr>
      </w:pPr>
    </w:p>
    <w:p w:rsidR="00F76010" w:rsidRPr="00476FC9" w:rsidRDefault="00991AC5" w:rsidP="007D2ACE">
      <w:pPr>
        <w:pStyle w:val="Heading3"/>
        <w:widowControl w:val="0"/>
        <w:kinsoku w:val="0"/>
        <w:overflowPunct w:val="0"/>
        <w:autoSpaceDE w:val="0"/>
        <w:autoSpaceDN w:val="0"/>
        <w:snapToGrid w:val="0"/>
        <w:contextualSpacing w:val="0"/>
        <w:rPr>
          <w:color w:val="000000" w:themeColor="text1"/>
        </w:rPr>
      </w:pPr>
      <w:bookmarkStart w:id="25" w:name="_Toc393800672"/>
      <w:r w:rsidRPr="00476FC9">
        <w:rPr>
          <w:color w:val="000000" w:themeColor="text1"/>
        </w:rPr>
        <w:t xml:space="preserve">DTCA </w:t>
      </w:r>
      <w:r w:rsidR="00EB1FEC" w:rsidRPr="00476FC9">
        <w:rPr>
          <w:color w:val="000000" w:themeColor="text1"/>
        </w:rPr>
        <w:t>Regulatory</w:t>
      </w:r>
      <w:r w:rsidRPr="00476FC9">
        <w:rPr>
          <w:color w:val="000000" w:themeColor="text1"/>
        </w:rPr>
        <w:t xml:space="preserve"> Knowledge as a Consumer Factor (Moderating Effects)</w:t>
      </w:r>
      <w:bookmarkEnd w:id="25"/>
    </w:p>
    <w:p w:rsidR="000A3604" w:rsidRPr="00476FC9" w:rsidRDefault="000F1F4B"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961A7B" w:rsidRPr="00476FC9">
        <w:rPr>
          <w:color w:val="000000" w:themeColor="text1"/>
        </w:rPr>
        <w:t xml:space="preserve">Further, </w:t>
      </w:r>
      <w:r w:rsidR="004D1773" w:rsidRPr="00476FC9">
        <w:rPr>
          <w:color w:val="000000" w:themeColor="text1"/>
        </w:rPr>
        <w:t xml:space="preserve">DTCA </w:t>
      </w:r>
      <w:r w:rsidR="00C30184" w:rsidRPr="00476FC9">
        <w:rPr>
          <w:color w:val="000000" w:themeColor="text1"/>
        </w:rPr>
        <w:t xml:space="preserve">regulatory </w:t>
      </w:r>
      <w:r w:rsidR="004D1773" w:rsidRPr="00476FC9">
        <w:rPr>
          <w:color w:val="000000" w:themeColor="text1"/>
        </w:rPr>
        <w:t>knowledge is expected to moderate the r</w:t>
      </w:r>
      <w:r w:rsidR="000A3604" w:rsidRPr="00476FC9">
        <w:rPr>
          <w:color w:val="000000" w:themeColor="text1"/>
        </w:rPr>
        <w:t xml:space="preserve">isk disclosure prominence effects. </w:t>
      </w:r>
      <w:r w:rsidR="00CF0EBD" w:rsidRPr="00476FC9">
        <w:rPr>
          <w:color w:val="000000" w:themeColor="text1"/>
        </w:rPr>
        <w:t xml:space="preserve">As has been discussed, </w:t>
      </w:r>
      <w:r w:rsidR="00540B41" w:rsidRPr="00476FC9">
        <w:rPr>
          <w:color w:val="000000" w:themeColor="text1"/>
        </w:rPr>
        <w:t>individuals</w:t>
      </w:r>
      <w:r w:rsidR="000A3604" w:rsidRPr="00476FC9">
        <w:rPr>
          <w:color w:val="000000" w:themeColor="text1"/>
        </w:rPr>
        <w:t xml:space="preserve"> </w:t>
      </w:r>
      <w:r w:rsidR="00C30184" w:rsidRPr="00476FC9">
        <w:rPr>
          <w:color w:val="000000" w:themeColor="text1"/>
        </w:rPr>
        <w:t xml:space="preserve">tend to </w:t>
      </w:r>
      <w:r w:rsidR="000A3604" w:rsidRPr="00476FC9">
        <w:rPr>
          <w:color w:val="000000" w:themeColor="text1"/>
        </w:rPr>
        <w:t xml:space="preserve">select a more efficient cognitive path to </w:t>
      </w:r>
      <w:r w:rsidR="00CF0EBD" w:rsidRPr="00476FC9">
        <w:rPr>
          <w:color w:val="000000" w:themeColor="text1"/>
        </w:rPr>
        <w:t>reduce</w:t>
      </w:r>
      <w:r w:rsidR="000A3604" w:rsidRPr="00476FC9">
        <w:rPr>
          <w:color w:val="000000" w:themeColor="text1"/>
        </w:rPr>
        <w:t xml:space="preserve"> cognitive overload (Bettman &amp; Zins, 1979; Wright, 1975). </w:t>
      </w:r>
      <w:r w:rsidR="00540B41" w:rsidRPr="00476FC9">
        <w:rPr>
          <w:color w:val="000000" w:themeColor="text1"/>
        </w:rPr>
        <w:t xml:space="preserve">Given this </w:t>
      </w:r>
      <w:r w:rsidR="00CF0EBD" w:rsidRPr="00476FC9">
        <w:rPr>
          <w:color w:val="000000" w:themeColor="text1"/>
        </w:rPr>
        <w:t>theoretical premise</w:t>
      </w:r>
      <w:r w:rsidR="00540B41" w:rsidRPr="00476FC9">
        <w:rPr>
          <w:color w:val="000000" w:themeColor="text1"/>
        </w:rPr>
        <w:t xml:space="preserve">, a concern is raised </w:t>
      </w:r>
      <w:r w:rsidR="000A3604" w:rsidRPr="00476FC9">
        <w:rPr>
          <w:color w:val="000000" w:themeColor="text1"/>
        </w:rPr>
        <w:t>when DTCA presents disclosures in less prominent or less accessible formats. In general, DTCA provides medical information that requires more cognitive efforts (Macias et al., 2007; Royne &amp; Myers, 2008).</w:t>
      </w:r>
      <w:r w:rsidR="00CF0EBD" w:rsidRPr="00476FC9">
        <w:rPr>
          <w:color w:val="000000" w:themeColor="text1"/>
        </w:rPr>
        <w:t xml:space="preserve"> For instance,</w:t>
      </w:r>
      <w:r w:rsidR="000A3604" w:rsidRPr="00476FC9">
        <w:rPr>
          <w:color w:val="000000" w:themeColor="text1"/>
        </w:rPr>
        <w:t xml:space="preserve"> Sheehan (2006) examined the language of DTCA to determine whether </w:t>
      </w:r>
      <w:r w:rsidR="00CF0EBD" w:rsidRPr="00476FC9">
        <w:rPr>
          <w:color w:val="000000" w:themeColor="text1"/>
        </w:rPr>
        <w:t>DTCA</w:t>
      </w:r>
      <w:r w:rsidR="000A3604" w:rsidRPr="00476FC9">
        <w:rPr>
          <w:color w:val="000000" w:themeColor="text1"/>
        </w:rPr>
        <w:t xml:space="preserve"> language is easy to read and understand. She </w:t>
      </w:r>
      <w:r w:rsidR="000A3604" w:rsidRPr="00476FC9">
        <w:rPr>
          <w:color w:val="000000" w:themeColor="text1"/>
        </w:rPr>
        <w:lastRenderedPageBreak/>
        <w:t>found that DTCA ads are among the most difficult ads. In particular, processing information that discusses the drug’s risks and contraindications is considered one of the most challenging cognitive tasks</w:t>
      </w:r>
      <w:r w:rsidR="00CF0EBD" w:rsidRPr="00476FC9">
        <w:rPr>
          <w:color w:val="000000" w:themeColor="text1"/>
        </w:rPr>
        <w:t xml:space="preserve"> to novice consumers</w:t>
      </w:r>
      <w:r w:rsidR="000A3604" w:rsidRPr="00476FC9">
        <w:rPr>
          <w:color w:val="000000" w:themeColor="text1"/>
        </w:rPr>
        <w:t xml:space="preserve"> (Sheehan, 2006). </w:t>
      </w:r>
      <w:r w:rsidR="00CF0EBD" w:rsidRPr="00476FC9">
        <w:rPr>
          <w:color w:val="000000" w:themeColor="text1"/>
        </w:rPr>
        <w:t>Considering</w:t>
      </w:r>
      <w:r w:rsidR="000A3604" w:rsidRPr="00476FC9">
        <w:rPr>
          <w:color w:val="000000" w:themeColor="text1"/>
        </w:rPr>
        <w:t xml:space="preserve"> this nature of DTCA risk disclosure, more prominent risk disclosure provision will help </w:t>
      </w:r>
      <w:r w:rsidR="00540B41" w:rsidRPr="00476FC9">
        <w:rPr>
          <w:color w:val="000000" w:themeColor="text1"/>
        </w:rPr>
        <w:t>low DTCA regulatory</w:t>
      </w:r>
      <w:r w:rsidR="000A3604" w:rsidRPr="00476FC9">
        <w:rPr>
          <w:color w:val="000000" w:themeColor="text1"/>
        </w:rPr>
        <w:t xml:space="preserve"> </w:t>
      </w:r>
      <w:r w:rsidR="00540B41" w:rsidRPr="00476FC9">
        <w:rPr>
          <w:color w:val="000000" w:themeColor="text1"/>
        </w:rPr>
        <w:t xml:space="preserve">knowledge </w:t>
      </w:r>
      <w:r w:rsidR="000A3604" w:rsidRPr="00476FC9">
        <w:rPr>
          <w:color w:val="000000" w:themeColor="text1"/>
        </w:rPr>
        <w:t xml:space="preserve">consumers </w:t>
      </w:r>
      <w:r w:rsidR="00540B41" w:rsidRPr="00476FC9">
        <w:rPr>
          <w:color w:val="000000" w:themeColor="text1"/>
        </w:rPr>
        <w:t>locate and utilize risk information m</w:t>
      </w:r>
      <w:r w:rsidR="000A3604" w:rsidRPr="00476FC9">
        <w:rPr>
          <w:color w:val="000000" w:themeColor="text1"/>
        </w:rPr>
        <w:t>ore fluently</w:t>
      </w:r>
      <w:r w:rsidR="00540B41" w:rsidRPr="00476FC9">
        <w:rPr>
          <w:color w:val="000000" w:themeColor="text1"/>
        </w:rPr>
        <w:t xml:space="preserve">, because </w:t>
      </w:r>
      <w:r w:rsidR="009B564D" w:rsidRPr="00476FC9">
        <w:rPr>
          <w:color w:val="000000" w:themeColor="text1"/>
        </w:rPr>
        <w:t>such message format</w:t>
      </w:r>
      <w:r w:rsidR="00540B41" w:rsidRPr="00476FC9">
        <w:rPr>
          <w:color w:val="000000" w:themeColor="text1"/>
        </w:rPr>
        <w:t xml:space="preserve"> is expected to </w:t>
      </w:r>
      <w:r w:rsidR="009B564D" w:rsidRPr="00476FC9">
        <w:rPr>
          <w:color w:val="000000" w:themeColor="text1"/>
        </w:rPr>
        <w:t xml:space="preserve">reduce cognitive efforts required to process hard-to-read risk information whereby it </w:t>
      </w:r>
      <w:r w:rsidR="00540B41" w:rsidRPr="00476FC9">
        <w:rPr>
          <w:color w:val="000000" w:themeColor="text1"/>
        </w:rPr>
        <w:t>improve</w:t>
      </w:r>
      <w:r w:rsidR="009B564D" w:rsidRPr="00476FC9">
        <w:rPr>
          <w:color w:val="000000" w:themeColor="text1"/>
        </w:rPr>
        <w:t>s</w:t>
      </w:r>
      <w:r w:rsidR="00540B41" w:rsidRPr="00476FC9">
        <w:rPr>
          <w:color w:val="000000" w:themeColor="text1"/>
        </w:rPr>
        <w:t xml:space="preserve"> information search selectivity</w:t>
      </w:r>
      <w:r w:rsidR="000A3604" w:rsidRPr="00476FC9">
        <w:rPr>
          <w:color w:val="000000" w:themeColor="text1"/>
        </w:rPr>
        <w:t xml:space="preserve">. </w:t>
      </w:r>
      <w:r w:rsidR="009B564D" w:rsidRPr="00476FC9">
        <w:rPr>
          <w:color w:val="000000" w:themeColor="text1"/>
        </w:rPr>
        <w:t xml:space="preserve">In contrast, higher DTCA regulatory knowledge </w:t>
      </w:r>
      <w:r w:rsidR="00DB35A8" w:rsidRPr="00476FC9">
        <w:rPr>
          <w:color w:val="000000" w:themeColor="text1"/>
        </w:rPr>
        <w:t xml:space="preserve">may relate to </w:t>
      </w:r>
      <w:r w:rsidR="009B564D" w:rsidRPr="00476FC9">
        <w:rPr>
          <w:color w:val="000000" w:themeColor="text1"/>
        </w:rPr>
        <w:t xml:space="preserve">higher cognitive capacity </w:t>
      </w:r>
      <w:r w:rsidR="00DB35A8" w:rsidRPr="00476FC9">
        <w:rPr>
          <w:color w:val="000000" w:themeColor="text1"/>
        </w:rPr>
        <w:t>to search and utilize DTCA risk information</w:t>
      </w:r>
      <w:r w:rsidR="009B564D" w:rsidRPr="00476FC9">
        <w:rPr>
          <w:color w:val="000000" w:themeColor="text1"/>
        </w:rPr>
        <w:t xml:space="preserve">, and therefore higher DTCA </w:t>
      </w:r>
      <w:r w:rsidR="00DB35A8" w:rsidRPr="00476FC9">
        <w:rPr>
          <w:color w:val="000000" w:themeColor="text1"/>
        </w:rPr>
        <w:t xml:space="preserve">regulatory </w:t>
      </w:r>
      <w:r w:rsidR="009B564D" w:rsidRPr="00476FC9">
        <w:rPr>
          <w:color w:val="000000" w:themeColor="text1"/>
        </w:rPr>
        <w:t xml:space="preserve">knowledge consumers may </w:t>
      </w:r>
      <w:r w:rsidR="00DB35A8" w:rsidRPr="00476FC9">
        <w:rPr>
          <w:color w:val="000000" w:themeColor="text1"/>
        </w:rPr>
        <w:t xml:space="preserve">better </w:t>
      </w:r>
      <w:r w:rsidR="009B564D" w:rsidRPr="00476FC9">
        <w:rPr>
          <w:color w:val="000000" w:themeColor="text1"/>
        </w:rPr>
        <w:t xml:space="preserve">perform cognitive tasks </w:t>
      </w:r>
      <w:r w:rsidR="00DB35A8" w:rsidRPr="00476FC9">
        <w:rPr>
          <w:color w:val="000000" w:themeColor="text1"/>
        </w:rPr>
        <w:t xml:space="preserve">regardless of </w:t>
      </w:r>
      <w:r w:rsidR="009B564D" w:rsidRPr="00476FC9">
        <w:rPr>
          <w:color w:val="000000" w:themeColor="text1"/>
        </w:rPr>
        <w:t xml:space="preserve">varying levels of risk disclosure prominence, indicating </w:t>
      </w:r>
      <w:r w:rsidR="00DB35A8" w:rsidRPr="00476FC9">
        <w:rPr>
          <w:color w:val="000000" w:themeColor="text1"/>
        </w:rPr>
        <w:t>minimal</w:t>
      </w:r>
      <w:r w:rsidR="009B564D" w:rsidRPr="00476FC9">
        <w:rPr>
          <w:color w:val="000000" w:themeColor="text1"/>
        </w:rPr>
        <w:t xml:space="preserve"> prominence effects for higher DTCA regulatory knowledge consumers.</w:t>
      </w:r>
    </w:p>
    <w:p w:rsidR="004B1F67" w:rsidRPr="00476FC9" w:rsidRDefault="000A3604"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317BC9" w:rsidRPr="00476FC9">
        <w:rPr>
          <w:color w:val="000000" w:themeColor="text1"/>
        </w:rPr>
        <w:t xml:space="preserve">Further </w:t>
      </w:r>
      <w:r w:rsidR="009D4810" w:rsidRPr="00476FC9">
        <w:rPr>
          <w:color w:val="000000" w:themeColor="text1"/>
        </w:rPr>
        <w:t>s</w:t>
      </w:r>
      <w:r w:rsidRPr="00476FC9">
        <w:rPr>
          <w:color w:val="000000" w:themeColor="text1"/>
        </w:rPr>
        <w:t>upport</w:t>
      </w:r>
      <w:r w:rsidR="00CF0EBD" w:rsidRPr="00476FC9">
        <w:rPr>
          <w:color w:val="000000" w:themeColor="text1"/>
        </w:rPr>
        <w:t>s</w:t>
      </w:r>
      <w:r w:rsidRPr="00476FC9">
        <w:rPr>
          <w:color w:val="000000" w:themeColor="text1"/>
        </w:rPr>
        <w:t xml:space="preserve"> for the moderating </w:t>
      </w:r>
      <w:r w:rsidR="004B1F67" w:rsidRPr="00476FC9">
        <w:rPr>
          <w:color w:val="000000" w:themeColor="text1"/>
        </w:rPr>
        <w:t>influence o</w:t>
      </w:r>
      <w:r w:rsidRPr="00476FC9">
        <w:rPr>
          <w:color w:val="000000" w:themeColor="text1"/>
        </w:rPr>
        <w:t xml:space="preserve">f DTCA </w:t>
      </w:r>
      <w:r w:rsidR="00317BC9" w:rsidRPr="00476FC9">
        <w:rPr>
          <w:color w:val="000000" w:themeColor="text1"/>
        </w:rPr>
        <w:t xml:space="preserve">regulatory </w:t>
      </w:r>
      <w:r w:rsidRPr="00476FC9">
        <w:rPr>
          <w:color w:val="000000" w:themeColor="text1"/>
        </w:rPr>
        <w:t xml:space="preserve">knowledge on the risk disclosure prominence effects </w:t>
      </w:r>
      <w:r w:rsidR="00317BC9" w:rsidRPr="00476FC9">
        <w:rPr>
          <w:color w:val="000000" w:themeColor="text1"/>
        </w:rPr>
        <w:t xml:space="preserve">can be </w:t>
      </w:r>
      <w:r w:rsidR="004B1F67" w:rsidRPr="00476FC9">
        <w:rPr>
          <w:color w:val="000000" w:themeColor="text1"/>
        </w:rPr>
        <w:t>f</w:t>
      </w:r>
      <w:r w:rsidRPr="00476FC9">
        <w:rPr>
          <w:color w:val="000000" w:themeColor="text1"/>
        </w:rPr>
        <w:t xml:space="preserve">ound from the </w:t>
      </w:r>
      <w:r w:rsidRPr="00476FC9">
        <w:rPr>
          <w:i/>
          <w:color w:val="000000" w:themeColor="text1"/>
        </w:rPr>
        <w:t>self-consistency</w:t>
      </w:r>
      <w:r w:rsidRPr="00476FC9">
        <w:rPr>
          <w:color w:val="000000" w:themeColor="text1"/>
        </w:rPr>
        <w:t xml:space="preserve"> </w:t>
      </w:r>
      <w:r w:rsidR="004B1F67" w:rsidRPr="00476FC9">
        <w:rPr>
          <w:color w:val="000000" w:themeColor="text1"/>
        </w:rPr>
        <w:t xml:space="preserve">hypothesis </w:t>
      </w:r>
      <w:r w:rsidRPr="00476FC9">
        <w:rPr>
          <w:color w:val="000000" w:themeColor="text1"/>
        </w:rPr>
        <w:t xml:space="preserve">(Moorman et al., 2004). </w:t>
      </w:r>
      <w:r w:rsidR="00317BC9" w:rsidRPr="00476FC9">
        <w:rPr>
          <w:color w:val="000000" w:themeColor="text1"/>
        </w:rPr>
        <w:t xml:space="preserve">In general, when </w:t>
      </w:r>
      <w:r w:rsidRPr="00476FC9">
        <w:rPr>
          <w:color w:val="000000" w:themeColor="text1"/>
        </w:rPr>
        <w:t xml:space="preserve">consumers </w:t>
      </w:r>
      <w:r w:rsidR="00317BC9" w:rsidRPr="00476FC9">
        <w:rPr>
          <w:color w:val="000000" w:themeColor="text1"/>
        </w:rPr>
        <w:t xml:space="preserve">perceive themselves as </w:t>
      </w:r>
      <w:r w:rsidRPr="00476FC9">
        <w:rPr>
          <w:color w:val="000000" w:themeColor="text1"/>
        </w:rPr>
        <w:t xml:space="preserve">knowledgeable about a particular </w:t>
      </w:r>
      <w:r w:rsidR="00317BC9" w:rsidRPr="00476FC9">
        <w:rPr>
          <w:color w:val="000000" w:themeColor="text1"/>
        </w:rPr>
        <w:t>category</w:t>
      </w:r>
      <w:r w:rsidRPr="00476FC9">
        <w:rPr>
          <w:color w:val="000000" w:themeColor="text1"/>
        </w:rPr>
        <w:t>, the</w:t>
      </w:r>
      <w:r w:rsidR="004B1F67" w:rsidRPr="00476FC9">
        <w:rPr>
          <w:color w:val="000000" w:themeColor="text1"/>
        </w:rPr>
        <w:t xml:space="preserve">y </w:t>
      </w:r>
      <w:r w:rsidRPr="00476FC9">
        <w:rPr>
          <w:color w:val="000000" w:themeColor="text1"/>
        </w:rPr>
        <w:t xml:space="preserve">are more likely to locate themselves proximate to information associated with that knowledge (Moorman et al., 2004). </w:t>
      </w:r>
      <w:r w:rsidR="00DB35A8" w:rsidRPr="00476FC9">
        <w:rPr>
          <w:color w:val="000000" w:themeColor="text1"/>
        </w:rPr>
        <w:t>Extending this</w:t>
      </w:r>
      <w:r w:rsidR="004B1F67" w:rsidRPr="00476FC9">
        <w:rPr>
          <w:color w:val="000000" w:themeColor="text1"/>
        </w:rPr>
        <w:t>, c</w:t>
      </w:r>
      <w:r w:rsidRPr="00476FC9">
        <w:rPr>
          <w:color w:val="000000" w:themeColor="text1"/>
        </w:rPr>
        <w:t xml:space="preserve">onsumers who are more knowledgeable about the </w:t>
      </w:r>
      <w:r w:rsidR="00455FC2" w:rsidRPr="00476FC9">
        <w:rPr>
          <w:color w:val="000000" w:themeColor="text1"/>
        </w:rPr>
        <w:t xml:space="preserve">FDA’s regulatory role for </w:t>
      </w:r>
      <w:r w:rsidRPr="00476FC9">
        <w:rPr>
          <w:color w:val="000000" w:themeColor="text1"/>
        </w:rPr>
        <w:t xml:space="preserve">DTCA </w:t>
      </w:r>
      <w:r w:rsidR="004B1F67" w:rsidRPr="00476FC9">
        <w:rPr>
          <w:color w:val="000000" w:themeColor="text1"/>
        </w:rPr>
        <w:t>are more</w:t>
      </w:r>
      <w:r w:rsidRPr="00476FC9">
        <w:rPr>
          <w:color w:val="000000" w:themeColor="text1"/>
        </w:rPr>
        <w:t xml:space="preserve"> likely to be motivated and/or able to process risk disclosure</w:t>
      </w:r>
      <w:r w:rsidR="00DB35A8" w:rsidRPr="00476FC9">
        <w:rPr>
          <w:color w:val="000000" w:themeColor="text1"/>
        </w:rPr>
        <w:t xml:space="preserve"> required by regulation</w:t>
      </w:r>
      <w:r w:rsidR="004B1F67" w:rsidRPr="00476FC9">
        <w:rPr>
          <w:color w:val="000000" w:themeColor="text1"/>
        </w:rPr>
        <w:t>,</w:t>
      </w:r>
      <w:r w:rsidRPr="00476FC9">
        <w:rPr>
          <w:color w:val="000000" w:themeColor="text1"/>
        </w:rPr>
        <w:t xml:space="preserve"> because those with high DTCA </w:t>
      </w:r>
      <w:r w:rsidR="00455FC2" w:rsidRPr="00476FC9">
        <w:rPr>
          <w:color w:val="000000" w:themeColor="text1"/>
        </w:rPr>
        <w:t xml:space="preserve">regulatory </w:t>
      </w:r>
      <w:r w:rsidRPr="00476FC9">
        <w:rPr>
          <w:color w:val="000000" w:themeColor="text1"/>
        </w:rPr>
        <w:t xml:space="preserve">knowledge will be more proficient with </w:t>
      </w:r>
      <w:r w:rsidR="004B1F67" w:rsidRPr="00476FC9">
        <w:rPr>
          <w:color w:val="000000" w:themeColor="text1"/>
        </w:rPr>
        <w:t>locating</w:t>
      </w:r>
      <w:r w:rsidRPr="00476FC9">
        <w:rPr>
          <w:color w:val="000000" w:themeColor="text1"/>
        </w:rPr>
        <w:t xml:space="preserve"> and utilizing risk disclosure in DTCA, referred to as high </w:t>
      </w:r>
      <w:r w:rsidRPr="00476FC9">
        <w:rPr>
          <w:i/>
          <w:color w:val="000000" w:themeColor="text1"/>
        </w:rPr>
        <w:t>search selectivity</w:t>
      </w:r>
      <w:r w:rsidRPr="00476FC9">
        <w:rPr>
          <w:color w:val="000000" w:themeColor="text1"/>
        </w:rPr>
        <w:t xml:space="preserve"> (Moornan et al., 2004). </w:t>
      </w:r>
      <w:r w:rsidR="00455FC2" w:rsidRPr="00476FC9">
        <w:rPr>
          <w:color w:val="000000" w:themeColor="text1"/>
        </w:rPr>
        <w:t>Put simply</w:t>
      </w:r>
      <w:r w:rsidRPr="00476FC9">
        <w:rPr>
          <w:color w:val="000000" w:themeColor="text1"/>
        </w:rPr>
        <w:t>, high</w:t>
      </w:r>
      <w:r w:rsidR="009B564D" w:rsidRPr="00476FC9">
        <w:rPr>
          <w:color w:val="000000" w:themeColor="text1"/>
        </w:rPr>
        <w:t>er</w:t>
      </w:r>
      <w:r w:rsidRPr="00476FC9">
        <w:rPr>
          <w:color w:val="000000" w:themeColor="text1"/>
        </w:rPr>
        <w:t xml:space="preserve"> DTCA </w:t>
      </w:r>
      <w:r w:rsidR="00455FC2" w:rsidRPr="00476FC9">
        <w:rPr>
          <w:color w:val="000000" w:themeColor="text1"/>
        </w:rPr>
        <w:t xml:space="preserve">regulatory </w:t>
      </w:r>
      <w:r w:rsidRPr="00476FC9">
        <w:rPr>
          <w:color w:val="000000" w:themeColor="text1"/>
        </w:rPr>
        <w:t>knowledge is more likely to be associated with high</w:t>
      </w:r>
      <w:r w:rsidR="009B564D" w:rsidRPr="00476FC9">
        <w:rPr>
          <w:color w:val="000000" w:themeColor="text1"/>
        </w:rPr>
        <w:t>er</w:t>
      </w:r>
      <w:r w:rsidRPr="00476FC9">
        <w:rPr>
          <w:color w:val="000000" w:themeColor="text1"/>
        </w:rPr>
        <w:t xml:space="preserve"> search selectivity for risk disclosure in DTCA. </w:t>
      </w:r>
      <w:r w:rsidR="004B1F67" w:rsidRPr="00476FC9">
        <w:rPr>
          <w:color w:val="000000" w:themeColor="text1"/>
        </w:rPr>
        <w:t>This e</w:t>
      </w:r>
      <w:r w:rsidRPr="00476FC9">
        <w:rPr>
          <w:color w:val="000000" w:themeColor="text1"/>
        </w:rPr>
        <w:t xml:space="preserve">nhanced cognitive fluency will enable </w:t>
      </w:r>
      <w:r w:rsidR="00CD448D" w:rsidRPr="00476FC9">
        <w:rPr>
          <w:color w:val="000000" w:themeColor="text1"/>
        </w:rPr>
        <w:t xml:space="preserve">more </w:t>
      </w:r>
      <w:r w:rsidRPr="00476FC9">
        <w:rPr>
          <w:color w:val="000000" w:themeColor="text1"/>
        </w:rPr>
        <w:t xml:space="preserve">knowledgeable consumers to attend </w:t>
      </w:r>
      <w:r w:rsidR="00DB35A8" w:rsidRPr="00476FC9">
        <w:rPr>
          <w:color w:val="000000" w:themeColor="text1"/>
        </w:rPr>
        <w:t xml:space="preserve">and memorize </w:t>
      </w:r>
      <w:r w:rsidRPr="00476FC9">
        <w:rPr>
          <w:color w:val="000000" w:themeColor="text1"/>
        </w:rPr>
        <w:lastRenderedPageBreak/>
        <w:t xml:space="preserve">disclosures easily and therefore they will be less </w:t>
      </w:r>
      <w:r w:rsidR="006C75A0" w:rsidRPr="00476FC9">
        <w:rPr>
          <w:color w:val="000000" w:themeColor="text1"/>
        </w:rPr>
        <w:t xml:space="preserve">sensitive to </w:t>
      </w:r>
      <w:r w:rsidRPr="00476FC9">
        <w:rPr>
          <w:color w:val="000000" w:themeColor="text1"/>
        </w:rPr>
        <w:t xml:space="preserve">risk disclosure prominence. </w:t>
      </w:r>
    </w:p>
    <w:p w:rsidR="000A3604" w:rsidRPr="00476FC9" w:rsidRDefault="000A3604"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In contrast, as to low DTCA </w:t>
      </w:r>
      <w:r w:rsidR="00CD448D" w:rsidRPr="00476FC9">
        <w:rPr>
          <w:color w:val="000000" w:themeColor="text1"/>
        </w:rPr>
        <w:t xml:space="preserve">regulatory </w:t>
      </w:r>
      <w:r w:rsidRPr="00476FC9">
        <w:rPr>
          <w:color w:val="000000" w:themeColor="text1"/>
        </w:rPr>
        <w:t xml:space="preserve">knowledge consumers, </w:t>
      </w:r>
      <w:r w:rsidR="004B1F67" w:rsidRPr="00476FC9">
        <w:rPr>
          <w:color w:val="000000" w:themeColor="text1"/>
        </w:rPr>
        <w:t xml:space="preserve">their </w:t>
      </w:r>
      <w:r w:rsidRPr="00476FC9">
        <w:rPr>
          <w:color w:val="000000" w:themeColor="text1"/>
        </w:rPr>
        <w:t xml:space="preserve">limited cognitive </w:t>
      </w:r>
      <w:r w:rsidR="0055752B" w:rsidRPr="00476FC9">
        <w:rPr>
          <w:color w:val="000000" w:themeColor="text1"/>
        </w:rPr>
        <w:t>resources</w:t>
      </w:r>
      <w:r w:rsidRPr="00476FC9">
        <w:rPr>
          <w:color w:val="000000" w:themeColor="text1"/>
        </w:rPr>
        <w:t xml:space="preserve"> will result in more reliance on risk disclosure prominence to reduce their cognitive burden</w:t>
      </w:r>
      <w:r w:rsidR="004B1F67" w:rsidRPr="00476FC9">
        <w:rPr>
          <w:color w:val="000000" w:themeColor="text1"/>
        </w:rPr>
        <w:t xml:space="preserve"> required for locating and processing risk disclosure</w:t>
      </w:r>
      <w:r w:rsidR="0055752B" w:rsidRPr="00476FC9">
        <w:rPr>
          <w:color w:val="000000" w:themeColor="text1"/>
        </w:rPr>
        <w:t xml:space="preserve"> to </w:t>
      </w:r>
      <w:r w:rsidR="009B564D" w:rsidRPr="00476FC9">
        <w:rPr>
          <w:color w:val="000000" w:themeColor="text1"/>
        </w:rPr>
        <w:t xml:space="preserve">improve </w:t>
      </w:r>
      <w:r w:rsidR="0055752B" w:rsidRPr="00476FC9">
        <w:rPr>
          <w:i/>
          <w:color w:val="000000" w:themeColor="text1"/>
        </w:rPr>
        <w:t>cognitive efficiency</w:t>
      </w:r>
      <w:r w:rsidRPr="00476FC9">
        <w:rPr>
          <w:color w:val="000000" w:themeColor="text1"/>
        </w:rPr>
        <w:t xml:space="preserve">. </w:t>
      </w:r>
      <w:r w:rsidR="0055752B" w:rsidRPr="00476FC9">
        <w:rPr>
          <w:color w:val="000000" w:themeColor="text1"/>
        </w:rPr>
        <w:t>W</w:t>
      </w:r>
      <w:r w:rsidRPr="00476FC9">
        <w:rPr>
          <w:color w:val="000000" w:themeColor="text1"/>
        </w:rPr>
        <w:t xml:space="preserve">hen risk disclosure is </w:t>
      </w:r>
      <w:r w:rsidR="004B1F67" w:rsidRPr="00476FC9">
        <w:rPr>
          <w:color w:val="000000" w:themeColor="text1"/>
        </w:rPr>
        <w:t xml:space="preserve">presented </w:t>
      </w:r>
      <w:r w:rsidRPr="00476FC9">
        <w:rPr>
          <w:color w:val="000000" w:themeColor="text1"/>
        </w:rPr>
        <w:t>more prominent</w:t>
      </w:r>
      <w:r w:rsidR="004B1F67" w:rsidRPr="00476FC9">
        <w:rPr>
          <w:color w:val="000000" w:themeColor="text1"/>
        </w:rPr>
        <w:t>ly</w:t>
      </w:r>
      <w:r w:rsidRPr="00476FC9">
        <w:rPr>
          <w:color w:val="000000" w:themeColor="text1"/>
        </w:rPr>
        <w:t xml:space="preserve">, </w:t>
      </w:r>
      <w:r w:rsidR="0055752B" w:rsidRPr="00476FC9">
        <w:rPr>
          <w:color w:val="000000" w:themeColor="text1"/>
        </w:rPr>
        <w:t>those with low DTCA regulatory knowledge</w:t>
      </w:r>
      <w:r w:rsidRPr="00476FC9">
        <w:rPr>
          <w:color w:val="000000" w:themeColor="text1"/>
        </w:rPr>
        <w:t xml:space="preserve"> will be more capable of attending and memorizing risk information, whereas when risk disclosure is </w:t>
      </w:r>
      <w:r w:rsidR="0055752B" w:rsidRPr="00476FC9">
        <w:rPr>
          <w:color w:val="000000" w:themeColor="text1"/>
        </w:rPr>
        <w:t xml:space="preserve">presented </w:t>
      </w:r>
      <w:r w:rsidRPr="00476FC9">
        <w:rPr>
          <w:color w:val="000000" w:themeColor="text1"/>
        </w:rPr>
        <w:t xml:space="preserve">less </w:t>
      </w:r>
      <w:r w:rsidR="0055752B" w:rsidRPr="00476FC9">
        <w:rPr>
          <w:color w:val="000000" w:themeColor="text1"/>
        </w:rPr>
        <w:t>prominently</w:t>
      </w:r>
      <w:r w:rsidRPr="00476FC9">
        <w:rPr>
          <w:color w:val="000000" w:themeColor="text1"/>
        </w:rPr>
        <w:t>, they will be less capable</w:t>
      </w:r>
      <w:r w:rsidR="004B1F67" w:rsidRPr="00476FC9">
        <w:rPr>
          <w:color w:val="000000" w:themeColor="text1"/>
        </w:rPr>
        <w:t xml:space="preserve"> of locating and memorizing risk information</w:t>
      </w:r>
      <w:r w:rsidRPr="00476FC9">
        <w:rPr>
          <w:color w:val="000000" w:themeColor="text1"/>
        </w:rPr>
        <w:t>.</w:t>
      </w:r>
    </w:p>
    <w:p w:rsidR="000A3604" w:rsidRPr="00476FC9" w:rsidRDefault="000A3604" w:rsidP="007D2ACE">
      <w:pPr>
        <w:keepNext w:val="0"/>
        <w:widowControl w:val="0"/>
        <w:kinsoku w:val="0"/>
        <w:overflowPunct w:val="0"/>
        <w:autoSpaceDE w:val="0"/>
        <w:autoSpaceDN w:val="0"/>
        <w:adjustRightInd w:val="0"/>
        <w:snapToGrid w:val="0"/>
        <w:spacing w:before="0" w:after="0"/>
        <w:rPr>
          <w:bCs w:val="0"/>
          <w:color w:val="000000" w:themeColor="text1"/>
        </w:rPr>
      </w:pPr>
      <w:r w:rsidRPr="00476FC9">
        <w:rPr>
          <w:color w:val="000000" w:themeColor="text1"/>
        </w:rPr>
        <w:tab/>
        <w:t xml:space="preserve">Taken together, </w:t>
      </w:r>
      <w:r w:rsidR="00EB1FEC" w:rsidRPr="00476FC9">
        <w:rPr>
          <w:color w:val="000000" w:themeColor="text1"/>
        </w:rPr>
        <w:t>DTCA regulatory knowledge</w:t>
      </w:r>
      <w:r w:rsidRPr="00476FC9">
        <w:rPr>
          <w:color w:val="000000" w:themeColor="text1"/>
        </w:rPr>
        <w:t xml:space="preserve"> may moderate the risk disclosure prominence effects</w:t>
      </w:r>
      <w:r w:rsidR="004B1F67" w:rsidRPr="00476FC9">
        <w:rPr>
          <w:color w:val="000000" w:themeColor="text1"/>
        </w:rPr>
        <w:t xml:space="preserve"> on consumer response</w:t>
      </w:r>
      <w:r w:rsidR="009D4810" w:rsidRPr="00476FC9">
        <w:rPr>
          <w:color w:val="000000" w:themeColor="text1"/>
        </w:rPr>
        <w:t xml:space="preserve"> to the ad</w:t>
      </w:r>
      <w:r w:rsidRPr="00476FC9">
        <w:rPr>
          <w:color w:val="000000" w:themeColor="text1"/>
        </w:rPr>
        <w:t xml:space="preserve">. </w:t>
      </w:r>
      <w:r w:rsidR="004B1F67" w:rsidRPr="00476FC9">
        <w:rPr>
          <w:color w:val="000000" w:themeColor="text1"/>
        </w:rPr>
        <w:t xml:space="preserve">Those with </w:t>
      </w:r>
      <w:r w:rsidRPr="00476FC9">
        <w:rPr>
          <w:color w:val="000000" w:themeColor="text1"/>
        </w:rPr>
        <w:t>low DTCA</w:t>
      </w:r>
      <w:r w:rsidR="0055752B" w:rsidRPr="00476FC9">
        <w:rPr>
          <w:color w:val="000000" w:themeColor="text1"/>
        </w:rPr>
        <w:t xml:space="preserve"> regulatory</w:t>
      </w:r>
      <w:r w:rsidRPr="00476FC9">
        <w:rPr>
          <w:color w:val="000000" w:themeColor="text1"/>
        </w:rPr>
        <w:t xml:space="preserve"> knowledge may </w:t>
      </w:r>
      <w:r w:rsidR="004B1F67" w:rsidRPr="00476FC9">
        <w:rPr>
          <w:color w:val="000000" w:themeColor="text1"/>
        </w:rPr>
        <w:t>rely more on d</w:t>
      </w:r>
      <w:r w:rsidRPr="00476FC9">
        <w:rPr>
          <w:color w:val="000000" w:themeColor="text1"/>
        </w:rPr>
        <w:t xml:space="preserve">isclosure prominence, such that more prominent disclosures </w:t>
      </w:r>
      <w:r w:rsidR="009D4810" w:rsidRPr="00476FC9">
        <w:rPr>
          <w:color w:val="000000" w:themeColor="text1"/>
        </w:rPr>
        <w:t>are more likely to</w:t>
      </w:r>
      <w:r w:rsidRPr="00476FC9">
        <w:rPr>
          <w:color w:val="000000" w:themeColor="text1"/>
        </w:rPr>
        <w:t xml:space="preserve"> attract </w:t>
      </w:r>
      <w:r w:rsidR="009D4810" w:rsidRPr="00476FC9">
        <w:rPr>
          <w:color w:val="000000" w:themeColor="text1"/>
        </w:rPr>
        <w:t xml:space="preserve">low knowledge </w:t>
      </w:r>
      <w:r w:rsidRPr="00476FC9">
        <w:rPr>
          <w:color w:val="000000" w:themeColor="text1"/>
        </w:rPr>
        <w:t>consumer</w:t>
      </w:r>
      <w:r w:rsidR="009D4810" w:rsidRPr="00476FC9">
        <w:rPr>
          <w:color w:val="000000" w:themeColor="text1"/>
        </w:rPr>
        <w:t>s’</w:t>
      </w:r>
      <w:r w:rsidRPr="00476FC9">
        <w:rPr>
          <w:color w:val="000000" w:themeColor="text1"/>
        </w:rPr>
        <w:t xml:space="preserve"> attention to </w:t>
      </w:r>
      <w:r w:rsidR="009D4810" w:rsidRPr="00476FC9">
        <w:rPr>
          <w:color w:val="000000" w:themeColor="text1"/>
        </w:rPr>
        <w:t xml:space="preserve">risk disclosure, </w:t>
      </w:r>
      <w:r w:rsidRPr="00476FC9">
        <w:rPr>
          <w:color w:val="000000" w:themeColor="text1"/>
        </w:rPr>
        <w:t xml:space="preserve">and thereby lead to enhanced memory of </w:t>
      </w:r>
      <w:r w:rsidR="00085F3D" w:rsidRPr="00476FC9">
        <w:rPr>
          <w:color w:val="000000" w:themeColor="text1"/>
        </w:rPr>
        <w:t xml:space="preserve">health </w:t>
      </w:r>
      <w:r w:rsidRPr="00476FC9">
        <w:rPr>
          <w:color w:val="000000" w:themeColor="text1"/>
        </w:rPr>
        <w:t>risk information</w:t>
      </w:r>
      <w:r w:rsidR="00085F3D" w:rsidRPr="00476FC9">
        <w:rPr>
          <w:color w:val="000000" w:themeColor="text1"/>
        </w:rPr>
        <w:t xml:space="preserve">, including </w:t>
      </w:r>
      <w:r w:rsidRPr="00476FC9">
        <w:rPr>
          <w:color w:val="000000" w:themeColor="text1"/>
        </w:rPr>
        <w:t xml:space="preserve">recall and recognition. In contrast, among high DTCA </w:t>
      </w:r>
      <w:r w:rsidR="0055752B" w:rsidRPr="00476FC9">
        <w:rPr>
          <w:color w:val="000000" w:themeColor="text1"/>
        </w:rPr>
        <w:t xml:space="preserve">regulatory </w:t>
      </w:r>
      <w:r w:rsidRPr="00476FC9">
        <w:rPr>
          <w:color w:val="000000" w:themeColor="text1"/>
        </w:rPr>
        <w:t xml:space="preserve">knowledge consumers, the prominence effects will be diluted, because highly knowledgeable consumers’ </w:t>
      </w:r>
      <w:r w:rsidR="004B1F67" w:rsidRPr="00476FC9">
        <w:rPr>
          <w:color w:val="000000" w:themeColor="text1"/>
        </w:rPr>
        <w:t xml:space="preserve">search selectivity and memory performance </w:t>
      </w:r>
      <w:r w:rsidRPr="00476FC9">
        <w:rPr>
          <w:color w:val="000000" w:themeColor="text1"/>
        </w:rPr>
        <w:t xml:space="preserve">will be </w:t>
      </w:r>
      <w:r w:rsidR="009B564D" w:rsidRPr="00476FC9">
        <w:rPr>
          <w:color w:val="000000" w:themeColor="text1"/>
        </w:rPr>
        <w:t xml:space="preserve">consistently </w:t>
      </w:r>
      <w:r w:rsidR="00E829B6" w:rsidRPr="00476FC9">
        <w:rPr>
          <w:color w:val="000000" w:themeColor="text1"/>
        </w:rPr>
        <w:t>high</w:t>
      </w:r>
      <w:r w:rsidR="009B564D" w:rsidRPr="00476FC9">
        <w:rPr>
          <w:color w:val="000000" w:themeColor="text1"/>
        </w:rPr>
        <w:t xml:space="preserve"> across </w:t>
      </w:r>
      <w:r w:rsidRPr="00476FC9">
        <w:rPr>
          <w:color w:val="000000" w:themeColor="text1"/>
        </w:rPr>
        <w:t>varying levels of prominence.</w:t>
      </w:r>
      <w:r w:rsidR="004B1F67" w:rsidRPr="00476FC9">
        <w:rPr>
          <w:color w:val="000000" w:themeColor="text1"/>
        </w:rPr>
        <w:t xml:space="preserve"> Therefore, the following hypothesis can be raised:</w:t>
      </w:r>
    </w:p>
    <w:p w:rsidR="000A3604" w:rsidRPr="00476FC9" w:rsidRDefault="000A3604" w:rsidP="007D2ACE">
      <w:pPr>
        <w:keepNext w:val="0"/>
        <w:widowControl w:val="0"/>
        <w:kinsoku w:val="0"/>
        <w:overflowPunct w:val="0"/>
        <w:autoSpaceDE w:val="0"/>
        <w:autoSpaceDN w:val="0"/>
        <w:adjustRightInd w:val="0"/>
        <w:snapToGrid w:val="0"/>
        <w:spacing w:before="0" w:after="0" w:line="240" w:lineRule="auto"/>
        <w:ind w:left="1170" w:hanging="450"/>
        <w:rPr>
          <w:b/>
          <w:color w:val="000000" w:themeColor="text1"/>
        </w:rPr>
      </w:pPr>
      <w:r w:rsidRPr="00476FC9">
        <w:rPr>
          <w:b/>
          <w:color w:val="000000" w:themeColor="text1"/>
        </w:rPr>
        <w:t>H</w:t>
      </w:r>
      <w:r w:rsidR="006F0197" w:rsidRPr="00476FC9">
        <w:rPr>
          <w:b/>
          <w:color w:val="000000" w:themeColor="text1"/>
        </w:rPr>
        <w:t>7</w:t>
      </w:r>
      <w:r w:rsidRPr="00476FC9">
        <w:rPr>
          <w:b/>
          <w:color w:val="000000" w:themeColor="text1"/>
        </w:rPr>
        <w:t xml:space="preserve">: DTCA </w:t>
      </w:r>
      <w:r w:rsidR="0055752B" w:rsidRPr="00476FC9">
        <w:rPr>
          <w:b/>
          <w:color w:val="000000" w:themeColor="text1"/>
        </w:rPr>
        <w:t xml:space="preserve">regulatory </w:t>
      </w:r>
      <w:r w:rsidRPr="00476FC9">
        <w:rPr>
          <w:b/>
          <w:color w:val="000000" w:themeColor="text1"/>
        </w:rPr>
        <w:t>knowledge will</w:t>
      </w:r>
      <w:r w:rsidR="00CE2404" w:rsidRPr="00476FC9">
        <w:rPr>
          <w:b/>
          <w:color w:val="000000" w:themeColor="text1"/>
        </w:rPr>
        <w:t xml:space="preserve"> </w:t>
      </w:r>
      <w:r w:rsidRPr="00476FC9">
        <w:rPr>
          <w:b/>
          <w:color w:val="000000" w:themeColor="text1"/>
        </w:rPr>
        <w:t>moderate the risk disclosure prominence effects on</w:t>
      </w:r>
      <w:r w:rsidR="00F83F82" w:rsidRPr="00476FC9">
        <w:rPr>
          <w:b/>
          <w:color w:val="000000" w:themeColor="text1"/>
        </w:rPr>
        <w:t>: (a) perceived attention to risk disclosure; (b) recall; and (c) recognition</w:t>
      </w:r>
      <w:r w:rsidR="00417374" w:rsidRPr="00476FC9">
        <w:rPr>
          <w:b/>
          <w:color w:val="000000" w:themeColor="text1"/>
        </w:rPr>
        <w:t xml:space="preserve"> of health risk information</w:t>
      </w:r>
      <w:r w:rsidR="00F83F82" w:rsidRPr="00476FC9">
        <w:rPr>
          <w:b/>
          <w:color w:val="000000" w:themeColor="text1"/>
        </w:rPr>
        <w:t>,</w:t>
      </w:r>
      <w:r w:rsidR="00476DCD" w:rsidRPr="00476FC9">
        <w:rPr>
          <w:b/>
          <w:color w:val="000000" w:themeColor="text1"/>
        </w:rPr>
        <w:t xml:space="preserve"> such that </w:t>
      </w:r>
      <w:r w:rsidR="00991AC5" w:rsidRPr="00476FC9">
        <w:rPr>
          <w:b/>
          <w:color w:val="000000" w:themeColor="text1"/>
        </w:rPr>
        <w:t xml:space="preserve">low </w:t>
      </w:r>
      <w:r w:rsidR="001254AE" w:rsidRPr="00476FC9">
        <w:rPr>
          <w:b/>
          <w:color w:val="000000" w:themeColor="text1"/>
        </w:rPr>
        <w:t xml:space="preserve">DTCA regulatory </w:t>
      </w:r>
      <w:r w:rsidR="00991AC5" w:rsidRPr="00476FC9">
        <w:rPr>
          <w:b/>
          <w:color w:val="000000" w:themeColor="text1"/>
        </w:rPr>
        <w:t xml:space="preserve">knowledge consumers will show greater </w:t>
      </w:r>
      <w:r w:rsidR="00F83F82" w:rsidRPr="00476FC9">
        <w:rPr>
          <w:b/>
          <w:color w:val="000000" w:themeColor="text1"/>
        </w:rPr>
        <w:t>prominence effects</w:t>
      </w:r>
      <w:r w:rsidR="00991AC5" w:rsidRPr="00476FC9">
        <w:rPr>
          <w:b/>
          <w:color w:val="000000" w:themeColor="text1"/>
        </w:rPr>
        <w:t>, whereas high</w:t>
      </w:r>
      <w:r w:rsidR="001254AE" w:rsidRPr="00476FC9">
        <w:rPr>
          <w:b/>
          <w:color w:val="000000" w:themeColor="text1"/>
        </w:rPr>
        <w:t xml:space="preserve"> DTCA regulatory </w:t>
      </w:r>
      <w:r w:rsidR="00991AC5" w:rsidRPr="00476FC9">
        <w:rPr>
          <w:b/>
          <w:color w:val="000000" w:themeColor="text1"/>
        </w:rPr>
        <w:t xml:space="preserve">knowledge consumers will show </w:t>
      </w:r>
      <w:r w:rsidR="00716E2F" w:rsidRPr="00476FC9">
        <w:rPr>
          <w:b/>
          <w:color w:val="000000" w:themeColor="text1"/>
        </w:rPr>
        <w:t>minimal</w:t>
      </w:r>
      <w:r w:rsidR="00991AC5" w:rsidRPr="00476FC9">
        <w:rPr>
          <w:b/>
          <w:color w:val="000000" w:themeColor="text1"/>
        </w:rPr>
        <w:t xml:space="preserve"> prominence effects</w:t>
      </w:r>
      <w:r w:rsidR="000F23AF" w:rsidRPr="00476FC9">
        <w:rPr>
          <w:b/>
          <w:color w:val="000000" w:themeColor="text1"/>
        </w:rPr>
        <w:t>.</w:t>
      </w:r>
    </w:p>
    <w:p w:rsidR="00E829B6" w:rsidRPr="00476FC9" w:rsidRDefault="00E829B6" w:rsidP="007D2ACE">
      <w:pPr>
        <w:keepNext w:val="0"/>
        <w:widowControl w:val="0"/>
        <w:kinsoku w:val="0"/>
        <w:overflowPunct w:val="0"/>
        <w:autoSpaceDE w:val="0"/>
        <w:autoSpaceDN w:val="0"/>
        <w:adjustRightInd w:val="0"/>
        <w:snapToGrid w:val="0"/>
        <w:spacing w:before="0" w:after="0"/>
        <w:outlineLvl w:val="9"/>
        <w:rPr>
          <w:b/>
          <w:bCs w:val="0"/>
          <w:color w:val="000000" w:themeColor="text1"/>
          <w:szCs w:val="20"/>
        </w:rPr>
      </w:pPr>
    </w:p>
    <w:p w:rsidR="007D2ACE" w:rsidRDefault="007D2ACE" w:rsidP="007D2ACE">
      <w:pPr>
        <w:pStyle w:val="Heading3"/>
        <w:widowControl w:val="0"/>
        <w:kinsoku w:val="0"/>
        <w:overflowPunct w:val="0"/>
        <w:autoSpaceDE w:val="0"/>
        <w:autoSpaceDN w:val="0"/>
        <w:snapToGrid w:val="0"/>
        <w:contextualSpacing w:val="0"/>
        <w:rPr>
          <w:color w:val="000000" w:themeColor="text1"/>
        </w:rPr>
      </w:pPr>
    </w:p>
    <w:p w:rsidR="000F1F4B" w:rsidRPr="00476FC9" w:rsidRDefault="00476DCD" w:rsidP="007D2ACE">
      <w:pPr>
        <w:pStyle w:val="Heading3"/>
        <w:widowControl w:val="0"/>
        <w:kinsoku w:val="0"/>
        <w:overflowPunct w:val="0"/>
        <w:autoSpaceDE w:val="0"/>
        <w:autoSpaceDN w:val="0"/>
        <w:snapToGrid w:val="0"/>
        <w:contextualSpacing w:val="0"/>
        <w:rPr>
          <w:color w:val="000000" w:themeColor="text1"/>
        </w:rPr>
      </w:pPr>
      <w:bookmarkStart w:id="26" w:name="_Toc393800673"/>
      <w:r w:rsidRPr="00476FC9">
        <w:rPr>
          <w:color w:val="000000" w:themeColor="text1"/>
        </w:rPr>
        <w:lastRenderedPageBreak/>
        <w:t>The Mediating Role of Perceived Attention</w:t>
      </w:r>
      <w:r w:rsidR="000F23AF" w:rsidRPr="00476FC9">
        <w:rPr>
          <w:color w:val="000000" w:themeColor="text1"/>
        </w:rPr>
        <w:t xml:space="preserve"> (Mediating Effects)</w:t>
      </w:r>
      <w:bookmarkEnd w:id="26"/>
    </w:p>
    <w:p w:rsidR="00A52EE5" w:rsidRPr="00476FC9" w:rsidRDefault="000F1F4B"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863553" w:rsidRPr="00476FC9">
        <w:rPr>
          <w:color w:val="000000" w:themeColor="text1"/>
        </w:rPr>
        <w:t xml:space="preserve">The foregoing sections </w:t>
      </w:r>
      <w:r w:rsidR="00093961" w:rsidRPr="00476FC9">
        <w:rPr>
          <w:color w:val="000000" w:themeColor="text1"/>
        </w:rPr>
        <w:t>address</w:t>
      </w:r>
      <w:r w:rsidR="00863553" w:rsidRPr="00476FC9">
        <w:rPr>
          <w:color w:val="000000" w:themeColor="text1"/>
        </w:rPr>
        <w:t xml:space="preserve"> that </w:t>
      </w:r>
      <w:r w:rsidR="006749BA" w:rsidRPr="00476FC9">
        <w:rPr>
          <w:color w:val="000000" w:themeColor="text1"/>
        </w:rPr>
        <w:t xml:space="preserve">certain </w:t>
      </w:r>
      <w:r w:rsidR="007C1B7B" w:rsidRPr="00476FC9">
        <w:rPr>
          <w:color w:val="000000" w:themeColor="text1"/>
        </w:rPr>
        <w:t xml:space="preserve">formats and methods for presenting information can affect </w:t>
      </w:r>
      <w:r w:rsidR="00A52EE5" w:rsidRPr="00476FC9">
        <w:rPr>
          <w:color w:val="000000" w:themeColor="text1"/>
        </w:rPr>
        <w:t>consumers’ perceived</w:t>
      </w:r>
      <w:r w:rsidR="007C1B7B" w:rsidRPr="00476FC9">
        <w:rPr>
          <w:color w:val="000000" w:themeColor="text1"/>
        </w:rPr>
        <w:t xml:space="preserve"> ease with </w:t>
      </w:r>
      <w:r w:rsidR="005073D3" w:rsidRPr="00476FC9">
        <w:rPr>
          <w:color w:val="000000" w:themeColor="text1"/>
        </w:rPr>
        <w:t xml:space="preserve">information </w:t>
      </w:r>
      <w:r w:rsidR="007C1B7B" w:rsidRPr="00476FC9">
        <w:rPr>
          <w:color w:val="000000" w:themeColor="text1"/>
        </w:rPr>
        <w:t>processing.</w:t>
      </w:r>
      <w:r w:rsidR="005073D3" w:rsidRPr="00476FC9">
        <w:rPr>
          <w:color w:val="000000" w:themeColor="text1"/>
        </w:rPr>
        <w:t xml:space="preserve"> </w:t>
      </w:r>
      <w:r w:rsidR="00863553" w:rsidRPr="00476FC9">
        <w:rPr>
          <w:color w:val="000000" w:themeColor="text1"/>
        </w:rPr>
        <w:t xml:space="preserve">For this reason, </w:t>
      </w:r>
      <w:r w:rsidR="007C1B7B" w:rsidRPr="00476FC9">
        <w:rPr>
          <w:color w:val="000000" w:themeColor="text1"/>
        </w:rPr>
        <w:t xml:space="preserve">Bettman, Payne, and Stalein (1986) suggest </w:t>
      </w:r>
      <w:r w:rsidR="005073D3" w:rsidRPr="00476FC9">
        <w:rPr>
          <w:color w:val="000000" w:themeColor="text1"/>
        </w:rPr>
        <w:t xml:space="preserve">that </w:t>
      </w:r>
      <w:r w:rsidR="007C1B7B" w:rsidRPr="00476FC9">
        <w:rPr>
          <w:color w:val="000000" w:themeColor="text1"/>
        </w:rPr>
        <w:t xml:space="preserve">advertisers need to </w:t>
      </w:r>
      <w:r w:rsidR="006749BA" w:rsidRPr="00476FC9">
        <w:rPr>
          <w:color w:val="000000" w:themeColor="text1"/>
        </w:rPr>
        <w:t xml:space="preserve">present product information in a way to </w:t>
      </w:r>
      <w:r w:rsidR="007C1B7B" w:rsidRPr="00476FC9">
        <w:rPr>
          <w:color w:val="000000" w:themeColor="text1"/>
        </w:rPr>
        <w:t xml:space="preserve">reduce </w:t>
      </w:r>
      <w:r w:rsidR="00A52EE5" w:rsidRPr="00476FC9">
        <w:rPr>
          <w:color w:val="000000" w:themeColor="text1"/>
        </w:rPr>
        <w:t xml:space="preserve">consumers’ </w:t>
      </w:r>
      <w:r w:rsidR="007C1B7B" w:rsidRPr="00476FC9">
        <w:rPr>
          <w:color w:val="000000" w:themeColor="text1"/>
        </w:rPr>
        <w:t xml:space="preserve">cognitive effort/time </w:t>
      </w:r>
      <w:r w:rsidR="006749BA" w:rsidRPr="00476FC9">
        <w:rPr>
          <w:color w:val="000000" w:themeColor="text1"/>
        </w:rPr>
        <w:t>required</w:t>
      </w:r>
      <w:r w:rsidR="007C1B7B" w:rsidRPr="00476FC9">
        <w:rPr>
          <w:color w:val="000000" w:themeColor="text1"/>
        </w:rPr>
        <w:t xml:space="preserve"> to locate and retrieve information.</w:t>
      </w:r>
      <w:r w:rsidR="00863553" w:rsidRPr="00476FC9">
        <w:rPr>
          <w:color w:val="000000" w:themeColor="text1"/>
        </w:rPr>
        <w:t xml:space="preserve"> </w:t>
      </w:r>
      <w:r w:rsidR="006749BA" w:rsidRPr="00476FC9">
        <w:rPr>
          <w:color w:val="000000" w:themeColor="text1"/>
        </w:rPr>
        <w:t xml:space="preserve">As a proxy measure of objective attention, perceived attention represents one type of indicator for cognitive fluency and examining this construct may provide insight into </w:t>
      </w:r>
      <w:r w:rsidR="00DB35A8" w:rsidRPr="00476FC9">
        <w:rPr>
          <w:color w:val="000000" w:themeColor="text1"/>
        </w:rPr>
        <w:t>through</w:t>
      </w:r>
      <w:r w:rsidR="006749BA" w:rsidRPr="00476FC9">
        <w:rPr>
          <w:color w:val="000000" w:themeColor="text1"/>
        </w:rPr>
        <w:t xml:space="preserve"> what mechanism the effects of </w:t>
      </w:r>
      <w:r w:rsidR="00DB35A8" w:rsidRPr="00476FC9">
        <w:rPr>
          <w:color w:val="000000" w:themeColor="text1"/>
        </w:rPr>
        <w:t xml:space="preserve">DTCA regulatory knowledge, </w:t>
      </w:r>
      <w:r w:rsidR="006749BA" w:rsidRPr="00476FC9">
        <w:rPr>
          <w:color w:val="000000" w:themeColor="text1"/>
        </w:rPr>
        <w:t>risk disclosure prominence, and their interplay on consumer information retrievability</w:t>
      </w:r>
      <w:r w:rsidR="00DB35A8" w:rsidRPr="00476FC9">
        <w:rPr>
          <w:color w:val="000000" w:themeColor="text1"/>
        </w:rPr>
        <w:t xml:space="preserve"> operates</w:t>
      </w:r>
      <w:r w:rsidR="006749BA" w:rsidRPr="00476FC9">
        <w:rPr>
          <w:color w:val="000000" w:themeColor="text1"/>
        </w:rPr>
        <w:t>.</w:t>
      </w:r>
    </w:p>
    <w:p w:rsidR="005F1D5B" w:rsidRPr="00476FC9" w:rsidRDefault="00A52EE5"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DB57EB" w:rsidRPr="00476FC9">
        <w:rPr>
          <w:color w:val="000000" w:themeColor="text1"/>
        </w:rPr>
        <w:t xml:space="preserve">In general, higher attention is </w:t>
      </w:r>
      <w:r w:rsidR="00D857CB" w:rsidRPr="00476FC9">
        <w:rPr>
          <w:color w:val="000000" w:themeColor="text1"/>
        </w:rPr>
        <w:t>expected</w:t>
      </w:r>
      <w:r w:rsidR="006749BA" w:rsidRPr="00476FC9">
        <w:rPr>
          <w:color w:val="000000" w:themeColor="text1"/>
        </w:rPr>
        <w:t xml:space="preserve"> to lead to </w:t>
      </w:r>
      <w:r w:rsidR="00D857CB" w:rsidRPr="00476FC9">
        <w:rPr>
          <w:color w:val="000000" w:themeColor="text1"/>
        </w:rPr>
        <w:t xml:space="preserve">greater </w:t>
      </w:r>
      <w:r w:rsidR="00B819F4" w:rsidRPr="00476FC9">
        <w:rPr>
          <w:color w:val="000000" w:themeColor="text1"/>
        </w:rPr>
        <w:t>memory</w:t>
      </w:r>
      <w:r w:rsidR="00A4263B" w:rsidRPr="00476FC9">
        <w:rPr>
          <w:color w:val="000000" w:themeColor="text1"/>
        </w:rPr>
        <w:t xml:space="preserve"> </w:t>
      </w:r>
      <w:r w:rsidR="00D857CB" w:rsidRPr="00476FC9">
        <w:rPr>
          <w:color w:val="000000" w:themeColor="text1"/>
        </w:rPr>
        <w:t xml:space="preserve">of information </w:t>
      </w:r>
      <w:r w:rsidR="00A4263B" w:rsidRPr="00476FC9">
        <w:rPr>
          <w:color w:val="000000" w:themeColor="text1"/>
        </w:rPr>
        <w:t xml:space="preserve">(Goodrich, 2011). This is because </w:t>
      </w:r>
      <w:r w:rsidR="00D857CB" w:rsidRPr="00476FC9">
        <w:rPr>
          <w:color w:val="000000" w:themeColor="text1"/>
        </w:rPr>
        <w:t xml:space="preserve">more intensively attended and encoded information is more likely to be retrieved from </w:t>
      </w:r>
      <w:r w:rsidR="00A4263B" w:rsidRPr="00476FC9">
        <w:rPr>
          <w:color w:val="000000" w:themeColor="text1"/>
        </w:rPr>
        <w:t>memory</w:t>
      </w:r>
      <w:r w:rsidR="00D857CB" w:rsidRPr="00476FC9">
        <w:rPr>
          <w:color w:val="000000" w:themeColor="text1"/>
        </w:rPr>
        <w:t xml:space="preserve"> </w:t>
      </w:r>
      <w:r w:rsidR="00A4263B" w:rsidRPr="00476FC9">
        <w:rPr>
          <w:color w:val="000000" w:themeColor="text1"/>
        </w:rPr>
        <w:t xml:space="preserve">(Pieters, Warlop, &amp; Wedel, 2002). </w:t>
      </w:r>
      <w:r w:rsidR="00D857CB" w:rsidRPr="00476FC9">
        <w:rPr>
          <w:color w:val="000000" w:themeColor="text1"/>
        </w:rPr>
        <w:t xml:space="preserve">In this regard, some researchers view that </w:t>
      </w:r>
      <w:r w:rsidR="00B819F4" w:rsidRPr="00476FC9">
        <w:rPr>
          <w:color w:val="000000" w:themeColor="text1"/>
        </w:rPr>
        <w:t>enhanced information readability</w:t>
      </w:r>
      <w:r w:rsidR="00A4263B" w:rsidRPr="00476FC9">
        <w:rPr>
          <w:color w:val="000000" w:themeColor="text1"/>
        </w:rPr>
        <w:t xml:space="preserve"> </w:t>
      </w:r>
      <w:r w:rsidR="00B819F4" w:rsidRPr="00476FC9">
        <w:rPr>
          <w:color w:val="000000" w:themeColor="text1"/>
        </w:rPr>
        <w:t>in terms of design</w:t>
      </w:r>
      <w:r w:rsidR="00553FD9" w:rsidRPr="00476FC9">
        <w:rPr>
          <w:color w:val="000000" w:themeColor="text1"/>
        </w:rPr>
        <w:t xml:space="preserve"> can </w:t>
      </w:r>
      <w:r w:rsidR="00D857CB" w:rsidRPr="00476FC9">
        <w:rPr>
          <w:color w:val="000000" w:themeColor="text1"/>
        </w:rPr>
        <w:t>improve</w:t>
      </w:r>
      <w:r w:rsidR="00A4263B" w:rsidRPr="00476FC9">
        <w:rPr>
          <w:color w:val="000000" w:themeColor="text1"/>
        </w:rPr>
        <w:t xml:space="preserve"> </w:t>
      </w:r>
      <w:r w:rsidR="00B819F4" w:rsidRPr="00476FC9">
        <w:rPr>
          <w:color w:val="000000" w:themeColor="text1"/>
        </w:rPr>
        <w:t xml:space="preserve">memory </w:t>
      </w:r>
      <w:r w:rsidR="00D857CB" w:rsidRPr="00476FC9">
        <w:rPr>
          <w:color w:val="000000" w:themeColor="text1"/>
        </w:rPr>
        <w:t xml:space="preserve">performance </w:t>
      </w:r>
      <w:r w:rsidR="00A4263B" w:rsidRPr="00476FC9">
        <w:rPr>
          <w:color w:val="000000" w:themeColor="text1"/>
        </w:rPr>
        <w:t>of the ad</w:t>
      </w:r>
      <w:r w:rsidR="00D857CB" w:rsidRPr="00476FC9">
        <w:rPr>
          <w:color w:val="000000" w:themeColor="text1"/>
        </w:rPr>
        <w:t xml:space="preserve"> and brand</w:t>
      </w:r>
      <w:r w:rsidR="00A4263B" w:rsidRPr="00476FC9">
        <w:rPr>
          <w:color w:val="000000" w:themeColor="text1"/>
        </w:rPr>
        <w:t xml:space="preserve"> (Moore, Stammerjohan, &amp; Coulter, 2005). </w:t>
      </w:r>
      <w:r w:rsidR="00B819F4" w:rsidRPr="00476FC9">
        <w:rPr>
          <w:color w:val="000000" w:themeColor="text1"/>
        </w:rPr>
        <w:t>Therefore, a</w:t>
      </w:r>
      <w:r w:rsidR="00544A6E" w:rsidRPr="00476FC9">
        <w:rPr>
          <w:color w:val="000000" w:themeColor="text1"/>
        </w:rPr>
        <w:t xml:space="preserve">ttention to </w:t>
      </w:r>
      <w:r w:rsidR="00B819F4" w:rsidRPr="00476FC9">
        <w:rPr>
          <w:color w:val="000000" w:themeColor="text1"/>
        </w:rPr>
        <w:t xml:space="preserve">elements in </w:t>
      </w:r>
      <w:r w:rsidR="00544A6E" w:rsidRPr="00476FC9">
        <w:rPr>
          <w:color w:val="000000" w:themeColor="text1"/>
        </w:rPr>
        <w:t xml:space="preserve">advertising has been suggested as an important mediator of </w:t>
      </w:r>
      <w:r w:rsidR="00B819F4" w:rsidRPr="00476FC9">
        <w:rPr>
          <w:color w:val="000000" w:themeColor="text1"/>
        </w:rPr>
        <w:t xml:space="preserve">subsequent advertising </w:t>
      </w:r>
      <w:r w:rsidR="00544A6E" w:rsidRPr="00476FC9">
        <w:rPr>
          <w:color w:val="000000" w:themeColor="text1"/>
        </w:rPr>
        <w:t>effectiveness outcomes, including recall, attitudes, and purchase intentions (Mackenzie, 1986) and knowledge obtained from the ad (Chaffee &amp; Schleuder, 1986).</w:t>
      </w:r>
      <w:r w:rsidR="00B819F4" w:rsidRPr="00476FC9">
        <w:rPr>
          <w:color w:val="000000" w:themeColor="text1"/>
        </w:rPr>
        <w:t xml:space="preserve"> </w:t>
      </w:r>
    </w:p>
    <w:p w:rsidR="00DB57EB" w:rsidRPr="00476FC9" w:rsidRDefault="00B819F4"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Extending this perspective to </w:t>
      </w:r>
      <w:r w:rsidR="005F1D5B" w:rsidRPr="00476FC9">
        <w:rPr>
          <w:color w:val="000000" w:themeColor="text1"/>
        </w:rPr>
        <w:t>the context of</w:t>
      </w:r>
      <w:r w:rsidRPr="00476FC9">
        <w:rPr>
          <w:color w:val="000000" w:themeColor="text1"/>
        </w:rPr>
        <w:t xml:space="preserve"> DTCA regulatory knowledge, enhanced perceived attention resulting from higher DTCA regulatory knowledge</w:t>
      </w:r>
      <w:r w:rsidR="005F1D5B" w:rsidRPr="00476FC9">
        <w:rPr>
          <w:color w:val="000000" w:themeColor="text1"/>
        </w:rPr>
        <w:t xml:space="preserve"> </w:t>
      </w:r>
      <w:r w:rsidR="00553FD9" w:rsidRPr="00476FC9">
        <w:rPr>
          <w:color w:val="000000" w:themeColor="text1"/>
        </w:rPr>
        <w:t xml:space="preserve">and prominent risk disclosure </w:t>
      </w:r>
      <w:r w:rsidR="005F1D5B" w:rsidRPr="00476FC9">
        <w:rPr>
          <w:color w:val="000000" w:themeColor="text1"/>
        </w:rPr>
        <w:t xml:space="preserve">may also strengthen subsequent memory performance of risk </w:t>
      </w:r>
      <w:r w:rsidR="00553FD9" w:rsidRPr="00476FC9">
        <w:rPr>
          <w:color w:val="000000" w:themeColor="text1"/>
        </w:rPr>
        <w:t>information,</w:t>
      </w:r>
      <w:r w:rsidR="005F1D5B" w:rsidRPr="00476FC9">
        <w:rPr>
          <w:color w:val="000000" w:themeColor="text1"/>
        </w:rPr>
        <w:t xml:space="preserve"> and further the interactive effects between </w:t>
      </w:r>
      <w:r w:rsidR="00553FD9" w:rsidRPr="00476FC9">
        <w:rPr>
          <w:color w:val="000000" w:themeColor="text1"/>
        </w:rPr>
        <w:t xml:space="preserve">DTCA regulatory knowledge and </w:t>
      </w:r>
      <w:r w:rsidR="005F1D5B" w:rsidRPr="00476FC9">
        <w:rPr>
          <w:color w:val="000000" w:themeColor="text1"/>
        </w:rPr>
        <w:t xml:space="preserve">risk disclosure prominence will be mediated through perceived attention on memory. In particular, given the moderating role of </w:t>
      </w:r>
      <w:r w:rsidR="005F1D5B" w:rsidRPr="00476FC9">
        <w:rPr>
          <w:color w:val="000000" w:themeColor="text1"/>
        </w:rPr>
        <w:lastRenderedPageBreak/>
        <w:t xml:space="preserve">DTCA regulatory knowledge on the prominence effects, it is speculated that the mediating role of perceived attention will be substantial </w:t>
      </w:r>
      <w:r w:rsidR="00553FD9" w:rsidRPr="00476FC9">
        <w:rPr>
          <w:color w:val="000000" w:themeColor="text1"/>
        </w:rPr>
        <w:t>for the prominence effects among</w:t>
      </w:r>
      <w:r w:rsidR="005F1D5B" w:rsidRPr="00476FC9">
        <w:rPr>
          <w:color w:val="000000" w:themeColor="text1"/>
        </w:rPr>
        <w:t xml:space="preserve"> low DTCA regulatory knowledge </w:t>
      </w:r>
      <w:r w:rsidR="00553FD9" w:rsidRPr="00476FC9">
        <w:rPr>
          <w:color w:val="000000" w:themeColor="text1"/>
        </w:rPr>
        <w:t>consumers</w:t>
      </w:r>
      <w:r w:rsidR="005F1D5B" w:rsidRPr="00476FC9">
        <w:rPr>
          <w:color w:val="000000" w:themeColor="text1"/>
        </w:rPr>
        <w:t xml:space="preserve">, whereas the mediating effects of perceived attention </w:t>
      </w:r>
      <w:r w:rsidR="00553FD9" w:rsidRPr="00476FC9">
        <w:rPr>
          <w:color w:val="000000" w:themeColor="text1"/>
        </w:rPr>
        <w:t xml:space="preserve">for the prominence effects </w:t>
      </w:r>
      <w:r w:rsidR="005F1D5B" w:rsidRPr="00476FC9">
        <w:rPr>
          <w:color w:val="000000" w:themeColor="text1"/>
        </w:rPr>
        <w:t xml:space="preserve">will be diluted </w:t>
      </w:r>
      <w:r w:rsidR="00553FD9" w:rsidRPr="00476FC9">
        <w:rPr>
          <w:color w:val="000000" w:themeColor="text1"/>
        </w:rPr>
        <w:t xml:space="preserve">among high </w:t>
      </w:r>
      <w:r w:rsidR="005F1D5B" w:rsidRPr="00476FC9">
        <w:rPr>
          <w:color w:val="000000" w:themeColor="text1"/>
        </w:rPr>
        <w:t xml:space="preserve">DTCA regulatory knowledge </w:t>
      </w:r>
      <w:r w:rsidR="00553FD9" w:rsidRPr="00476FC9">
        <w:rPr>
          <w:color w:val="000000" w:themeColor="text1"/>
        </w:rPr>
        <w:t>consumers</w:t>
      </w:r>
      <w:r w:rsidR="005F1D5B" w:rsidRPr="00476FC9">
        <w:rPr>
          <w:color w:val="000000" w:themeColor="text1"/>
        </w:rPr>
        <w:t xml:space="preserve">, indicating a moderated-mediation relationship.  </w:t>
      </w:r>
    </w:p>
    <w:p w:rsidR="007C1B7B" w:rsidRPr="00476FC9" w:rsidRDefault="009273A3" w:rsidP="007D2ACE">
      <w:pPr>
        <w:keepNext w:val="0"/>
        <w:widowControl w:val="0"/>
        <w:kinsoku w:val="0"/>
        <w:overflowPunct w:val="0"/>
        <w:autoSpaceDE w:val="0"/>
        <w:autoSpaceDN w:val="0"/>
        <w:adjustRightInd w:val="0"/>
        <w:snapToGrid w:val="0"/>
        <w:spacing w:before="0"/>
        <w:ind w:firstLine="720"/>
        <w:rPr>
          <w:color w:val="000000" w:themeColor="text1"/>
        </w:rPr>
      </w:pPr>
      <w:r w:rsidRPr="00476FC9">
        <w:rPr>
          <w:color w:val="000000" w:themeColor="text1"/>
        </w:rPr>
        <w:t xml:space="preserve">Based on the </w:t>
      </w:r>
      <w:r w:rsidR="00B819F4" w:rsidRPr="00476FC9">
        <w:rPr>
          <w:color w:val="000000" w:themeColor="text1"/>
        </w:rPr>
        <w:t>foregoing discussion</w:t>
      </w:r>
      <w:r w:rsidR="00DD3A86" w:rsidRPr="00476FC9">
        <w:rPr>
          <w:color w:val="000000" w:themeColor="text1"/>
        </w:rPr>
        <w:t xml:space="preserve">, </w:t>
      </w:r>
      <w:r w:rsidR="00863553" w:rsidRPr="00476FC9">
        <w:rPr>
          <w:color w:val="000000" w:themeColor="text1"/>
        </w:rPr>
        <w:t xml:space="preserve">perceived attention may mediate the </w:t>
      </w:r>
      <w:r w:rsidR="005F1D5B" w:rsidRPr="00476FC9">
        <w:rPr>
          <w:color w:val="000000" w:themeColor="text1"/>
        </w:rPr>
        <w:t xml:space="preserve">effects of </w:t>
      </w:r>
      <w:r w:rsidR="00553FD9" w:rsidRPr="00476FC9">
        <w:rPr>
          <w:color w:val="000000" w:themeColor="text1"/>
        </w:rPr>
        <w:t xml:space="preserve">DTCA regulatory knowledge, </w:t>
      </w:r>
      <w:r w:rsidR="005F1D5B" w:rsidRPr="00476FC9">
        <w:rPr>
          <w:color w:val="000000" w:themeColor="text1"/>
        </w:rPr>
        <w:t xml:space="preserve">risk disclosure </w:t>
      </w:r>
      <w:r w:rsidR="00863553" w:rsidRPr="00476FC9">
        <w:rPr>
          <w:color w:val="000000" w:themeColor="text1"/>
        </w:rPr>
        <w:t xml:space="preserve">prominence, and their interactive effects on consumers’ </w:t>
      </w:r>
      <w:r w:rsidR="00402135" w:rsidRPr="00476FC9">
        <w:rPr>
          <w:color w:val="000000" w:themeColor="text1"/>
        </w:rPr>
        <w:t>memory</w:t>
      </w:r>
      <w:r w:rsidR="00863553" w:rsidRPr="00476FC9">
        <w:rPr>
          <w:color w:val="000000" w:themeColor="text1"/>
        </w:rPr>
        <w:t xml:space="preserve"> performance such as recall and recognition </w:t>
      </w:r>
      <w:r w:rsidR="00942570" w:rsidRPr="00476FC9">
        <w:rPr>
          <w:color w:val="000000" w:themeColor="text1"/>
        </w:rPr>
        <w:t>(</w:t>
      </w:r>
      <w:r w:rsidRPr="00476FC9">
        <w:rPr>
          <w:color w:val="000000" w:themeColor="text1"/>
        </w:rPr>
        <w:t xml:space="preserve">Bettman et al., 1986; </w:t>
      </w:r>
      <w:r w:rsidR="00942570" w:rsidRPr="00476FC9">
        <w:rPr>
          <w:color w:val="000000" w:themeColor="text1"/>
        </w:rPr>
        <w:t>Sheehan, 2007)</w:t>
      </w:r>
      <w:r w:rsidR="00DD650D" w:rsidRPr="00476FC9">
        <w:rPr>
          <w:color w:val="000000" w:themeColor="text1"/>
        </w:rPr>
        <w:t>.</w:t>
      </w:r>
      <w:r w:rsidRPr="00476FC9">
        <w:rPr>
          <w:color w:val="000000" w:themeColor="text1"/>
        </w:rPr>
        <w:t xml:space="preserve"> </w:t>
      </w:r>
      <w:r w:rsidR="005F1D5B" w:rsidRPr="00476FC9">
        <w:rPr>
          <w:color w:val="000000" w:themeColor="text1"/>
        </w:rPr>
        <w:t xml:space="preserve">Therefore, </w:t>
      </w:r>
      <w:r w:rsidRPr="00476FC9">
        <w:rPr>
          <w:color w:val="000000" w:themeColor="text1"/>
        </w:rPr>
        <w:t>t</w:t>
      </w:r>
      <w:r w:rsidR="00942570" w:rsidRPr="00476FC9">
        <w:rPr>
          <w:color w:val="000000" w:themeColor="text1"/>
        </w:rPr>
        <w:t>he following hypotheses can be raised:</w:t>
      </w:r>
    </w:p>
    <w:p w:rsidR="00BF73B6" w:rsidRPr="00476FC9" w:rsidRDefault="00F051E2" w:rsidP="007D2ACE">
      <w:pPr>
        <w:keepNext w:val="0"/>
        <w:widowControl w:val="0"/>
        <w:kinsoku w:val="0"/>
        <w:overflowPunct w:val="0"/>
        <w:autoSpaceDE w:val="0"/>
        <w:autoSpaceDN w:val="0"/>
        <w:adjustRightInd w:val="0"/>
        <w:snapToGrid w:val="0"/>
        <w:spacing w:before="0" w:after="0" w:line="240" w:lineRule="auto"/>
        <w:ind w:left="1170" w:hanging="450"/>
        <w:rPr>
          <w:b/>
          <w:color w:val="000000" w:themeColor="text1"/>
        </w:rPr>
      </w:pPr>
      <w:r w:rsidRPr="00476FC9">
        <w:rPr>
          <w:b/>
          <w:color w:val="000000" w:themeColor="text1"/>
        </w:rPr>
        <w:t>H</w:t>
      </w:r>
      <w:r w:rsidR="00DD650D" w:rsidRPr="00476FC9">
        <w:rPr>
          <w:b/>
          <w:color w:val="000000" w:themeColor="text1"/>
        </w:rPr>
        <w:t>8</w:t>
      </w:r>
      <w:r w:rsidRPr="00476FC9">
        <w:rPr>
          <w:b/>
          <w:color w:val="000000" w:themeColor="text1"/>
        </w:rPr>
        <w:t xml:space="preserve">: </w:t>
      </w:r>
      <w:r w:rsidR="00BF73B6" w:rsidRPr="00476FC9">
        <w:rPr>
          <w:b/>
          <w:color w:val="000000" w:themeColor="text1"/>
        </w:rPr>
        <w:t>Perceived attention to risk disclosure will positively mediate the effects of risk disclosure prominence on consumer (a) recall and (b) recognition</w:t>
      </w:r>
      <w:r w:rsidR="000F23AF" w:rsidRPr="00476FC9">
        <w:rPr>
          <w:b/>
          <w:color w:val="000000" w:themeColor="text1"/>
        </w:rPr>
        <w:t xml:space="preserve"> of health risk information</w:t>
      </w:r>
      <w:r w:rsidR="00BF73B6" w:rsidRPr="00476FC9">
        <w:rPr>
          <w:b/>
          <w:color w:val="000000" w:themeColor="text1"/>
        </w:rPr>
        <w:t>.</w:t>
      </w:r>
    </w:p>
    <w:p w:rsidR="002A2A11" w:rsidRPr="00476FC9" w:rsidRDefault="002A2A11" w:rsidP="007D2ACE">
      <w:pPr>
        <w:keepNext w:val="0"/>
        <w:widowControl w:val="0"/>
        <w:kinsoku w:val="0"/>
        <w:overflowPunct w:val="0"/>
        <w:autoSpaceDE w:val="0"/>
        <w:autoSpaceDN w:val="0"/>
        <w:adjustRightInd w:val="0"/>
        <w:snapToGrid w:val="0"/>
        <w:spacing w:before="0" w:after="0" w:line="240" w:lineRule="auto"/>
        <w:ind w:left="1170" w:hanging="450"/>
        <w:rPr>
          <w:b/>
          <w:color w:val="000000" w:themeColor="text1"/>
        </w:rPr>
      </w:pPr>
    </w:p>
    <w:p w:rsidR="002A2A11" w:rsidRPr="00476FC9" w:rsidRDefault="002A2A11" w:rsidP="007D2ACE">
      <w:pPr>
        <w:keepNext w:val="0"/>
        <w:widowControl w:val="0"/>
        <w:kinsoku w:val="0"/>
        <w:overflowPunct w:val="0"/>
        <w:autoSpaceDE w:val="0"/>
        <w:autoSpaceDN w:val="0"/>
        <w:adjustRightInd w:val="0"/>
        <w:snapToGrid w:val="0"/>
        <w:spacing w:before="0" w:after="0" w:line="240" w:lineRule="auto"/>
        <w:ind w:left="1170" w:hanging="450"/>
        <w:rPr>
          <w:b/>
          <w:color w:val="000000" w:themeColor="text1"/>
        </w:rPr>
      </w:pPr>
      <w:r w:rsidRPr="00476FC9">
        <w:rPr>
          <w:b/>
          <w:color w:val="000000" w:themeColor="text1"/>
        </w:rPr>
        <w:t>H</w:t>
      </w:r>
      <w:r w:rsidR="00DD650D" w:rsidRPr="00476FC9">
        <w:rPr>
          <w:b/>
          <w:color w:val="000000" w:themeColor="text1"/>
        </w:rPr>
        <w:t>9</w:t>
      </w:r>
      <w:r w:rsidRPr="00476FC9">
        <w:rPr>
          <w:b/>
          <w:color w:val="000000" w:themeColor="text1"/>
        </w:rPr>
        <w:t>: Perceived attention to risk disclosure will positively mediate the effects of DTCA</w:t>
      </w:r>
      <w:r w:rsidR="003D29EC" w:rsidRPr="00476FC9">
        <w:rPr>
          <w:b/>
          <w:color w:val="000000" w:themeColor="text1"/>
        </w:rPr>
        <w:t xml:space="preserve"> regulatory</w:t>
      </w:r>
      <w:r w:rsidRPr="00476FC9">
        <w:rPr>
          <w:b/>
          <w:color w:val="000000" w:themeColor="text1"/>
        </w:rPr>
        <w:t xml:space="preserve"> knowledge on consumer (a) recall and (b) recognition</w:t>
      </w:r>
      <w:r w:rsidR="000F23AF" w:rsidRPr="00476FC9">
        <w:rPr>
          <w:b/>
          <w:color w:val="000000" w:themeColor="text1"/>
        </w:rPr>
        <w:t xml:space="preserve"> of health risk information</w:t>
      </w:r>
      <w:r w:rsidRPr="00476FC9">
        <w:rPr>
          <w:b/>
          <w:color w:val="000000" w:themeColor="text1"/>
        </w:rPr>
        <w:t>.</w:t>
      </w:r>
    </w:p>
    <w:p w:rsidR="00BF73B6" w:rsidRPr="00476FC9" w:rsidRDefault="00BF73B6" w:rsidP="007D2ACE">
      <w:pPr>
        <w:keepNext w:val="0"/>
        <w:widowControl w:val="0"/>
        <w:kinsoku w:val="0"/>
        <w:overflowPunct w:val="0"/>
        <w:autoSpaceDE w:val="0"/>
        <w:autoSpaceDN w:val="0"/>
        <w:adjustRightInd w:val="0"/>
        <w:snapToGrid w:val="0"/>
        <w:spacing w:before="0" w:after="0" w:line="240" w:lineRule="auto"/>
        <w:ind w:left="1170" w:hanging="450"/>
        <w:rPr>
          <w:b/>
          <w:color w:val="000000" w:themeColor="text1"/>
        </w:rPr>
      </w:pPr>
    </w:p>
    <w:p w:rsidR="00942570" w:rsidRPr="00476FC9" w:rsidRDefault="00BF73B6" w:rsidP="007D2ACE">
      <w:pPr>
        <w:keepNext w:val="0"/>
        <w:widowControl w:val="0"/>
        <w:kinsoku w:val="0"/>
        <w:overflowPunct w:val="0"/>
        <w:autoSpaceDE w:val="0"/>
        <w:autoSpaceDN w:val="0"/>
        <w:adjustRightInd w:val="0"/>
        <w:snapToGrid w:val="0"/>
        <w:spacing w:before="0" w:after="0" w:line="240" w:lineRule="auto"/>
        <w:ind w:left="1170" w:hanging="450"/>
        <w:rPr>
          <w:color w:val="000000" w:themeColor="text1"/>
        </w:rPr>
      </w:pPr>
      <w:r w:rsidRPr="00476FC9">
        <w:rPr>
          <w:b/>
          <w:color w:val="000000" w:themeColor="text1"/>
        </w:rPr>
        <w:t>H</w:t>
      </w:r>
      <w:r w:rsidR="00DD650D" w:rsidRPr="00476FC9">
        <w:rPr>
          <w:b/>
          <w:color w:val="000000" w:themeColor="text1"/>
        </w:rPr>
        <w:t>10</w:t>
      </w:r>
      <w:r w:rsidRPr="00476FC9">
        <w:rPr>
          <w:b/>
          <w:color w:val="000000" w:themeColor="text1"/>
        </w:rPr>
        <w:t xml:space="preserve">: </w:t>
      </w:r>
      <w:r w:rsidR="00F051E2" w:rsidRPr="00476FC9">
        <w:rPr>
          <w:b/>
          <w:color w:val="000000" w:themeColor="text1"/>
        </w:rPr>
        <w:t xml:space="preserve">Perceived attention to risk disclosure will </w:t>
      </w:r>
      <w:r w:rsidR="00F1629B" w:rsidRPr="00476FC9">
        <w:rPr>
          <w:b/>
          <w:color w:val="000000" w:themeColor="text1"/>
        </w:rPr>
        <w:t xml:space="preserve">positively </w:t>
      </w:r>
      <w:r w:rsidR="00F051E2" w:rsidRPr="00476FC9">
        <w:rPr>
          <w:b/>
          <w:color w:val="000000" w:themeColor="text1"/>
        </w:rPr>
        <w:t xml:space="preserve">mediate the interactive effects of risk disclosure prominence and DTCA </w:t>
      </w:r>
      <w:r w:rsidR="003D29EC" w:rsidRPr="00476FC9">
        <w:rPr>
          <w:b/>
          <w:color w:val="000000" w:themeColor="text1"/>
        </w:rPr>
        <w:t xml:space="preserve">regulatory </w:t>
      </w:r>
      <w:r w:rsidR="00F051E2" w:rsidRPr="00476FC9">
        <w:rPr>
          <w:b/>
          <w:color w:val="000000" w:themeColor="text1"/>
        </w:rPr>
        <w:t>knowledge on consumer</w:t>
      </w:r>
      <w:r w:rsidR="000F23AF" w:rsidRPr="00476FC9">
        <w:rPr>
          <w:b/>
          <w:color w:val="000000" w:themeColor="text1"/>
        </w:rPr>
        <w:t xml:space="preserve"> (a) recall and (b) recognition of health risk information.</w:t>
      </w:r>
    </w:p>
    <w:p w:rsidR="007C1B7B" w:rsidRPr="00476FC9" w:rsidRDefault="007C1B7B" w:rsidP="007D2ACE">
      <w:pPr>
        <w:keepNext w:val="0"/>
        <w:widowControl w:val="0"/>
        <w:kinsoku w:val="0"/>
        <w:overflowPunct w:val="0"/>
        <w:autoSpaceDE w:val="0"/>
        <w:autoSpaceDN w:val="0"/>
        <w:adjustRightInd w:val="0"/>
        <w:snapToGrid w:val="0"/>
        <w:spacing w:before="0" w:after="0"/>
        <w:rPr>
          <w:color w:val="000000" w:themeColor="text1"/>
        </w:rPr>
      </w:pPr>
    </w:p>
    <w:p w:rsidR="00C43503" w:rsidRPr="00476FC9" w:rsidRDefault="00F051E2"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The</w:t>
      </w:r>
      <w:r w:rsidR="00C41CD2" w:rsidRPr="00476FC9">
        <w:rPr>
          <w:color w:val="000000" w:themeColor="text1"/>
        </w:rPr>
        <w:t xml:space="preserve"> </w:t>
      </w:r>
      <w:r w:rsidRPr="00476FC9">
        <w:rPr>
          <w:color w:val="000000" w:themeColor="text1"/>
        </w:rPr>
        <w:t xml:space="preserve">research </w:t>
      </w:r>
      <w:r w:rsidR="00E271C5" w:rsidRPr="00476FC9">
        <w:rPr>
          <w:color w:val="000000" w:themeColor="text1"/>
        </w:rPr>
        <w:t>hypotheses</w:t>
      </w:r>
      <w:r w:rsidR="005F1D5B" w:rsidRPr="00476FC9">
        <w:rPr>
          <w:color w:val="000000" w:themeColor="text1"/>
        </w:rPr>
        <w:t xml:space="preserve"> of the current </w:t>
      </w:r>
      <w:r w:rsidR="00553FD9" w:rsidRPr="00476FC9">
        <w:rPr>
          <w:color w:val="000000" w:themeColor="text1"/>
        </w:rPr>
        <w:t>research</w:t>
      </w:r>
      <w:r w:rsidR="00E271C5" w:rsidRPr="00476FC9">
        <w:rPr>
          <w:color w:val="000000" w:themeColor="text1"/>
        </w:rPr>
        <w:t xml:space="preserve"> are </w:t>
      </w:r>
      <w:r w:rsidRPr="00476FC9">
        <w:rPr>
          <w:color w:val="000000" w:themeColor="text1"/>
        </w:rPr>
        <w:t xml:space="preserve">summarized in </w:t>
      </w:r>
      <w:r w:rsidR="00E42886" w:rsidRPr="00476FC9">
        <w:rPr>
          <w:color w:val="000000" w:themeColor="text1"/>
        </w:rPr>
        <w:t>Table 1</w:t>
      </w:r>
      <w:r w:rsidR="0076116E" w:rsidRPr="00476FC9">
        <w:rPr>
          <w:color w:val="000000" w:themeColor="text1"/>
        </w:rPr>
        <w:t>. In addition, the conceptual framework of the research is illustrated in Figure 1.</w:t>
      </w:r>
    </w:p>
    <w:p w:rsidR="00BF73B6" w:rsidRPr="00476FC9" w:rsidRDefault="00BF73B6" w:rsidP="007D2ACE">
      <w:pPr>
        <w:keepNext w:val="0"/>
        <w:widowControl w:val="0"/>
        <w:kinsoku w:val="0"/>
        <w:overflowPunct w:val="0"/>
        <w:autoSpaceDE w:val="0"/>
        <w:autoSpaceDN w:val="0"/>
        <w:adjustRightInd w:val="0"/>
        <w:snapToGrid w:val="0"/>
        <w:spacing w:before="0" w:after="0" w:line="240" w:lineRule="auto"/>
        <w:outlineLvl w:val="9"/>
        <w:rPr>
          <w:color w:val="000000" w:themeColor="text1"/>
        </w:rPr>
      </w:pPr>
      <w:r w:rsidRPr="00476FC9">
        <w:rPr>
          <w:color w:val="000000" w:themeColor="text1"/>
        </w:rPr>
        <w:br w:type="page"/>
      </w:r>
    </w:p>
    <w:p w:rsidR="00BA7D25" w:rsidRPr="00476FC9" w:rsidRDefault="00C77B30" w:rsidP="007D2ACE">
      <w:pPr>
        <w:pStyle w:val="Caption"/>
        <w:keepNext w:val="0"/>
        <w:widowControl w:val="0"/>
        <w:kinsoku w:val="0"/>
        <w:overflowPunct w:val="0"/>
        <w:autoSpaceDE w:val="0"/>
        <w:autoSpaceDN w:val="0"/>
        <w:adjustRightInd w:val="0"/>
        <w:snapToGrid w:val="0"/>
        <w:rPr>
          <w:color w:val="000000" w:themeColor="text1"/>
        </w:rPr>
      </w:pPr>
      <w:bookmarkStart w:id="27" w:name="_Toc393800633"/>
      <w:r w:rsidRPr="00476FC9">
        <w:rPr>
          <w:color w:val="000000" w:themeColor="text1"/>
        </w:rPr>
        <w:lastRenderedPageBreak/>
        <w:t xml:space="preserve">Table </w:t>
      </w:r>
      <w:r w:rsidR="00037CF4" w:rsidRPr="00476FC9">
        <w:rPr>
          <w:color w:val="000000" w:themeColor="text1"/>
        </w:rPr>
        <w:fldChar w:fldCharType="begin"/>
      </w:r>
      <w:r w:rsidR="00037CF4" w:rsidRPr="00476FC9">
        <w:rPr>
          <w:color w:val="000000" w:themeColor="text1"/>
        </w:rPr>
        <w:instrText xml:space="preserve"> SEQ Table \* ARABIC </w:instrText>
      </w:r>
      <w:r w:rsidR="00037CF4" w:rsidRPr="00476FC9">
        <w:rPr>
          <w:color w:val="000000" w:themeColor="text1"/>
        </w:rPr>
        <w:fldChar w:fldCharType="separate"/>
      </w:r>
      <w:r w:rsidR="00E02362" w:rsidRPr="00476FC9">
        <w:rPr>
          <w:noProof/>
          <w:color w:val="000000" w:themeColor="text1"/>
        </w:rPr>
        <w:t>1</w:t>
      </w:r>
      <w:r w:rsidR="00037CF4" w:rsidRPr="00476FC9">
        <w:rPr>
          <w:noProof/>
          <w:color w:val="000000" w:themeColor="text1"/>
        </w:rPr>
        <w:fldChar w:fldCharType="end"/>
      </w:r>
      <w:r w:rsidR="00C14F10" w:rsidRPr="00476FC9">
        <w:rPr>
          <w:color w:val="000000" w:themeColor="text1"/>
        </w:rPr>
        <w:t xml:space="preserve">. </w:t>
      </w:r>
      <w:r w:rsidR="00F1629B" w:rsidRPr="00476FC9">
        <w:rPr>
          <w:color w:val="000000" w:themeColor="text1"/>
        </w:rPr>
        <w:t xml:space="preserve">Summary of </w:t>
      </w:r>
      <w:r w:rsidR="00F051E2" w:rsidRPr="00476FC9">
        <w:rPr>
          <w:color w:val="000000" w:themeColor="text1"/>
        </w:rPr>
        <w:t xml:space="preserve">Research </w:t>
      </w:r>
      <w:r w:rsidR="006151A6" w:rsidRPr="00476FC9">
        <w:rPr>
          <w:color w:val="000000" w:themeColor="text1"/>
        </w:rPr>
        <w:t>Hypotheses</w:t>
      </w:r>
      <w:bookmarkEnd w:id="27"/>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476FC9" w:rsidRPr="00476FC9" w:rsidTr="00A2540C">
        <w:tc>
          <w:tcPr>
            <w:tcW w:w="5000" w:type="pct"/>
            <w:tcBorders>
              <w:top w:val="single" w:sz="4" w:space="0" w:color="auto"/>
              <w:bottom w:val="single" w:sz="4" w:space="0" w:color="auto"/>
            </w:tcBorders>
          </w:tcPr>
          <w:p w:rsidR="00BA7D25" w:rsidRPr="00476FC9" w:rsidRDefault="00BA7D25" w:rsidP="007D2ACE">
            <w:pPr>
              <w:keepNext w:val="0"/>
              <w:widowControl w:val="0"/>
              <w:kinsoku w:val="0"/>
              <w:overflowPunct w:val="0"/>
              <w:autoSpaceDE w:val="0"/>
              <w:autoSpaceDN w:val="0"/>
              <w:adjustRightInd w:val="0"/>
              <w:snapToGrid w:val="0"/>
              <w:spacing w:before="0" w:after="0" w:line="240" w:lineRule="auto"/>
              <w:rPr>
                <w:b/>
                <w:color w:val="000000" w:themeColor="text1"/>
                <w:szCs w:val="24"/>
              </w:rPr>
            </w:pPr>
            <w:r w:rsidRPr="00476FC9">
              <w:rPr>
                <w:b/>
                <w:color w:val="000000" w:themeColor="text1"/>
                <w:szCs w:val="24"/>
              </w:rPr>
              <w:t xml:space="preserve">Risk Disclosure Prominence </w:t>
            </w:r>
            <w:r w:rsidR="00F051E2" w:rsidRPr="00476FC9">
              <w:rPr>
                <w:b/>
                <w:color w:val="000000" w:themeColor="text1"/>
                <w:szCs w:val="24"/>
              </w:rPr>
              <w:t>Main Effects</w:t>
            </w:r>
            <w:r w:rsidRPr="00476FC9">
              <w:rPr>
                <w:b/>
                <w:color w:val="000000" w:themeColor="text1"/>
                <w:szCs w:val="24"/>
              </w:rPr>
              <w:t>:</w:t>
            </w:r>
          </w:p>
          <w:p w:rsidR="00BA7D25" w:rsidRPr="00476FC9" w:rsidRDefault="00BA7D25" w:rsidP="007D2ACE">
            <w:pPr>
              <w:keepNext w:val="0"/>
              <w:widowControl w:val="0"/>
              <w:kinsoku w:val="0"/>
              <w:overflowPunct w:val="0"/>
              <w:autoSpaceDE w:val="0"/>
              <w:autoSpaceDN w:val="0"/>
              <w:adjustRightInd w:val="0"/>
              <w:snapToGrid w:val="0"/>
              <w:spacing w:before="0" w:after="0" w:line="240" w:lineRule="auto"/>
              <w:rPr>
                <w:b/>
                <w:bCs w:val="0"/>
                <w:color w:val="000000" w:themeColor="text1"/>
                <w:szCs w:val="24"/>
              </w:rPr>
            </w:pPr>
          </w:p>
        </w:tc>
      </w:tr>
      <w:tr w:rsidR="00476FC9" w:rsidRPr="00476FC9" w:rsidTr="00A2540C">
        <w:tc>
          <w:tcPr>
            <w:tcW w:w="5000" w:type="pct"/>
            <w:tcBorders>
              <w:top w:val="single" w:sz="4" w:space="0" w:color="auto"/>
              <w:bottom w:val="single" w:sz="4" w:space="0" w:color="auto"/>
            </w:tcBorders>
          </w:tcPr>
          <w:p w:rsidR="00BA7D25" w:rsidRPr="00476FC9" w:rsidRDefault="00BA7D25" w:rsidP="007D2ACE">
            <w:pPr>
              <w:keepNext w:val="0"/>
              <w:widowControl w:val="0"/>
              <w:kinsoku w:val="0"/>
              <w:overflowPunct w:val="0"/>
              <w:autoSpaceDE w:val="0"/>
              <w:autoSpaceDN w:val="0"/>
              <w:adjustRightInd w:val="0"/>
              <w:snapToGrid w:val="0"/>
              <w:spacing w:before="0" w:after="0" w:line="240" w:lineRule="auto"/>
              <w:ind w:left="1170" w:hanging="450"/>
              <w:rPr>
                <w:color w:val="000000" w:themeColor="text1"/>
                <w:szCs w:val="24"/>
              </w:rPr>
            </w:pPr>
            <w:r w:rsidRPr="00476FC9">
              <w:rPr>
                <w:b/>
                <w:color w:val="000000" w:themeColor="text1"/>
                <w:szCs w:val="24"/>
              </w:rPr>
              <w:t>H1</w:t>
            </w:r>
            <w:r w:rsidRPr="00476FC9">
              <w:rPr>
                <w:color w:val="000000" w:themeColor="text1"/>
                <w:szCs w:val="24"/>
              </w:rPr>
              <w:t xml:space="preserve">: Higher risk disclosure prominence will lead to greater perceived attention to </w:t>
            </w:r>
            <w:r w:rsidR="00F051E2" w:rsidRPr="00476FC9">
              <w:rPr>
                <w:color w:val="000000" w:themeColor="text1"/>
                <w:szCs w:val="24"/>
              </w:rPr>
              <w:t>risk disclosure</w:t>
            </w:r>
            <w:r w:rsidRPr="00476FC9">
              <w:rPr>
                <w:color w:val="000000" w:themeColor="text1"/>
                <w:szCs w:val="24"/>
              </w:rPr>
              <w:t>.</w:t>
            </w:r>
          </w:p>
          <w:p w:rsidR="00DD650D" w:rsidRPr="00476FC9" w:rsidRDefault="00DD650D" w:rsidP="007D2ACE">
            <w:pPr>
              <w:keepNext w:val="0"/>
              <w:widowControl w:val="0"/>
              <w:kinsoku w:val="0"/>
              <w:overflowPunct w:val="0"/>
              <w:autoSpaceDE w:val="0"/>
              <w:autoSpaceDN w:val="0"/>
              <w:adjustRightInd w:val="0"/>
              <w:snapToGrid w:val="0"/>
              <w:spacing w:before="0" w:after="0" w:line="240" w:lineRule="auto"/>
              <w:ind w:left="1170" w:hanging="450"/>
              <w:rPr>
                <w:b/>
                <w:color w:val="000000" w:themeColor="text1"/>
                <w:szCs w:val="24"/>
              </w:rPr>
            </w:pPr>
          </w:p>
          <w:p w:rsidR="00BA7D25" w:rsidRPr="00476FC9" w:rsidRDefault="00BA7D25" w:rsidP="007D2ACE">
            <w:pPr>
              <w:keepNext w:val="0"/>
              <w:widowControl w:val="0"/>
              <w:kinsoku w:val="0"/>
              <w:overflowPunct w:val="0"/>
              <w:autoSpaceDE w:val="0"/>
              <w:autoSpaceDN w:val="0"/>
              <w:adjustRightInd w:val="0"/>
              <w:snapToGrid w:val="0"/>
              <w:spacing w:before="0" w:after="0" w:line="240" w:lineRule="auto"/>
              <w:ind w:left="1170" w:hanging="450"/>
              <w:rPr>
                <w:color w:val="000000" w:themeColor="text1"/>
                <w:szCs w:val="24"/>
              </w:rPr>
            </w:pPr>
            <w:r w:rsidRPr="00476FC9">
              <w:rPr>
                <w:b/>
                <w:color w:val="000000" w:themeColor="text1"/>
                <w:szCs w:val="24"/>
              </w:rPr>
              <w:t>H2:</w:t>
            </w:r>
            <w:r w:rsidRPr="00476FC9">
              <w:rPr>
                <w:color w:val="000000" w:themeColor="text1"/>
                <w:szCs w:val="24"/>
              </w:rPr>
              <w:t xml:space="preserve"> Higher risk disclosure prominence will lead to greater </w:t>
            </w:r>
            <w:r w:rsidR="00F051E2" w:rsidRPr="00476FC9">
              <w:rPr>
                <w:color w:val="000000" w:themeColor="text1"/>
                <w:szCs w:val="24"/>
              </w:rPr>
              <w:t xml:space="preserve">recall of </w:t>
            </w:r>
            <w:r w:rsidR="000F23AF" w:rsidRPr="00476FC9">
              <w:rPr>
                <w:color w:val="000000" w:themeColor="text1"/>
                <w:szCs w:val="24"/>
              </w:rPr>
              <w:t xml:space="preserve">health </w:t>
            </w:r>
            <w:r w:rsidR="00F051E2" w:rsidRPr="00476FC9">
              <w:rPr>
                <w:color w:val="000000" w:themeColor="text1"/>
                <w:szCs w:val="24"/>
              </w:rPr>
              <w:t>risk information</w:t>
            </w:r>
            <w:r w:rsidRPr="00476FC9">
              <w:rPr>
                <w:color w:val="000000" w:themeColor="text1"/>
                <w:szCs w:val="24"/>
              </w:rPr>
              <w:t>.</w:t>
            </w:r>
          </w:p>
          <w:p w:rsidR="00DD650D" w:rsidRPr="00476FC9" w:rsidRDefault="00DD650D" w:rsidP="007D2ACE">
            <w:pPr>
              <w:keepNext w:val="0"/>
              <w:widowControl w:val="0"/>
              <w:kinsoku w:val="0"/>
              <w:overflowPunct w:val="0"/>
              <w:autoSpaceDE w:val="0"/>
              <w:autoSpaceDN w:val="0"/>
              <w:adjustRightInd w:val="0"/>
              <w:snapToGrid w:val="0"/>
              <w:spacing w:before="0" w:after="0" w:line="240" w:lineRule="auto"/>
              <w:ind w:left="1170" w:hanging="450"/>
              <w:rPr>
                <w:b/>
                <w:color w:val="000000" w:themeColor="text1"/>
                <w:szCs w:val="24"/>
              </w:rPr>
            </w:pPr>
          </w:p>
          <w:p w:rsidR="00BA7D25" w:rsidRPr="00476FC9" w:rsidRDefault="00BA7D25" w:rsidP="007D2ACE">
            <w:pPr>
              <w:keepNext w:val="0"/>
              <w:widowControl w:val="0"/>
              <w:kinsoku w:val="0"/>
              <w:overflowPunct w:val="0"/>
              <w:autoSpaceDE w:val="0"/>
              <w:autoSpaceDN w:val="0"/>
              <w:adjustRightInd w:val="0"/>
              <w:snapToGrid w:val="0"/>
              <w:spacing w:before="0" w:after="0" w:line="240" w:lineRule="auto"/>
              <w:ind w:left="1170" w:hanging="450"/>
              <w:rPr>
                <w:b/>
                <w:bCs w:val="0"/>
                <w:color w:val="000000" w:themeColor="text1"/>
                <w:szCs w:val="24"/>
              </w:rPr>
            </w:pPr>
            <w:r w:rsidRPr="00476FC9">
              <w:rPr>
                <w:b/>
                <w:color w:val="000000" w:themeColor="text1"/>
                <w:szCs w:val="24"/>
              </w:rPr>
              <w:t>H3:</w:t>
            </w:r>
            <w:r w:rsidRPr="00476FC9">
              <w:rPr>
                <w:color w:val="000000" w:themeColor="text1"/>
                <w:szCs w:val="24"/>
              </w:rPr>
              <w:t xml:space="preserve"> Higher risk disclosure prominence will lead to greater</w:t>
            </w:r>
            <w:r w:rsidR="00F051E2" w:rsidRPr="00476FC9">
              <w:rPr>
                <w:color w:val="000000" w:themeColor="text1"/>
                <w:szCs w:val="24"/>
              </w:rPr>
              <w:t xml:space="preserve"> recognition of </w:t>
            </w:r>
            <w:r w:rsidR="000F23AF" w:rsidRPr="00476FC9">
              <w:rPr>
                <w:color w:val="000000" w:themeColor="text1"/>
                <w:szCs w:val="24"/>
              </w:rPr>
              <w:t xml:space="preserve">health </w:t>
            </w:r>
            <w:r w:rsidR="00F051E2" w:rsidRPr="00476FC9">
              <w:rPr>
                <w:color w:val="000000" w:themeColor="text1"/>
                <w:szCs w:val="24"/>
              </w:rPr>
              <w:t>risk information.</w:t>
            </w:r>
          </w:p>
        </w:tc>
      </w:tr>
      <w:tr w:rsidR="00476FC9" w:rsidRPr="00476FC9" w:rsidTr="00A2540C">
        <w:tc>
          <w:tcPr>
            <w:tcW w:w="5000" w:type="pct"/>
            <w:tcBorders>
              <w:top w:val="single" w:sz="4" w:space="0" w:color="auto"/>
              <w:bottom w:val="single" w:sz="4" w:space="0" w:color="auto"/>
            </w:tcBorders>
          </w:tcPr>
          <w:p w:rsidR="00DD650D" w:rsidRPr="00476FC9" w:rsidRDefault="00DD650D" w:rsidP="007D2ACE">
            <w:pPr>
              <w:keepNext w:val="0"/>
              <w:widowControl w:val="0"/>
              <w:kinsoku w:val="0"/>
              <w:overflowPunct w:val="0"/>
              <w:autoSpaceDE w:val="0"/>
              <w:autoSpaceDN w:val="0"/>
              <w:adjustRightInd w:val="0"/>
              <w:snapToGrid w:val="0"/>
              <w:spacing w:before="0" w:after="0" w:line="240" w:lineRule="auto"/>
              <w:rPr>
                <w:b/>
                <w:color w:val="000000" w:themeColor="text1"/>
                <w:szCs w:val="24"/>
              </w:rPr>
            </w:pPr>
            <w:r w:rsidRPr="00476FC9">
              <w:rPr>
                <w:b/>
                <w:color w:val="000000" w:themeColor="text1"/>
                <w:szCs w:val="24"/>
              </w:rPr>
              <w:t xml:space="preserve">DTCA </w:t>
            </w:r>
            <w:r w:rsidR="005F1D5B" w:rsidRPr="00476FC9">
              <w:rPr>
                <w:b/>
                <w:color w:val="000000" w:themeColor="text1"/>
                <w:szCs w:val="24"/>
              </w:rPr>
              <w:t>Regulatory</w:t>
            </w:r>
            <w:r w:rsidRPr="00476FC9">
              <w:rPr>
                <w:b/>
                <w:color w:val="000000" w:themeColor="text1"/>
                <w:szCs w:val="24"/>
              </w:rPr>
              <w:t xml:space="preserve"> Knowledge Main Effects:</w:t>
            </w:r>
          </w:p>
          <w:p w:rsidR="00DD650D" w:rsidRPr="00476FC9" w:rsidRDefault="00DD650D" w:rsidP="007D2ACE">
            <w:pPr>
              <w:keepNext w:val="0"/>
              <w:widowControl w:val="0"/>
              <w:kinsoku w:val="0"/>
              <w:overflowPunct w:val="0"/>
              <w:autoSpaceDE w:val="0"/>
              <w:autoSpaceDN w:val="0"/>
              <w:adjustRightInd w:val="0"/>
              <w:snapToGrid w:val="0"/>
              <w:spacing w:before="0" w:after="0" w:line="240" w:lineRule="auto"/>
              <w:rPr>
                <w:b/>
                <w:color w:val="000000" w:themeColor="text1"/>
                <w:szCs w:val="24"/>
              </w:rPr>
            </w:pPr>
          </w:p>
        </w:tc>
      </w:tr>
      <w:tr w:rsidR="00476FC9" w:rsidRPr="00476FC9" w:rsidTr="00A2540C">
        <w:tc>
          <w:tcPr>
            <w:tcW w:w="5000" w:type="pct"/>
            <w:tcBorders>
              <w:top w:val="single" w:sz="4" w:space="0" w:color="auto"/>
              <w:bottom w:val="single" w:sz="4" w:space="0" w:color="auto"/>
            </w:tcBorders>
          </w:tcPr>
          <w:p w:rsidR="00DD650D" w:rsidRPr="00476FC9" w:rsidRDefault="00DD650D" w:rsidP="007D2ACE">
            <w:pPr>
              <w:keepNext w:val="0"/>
              <w:widowControl w:val="0"/>
              <w:kinsoku w:val="0"/>
              <w:overflowPunct w:val="0"/>
              <w:autoSpaceDE w:val="0"/>
              <w:autoSpaceDN w:val="0"/>
              <w:adjustRightInd w:val="0"/>
              <w:snapToGrid w:val="0"/>
              <w:spacing w:before="0" w:after="0" w:line="240" w:lineRule="auto"/>
              <w:ind w:left="1170" w:hanging="450"/>
              <w:rPr>
                <w:color w:val="000000" w:themeColor="text1"/>
              </w:rPr>
            </w:pPr>
            <w:r w:rsidRPr="00476FC9">
              <w:rPr>
                <w:b/>
                <w:color w:val="000000" w:themeColor="text1"/>
              </w:rPr>
              <w:t>H4:</w:t>
            </w:r>
            <w:r w:rsidRPr="00476FC9">
              <w:rPr>
                <w:color w:val="000000" w:themeColor="text1"/>
              </w:rPr>
              <w:t xml:space="preserve"> Higher DTCA </w:t>
            </w:r>
            <w:r w:rsidR="00553FD9" w:rsidRPr="00476FC9">
              <w:rPr>
                <w:color w:val="000000" w:themeColor="text1"/>
              </w:rPr>
              <w:t xml:space="preserve">regulatory </w:t>
            </w:r>
            <w:r w:rsidRPr="00476FC9">
              <w:rPr>
                <w:color w:val="000000" w:themeColor="text1"/>
              </w:rPr>
              <w:t>knowledge will lead to greater perceived attention to risk disclosure.</w:t>
            </w:r>
          </w:p>
          <w:p w:rsidR="00DD650D" w:rsidRPr="00476FC9" w:rsidRDefault="00DD650D" w:rsidP="007D2ACE">
            <w:pPr>
              <w:keepNext w:val="0"/>
              <w:widowControl w:val="0"/>
              <w:kinsoku w:val="0"/>
              <w:overflowPunct w:val="0"/>
              <w:autoSpaceDE w:val="0"/>
              <w:autoSpaceDN w:val="0"/>
              <w:adjustRightInd w:val="0"/>
              <w:snapToGrid w:val="0"/>
              <w:spacing w:before="0" w:after="0" w:line="240" w:lineRule="auto"/>
              <w:ind w:left="1170" w:hanging="450"/>
              <w:rPr>
                <w:b/>
                <w:color w:val="000000" w:themeColor="text1"/>
              </w:rPr>
            </w:pPr>
          </w:p>
          <w:p w:rsidR="00DD650D" w:rsidRPr="00476FC9" w:rsidRDefault="00DD650D" w:rsidP="007D2ACE">
            <w:pPr>
              <w:keepNext w:val="0"/>
              <w:widowControl w:val="0"/>
              <w:kinsoku w:val="0"/>
              <w:overflowPunct w:val="0"/>
              <w:autoSpaceDE w:val="0"/>
              <w:autoSpaceDN w:val="0"/>
              <w:adjustRightInd w:val="0"/>
              <w:snapToGrid w:val="0"/>
              <w:spacing w:before="0" w:after="0" w:line="240" w:lineRule="auto"/>
              <w:ind w:left="1170" w:hanging="450"/>
              <w:rPr>
                <w:color w:val="000000" w:themeColor="text1"/>
              </w:rPr>
            </w:pPr>
            <w:r w:rsidRPr="00476FC9">
              <w:rPr>
                <w:b/>
                <w:color w:val="000000" w:themeColor="text1"/>
              </w:rPr>
              <w:t>H5:</w:t>
            </w:r>
            <w:r w:rsidRPr="00476FC9">
              <w:rPr>
                <w:color w:val="000000" w:themeColor="text1"/>
              </w:rPr>
              <w:t xml:space="preserve"> Higher DTCA </w:t>
            </w:r>
            <w:r w:rsidR="00553FD9" w:rsidRPr="00476FC9">
              <w:rPr>
                <w:color w:val="000000" w:themeColor="text1"/>
              </w:rPr>
              <w:t xml:space="preserve">regulatory </w:t>
            </w:r>
            <w:r w:rsidRPr="00476FC9">
              <w:rPr>
                <w:color w:val="000000" w:themeColor="text1"/>
              </w:rPr>
              <w:t xml:space="preserve">knowledge will lead to greater recall of </w:t>
            </w:r>
            <w:r w:rsidR="000F23AF" w:rsidRPr="00476FC9">
              <w:rPr>
                <w:color w:val="000000" w:themeColor="text1"/>
                <w:szCs w:val="24"/>
              </w:rPr>
              <w:t>health risk information.</w:t>
            </w:r>
          </w:p>
          <w:p w:rsidR="00DD650D" w:rsidRPr="00476FC9" w:rsidRDefault="00DD650D" w:rsidP="007D2ACE">
            <w:pPr>
              <w:keepNext w:val="0"/>
              <w:widowControl w:val="0"/>
              <w:kinsoku w:val="0"/>
              <w:overflowPunct w:val="0"/>
              <w:autoSpaceDE w:val="0"/>
              <w:autoSpaceDN w:val="0"/>
              <w:adjustRightInd w:val="0"/>
              <w:snapToGrid w:val="0"/>
              <w:spacing w:before="0" w:after="0" w:line="240" w:lineRule="auto"/>
              <w:ind w:left="1170" w:hanging="450"/>
              <w:rPr>
                <w:b/>
                <w:color w:val="000000" w:themeColor="text1"/>
              </w:rPr>
            </w:pPr>
          </w:p>
          <w:p w:rsidR="00DD650D" w:rsidRPr="00476FC9" w:rsidRDefault="00DD650D" w:rsidP="007D2ACE">
            <w:pPr>
              <w:keepNext w:val="0"/>
              <w:widowControl w:val="0"/>
              <w:kinsoku w:val="0"/>
              <w:overflowPunct w:val="0"/>
              <w:autoSpaceDE w:val="0"/>
              <w:autoSpaceDN w:val="0"/>
              <w:adjustRightInd w:val="0"/>
              <w:snapToGrid w:val="0"/>
              <w:spacing w:before="0" w:after="0" w:line="240" w:lineRule="auto"/>
              <w:ind w:left="1170" w:hanging="450"/>
              <w:rPr>
                <w:b/>
                <w:color w:val="000000" w:themeColor="text1"/>
                <w:szCs w:val="24"/>
              </w:rPr>
            </w:pPr>
            <w:r w:rsidRPr="00476FC9">
              <w:rPr>
                <w:b/>
                <w:color w:val="000000" w:themeColor="text1"/>
              </w:rPr>
              <w:t>H6:</w:t>
            </w:r>
            <w:r w:rsidRPr="00476FC9">
              <w:rPr>
                <w:color w:val="000000" w:themeColor="text1"/>
              </w:rPr>
              <w:t xml:space="preserve"> Higher DTCA </w:t>
            </w:r>
            <w:r w:rsidR="00553FD9" w:rsidRPr="00476FC9">
              <w:rPr>
                <w:color w:val="000000" w:themeColor="text1"/>
              </w:rPr>
              <w:t xml:space="preserve">regulatory </w:t>
            </w:r>
            <w:r w:rsidRPr="00476FC9">
              <w:rPr>
                <w:color w:val="000000" w:themeColor="text1"/>
              </w:rPr>
              <w:t xml:space="preserve">knowledge will lead to greater recognition of </w:t>
            </w:r>
            <w:r w:rsidR="000F23AF" w:rsidRPr="00476FC9">
              <w:rPr>
                <w:color w:val="000000" w:themeColor="text1"/>
                <w:szCs w:val="24"/>
              </w:rPr>
              <w:t>health risk information.</w:t>
            </w:r>
          </w:p>
        </w:tc>
      </w:tr>
      <w:tr w:rsidR="00476FC9" w:rsidRPr="00476FC9" w:rsidTr="00A2540C">
        <w:tc>
          <w:tcPr>
            <w:tcW w:w="5000" w:type="pct"/>
            <w:tcBorders>
              <w:top w:val="single" w:sz="4" w:space="0" w:color="auto"/>
              <w:bottom w:val="single" w:sz="4" w:space="0" w:color="auto"/>
            </w:tcBorders>
          </w:tcPr>
          <w:p w:rsidR="00BA7D25" w:rsidRPr="00476FC9" w:rsidRDefault="00F051E2" w:rsidP="007D2ACE">
            <w:pPr>
              <w:keepNext w:val="0"/>
              <w:widowControl w:val="0"/>
              <w:kinsoku w:val="0"/>
              <w:overflowPunct w:val="0"/>
              <w:autoSpaceDE w:val="0"/>
              <w:autoSpaceDN w:val="0"/>
              <w:adjustRightInd w:val="0"/>
              <w:snapToGrid w:val="0"/>
              <w:spacing w:before="0" w:after="0" w:line="240" w:lineRule="auto"/>
              <w:rPr>
                <w:b/>
                <w:color w:val="000000" w:themeColor="text1"/>
                <w:szCs w:val="24"/>
              </w:rPr>
            </w:pPr>
            <w:r w:rsidRPr="00476FC9">
              <w:rPr>
                <w:b/>
                <w:color w:val="000000" w:themeColor="text1"/>
                <w:szCs w:val="24"/>
              </w:rPr>
              <w:t>Moderating Effects of DTCA</w:t>
            </w:r>
            <w:r w:rsidR="005F1D5B" w:rsidRPr="00476FC9">
              <w:rPr>
                <w:b/>
                <w:color w:val="000000" w:themeColor="text1"/>
                <w:szCs w:val="24"/>
              </w:rPr>
              <w:t xml:space="preserve"> Regulatory</w:t>
            </w:r>
            <w:r w:rsidRPr="00476FC9">
              <w:rPr>
                <w:b/>
                <w:color w:val="000000" w:themeColor="text1"/>
                <w:szCs w:val="24"/>
              </w:rPr>
              <w:t xml:space="preserve"> Knowledge</w:t>
            </w:r>
            <w:r w:rsidR="00BA7D25" w:rsidRPr="00476FC9">
              <w:rPr>
                <w:b/>
                <w:color w:val="000000" w:themeColor="text1"/>
                <w:szCs w:val="24"/>
              </w:rPr>
              <w:t>:</w:t>
            </w:r>
          </w:p>
          <w:p w:rsidR="00BA7D25" w:rsidRPr="00476FC9" w:rsidRDefault="00BA7D25" w:rsidP="007D2ACE">
            <w:pPr>
              <w:keepNext w:val="0"/>
              <w:widowControl w:val="0"/>
              <w:kinsoku w:val="0"/>
              <w:overflowPunct w:val="0"/>
              <w:autoSpaceDE w:val="0"/>
              <w:autoSpaceDN w:val="0"/>
              <w:adjustRightInd w:val="0"/>
              <w:snapToGrid w:val="0"/>
              <w:spacing w:before="0" w:after="0" w:line="240" w:lineRule="auto"/>
              <w:rPr>
                <w:b/>
                <w:bCs w:val="0"/>
                <w:color w:val="000000" w:themeColor="text1"/>
                <w:szCs w:val="24"/>
              </w:rPr>
            </w:pPr>
          </w:p>
        </w:tc>
      </w:tr>
      <w:tr w:rsidR="00476FC9" w:rsidRPr="00476FC9" w:rsidTr="00A2540C">
        <w:tc>
          <w:tcPr>
            <w:tcW w:w="5000" w:type="pct"/>
            <w:tcBorders>
              <w:top w:val="single" w:sz="4" w:space="0" w:color="auto"/>
              <w:bottom w:val="single" w:sz="4" w:space="0" w:color="auto"/>
            </w:tcBorders>
          </w:tcPr>
          <w:p w:rsidR="00F1629B" w:rsidRPr="00476FC9" w:rsidRDefault="00DD650D" w:rsidP="007D2ACE">
            <w:pPr>
              <w:keepNext w:val="0"/>
              <w:widowControl w:val="0"/>
              <w:kinsoku w:val="0"/>
              <w:overflowPunct w:val="0"/>
              <w:autoSpaceDE w:val="0"/>
              <w:autoSpaceDN w:val="0"/>
              <w:adjustRightInd w:val="0"/>
              <w:snapToGrid w:val="0"/>
              <w:spacing w:before="0" w:after="0" w:line="240" w:lineRule="auto"/>
              <w:ind w:left="1170" w:hanging="450"/>
              <w:rPr>
                <w:b/>
                <w:bCs w:val="0"/>
                <w:color w:val="000000" w:themeColor="text1"/>
                <w:szCs w:val="24"/>
              </w:rPr>
            </w:pPr>
            <w:r w:rsidRPr="00476FC9">
              <w:rPr>
                <w:b/>
                <w:color w:val="000000" w:themeColor="text1"/>
              </w:rPr>
              <w:t>H7:</w:t>
            </w:r>
            <w:r w:rsidRPr="00476FC9">
              <w:rPr>
                <w:color w:val="000000" w:themeColor="text1"/>
              </w:rPr>
              <w:t xml:space="preserve"> DTCA </w:t>
            </w:r>
            <w:r w:rsidR="005F1D5B" w:rsidRPr="00476FC9">
              <w:rPr>
                <w:color w:val="000000" w:themeColor="text1"/>
              </w:rPr>
              <w:t xml:space="preserve">regulatory </w:t>
            </w:r>
            <w:r w:rsidRPr="00476FC9">
              <w:rPr>
                <w:color w:val="000000" w:themeColor="text1"/>
              </w:rPr>
              <w:t xml:space="preserve">knowledge will </w:t>
            </w:r>
            <w:r w:rsidR="00CE2404" w:rsidRPr="00476FC9">
              <w:rPr>
                <w:color w:val="000000" w:themeColor="text1"/>
              </w:rPr>
              <w:t xml:space="preserve">negatively </w:t>
            </w:r>
            <w:r w:rsidRPr="00476FC9">
              <w:rPr>
                <w:color w:val="000000" w:themeColor="text1"/>
              </w:rPr>
              <w:t>moderate the risk disclosure prominence effects on consumer response to the ad; such that low</w:t>
            </w:r>
            <w:r w:rsidR="004D6F6A" w:rsidRPr="00476FC9">
              <w:rPr>
                <w:color w:val="000000" w:themeColor="text1"/>
              </w:rPr>
              <w:t xml:space="preserve"> DTCA</w:t>
            </w:r>
            <w:r w:rsidRPr="00476FC9">
              <w:rPr>
                <w:color w:val="000000" w:themeColor="text1"/>
              </w:rPr>
              <w:t xml:space="preserve"> </w:t>
            </w:r>
            <w:r w:rsidR="00553FD9" w:rsidRPr="00476FC9">
              <w:rPr>
                <w:color w:val="000000" w:themeColor="text1"/>
              </w:rPr>
              <w:t xml:space="preserve">regulatory </w:t>
            </w:r>
            <w:r w:rsidRPr="00476FC9">
              <w:rPr>
                <w:color w:val="000000" w:themeColor="text1"/>
              </w:rPr>
              <w:t>knowledge consumers will report higher (a) perceived attention to risk disclosure, (b) recall, and (c) recognition for high prominence risk disclosure</w:t>
            </w:r>
            <w:r w:rsidR="000F23AF" w:rsidRPr="00476FC9">
              <w:rPr>
                <w:color w:val="000000" w:themeColor="text1"/>
              </w:rPr>
              <w:t xml:space="preserve"> </w:t>
            </w:r>
            <w:r w:rsidR="004D6F6A" w:rsidRPr="00476FC9">
              <w:rPr>
                <w:color w:val="000000" w:themeColor="text1"/>
              </w:rPr>
              <w:t>than</w:t>
            </w:r>
            <w:r w:rsidR="000F23AF" w:rsidRPr="00476FC9">
              <w:rPr>
                <w:color w:val="000000" w:themeColor="text1"/>
              </w:rPr>
              <w:t xml:space="preserve"> for low prominence risk disclosure</w:t>
            </w:r>
            <w:r w:rsidRPr="00476FC9">
              <w:rPr>
                <w:color w:val="000000" w:themeColor="text1"/>
              </w:rPr>
              <w:t xml:space="preserve">, whereas high </w:t>
            </w:r>
            <w:r w:rsidR="004D6F6A" w:rsidRPr="00476FC9">
              <w:rPr>
                <w:color w:val="000000" w:themeColor="text1"/>
              </w:rPr>
              <w:t xml:space="preserve">DTCA </w:t>
            </w:r>
            <w:r w:rsidR="005F1D5B" w:rsidRPr="00476FC9">
              <w:rPr>
                <w:color w:val="000000" w:themeColor="text1"/>
              </w:rPr>
              <w:t xml:space="preserve">regulatory </w:t>
            </w:r>
            <w:r w:rsidRPr="00476FC9">
              <w:rPr>
                <w:color w:val="000000" w:themeColor="text1"/>
              </w:rPr>
              <w:t xml:space="preserve">knowledge consumers will show </w:t>
            </w:r>
            <w:r w:rsidR="004D6F6A" w:rsidRPr="00476FC9">
              <w:rPr>
                <w:color w:val="000000" w:themeColor="text1"/>
              </w:rPr>
              <w:t>minimal prominence effects.</w:t>
            </w:r>
          </w:p>
        </w:tc>
      </w:tr>
      <w:tr w:rsidR="00476FC9" w:rsidRPr="00476FC9" w:rsidTr="00A2540C">
        <w:tc>
          <w:tcPr>
            <w:tcW w:w="5000" w:type="pct"/>
            <w:tcBorders>
              <w:top w:val="single" w:sz="4" w:space="0" w:color="auto"/>
              <w:bottom w:val="single" w:sz="4" w:space="0" w:color="auto"/>
            </w:tcBorders>
          </w:tcPr>
          <w:p w:rsidR="00BA7D25" w:rsidRPr="00476FC9" w:rsidRDefault="00A2540C" w:rsidP="007D2ACE">
            <w:pPr>
              <w:keepNext w:val="0"/>
              <w:widowControl w:val="0"/>
              <w:kinsoku w:val="0"/>
              <w:overflowPunct w:val="0"/>
              <w:autoSpaceDE w:val="0"/>
              <w:autoSpaceDN w:val="0"/>
              <w:adjustRightInd w:val="0"/>
              <w:snapToGrid w:val="0"/>
              <w:spacing w:before="0" w:after="0" w:line="240" w:lineRule="auto"/>
              <w:rPr>
                <w:b/>
                <w:i/>
                <w:color w:val="000000" w:themeColor="text1"/>
                <w:szCs w:val="24"/>
              </w:rPr>
            </w:pPr>
            <w:r w:rsidRPr="00476FC9">
              <w:rPr>
                <w:b/>
                <w:color w:val="000000" w:themeColor="text1"/>
                <w:szCs w:val="24"/>
              </w:rPr>
              <w:t>Mediating Effects of Perceived Attention</w:t>
            </w:r>
            <w:r w:rsidR="00BA7D25" w:rsidRPr="00476FC9">
              <w:rPr>
                <w:b/>
                <w:color w:val="000000" w:themeColor="text1"/>
                <w:szCs w:val="24"/>
              </w:rPr>
              <w:t>:</w:t>
            </w:r>
          </w:p>
          <w:p w:rsidR="00BA7D25" w:rsidRPr="00476FC9" w:rsidRDefault="00BA7D25" w:rsidP="007D2ACE">
            <w:pPr>
              <w:keepNext w:val="0"/>
              <w:widowControl w:val="0"/>
              <w:kinsoku w:val="0"/>
              <w:overflowPunct w:val="0"/>
              <w:autoSpaceDE w:val="0"/>
              <w:autoSpaceDN w:val="0"/>
              <w:adjustRightInd w:val="0"/>
              <w:snapToGrid w:val="0"/>
              <w:spacing w:before="0" w:after="0" w:line="240" w:lineRule="auto"/>
              <w:rPr>
                <w:b/>
                <w:bCs w:val="0"/>
                <w:color w:val="000000" w:themeColor="text1"/>
                <w:szCs w:val="24"/>
              </w:rPr>
            </w:pPr>
          </w:p>
        </w:tc>
      </w:tr>
      <w:tr w:rsidR="00476FC9" w:rsidRPr="00476FC9" w:rsidTr="00A2540C">
        <w:tc>
          <w:tcPr>
            <w:tcW w:w="5000" w:type="pct"/>
            <w:tcBorders>
              <w:top w:val="single" w:sz="4" w:space="0" w:color="auto"/>
              <w:bottom w:val="single" w:sz="4" w:space="0" w:color="auto"/>
            </w:tcBorders>
          </w:tcPr>
          <w:p w:rsidR="00DD650D" w:rsidRPr="00476FC9" w:rsidRDefault="00DD650D" w:rsidP="007D2ACE">
            <w:pPr>
              <w:keepNext w:val="0"/>
              <w:widowControl w:val="0"/>
              <w:kinsoku w:val="0"/>
              <w:overflowPunct w:val="0"/>
              <w:autoSpaceDE w:val="0"/>
              <w:autoSpaceDN w:val="0"/>
              <w:adjustRightInd w:val="0"/>
              <w:snapToGrid w:val="0"/>
              <w:spacing w:before="0" w:after="0" w:line="240" w:lineRule="auto"/>
              <w:ind w:left="1170" w:hanging="450"/>
              <w:rPr>
                <w:color w:val="000000" w:themeColor="text1"/>
              </w:rPr>
            </w:pPr>
            <w:r w:rsidRPr="00476FC9">
              <w:rPr>
                <w:b/>
                <w:color w:val="000000" w:themeColor="text1"/>
              </w:rPr>
              <w:t>H8:</w:t>
            </w:r>
            <w:r w:rsidRPr="00476FC9">
              <w:rPr>
                <w:color w:val="000000" w:themeColor="text1"/>
              </w:rPr>
              <w:t xml:space="preserve"> Perceived attention to risk disclosure will </w:t>
            </w:r>
            <w:r w:rsidR="004D6F6A" w:rsidRPr="00476FC9">
              <w:rPr>
                <w:color w:val="000000" w:themeColor="text1"/>
              </w:rPr>
              <w:t xml:space="preserve">positively </w:t>
            </w:r>
            <w:r w:rsidRPr="00476FC9">
              <w:rPr>
                <w:color w:val="000000" w:themeColor="text1"/>
              </w:rPr>
              <w:t>mediate the effects of risk disclosure prominence on consumer (a) recall and (b) recognition</w:t>
            </w:r>
            <w:r w:rsidR="000F23AF" w:rsidRPr="00476FC9">
              <w:rPr>
                <w:color w:val="000000" w:themeColor="text1"/>
              </w:rPr>
              <w:t xml:space="preserve"> of </w:t>
            </w:r>
            <w:r w:rsidR="000F23AF" w:rsidRPr="00476FC9">
              <w:rPr>
                <w:color w:val="000000" w:themeColor="text1"/>
                <w:szCs w:val="24"/>
              </w:rPr>
              <w:t>health risk information</w:t>
            </w:r>
            <w:r w:rsidRPr="00476FC9">
              <w:rPr>
                <w:color w:val="000000" w:themeColor="text1"/>
              </w:rPr>
              <w:t>.</w:t>
            </w:r>
          </w:p>
          <w:p w:rsidR="00DD650D" w:rsidRPr="00476FC9" w:rsidRDefault="00DD650D" w:rsidP="007D2ACE">
            <w:pPr>
              <w:keepNext w:val="0"/>
              <w:widowControl w:val="0"/>
              <w:kinsoku w:val="0"/>
              <w:overflowPunct w:val="0"/>
              <w:autoSpaceDE w:val="0"/>
              <w:autoSpaceDN w:val="0"/>
              <w:adjustRightInd w:val="0"/>
              <w:snapToGrid w:val="0"/>
              <w:spacing w:before="0" w:after="0" w:line="240" w:lineRule="auto"/>
              <w:ind w:left="1170" w:hanging="450"/>
              <w:rPr>
                <w:color w:val="000000" w:themeColor="text1"/>
              </w:rPr>
            </w:pPr>
          </w:p>
          <w:p w:rsidR="00DD650D" w:rsidRPr="00476FC9" w:rsidRDefault="00DD650D" w:rsidP="007D2ACE">
            <w:pPr>
              <w:keepNext w:val="0"/>
              <w:widowControl w:val="0"/>
              <w:kinsoku w:val="0"/>
              <w:overflowPunct w:val="0"/>
              <w:autoSpaceDE w:val="0"/>
              <w:autoSpaceDN w:val="0"/>
              <w:adjustRightInd w:val="0"/>
              <w:snapToGrid w:val="0"/>
              <w:spacing w:before="0" w:after="0" w:line="240" w:lineRule="auto"/>
              <w:ind w:left="1170" w:hanging="450"/>
              <w:rPr>
                <w:color w:val="000000" w:themeColor="text1"/>
              </w:rPr>
            </w:pPr>
            <w:r w:rsidRPr="00476FC9">
              <w:rPr>
                <w:b/>
                <w:color w:val="000000" w:themeColor="text1"/>
              </w:rPr>
              <w:t>H9:</w:t>
            </w:r>
            <w:r w:rsidRPr="00476FC9">
              <w:rPr>
                <w:color w:val="000000" w:themeColor="text1"/>
              </w:rPr>
              <w:t xml:space="preserve"> Perceived attention to risk disclosure will </w:t>
            </w:r>
            <w:r w:rsidR="004D6F6A" w:rsidRPr="00476FC9">
              <w:rPr>
                <w:color w:val="000000" w:themeColor="text1"/>
              </w:rPr>
              <w:t xml:space="preserve">positively </w:t>
            </w:r>
            <w:r w:rsidRPr="00476FC9">
              <w:rPr>
                <w:color w:val="000000" w:themeColor="text1"/>
              </w:rPr>
              <w:t xml:space="preserve">mediate the effects of DTCA </w:t>
            </w:r>
            <w:r w:rsidR="00553FD9" w:rsidRPr="00476FC9">
              <w:rPr>
                <w:color w:val="000000" w:themeColor="text1"/>
              </w:rPr>
              <w:t xml:space="preserve">regulatory </w:t>
            </w:r>
            <w:r w:rsidRPr="00476FC9">
              <w:rPr>
                <w:color w:val="000000" w:themeColor="text1"/>
              </w:rPr>
              <w:t>knowledge on consumer (a) recall and (b) recognition</w:t>
            </w:r>
            <w:r w:rsidR="000F23AF" w:rsidRPr="00476FC9">
              <w:rPr>
                <w:color w:val="000000" w:themeColor="text1"/>
              </w:rPr>
              <w:t xml:space="preserve"> of </w:t>
            </w:r>
            <w:r w:rsidR="000F23AF" w:rsidRPr="00476FC9">
              <w:rPr>
                <w:color w:val="000000" w:themeColor="text1"/>
                <w:szCs w:val="24"/>
              </w:rPr>
              <w:t>health risk information</w:t>
            </w:r>
            <w:r w:rsidRPr="00476FC9">
              <w:rPr>
                <w:color w:val="000000" w:themeColor="text1"/>
              </w:rPr>
              <w:t>.</w:t>
            </w:r>
          </w:p>
          <w:p w:rsidR="00DD650D" w:rsidRPr="00476FC9" w:rsidRDefault="00DD650D" w:rsidP="007D2ACE">
            <w:pPr>
              <w:keepNext w:val="0"/>
              <w:widowControl w:val="0"/>
              <w:kinsoku w:val="0"/>
              <w:overflowPunct w:val="0"/>
              <w:autoSpaceDE w:val="0"/>
              <w:autoSpaceDN w:val="0"/>
              <w:adjustRightInd w:val="0"/>
              <w:snapToGrid w:val="0"/>
              <w:spacing w:before="0" w:after="0" w:line="240" w:lineRule="auto"/>
              <w:ind w:left="1170" w:hanging="450"/>
              <w:rPr>
                <w:color w:val="000000" w:themeColor="text1"/>
              </w:rPr>
            </w:pPr>
          </w:p>
          <w:p w:rsidR="002A2A11" w:rsidRPr="00476FC9" w:rsidRDefault="00DD650D" w:rsidP="007D2ACE">
            <w:pPr>
              <w:keepNext w:val="0"/>
              <w:widowControl w:val="0"/>
              <w:kinsoku w:val="0"/>
              <w:overflowPunct w:val="0"/>
              <w:autoSpaceDE w:val="0"/>
              <w:autoSpaceDN w:val="0"/>
              <w:adjustRightInd w:val="0"/>
              <w:snapToGrid w:val="0"/>
              <w:spacing w:before="0" w:after="0" w:line="240" w:lineRule="auto"/>
              <w:ind w:left="1170" w:hanging="450"/>
              <w:rPr>
                <w:b/>
                <w:bCs w:val="0"/>
                <w:color w:val="000000" w:themeColor="text1"/>
                <w:szCs w:val="24"/>
              </w:rPr>
            </w:pPr>
            <w:r w:rsidRPr="00476FC9">
              <w:rPr>
                <w:b/>
                <w:color w:val="000000" w:themeColor="text1"/>
              </w:rPr>
              <w:t>H10:</w:t>
            </w:r>
            <w:r w:rsidRPr="00476FC9">
              <w:rPr>
                <w:color w:val="000000" w:themeColor="text1"/>
              </w:rPr>
              <w:t xml:space="preserve"> Perceived attention to risk disclosure will </w:t>
            </w:r>
            <w:r w:rsidR="004D6F6A" w:rsidRPr="00476FC9">
              <w:rPr>
                <w:color w:val="000000" w:themeColor="text1"/>
              </w:rPr>
              <w:t xml:space="preserve">positively </w:t>
            </w:r>
            <w:r w:rsidRPr="00476FC9">
              <w:rPr>
                <w:color w:val="000000" w:themeColor="text1"/>
              </w:rPr>
              <w:t xml:space="preserve">mediate the interactive effects of risk disclosure prominence and DTCA </w:t>
            </w:r>
            <w:r w:rsidR="008F78BE" w:rsidRPr="00476FC9">
              <w:rPr>
                <w:color w:val="000000" w:themeColor="text1"/>
              </w:rPr>
              <w:t xml:space="preserve">regulatory </w:t>
            </w:r>
            <w:r w:rsidRPr="00476FC9">
              <w:rPr>
                <w:color w:val="000000" w:themeColor="text1"/>
              </w:rPr>
              <w:t>knowledge on consumer (a) recall and (b) recognition</w:t>
            </w:r>
            <w:r w:rsidR="000F23AF" w:rsidRPr="00476FC9">
              <w:rPr>
                <w:color w:val="000000" w:themeColor="text1"/>
              </w:rPr>
              <w:t xml:space="preserve"> of </w:t>
            </w:r>
            <w:r w:rsidR="000F23AF" w:rsidRPr="00476FC9">
              <w:rPr>
                <w:color w:val="000000" w:themeColor="text1"/>
                <w:szCs w:val="24"/>
              </w:rPr>
              <w:t>health risk information</w:t>
            </w:r>
            <w:r w:rsidRPr="00476FC9">
              <w:rPr>
                <w:color w:val="000000" w:themeColor="text1"/>
              </w:rPr>
              <w:t>.</w:t>
            </w:r>
          </w:p>
        </w:tc>
      </w:tr>
    </w:tbl>
    <w:p w:rsidR="0076116E" w:rsidRPr="00476FC9" w:rsidRDefault="0076116E" w:rsidP="007D2ACE">
      <w:pPr>
        <w:keepNext w:val="0"/>
        <w:widowControl w:val="0"/>
        <w:kinsoku w:val="0"/>
        <w:overflowPunct w:val="0"/>
        <w:autoSpaceDE w:val="0"/>
        <w:autoSpaceDN w:val="0"/>
        <w:adjustRightInd w:val="0"/>
        <w:snapToGrid w:val="0"/>
        <w:spacing w:before="0" w:after="0" w:line="240" w:lineRule="auto"/>
        <w:outlineLvl w:val="9"/>
        <w:rPr>
          <w:color w:val="000000" w:themeColor="text1"/>
        </w:rPr>
        <w:sectPr w:rsidR="0076116E" w:rsidRPr="00476FC9" w:rsidSect="000754AE">
          <w:pgSz w:w="12240" w:h="15840" w:code="1"/>
          <w:pgMar w:top="1440" w:right="1440" w:bottom="1440" w:left="1440" w:header="0" w:footer="144" w:gutter="0"/>
          <w:pgNumType w:start="1" w:chapStyle="1"/>
          <w:cols w:space="720"/>
          <w:noEndnote/>
          <w:docGrid w:linePitch="326"/>
        </w:sectPr>
      </w:pPr>
    </w:p>
    <w:p w:rsidR="0076116E" w:rsidRPr="00476FC9" w:rsidRDefault="00FC3987" w:rsidP="007D2ACE">
      <w:pPr>
        <w:keepNext w:val="0"/>
        <w:widowControl w:val="0"/>
        <w:tabs>
          <w:tab w:val="left" w:pos="4686"/>
        </w:tabs>
        <w:kinsoku w:val="0"/>
        <w:overflowPunct w:val="0"/>
        <w:autoSpaceDE w:val="0"/>
        <w:autoSpaceDN w:val="0"/>
        <w:adjustRightInd w:val="0"/>
        <w:snapToGrid w:val="0"/>
        <w:rPr>
          <w:color w:val="000000" w:themeColor="text1"/>
        </w:rPr>
      </w:pPr>
      <w:r w:rsidRPr="00476FC9">
        <w:rPr>
          <w:noProof/>
          <w:color w:val="000000" w:themeColor="text1"/>
        </w:rPr>
        <w:lastRenderedPageBreak/>
        <mc:AlternateContent>
          <mc:Choice Requires="wpg">
            <w:drawing>
              <wp:anchor distT="0" distB="0" distL="114300" distR="114300" simplePos="0" relativeHeight="251665920" behindDoc="0" locked="0" layoutInCell="1" allowOverlap="1" wp14:anchorId="10F4A13A" wp14:editId="13D9EAFD">
                <wp:simplePos x="0" y="0"/>
                <wp:positionH relativeFrom="column">
                  <wp:posOffset>201930</wp:posOffset>
                </wp:positionH>
                <wp:positionV relativeFrom="paragraph">
                  <wp:posOffset>156845</wp:posOffset>
                </wp:positionV>
                <wp:extent cx="7922260" cy="4046220"/>
                <wp:effectExtent l="11430" t="27305" r="19685" b="3175"/>
                <wp:wrapNone/>
                <wp:docPr id="2"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22260" cy="4046220"/>
                          <a:chOff x="0" y="0"/>
                          <a:chExt cx="79222" cy="40459"/>
                        </a:xfrm>
                      </wpg:grpSpPr>
                      <wps:wsp>
                        <wps:cNvPr id="6" name="Text Box 2"/>
                        <wps:cNvSpPr txBox="1">
                          <a:spLocks noChangeArrowheads="1"/>
                        </wps:cNvSpPr>
                        <wps:spPr bwMode="auto">
                          <a:xfrm>
                            <a:off x="25330" y="4825"/>
                            <a:ext cx="27956" cy="2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37CF4" w:rsidRPr="00F61306" w:rsidRDefault="00037CF4" w:rsidP="00F91D3E">
                              <w:pPr>
                                <w:spacing w:before="0" w:after="0"/>
                                <w:rPr>
                                  <w:b/>
                                  <w:sz w:val="16"/>
                                  <w:szCs w:val="16"/>
                                </w:rPr>
                              </w:pPr>
                              <w:r w:rsidRPr="00F61306">
                                <w:rPr>
                                  <w:b/>
                                  <w:sz w:val="16"/>
                                  <w:szCs w:val="16"/>
                                </w:rPr>
                                <w:t>Prominence &amp; DTCA Regulatory Knowledge Main Effects</w:t>
                              </w:r>
                            </w:p>
                            <w:p w:rsidR="00037CF4" w:rsidRPr="00F61306" w:rsidRDefault="00037CF4" w:rsidP="00F91D3E">
                              <w:pPr>
                                <w:spacing w:before="0" w:after="0"/>
                                <w:rPr>
                                  <w:sz w:val="16"/>
                                  <w:szCs w:val="16"/>
                                </w:rPr>
                              </w:pPr>
                            </w:p>
                          </w:txbxContent>
                        </wps:txbx>
                        <wps:bodyPr rot="0" vert="horz" wrap="square" lIns="91440" tIns="45720" rIns="91440" bIns="45720" anchor="ctr" anchorCtr="0" upright="1">
                          <a:noAutofit/>
                        </wps:bodyPr>
                      </wps:wsp>
                      <wps:wsp>
                        <wps:cNvPr id="7" name="Text Box 2"/>
                        <wps:cNvSpPr txBox="1">
                          <a:spLocks noChangeArrowheads="1"/>
                        </wps:cNvSpPr>
                        <wps:spPr bwMode="auto">
                          <a:xfrm>
                            <a:off x="25041" y="22018"/>
                            <a:ext cx="27280" cy="2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37CF4" w:rsidRPr="00F61306" w:rsidRDefault="00037CF4" w:rsidP="00A2540C">
                              <w:pPr>
                                <w:spacing w:before="0" w:after="0"/>
                                <w:rPr>
                                  <w:b/>
                                  <w:sz w:val="18"/>
                                  <w:szCs w:val="18"/>
                                </w:rPr>
                              </w:pPr>
                              <w:r w:rsidRPr="00F61306">
                                <w:rPr>
                                  <w:b/>
                                  <w:sz w:val="18"/>
                                  <w:szCs w:val="18"/>
                                </w:rPr>
                                <w:t>DTCA Regualtory Knowledge Moderating Effects</w:t>
                              </w:r>
                            </w:p>
                            <w:p w:rsidR="00037CF4" w:rsidRPr="00F91D3E" w:rsidRDefault="00037CF4" w:rsidP="00A2540C">
                              <w:pPr>
                                <w:spacing w:before="0" w:after="0"/>
                              </w:pPr>
                            </w:p>
                          </w:txbxContent>
                        </wps:txbx>
                        <wps:bodyPr rot="0" vert="horz" wrap="square" lIns="91440" tIns="45720" rIns="91440" bIns="45720" anchor="ctr" anchorCtr="0" upright="1">
                          <a:noAutofit/>
                        </wps:bodyPr>
                      </wps:wsp>
                      <wps:wsp>
                        <wps:cNvPr id="8" name="Rectangle 2"/>
                        <wps:cNvSpPr>
                          <a:spLocks noChangeArrowheads="1"/>
                        </wps:cNvSpPr>
                        <wps:spPr bwMode="auto">
                          <a:xfrm>
                            <a:off x="9655" y="731"/>
                            <a:ext cx="12656" cy="9290"/>
                          </a:xfrm>
                          <a:prstGeom prst="rect">
                            <a:avLst/>
                          </a:prstGeom>
                          <a:solidFill>
                            <a:schemeClr val="lt1">
                              <a:lumMod val="100000"/>
                              <a:lumOff val="0"/>
                            </a:schemeClr>
                          </a:solidFill>
                          <a:ln w="38100">
                            <a:solidFill>
                              <a:schemeClr val="dk1">
                                <a:lumMod val="100000"/>
                                <a:lumOff val="0"/>
                              </a:schemeClr>
                            </a:solidFill>
                            <a:miter lim="800000"/>
                            <a:headEnd/>
                            <a:tailEnd/>
                          </a:ln>
                        </wps:spPr>
                        <wps:txbx>
                          <w:txbxContent>
                            <w:p w:rsidR="00037CF4" w:rsidRDefault="00037CF4" w:rsidP="004D6F6A">
                              <w:pPr>
                                <w:spacing w:before="0" w:after="0" w:line="240" w:lineRule="auto"/>
                                <w:jc w:val="center"/>
                                <w:rPr>
                                  <w:sz w:val="16"/>
                                  <w:szCs w:val="16"/>
                                </w:rPr>
                              </w:pPr>
                              <w:r w:rsidRPr="004D6F6A">
                                <w:rPr>
                                  <w:sz w:val="16"/>
                                  <w:szCs w:val="16"/>
                                </w:rPr>
                                <w:t>Risk Disclosure Prominence</w:t>
                              </w:r>
                            </w:p>
                            <w:p w:rsidR="00037CF4" w:rsidRDefault="00037CF4" w:rsidP="004D6F6A">
                              <w:pPr>
                                <w:spacing w:before="0" w:after="0" w:line="240" w:lineRule="auto"/>
                                <w:jc w:val="center"/>
                                <w:rPr>
                                  <w:sz w:val="16"/>
                                  <w:szCs w:val="16"/>
                                </w:rPr>
                              </w:pPr>
                              <w:r>
                                <w:rPr>
                                  <w:sz w:val="16"/>
                                  <w:szCs w:val="16"/>
                                </w:rPr>
                                <w:t>&amp;</w:t>
                              </w:r>
                            </w:p>
                            <w:p w:rsidR="00037CF4" w:rsidRPr="004D6F6A" w:rsidRDefault="00037CF4" w:rsidP="004D6F6A">
                              <w:pPr>
                                <w:spacing w:before="0" w:after="0" w:line="240" w:lineRule="auto"/>
                                <w:jc w:val="center"/>
                                <w:rPr>
                                  <w:sz w:val="16"/>
                                  <w:szCs w:val="16"/>
                                </w:rPr>
                              </w:pPr>
                              <w:r>
                                <w:rPr>
                                  <w:sz w:val="16"/>
                                  <w:szCs w:val="16"/>
                                </w:rPr>
                                <w:t>DTCA Regulatory Knowledge</w:t>
                              </w:r>
                            </w:p>
                          </w:txbxContent>
                        </wps:txbx>
                        <wps:bodyPr rot="0" vert="horz" wrap="square" lIns="91440" tIns="45720" rIns="91440" bIns="45720" anchor="ctr" anchorCtr="0" upright="1">
                          <a:noAutofit/>
                        </wps:bodyPr>
                      </wps:wsp>
                      <wps:wsp>
                        <wps:cNvPr id="9" name="Rectangle 7"/>
                        <wps:cNvSpPr>
                          <a:spLocks noChangeArrowheads="1"/>
                        </wps:cNvSpPr>
                        <wps:spPr bwMode="auto">
                          <a:xfrm>
                            <a:off x="56028" y="0"/>
                            <a:ext cx="22682" cy="5998"/>
                          </a:xfrm>
                          <a:prstGeom prst="rect">
                            <a:avLst/>
                          </a:prstGeom>
                          <a:solidFill>
                            <a:schemeClr val="lt1">
                              <a:lumMod val="100000"/>
                              <a:lumOff val="0"/>
                            </a:schemeClr>
                          </a:solidFill>
                          <a:ln w="38100">
                            <a:solidFill>
                              <a:schemeClr val="dk1">
                                <a:lumMod val="100000"/>
                                <a:lumOff val="0"/>
                              </a:schemeClr>
                            </a:solidFill>
                            <a:miter lim="800000"/>
                            <a:headEnd/>
                            <a:tailEnd/>
                          </a:ln>
                        </wps:spPr>
                        <wps:txbx>
                          <w:txbxContent>
                            <w:p w:rsidR="00037CF4" w:rsidRPr="004D6F6A" w:rsidRDefault="00037CF4" w:rsidP="00F1629B">
                              <w:pPr>
                                <w:spacing w:before="0" w:after="0" w:line="240" w:lineRule="auto"/>
                                <w:rPr>
                                  <w:sz w:val="20"/>
                                  <w:szCs w:val="20"/>
                                </w:rPr>
                              </w:pPr>
                              <w:r w:rsidRPr="004D6F6A">
                                <w:rPr>
                                  <w:sz w:val="20"/>
                                  <w:szCs w:val="20"/>
                                </w:rPr>
                                <w:t>Perceived Attention to Risk Disclosure</w:t>
                              </w:r>
                            </w:p>
                            <w:p w:rsidR="00037CF4" w:rsidRPr="004D6F6A" w:rsidRDefault="00037CF4" w:rsidP="00F1629B">
                              <w:pPr>
                                <w:spacing w:before="0" w:after="0" w:line="240" w:lineRule="auto"/>
                                <w:rPr>
                                  <w:sz w:val="20"/>
                                  <w:szCs w:val="20"/>
                                </w:rPr>
                              </w:pPr>
                              <w:r w:rsidRPr="004D6F6A">
                                <w:rPr>
                                  <w:sz w:val="20"/>
                                  <w:szCs w:val="20"/>
                                </w:rPr>
                                <w:t>Recall of Health Risk Information</w:t>
                              </w:r>
                            </w:p>
                            <w:p w:rsidR="00037CF4" w:rsidRPr="004D6F6A" w:rsidRDefault="00037CF4" w:rsidP="00F1629B">
                              <w:pPr>
                                <w:spacing w:before="0" w:after="0" w:line="240" w:lineRule="auto"/>
                                <w:rPr>
                                  <w:sz w:val="20"/>
                                  <w:szCs w:val="20"/>
                                </w:rPr>
                              </w:pPr>
                              <w:r w:rsidRPr="004D6F6A">
                                <w:rPr>
                                  <w:sz w:val="20"/>
                                  <w:szCs w:val="20"/>
                                </w:rPr>
                                <w:t>Recognition of Health Risk Information</w:t>
                              </w:r>
                            </w:p>
                            <w:p w:rsidR="00037CF4" w:rsidRPr="004D6F6A" w:rsidRDefault="00037CF4" w:rsidP="00F1629B">
                              <w:pPr>
                                <w:spacing w:before="0" w:after="0" w:line="240" w:lineRule="auto"/>
                                <w:rPr>
                                  <w:sz w:val="20"/>
                                  <w:szCs w:val="20"/>
                                </w:rPr>
                              </w:pPr>
                            </w:p>
                          </w:txbxContent>
                        </wps:txbx>
                        <wps:bodyPr rot="0" vert="horz" wrap="square" lIns="91440" tIns="45720" rIns="91440" bIns="45720" anchor="ctr" anchorCtr="0" upright="1">
                          <a:noAutofit/>
                        </wps:bodyPr>
                      </wps:wsp>
                      <wps:wsp>
                        <wps:cNvPr id="10" name="Rectangle 8"/>
                        <wps:cNvSpPr>
                          <a:spLocks noChangeArrowheads="1"/>
                        </wps:cNvSpPr>
                        <wps:spPr bwMode="auto">
                          <a:xfrm>
                            <a:off x="9656" y="17044"/>
                            <a:ext cx="14763" cy="5246"/>
                          </a:xfrm>
                          <a:prstGeom prst="rect">
                            <a:avLst/>
                          </a:prstGeom>
                          <a:solidFill>
                            <a:schemeClr val="lt1">
                              <a:lumMod val="100000"/>
                              <a:lumOff val="0"/>
                            </a:schemeClr>
                          </a:solidFill>
                          <a:ln w="38100">
                            <a:solidFill>
                              <a:schemeClr val="dk1">
                                <a:lumMod val="100000"/>
                                <a:lumOff val="0"/>
                              </a:schemeClr>
                            </a:solidFill>
                            <a:miter lim="800000"/>
                            <a:headEnd/>
                            <a:tailEnd/>
                          </a:ln>
                        </wps:spPr>
                        <wps:txbx>
                          <w:txbxContent>
                            <w:p w:rsidR="00037CF4" w:rsidRDefault="00037CF4" w:rsidP="004D6F6A">
                              <w:pPr>
                                <w:spacing w:before="0" w:after="0" w:line="240" w:lineRule="auto"/>
                                <w:jc w:val="center"/>
                              </w:pPr>
                              <w:r>
                                <w:t>Risk Disclosure Prominence</w:t>
                              </w:r>
                            </w:p>
                          </w:txbxContent>
                        </wps:txbx>
                        <wps:bodyPr rot="0" vert="horz" wrap="square" lIns="91440" tIns="45720" rIns="91440" bIns="45720" anchor="ctr" anchorCtr="0" upright="1">
                          <a:noAutofit/>
                        </wps:bodyPr>
                      </wps:wsp>
                      <wps:wsp>
                        <wps:cNvPr id="13" name="Rectangle 9"/>
                        <wps:cNvSpPr>
                          <a:spLocks noChangeArrowheads="1"/>
                        </wps:cNvSpPr>
                        <wps:spPr bwMode="auto">
                          <a:xfrm>
                            <a:off x="56179" y="16673"/>
                            <a:ext cx="23043" cy="5633"/>
                          </a:xfrm>
                          <a:prstGeom prst="rect">
                            <a:avLst/>
                          </a:prstGeom>
                          <a:solidFill>
                            <a:schemeClr val="lt1">
                              <a:lumMod val="100000"/>
                              <a:lumOff val="0"/>
                            </a:schemeClr>
                          </a:solidFill>
                          <a:ln w="38100">
                            <a:solidFill>
                              <a:schemeClr val="dk1">
                                <a:lumMod val="100000"/>
                                <a:lumOff val="0"/>
                              </a:schemeClr>
                            </a:solidFill>
                            <a:miter lim="800000"/>
                            <a:headEnd/>
                            <a:tailEnd/>
                          </a:ln>
                        </wps:spPr>
                        <wps:txbx>
                          <w:txbxContent>
                            <w:p w:rsidR="00037CF4" w:rsidRPr="004D6F6A" w:rsidRDefault="00037CF4" w:rsidP="004D6F6A">
                              <w:pPr>
                                <w:spacing w:before="0" w:after="0" w:line="240" w:lineRule="auto"/>
                                <w:rPr>
                                  <w:sz w:val="20"/>
                                  <w:szCs w:val="20"/>
                                </w:rPr>
                              </w:pPr>
                              <w:r w:rsidRPr="004D6F6A">
                                <w:rPr>
                                  <w:sz w:val="20"/>
                                  <w:szCs w:val="20"/>
                                </w:rPr>
                                <w:t>Perceived Attention to Risk Disclosure</w:t>
                              </w:r>
                            </w:p>
                            <w:p w:rsidR="00037CF4" w:rsidRPr="004D6F6A" w:rsidRDefault="00037CF4" w:rsidP="004D6F6A">
                              <w:pPr>
                                <w:spacing w:before="0" w:after="0" w:line="240" w:lineRule="auto"/>
                                <w:rPr>
                                  <w:sz w:val="20"/>
                                  <w:szCs w:val="20"/>
                                </w:rPr>
                              </w:pPr>
                              <w:r w:rsidRPr="004D6F6A">
                                <w:rPr>
                                  <w:sz w:val="20"/>
                                  <w:szCs w:val="20"/>
                                </w:rPr>
                                <w:t>Recall of Health Risk Information</w:t>
                              </w:r>
                            </w:p>
                            <w:p w:rsidR="00037CF4" w:rsidRPr="004D6F6A" w:rsidRDefault="00037CF4" w:rsidP="004D6F6A">
                              <w:pPr>
                                <w:spacing w:before="0" w:after="0" w:line="240" w:lineRule="auto"/>
                                <w:rPr>
                                  <w:sz w:val="20"/>
                                  <w:szCs w:val="20"/>
                                </w:rPr>
                              </w:pPr>
                              <w:r w:rsidRPr="004D6F6A">
                                <w:rPr>
                                  <w:sz w:val="20"/>
                                  <w:szCs w:val="20"/>
                                </w:rPr>
                                <w:t>Recognition of Health Risk Information</w:t>
                              </w:r>
                            </w:p>
                            <w:p w:rsidR="00037CF4" w:rsidRDefault="00037CF4" w:rsidP="00F1629B">
                              <w:pPr>
                                <w:spacing w:before="0" w:after="0" w:line="240" w:lineRule="auto"/>
                              </w:pPr>
                            </w:p>
                          </w:txbxContent>
                        </wps:txbx>
                        <wps:bodyPr rot="0" vert="horz" wrap="square" lIns="91440" tIns="45720" rIns="91440" bIns="45720" anchor="ctr" anchorCtr="0" upright="1">
                          <a:noAutofit/>
                        </wps:bodyPr>
                      </wps:wsp>
                      <wps:wsp>
                        <wps:cNvPr id="14" name="Text Box 2"/>
                        <wps:cNvSpPr txBox="1">
                          <a:spLocks noChangeArrowheads="1"/>
                        </wps:cNvSpPr>
                        <wps:spPr bwMode="auto">
                          <a:xfrm>
                            <a:off x="30065" y="12142"/>
                            <a:ext cx="21360" cy="2997"/>
                          </a:xfrm>
                          <a:prstGeom prst="rect">
                            <a:avLst/>
                          </a:prstGeom>
                          <a:solidFill>
                            <a:srgbClr val="FFFFFF"/>
                          </a:solidFill>
                          <a:ln w="38100">
                            <a:solidFill>
                              <a:schemeClr val="tx1">
                                <a:lumMod val="100000"/>
                                <a:lumOff val="0"/>
                              </a:schemeClr>
                            </a:solidFill>
                            <a:miter lim="800000"/>
                            <a:headEnd/>
                            <a:tailEnd/>
                          </a:ln>
                        </wps:spPr>
                        <wps:txbx>
                          <w:txbxContent>
                            <w:p w:rsidR="00037CF4" w:rsidRPr="00E00741" w:rsidRDefault="00037CF4" w:rsidP="00E00741">
                              <w:pPr>
                                <w:spacing w:before="0" w:after="0"/>
                                <w:jc w:val="center"/>
                                <w:rPr>
                                  <w:b/>
                                  <w:sz w:val="22"/>
                                  <w:szCs w:val="22"/>
                                </w:rPr>
                              </w:pPr>
                              <w:r>
                                <w:rPr>
                                  <w:b/>
                                  <w:sz w:val="22"/>
                                  <w:szCs w:val="22"/>
                                </w:rPr>
                                <w:t>DTCA Regulatory Knowledge</w:t>
                              </w:r>
                            </w:p>
                            <w:p w:rsidR="00037CF4" w:rsidRPr="00E00741" w:rsidRDefault="00037CF4" w:rsidP="00F91D3E">
                              <w:pPr>
                                <w:spacing w:before="0" w:after="0"/>
                                <w:rPr>
                                  <w:sz w:val="22"/>
                                  <w:szCs w:val="22"/>
                                </w:rPr>
                              </w:pPr>
                            </w:p>
                          </w:txbxContent>
                        </wps:txbx>
                        <wps:bodyPr rot="0" vert="horz" wrap="square" lIns="91440" tIns="45720" rIns="91440" bIns="45720" anchor="b" anchorCtr="0" upright="1">
                          <a:noAutofit/>
                        </wps:bodyPr>
                      </wps:wsp>
                      <wps:wsp>
                        <wps:cNvPr id="15" name="Rectangle 13"/>
                        <wps:cNvSpPr>
                          <a:spLocks noChangeArrowheads="1"/>
                        </wps:cNvSpPr>
                        <wps:spPr bwMode="auto">
                          <a:xfrm>
                            <a:off x="9476" y="27549"/>
                            <a:ext cx="14764" cy="11212"/>
                          </a:xfrm>
                          <a:prstGeom prst="rect">
                            <a:avLst/>
                          </a:prstGeom>
                          <a:solidFill>
                            <a:schemeClr val="lt1">
                              <a:lumMod val="100000"/>
                              <a:lumOff val="0"/>
                            </a:schemeClr>
                          </a:solidFill>
                          <a:ln w="38100">
                            <a:solidFill>
                              <a:schemeClr val="dk1">
                                <a:lumMod val="100000"/>
                                <a:lumOff val="0"/>
                              </a:schemeClr>
                            </a:solidFill>
                            <a:miter lim="800000"/>
                            <a:headEnd/>
                            <a:tailEnd/>
                          </a:ln>
                        </wps:spPr>
                        <wps:txbx>
                          <w:txbxContent>
                            <w:p w:rsidR="00037CF4" w:rsidRPr="009273A3" w:rsidRDefault="00037CF4" w:rsidP="009273A3">
                              <w:pPr>
                                <w:spacing w:before="0" w:after="0" w:line="240" w:lineRule="auto"/>
                                <w:jc w:val="center"/>
                                <w:rPr>
                                  <w:sz w:val="16"/>
                                  <w:szCs w:val="16"/>
                                </w:rPr>
                              </w:pPr>
                              <w:r w:rsidRPr="009273A3">
                                <w:rPr>
                                  <w:sz w:val="16"/>
                                  <w:szCs w:val="16"/>
                                </w:rPr>
                                <w:t>Risk Disclosure Prominence</w:t>
                              </w:r>
                            </w:p>
                            <w:p w:rsidR="00037CF4" w:rsidRPr="009273A3" w:rsidRDefault="00037CF4" w:rsidP="009273A3">
                              <w:pPr>
                                <w:spacing w:before="0" w:after="0" w:line="240" w:lineRule="auto"/>
                                <w:jc w:val="center"/>
                                <w:rPr>
                                  <w:sz w:val="16"/>
                                  <w:szCs w:val="16"/>
                                </w:rPr>
                              </w:pPr>
                              <w:r>
                                <w:rPr>
                                  <w:sz w:val="16"/>
                                  <w:szCs w:val="16"/>
                                </w:rPr>
                                <w:t>&amp;</w:t>
                              </w:r>
                            </w:p>
                            <w:p w:rsidR="00037CF4" w:rsidRDefault="00037CF4" w:rsidP="009273A3">
                              <w:pPr>
                                <w:spacing w:before="0" w:after="0" w:line="240" w:lineRule="auto"/>
                                <w:jc w:val="center"/>
                                <w:rPr>
                                  <w:sz w:val="16"/>
                                  <w:szCs w:val="16"/>
                                </w:rPr>
                              </w:pPr>
                              <w:r w:rsidRPr="009273A3">
                                <w:rPr>
                                  <w:sz w:val="16"/>
                                  <w:szCs w:val="16"/>
                                </w:rPr>
                                <w:t xml:space="preserve"> DTCA </w:t>
                              </w:r>
                              <w:r>
                                <w:rPr>
                                  <w:sz w:val="16"/>
                                  <w:szCs w:val="16"/>
                                </w:rPr>
                                <w:t xml:space="preserve">Regualtory </w:t>
                              </w:r>
                              <w:r w:rsidRPr="009273A3">
                                <w:rPr>
                                  <w:sz w:val="16"/>
                                  <w:szCs w:val="16"/>
                                </w:rPr>
                                <w:t>Knowledge</w:t>
                              </w:r>
                            </w:p>
                            <w:p w:rsidR="00037CF4" w:rsidRDefault="00037CF4" w:rsidP="009273A3">
                              <w:pPr>
                                <w:spacing w:before="0" w:after="0" w:line="240" w:lineRule="auto"/>
                                <w:jc w:val="center"/>
                                <w:rPr>
                                  <w:sz w:val="16"/>
                                  <w:szCs w:val="16"/>
                                </w:rPr>
                              </w:pPr>
                              <w:r>
                                <w:rPr>
                                  <w:sz w:val="16"/>
                                  <w:szCs w:val="16"/>
                                </w:rPr>
                                <w:t>&amp;</w:t>
                              </w:r>
                            </w:p>
                            <w:p w:rsidR="00037CF4" w:rsidRPr="009273A3" w:rsidRDefault="00037CF4" w:rsidP="009273A3">
                              <w:pPr>
                                <w:spacing w:before="0" w:after="0" w:line="240" w:lineRule="auto"/>
                                <w:jc w:val="center"/>
                                <w:rPr>
                                  <w:sz w:val="16"/>
                                  <w:szCs w:val="16"/>
                                </w:rPr>
                              </w:pPr>
                              <w:r>
                                <w:rPr>
                                  <w:sz w:val="16"/>
                                  <w:szCs w:val="16"/>
                                </w:rPr>
                                <w:t xml:space="preserve">Prominence </w:t>
                              </w:r>
                              <w:r w:rsidRPr="00A2660F">
                                <w:rPr>
                                  <w:rFonts w:ascii="MTSYN" w:eastAsia="MTSYN" w:cs="MTSYN" w:hint="eastAsia"/>
                                  <w:bCs w:val="0"/>
                                  <w:color w:val="231F20"/>
                                  <w:sz w:val="16"/>
                                  <w:szCs w:val="16"/>
                                </w:rPr>
                                <w:t>×</w:t>
                              </w:r>
                              <w:r>
                                <w:rPr>
                                  <w:rFonts w:ascii="MTSYN" w:eastAsia="MTSYN" w:cs="MTSYN" w:hint="eastAsia"/>
                                  <w:bCs w:val="0"/>
                                  <w:color w:val="231F20"/>
                                  <w:sz w:val="16"/>
                                  <w:szCs w:val="16"/>
                                </w:rPr>
                                <w:t xml:space="preserve"> </w:t>
                              </w:r>
                              <w:r w:rsidRPr="00866628">
                                <w:rPr>
                                  <w:rFonts w:hint="eastAsia"/>
                                  <w:sz w:val="16"/>
                                  <w:szCs w:val="16"/>
                                </w:rPr>
                                <w:t xml:space="preserve">DTCA </w:t>
                              </w:r>
                              <w:r>
                                <w:rPr>
                                  <w:sz w:val="16"/>
                                  <w:szCs w:val="16"/>
                                </w:rPr>
                                <w:t xml:space="preserve">Regualtory </w:t>
                              </w:r>
                              <w:r w:rsidRPr="00866628">
                                <w:rPr>
                                  <w:rFonts w:hint="eastAsia"/>
                                  <w:sz w:val="16"/>
                                  <w:szCs w:val="16"/>
                                </w:rPr>
                                <w:t>Knowledge</w:t>
                              </w:r>
                            </w:p>
                          </w:txbxContent>
                        </wps:txbx>
                        <wps:bodyPr rot="0" vert="horz" wrap="square" lIns="91440" tIns="45720" rIns="91440" bIns="45720" anchor="ctr" anchorCtr="0" upright="1">
                          <a:noAutofit/>
                        </wps:bodyPr>
                      </wps:wsp>
                      <wps:wsp>
                        <wps:cNvPr id="18" name="Rectangle 14"/>
                        <wps:cNvSpPr>
                          <a:spLocks noChangeArrowheads="1"/>
                        </wps:cNvSpPr>
                        <wps:spPr bwMode="auto">
                          <a:xfrm>
                            <a:off x="56180" y="30501"/>
                            <a:ext cx="23042" cy="4310"/>
                          </a:xfrm>
                          <a:prstGeom prst="rect">
                            <a:avLst/>
                          </a:prstGeom>
                          <a:solidFill>
                            <a:schemeClr val="lt1">
                              <a:lumMod val="100000"/>
                              <a:lumOff val="0"/>
                            </a:schemeClr>
                          </a:solidFill>
                          <a:ln w="38100">
                            <a:solidFill>
                              <a:schemeClr val="dk1">
                                <a:lumMod val="100000"/>
                                <a:lumOff val="0"/>
                              </a:schemeClr>
                            </a:solidFill>
                            <a:miter lim="800000"/>
                            <a:headEnd/>
                            <a:tailEnd/>
                          </a:ln>
                        </wps:spPr>
                        <wps:txbx>
                          <w:txbxContent>
                            <w:p w:rsidR="00037CF4" w:rsidRPr="004D6F6A" w:rsidRDefault="00037CF4" w:rsidP="00F1629B">
                              <w:pPr>
                                <w:spacing w:before="0" w:after="0" w:line="240" w:lineRule="auto"/>
                                <w:rPr>
                                  <w:sz w:val="20"/>
                                  <w:szCs w:val="20"/>
                                </w:rPr>
                              </w:pPr>
                              <w:r w:rsidRPr="004D6F6A">
                                <w:rPr>
                                  <w:sz w:val="20"/>
                                  <w:szCs w:val="20"/>
                                </w:rPr>
                                <w:t>Recall of Health Risk Information</w:t>
                              </w:r>
                            </w:p>
                            <w:p w:rsidR="00037CF4" w:rsidRPr="004D6F6A" w:rsidRDefault="00037CF4" w:rsidP="00F1629B">
                              <w:pPr>
                                <w:spacing w:before="0" w:after="0" w:line="240" w:lineRule="auto"/>
                                <w:rPr>
                                  <w:sz w:val="20"/>
                                  <w:szCs w:val="20"/>
                                </w:rPr>
                              </w:pPr>
                              <w:r w:rsidRPr="004D6F6A">
                                <w:rPr>
                                  <w:sz w:val="20"/>
                                  <w:szCs w:val="20"/>
                                </w:rPr>
                                <w:t>Recognition of Health Risk Information</w:t>
                              </w:r>
                            </w:p>
                            <w:p w:rsidR="00037CF4" w:rsidRPr="004D6F6A" w:rsidRDefault="00037CF4" w:rsidP="00F1629B">
                              <w:pPr>
                                <w:spacing w:before="0" w:after="0" w:line="240" w:lineRule="auto"/>
                                <w:rPr>
                                  <w:sz w:val="20"/>
                                  <w:szCs w:val="20"/>
                                </w:rPr>
                              </w:pPr>
                            </w:p>
                          </w:txbxContent>
                        </wps:txbx>
                        <wps:bodyPr rot="0" vert="horz" wrap="square" lIns="91440" tIns="45720" rIns="91440" bIns="45720" anchor="ctr" anchorCtr="0" upright="1">
                          <a:noAutofit/>
                        </wps:bodyPr>
                      </wps:wsp>
                      <wps:wsp>
                        <wps:cNvPr id="21" name="Text Box 2"/>
                        <wps:cNvSpPr txBox="1">
                          <a:spLocks noChangeArrowheads="1"/>
                        </wps:cNvSpPr>
                        <wps:spPr bwMode="auto">
                          <a:xfrm>
                            <a:off x="31619" y="31595"/>
                            <a:ext cx="17236" cy="3220"/>
                          </a:xfrm>
                          <a:prstGeom prst="rect">
                            <a:avLst/>
                          </a:prstGeom>
                          <a:solidFill>
                            <a:srgbClr val="FFFFFF"/>
                          </a:solidFill>
                          <a:ln w="38100">
                            <a:solidFill>
                              <a:schemeClr val="tx1">
                                <a:lumMod val="100000"/>
                                <a:lumOff val="0"/>
                              </a:schemeClr>
                            </a:solidFill>
                            <a:miter lim="800000"/>
                            <a:headEnd/>
                            <a:tailEnd/>
                          </a:ln>
                        </wps:spPr>
                        <wps:txbx>
                          <w:txbxContent>
                            <w:p w:rsidR="00037CF4" w:rsidRPr="0038011B" w:rsidRDefault="00037CF4" w:rsidP="00E00741">
                              <w:pPr>
                                <w:spacing w:before="0" w:after="0"/>
                                <w:jc w:val="center"/>
                                <w:rPr>
                                  <w:b/>
                                  <w:szCs w:val="24"/>
                                </w:rPr>
                              </w:pPr>
                              <w:r w:rsidRPr="0038011B">
                                <w:rPr>
                                  <w:b/>
                                  <w:szCs w:val="24"/>
                                </w:rPr>
                                <w:t>Perceived Attention</w:t>
                              </w:r>
                            </w:p>
                            <w:p w:rsidR="00037CF4" w:rsidRPr="00E00741" w:rsidRDefault="00037CF4" w:rsidP="00F91D3E">
                              <w:pPr>
                                <w:spacing w:before="0" w:after="0"/>
                                <w:rPr>
                                  <w:sz w:val="22"/>
                                  <w:szCs w:val="22"/>
                                </w:rPr>
                              </w:pPr>
                            </w:p>
                          </w:txbxContent>
                        </wps:txbx>
                        <wps:bodyPr rot="0" vert="horz" wrap="square" lIns="91440" tIns="45720" rIns="91440" bIns="45720" anchor="t" anchorCtr="0" upright="1">
                          <a:noAutofit/>
                        </wps:bodyPr>
                      </wps:wsp>
                      <wps:wsp>
                        <wps:cNvPr id="22" name="Text Box 2"/>
                        <wps:cNvSpPr txBox="1">
                          <a:spLocks noChangeArrowheads="1"/>
                        </wps:cNvSpPr>
                        <wps:spPr bwMode="auto">
                          <a:xfrm>
                            <a:off x="26846" y="36941"/>
                            <a:ext cx="27432" cy="35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37CF4" w:rsidRPr="00F91D3E" w:rsidRDefault="00037CF4" w:rsidP="00F91D3E">
                              <w:pPr>
                                <w:spacing w:before="0" w:after="0"/>
                                <w:rPr>
                                  <w:b/>
                                </w:rPr>
                              </w:pPr>
                              <w:r>
                                <w:rPr>
                                  <w:b/>
                                </w:rPr>
                                <w:t>Perceived Attention Mediating Effects</w:t>
                              </w:r>
                            </w:p>
                            <w:p w:rsidR="00037CF4" w:rsidRPr="00F91D3E" w:rsidRDefault="00037CF4" w:rsidP="00F91D3E">
                              <w:pPr>
                                <w:spacing w:before="0" w:after="0"/>
                              </w:pPr>
                            </w:p>
                          </w:txbxContent>
                        </wps:txbx>
                        <wps:bodyPr rot="0" vert="horz" wrap="square" lIns="91440" tIns="45720" rIns="91440" bIns="45720" anchor="t" anchorCtr="0" upright="1">
                          <a:noAutofit/>
                        </wps:bodyPr>
                      </wps:wsp>
                      <wps:wsp>
                        <wps:cNvPr id="23" name="Text Box 30"/>
                        <wps:cNvSpPr txBox="1">
                          <a:spLocks noChangeArrowheads="1"/>
                        </wps:cNvSpPr>
                        <wps:spPr bwMode="auto">
                          <a:xfrm>
                            <a:off x="5413" y="292"/>
                            <a:ext cx="3950" cy="629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37CF4" w:rsidRPr="00A8166B" w:rsidRDefault="00037CF4" w:rsidP="00A8166B">
                              <w:pPr>
                                <w:spacing w:line="240" w:lineRule="auto"/>
                                <w:rPr>
                                  <w:b/>
                                  <w:sz w:val="40"/>
                                  <w:szCs w:val="40"/>
                                </w:rPr>
                              </w:pPr>
                              <w:r w:rsidRPr="00A8166B">
                                <w:rPr>
                                  <w:b/>
                                  <w:sz w:val="40"/>
                                  <w:szCs w:val="40"/>
                                </w:rPr>
                                <w:t>1.</w:t>
                              </w:r>
                            </w:p>
                          </w:txbxContent>
                        </wps:txbx>
                        <wps:bodyPr rot="0" vert="horz" wrap="square" lIns="91440" tIns="45720" rIns="91440" bIns="45720" anchor="t" anchorCtr="0" upright="1">
                          <a:noAutofit/>
                        </wps:bodyPr>
                      </wps:wsp>
                      <wps:wsp>
                        <wps:cNvPr id="24" name="Text Box 31"/>
                        <wps:cNvSpPr txBox="1">
                          <a:spLocks noChangeArrowheads="1"/>
                        </wps:cNvSpPr>
                        <wps:spPr bwMode="auto">
                          <a:xfrm>
                            <a:off x="5413" y="16020"/>
                            <a:ext cx="3950" cy="629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37CF4" w:rsidRPr="00A8166B" w:rsidRDefault="00037CF4" w:rsidP="00A8166B">
                              <w:pPr>
                                <w:spacing w:line="240" w:lineRule="auto"/>
                                <w:rPr>
                                  <w:b/>
                                  <w:sz w:val="40"/>
                                  <w:szCs w:val="40"/>
                                </w:rPr>
                              </w:pPr>
                              <w:r>
                                <w:rPr>
                                  <w:b/>
                                  <w:sz w:val="40"/>
                                  <w:szCs w:val="40"/>
                                </w:rPr>
                                <w:t>2</w:t>
                              </w:r>
                              <w:r w:rsidRPr="00A8166B">
                                <w:rPr>
                                  <w:b/>
                                  <w:sz w:val="40"/>
                                  <w:szCs w:val="40"/>
                                </w:rPr>
                                <w:t>.</w:t>
                              </w:r>
                            </w:p>
                          </w:txbxContent>
                        </wps:txbx>
                        <wps:bodyPr rot="0" vert="horz" wrap="square" lIns="91440" tIns="45720" rIns="91440" bIns="45720" anchor="t" anchorCtr="0" upright="1">
                          <a:noAutofit/>
                        </wps:bodyPr>
                      </wps:wsp>
                      <wps:wsp>
                        <wps:cNvPr id="25" name="Text Box 192"/>
                        <wps:cNvSpPr txBox="1">
                          <a:spLocks noChangeArrowheads="1"/>
                        </wps:cNvSpPr>
                        <wps:spPr bwMode="auto">
                          <a:xfrm>
                            <a:off x="5193" y="29041"/>
                            <a:ext cx="3951" cy="629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37CF4" w:rsidRPr="00A8166B" w:rsidRDefault="00037CF4" w:rsidP="00A8166B">
                              <w:pPr>
                                <w:spacing w:line="240" w:lineRule="auto"/>
                                <w:rPr>
                                  <w:b/>
                                  <w:sz w:val="40"/>
                                  <w:szCs w:val="40"/>
                                </w:rPr>
                              </w:pPr>
                              <w:r>
                                <w:rPr>
                                  <w:b/>
                                  <w:sz w:val="40"/>
                                  <w:szCs w:val="40"/>
                                </w:rPr>
                                <w:t>3</w:t>
                              </w:r>
                              <w:r w:rsidRPr="00A8166B">
                                <w:rPr>
                                  <w:b/>
                                  <w:sz w:val="40"/>
                                  <w:szCs w:val="40"/>
                                </w:rPr>
                                <w:t>.</w:t>
                              </w:r>
                            </w:p>
                          </w:txbxContent>
                        </wps:txbx>
                        <wps:bodyPr rot="0" vert="horz" wrap="square" lIns="91440" tIns="45720" rIns="91440" bIns="45720" anchor="t" anchorCtr="0" upright="1">
                          <a:noAutofit/>
                        </wps:bodyPr>
                      </wps:wsp>
                      <wps:wsp>
                        <wps:cNvPr id="26" name="Curved Right Arrow 193"/>
                        <wps:cNvSpPr>
                          <a:spLocks noChangeArrowheads="1"/>
                        </wps:cNvSpPr>
                        <wps:spPr bwMode="auto">
                          <a:xfrm>
                            <a:off x="0" y="6729"/>
                            <a:ext cx="5193" cy="11416"/>
                          </a:xfrm>
                          <a:prstGeom prst="curvedRightArrow">
                            <a:avLst>
                              <a:gd name="adj1" fmla="val 24996"/>
                              <a:gd name="adj2" fmla="val 50012"/>
                              <a:gd name="adj3" fmla="val 25000"/>
                            </a:avLst>
                          </a:prstGeom>
                          <a:gradFill rotWithShape="1">
                            <a:gsLst>
                              <a:gs pos="0">
                                <a:srgbClr val="000000"/>
                              </a:gs>
                              <a:gs pos="64399">
                                <a:srgbClr val="000000"/>
                              </a:gs>
                              <a:gs pos="80000">
                                <a:srgbClr val="000000"/>
                              </a:gs>
                              <a:gs pos="83900">
                                <a:srgbClr val="000000"/>
                              </a:gs>
                              <a:gs pos="100000">
                                <a:srgbClr val="000000"/>
                              </a:gs>
                            </a:gsLst>
                            <a:lin ang="16200000"/>
                          </a:gradFill>
                          <a:ln w="9525">
                            <a:solidFill>
                              <a:schemeClr val="dk1">
                                <a:lumMod val="95000"/>
                                <a:lumOff val="0"/>
                              </a:schemeClr>
                            </a:solidFill>
                            <a:miter lim="800000"/>
                            <a:headEnd/>
                            <a:tailEnd/>
                          </a:ln>
                          <a:effectLst>
                            <a:outerShdw dist="23000" dir="5400000" rotWithShape="0">
                              <a:srgbClr val="000000">
                                <a:alpha val="34999"/>
                              </a:srgbClr>
                            </a:outerShdw>
                          </a:effectLst>
                        </wps:spPr>
                        <wps:bodyPr rot="0" vert="horz" wrap="square" lIns="91440" tIns="45720" rIns="91440" bIns="45720" anchor="ctr" anchorCtr="0" upright="1">
                          <a:noAutofit/>
                        </wps:bodyPr>
                      </wps:wsp>
                      <wps:wsp>
                        <wps:cNvPr id="27" name="Curved Right Arrow 194"/>
                        <wps:cNvSpPr>
                          <a:spLocks noChangeArrowheads="1"/>
                        </wps:cNvSpPr>
                        <wps:spPr bwMode="auto">
                          <a:xfrm>
                            <a:off x="0" y="22311"/>
                            <a:ext cx="5193" cy="11416"/>
                          </a:xfrm>
                          <a:prstGeom prst="curvedRightArrow">
                            <a:avLst>
                              <a:gd name="adj1" fmla="val 24996"/>
                              <a:gd name="adj2" fmla="val 50012"/>
                              <a:gd name="adj3" fmla="val 25000"/>
                            </a:avLst>
                          </a:prstGeom>
                          <a:gradFill rotWithShape="1">
                            <a:gsLst>
                              <a:gs pos="0">
                                <a:srgbClr val="000000"/>
                              </a:gs>
                              <a:gs pos="64399">
                                <a:srgbClr val="000000"/>
                              </a:gs>
                              <a:gs pos="80000">
                                <a:srgbClr val="000000"/>
                              </a:gs>
                              <a:gs pos="83900">
                                <a:srgbClr val="000000"/>
                              </a:gs>
                              <a:gs pos="100000">
                                <a:srgbClr val="000000"/>
                              </a:gs>
                            </a:gsLst>
                            <a:lin ang="16200000"/>
                          </a:gradFill>
                          <a:ln w="9525">
                            <a:solidFill>
                              <a:schemeClr val="dk1">
                                <a:lumMod val="95000"/>
                                <a:lumOff val="0"/>
                              </a:schemeClr>
                            </a:solidFill>
                            <a:miter lim="800000"/>
                            <a:headEnd/>
                            <a:tailEnd/>
                          </a:ln>
                          <a:effectLst>
                            <a:outerShdw dist="23000" dir="5400000" rotWithShape="0">
                              <a:srgbClr val="000000">
                                <a:alpha val="34999"/>
                              </a:srgbClr>
                            </a:outerShdw>
                          </a:effec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F4A13A" id="Group 195" o:spid="_x0000_s1026" style="position:absolute;margin-left:15.9pt;margin-top:12.35pt;width:623.8pt;height:318.6pt;z-index:251665920" coordsize="79222,40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">
                <v:shapetype id="_x0000_t202" coordsize="21600,21600" o:spt="202" path="m,l,21600r21600,l21600,xe">
                  <v:stroke joinstyle="miter"/>
                  <v:path gradientshapeok="t" o:connecttype="rect"/>
                </v:shapetype>
                <v:shape id="Text Box 2" o:spid="_x0000_s1027" type="#_x0000_t202" style="position:absolute;left:25330;top:4825;width:27956;height:27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v1PcQA&#10;AADaAAAADwAAAGRycy9kb3ducmV2LnhtbESPQWvCQBSE74X+h+UJvdWNHlKNriEVLC0IxbSgx0f2&#10;mQSzb0N2a7b/visUPA4z8w2zzoPpxJUG11pWMJsmIIgrq1uuFXx/7Z4XIJxH1thZJgW/5CDfPD6s&#10;MdN25ANdS1+LCGGXoYLG+z6T0lUNGXRT2xNH72wHgz7KoZZ6wDHCTSfnSZJKgy3HhQZ72jZUXcof&#10;o2D0y+Xby+6jPhXp4vWow9mF/adST5NQrEB4Cv4e/m+/awUp3K7EGy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r9T3EAAAA2gAAAA8AAAAAAAAAAAAAAAAAmAIAAGRycy9k&#10;b3ducmV2LnhtbFBLBQYAAAAABAAEAPUAAACJAwAAAAA=&#10;" stroked="f">
                  <v:textbox>
                    <w:txbxContent>
                      <w:p w:rsidR="00037CF4" w:rsidRPr="00F61306" w:rsidRDefault="00037CF4" w:rsidP="00F91D3E">
                        <w:pPr>
                          <w:spacing w:before="0" w:after="0"/>
                          <w:rPr>
                            <w:b/>
                            <w:sz w:val="16"/>
                            <w:szCs w:val="16"/>
                          </w:rPr>
                        </w:pPr>
                        <w:r w:rsidRPr="00F61306">
                          <w:rPr>
                            <w:b/>
                            <w:sz w:val="16"/>
                            <w:szCs w:val="16"/>
                          </w:rPr>
                          <w:t>Prominence &amp; DTCA Regulatory Knowledge Main Effects</w:t>
                        </w:r>
                      </w:p>
                      <w:p w:rsidR="00037CF4" w:rsidRPr="00F61306" w:rsidRDefault="00037CF4" w:rsidP="00F91D3E">
                        <w:pPr>
                          <w:spacing w:before="0" w:after="0"/>
                          <w:rPr>
                            <w:sz w:val="16"/>
                            <w:szCs w:val="16"/>
                          </w:rPr>
                        </w:pPr>
                      </w:p>
                    </w:txbxContent>
                  </v:textbox>
                </v:shape>
                <v:shape id="Text Box 2" o:spid="_x0000_s1028" type="#_x0000_t202" style="position:absolute;left:25041;top:22018;width:27280;height:27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dQpsQA&#10;AADaAAAADwAAAGRycy9kb3ducmV2LnhtbESPQWvCQBSE7wX/w/KE3urGHkyMrhKFlBaEUluox0f2&#10;mQSzb0N2a7b/visUPA4z8w2z3gbTiSsNrrWsYD5LQBBXVrdcK/j6LJ8yEM4ja+wsk4JfcrDdTB7W&#10;mGs78gddj74WEcIuRwWN930upasaMuhmtieO3tkOBn2UQy31gGOEm04+J8lCGmw5LjTY076h6nL8&#10;MQpGv1y+pOVbfSoW2e5bh7MLh3elHqehWIHwFPw9/N9+1QpSuF2JN0B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nUKbEAAAA2gAAAA8AAAAAAAAAAAAAAAAAmAIAAGRycy9k&#10;b3ducmV2LnhtbFBLBQYAAAAABAAEAPUAAACJAwAAAAA=&#10;" stroked="f">
                  <v:textbox>
                    <w:txbxContent>
                      <w:p w:rsidR="00037CF4" w:rsidRPr="00F61306" w:rsidRDefault="00037CF4" w:rsidP="00A2540C">
                        <w:pPr>
                          <w:spacing w:before="0" w:after="0"/>
                          <w:rPr>
                            <w:b/>
                            <w:sz w:val="18"/>
                            <w:szCs w:val="18"/>
                          </w:rPr>
                        </w:pPr>
                        <w:r w:rsidRPr="00F61306">
                          <w:rPr>
                            <w:b/>
                            <w:sz w:val="18"/>
                            <w:szCs w:val="18"/>
                          </w:rPr>
                          <w:t>DTCA Regualtory Knowledge Moderating Effects</w:t>
                        </w:r>
                      </w:p>
                      <w:p w:rsidR="00037CF4" w:rsidRPr="00F91D3E" w:rsidRDefault="00037CF4" w:rsidP="00A2540C">
                        <w:pPr>
                          <w:spacing w:before="0" w:after="0"/>
                        </w:pPr>
                      </w:p>
                    </w:txbxContent>
                  </v:textbox>
                </v:shape>
                <v:rect id="Rectangle 2" o:spid="_x0000_s1029" style="position:absolute;left:9655;top:731;width:12656;height:92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2r0sEA&#10;AADaAAAADwAAAGRycy9kb3ducmV2LnhtbERPy2rCQBTdC/7DcAtupE6UViQ6hkQUCi2C2o27S+aa&#10;hGbuhMzk4d93FoUuD+e9S0ZTi55aV1lWsFxEIIhzqysuFHzfTq8bEM4ja6wtk4InOUj208kOY20H&#10;vlB/9YUIIexiVFB638RSurwkg25hG+LAPWxr0AfYFlK3OIRwU8tVFK2lwYpDQ4kNHUrKf66dUfB2&#10;vxyz5pG9b/rPry7v0jmux7NSs5cx3YLwNPp/8Z/7QysIW8OVcAP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r9q9LBAAAA2gAAAA8AAAAAAAAAAAAAAAAAmAIAAGRycy9kb3du&#10;cmV2LnhtbFBLBQYAAAAABAAEAPUAAACGAwAAAAA=&#10;" fillcolor="white [3201]" strokecolor="black [3200]" strokeweight="3pt">
                  <v:textbox>
                    <w:txbxContent>
                      <w:p w:rsidR="00037CF4" w:rsidRDefault="00037CF4" w:rsidP="004D6F6A">
                        <w:pPr>
                          <w:spacing w:before="0" w:after="0" w:line="240" w:lineRule="auto"/>
                          <w:jc w:val="center"/>
                          <w:rPr>
                            <w:sz w:val="16"/>
                            <w:szCs w:val="16"/>
                          </w:rPr>
                        </w:pPr>
                        <w:r w:rsidRPr="004D6F6A">
                          <w:rPr>
                            <w:sz w:val="16"/>
                            <w:szCs w:val="16"/>
                          </w:rPr>
                          <w:t>Risk Disclosure Prominence</w:t>
                        </w:r>
                      </w:p>
                      <w:p w:rsidR="00037CF4" w:rsidRDefault="00037CF4" w:rsidP="004D6F6A">
                        <w:pPr>
                          <w:spacing w:before="0" w:after="0" w:line="240" w:lineRule="auto"/>
                          <w:jc w:val="center"/>
                          <w:rPr>
                            <w:sz w:val="16"/>
                            <w:szCs w:val="16"/>
                          </w:rPr>
                        </w:pPr>
                        <w:r>
                          <w:rPr>
                            <w:sz w:val="16"/>
                            <w:szCs w:val="16"/>
                          </w:rPr>
                          <w:t>&amp;</w:t>
                        </w:r>
                      </w:p>
                      <w:p w:rsidR="00037CF4" w:rsidRPr="004D6F6A" w:rsidRDefault="00037CF4" w:rsidP="004D6F6A">
                        <w:pPr>
                          <w:spacing w:before="0" w:after="0" w:line="240" w:lineRule="auto"/>
                          <w:jc w:val="center"/>
                          <w:rPr>
                            <w:sz w:val="16"/>
                            <w:szCs w:val="16"/>
                          </w:rPr>
                        </w:pPr>
                        <w:r>
                          <w:rPr>
                            <w:sz w:val="16"/>
                            <w:szCs w:val="16"/>
                          </w:rPr>
                          <w:t>DTCA Regulatory Knowledge</w:t>
                        </w:r>
                      </w:p>
                    </w:txbxContent>
                  </v:textbox>
                </v:rect>
                <v:rect id="Rectangle 7" o:spid="_x0000_s1030" style="position:absolute;left:56028;width:22682;height:59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EOScQA&#10;AADaAAAADwAAAGRycy9kb3ducmV2LnhtbESPT4vCMBTE7wt+h/AEL4umLipajaKLwoIi+Ofi7dE8&#10;22LzUpq01m9vFhb2OMzMb5jFqjWFaKhyuWUFw0EEgjixOudUwfWy609BOI+ssbBMCl7kYLXsfCww&#10;1vbJJ2rOPhUBwi5GBZn3ZSylSzIy6Aa2JA7e3VYGfZBVKnWFzwA3hfyKook0mHNYyLCk74ySx7k2&#10;Cka303ZT3jfjabM/1Em9/sRJe1Sq123XcxCeWv8f/mv/aAUz+L0SboBc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xDknEAAAA2gAAAA8AAAAAAAAAAAAAAAAAmAIAAGRycy9k&#10;b3ducmV2LnhtbFBLBQYAAAAABAAEAPUAAACJAwAAAAA=&#10;" fillcolor="white [3201]" strokecolor="black [3200]" strokeweight="3pt">
                  <v:textbox>
                    <w:txbxContent>
                      <w:p w:rsidR="00037CF4" w:rsidRPr="004D6F6A" w:rsidRDefault="00037CF4" w:rsidP="00F1629B">
                        <w:pPr>
                          <w:spacing w:before="0" w:after="0" w:line="240" w:lineRule="auto"/>
                          <w:rPr>
                            <w:sz w:val="20"/>
                            <w:szCs w:val="20"/>
                          </w:rPr>
                        </w:pPr>
                        <w:r w:rsidRPr="004D6F6A">
                          <w:rPr>
                            <w:sz w:val="20"/>
                            <w:szCs w:val="20"/>
                          </w:rPr>
                          <w:t>Perceived Attention to Risk Disclosure</w:t>
                        </w:r>
                      </w:p>
                      <w:p w:rsidR="00037CF4" w:rsidRPr="004D6F6A" w:rsidRDefault="00037CF4" w:rsidP="00F1629B">
                        <w:pPr>
                          <w:spacing w:before="0" w:after="0" w:line="240" w:lineRule="auto"/>
                          <w:rPr>
                            <w:sz w:val="20"/>
                            <w:szCs w:val="20"/>
                          </w:rPr>
                        </w:pPr>
                        <w:r w:rsidRPr="004D6F6A">
                          <w:rPr>
                            <w:sz w:val="20"/>
                            <w:szCs w:val="20"/>
                          </w:rPr>
                          <w:t>Recall of Health Risk Information</w:t>
                        </w:r>
                      </w:p>
                      <w:p w:rsidR="00037CF4" w:rsidRPr="004D6F6A" w:rsidRDefault="00037CF4" w:rsidP="00F1629B">
                        <w:pPr>
                          <w:spacing w:before="0" w:after="0" w:line="240" w:lineRule="auto"/>
                          <w:rPr>
                            <w:sz w:val="20"/>
                            <w:szCs w:val="20"/>
                          </w:rPr>
                        </w:pPr>
                        <w:r w:rsidRPr="004D6F6A">
                          <w:rPr>
                            <w:sz w:val="20"/>
                            <w:szCs w:val="20"/>
                          </w:rPr>
                          <w:t>Recognition of Health Risk Information</w:t>
                        </w:r>
                      </w:p>
                      <w:p w:rsidR="00037CF4" w:rsidRPr="004D6F6A" w:rsidRDefault="00037CF4" w:rsidP="00F1629B">
                        <w:pPr>
                          <w:spacing w:before="0" w:after="0" w:line="240" w:lineRule="auto"/>
                          <w:rPr>
                            <w:sz w:val="20"/>
                            <w:szCs w:val="20"/>
                          </w:rPr>
                        </w:pPr>
                      </w:p>
                    </w:txbxContent>
                  </v:textbox>
                </v:rect>
                <v:rect id="Rectangle 8" o:spid="_x0000_s1031" style="position:absolute;left:9656;top:17044;width:14763;height:52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GstcUA&#10;AADbAAAADwAAAGRycy9kb3ducmV2LnhtbESPQWvCQBCF7wX/wzKCl6IbpRWJrqKlhYKloPXibciO&#10;STA7G7KbmP575yB4m+G9ee+b1aZ3leqoCaVnA9NJAoo487bk3MDp72u8ABUissXKMxn4pwCb9eBl&#10;han1Nz5Qd4y5khAOKRooYqxTrUNWkMMw8TWxaBffOIyyNrm2Dd4k3FV6liRz7bBkaSiwpo+Csuux&#10;dQbezofPXX3ZvS+6/U+btdtXnPe/xoyG/XYJKlIfn+bH9bcVfKGXX2QAvb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oay1xQAAANsAAAAPAAAAAAAAAAAAAAAAAJgCAABkcnMv&#10;ZG93bnJldi54bWxQSwUGAAAAAAQABAD1AAAAigMAAAAA&#10;" fillcolor="white [3201]" strokecolor="black [3200]" strokeweight="3pt">
                  <v:textbox>
                    <w:txbxContent>
                      <w:p w:rsidR="00037CF4" w:rsidRDefault="00037CF4" w:rsidP="004D6F6A">
                        <w:pPr>
                          <w:spacing w:before="0" w:after="0" w:line="240" w:lineRule="auto"/>
                          <w:jc w:val="center"/>
                        </w:pPr>
                        <w:r>
                          <w:t>Risk Disclosure Prominence</w:t>
                        </w:r>
                      </w:p>
                    </w:txbxContent>
                  </v:textbox>
                </v:rect>
                <v:rect id="Rectangle 9" o:spid="_x0000_s1032" style="position:absolute;left:56179;top:16673;width:23043;height:56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MywsIA&#10;AADbAAAADwAAAGRycy9kb3ducmV2LnhtbERPS4vCMBC+C/6HMMJeRFPdVaQaRWUXhBXBx8Xb0Ixt&#10;sZmUJq3df78RBG/z8T1nsWpNIRqqXG5ZwWgYgSBOrM45VXA5/wxmIJxH1lhYJgV/5GC17HYWGGv7&#10;4CM1J5+KEMIuRgWZ92UspUsyMuiGtiQO3M1WBn2AVSp1hY8Qbgo5jqKpNJhzaMiwpG1Gyf1UGwVf&#10;1+P3prxtJrPmd18n9bqP0/ag1EevXc9BeGr9W/xy73SY/wnPX8IBcvk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czLCwgAAANsAAAAPAAAAAAAAAAAAAAAAAJgCAABkcnMvZG93&#10;bnJldi54bWxQSwUGAAAAAAQABAD1AAAAhwMAAAAA&#10;" fillcolor="white [3201]" strokecolor="black [3200]" strokeweight="3pt">
                  <v:textbox>
                    <w:txbxContent>
                      <w:p w:rsidR="00037CF4" w:rsidRPr="004D6F6A" w:rsidRDefault="00037CF4" w:rsidP="004D6F6A">
                        <w:pPr>
                          <w:spacing w:before="0" w:after="0" w:line="240" w:lineRule="auto"/>
                          <w:rPr>
                            <w:sz w:val="20"/>
                            <w:szCs w:val="20"/>
                          </w:rPr>
                        </w:pPr>
                        <w:r w:rsidRPr="004D6F6A">
                          <w:rPr>
                            <w:sz w:val="20"/>
                            <w:szCs w:val="20"/>
                          </w:rPr>
                          <w:t>Perceived Attention to Risk Disclosure</w:t>
                        </w:r>
                      </w:p>
                      <w:p w:rsidR="00037CF4" w:rsidRPr="004D6F6A" w:rsidRDefault="00037CF4" w:rsidP="004D6F6A">
                        <w:pPr>
                          <w:spacing w:before="0" w:after="0" w:line="240" w:lineRule="auto"/>
                          <w:rPr>
                            <w:sz w:val="20"/>
                            <w:szCs w:val="20"/>
                          </w:rPr>
                        </w:pPr>
                        <w:r w:rsidRPr="004D6F6A">
                          <w:rPr>
                            <w:sz w:val="20"/>
                            <w:szCs w:val="20"/>
                          </w:rPr>
                          <w:t>Recall of Health Risk Information</w:t>
                        </w:r>
                      </w:p>
                      <w:p w:rsidR="00037CF4" w:rsidRPr="004D6F6A" w:rsidRDefault="00037CF4" w:rsidP="004D6F6A">
                        <w:pPr>
                          <w:spacing w:before="0" w:after="0" w:line="240" w:lineRule="auto"/>
                          <w:rPr>
                            <w:sz w:val="20"/>
                            <w:szCs w:val="20"/>
                          </w:rPr>
                        </w:pPr>
                        <w:r w:rsidRPr="004D6F6A">
                          <w:rPr>
                            <w:sz w:val="20"/>
                            <w:szCs w:val="20"/>
                          </w:rPr>
                          <w:t>Recognition of Health Risk Information</w:t>
                        </w:r>
                      </w:p>
                      <w:p w:rsidR="00037CF4" w:rsidRDefault="00037CF4" w:rsidP="00F1629B">
                        <w:pPr>
                          <w:spacing w:before="0" w:after="0" w:line="240" w:lineRule="auto"/>
                        </w:pPr>
                      </w:p>
                    </w:txbxContent>
                  </v:textbox>
                </v:rect>
                <v:shape id="Text Box 2" o:spid="_x0000_s1033" type="#_x0000_t202" style="position:absolute;left:30065;top:12142;width:21360;height:2997;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bfKsAA&#10;AADbAAAADwAAAGRycy9kb3ducmV2LnhtbERPTWuDQBC9B/oflin0FteEEorNKqW00OamhvQ6cScq&#10;cWetu1Xz77OBQG/zeJ+zzWbTiZEG11pWsIpiEMSV1S3XCvbl5/IFhPPIGjvLpOBCDrL0YbHFRNuJ&#10;cxoLX4sQwi5BBY33fSKlqxoy6CLbEwfuZAeDPsChlnrAKYSbTq7jeCMNthwaGuzpvaHqXPwZBf00&#10;/xyPv3Tg3TeVHys30TqvlXp6nN9eQXia/b/47v7SYf4z3H4JB8j0C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SbfKsAAAADbAAAADwAAAAAAAAAAAAAAAACYAgAAZHJzL2Rvd25y&#10;ZXYueG1sUEsFBgAAAAAEAAQA9QAAAIUDAAAAAA==&#10;" strokecolor="black [3213]" strokeweight="3pt">
                  <v:textbox>
                    <w:txbxContent>
                      <w:p w:rsidR="00037CF4" w:rsidRPr="00E00741" w:rsidRDefault="00037CF4" w:rsidP="00E00741">
                        <w:pPr>
                          <w:spacing w:before="0" w:after="0"/>
                          <w:jc w:val="center"/>
                          <w:rPr>
                            <w:b/>
                            <w:sz w:val="22"/>
                            <w:szCs w:val="22"/>
                          </w:rPr>
                        </w:pPr>
                        <w:r>
                          <w:rPr>
                            <w:b/>
                            <w:sz w:val="22"/>
                            <w:szCs w:val="22"/>
                          </w:rPr>
                          <w:t>DTCA Regulatory Knowledge</w:t>
                        </w:r>
                      </w:p>
                      <w:p w:rsidR="00037CF4" w:rsidRPr="00E00741" w:rsidRDefault="00037CF4" w:rsidP="00F91D3E">
                        <w:pPr>
                          <w:spacing w:before="0" w:after="0"/>
                          <w:rPr>
                            <w:sz w:val="22"/>
                            <w:szCs w:val="22"/>
                          </w:rPr>
                        </w:pPr>
                      </w:p>
                    </w:txbxContent>
                  </v:textbox>
                </v:shape>
                <v:rect id="Rectangle 13" o:spid="_x0000_s1034" style="position:absolute;left:9476;top:27549;width:14764;height:112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YPLcMA&#10;AADbAAAADwAAAGRycy9kb3ducmV2LnhtbERPTWvCQBC9F/oflil4KXWjVAnRNURREFoKpl68Ddkx&#10;CWZnQ3YT47/vFgq9zeN9zjodTSMG6lxtWcFsGoEgLqyuuVRw/j68xSCcR9bYWCYFD3KQbp6f1pho&#10;e+cTDbkvRQhhl6CCyvs2kdIVFRl0U9sSB+5qO4M+wK6UusN7CDeNnEfRUhqsOTRU2NKuouKW90bB&#10;++W037bX7SIePj77os9ecTl+KTV5GbMVCE+j/xf/uY86zF/A7y/hAL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YPLcMAAADbAAAADwAAAAAAAAAAAAAAAACYAgAAZHJzL2Rv&#10;d25yZXYueG1sUEsFBgAAAAAEAAQA9QAAAIgDAAAAAA==&#10;" fillcolor="white [3201]" strokecolor="black [3200]" strokeweight="3pt">
                  <v:textbox>
                    <w:txbxContent>
                      <w:p w:rsidR="00037CF4" w:rsidRPr="009273A3" w:rsidRDefault="00037CF4" w:rsidP="009273A3">
                        <w:pPr>
                          <w:spacing w:before="0" w:after="0" w:line="240" w:lineRule="auto"/>
                          <w:jc w:val="center"/>
                          <w:rPr>
                            <w:sz w:val="16"/>
                            <w:szCs w:val="16"/>
                          </w:rPr>
                        </w:pPr>
                        <w:r w:rsidRPr="009273A3">
                          <w:rPr>
                            <w:sz w:val="16"/>
                            <w:szCs w:val="16"/>
                          </w:rPr>
                          <w:t>Risk Disclosure Prominence</w:t>
                        </w:r>
                      </w:p>
                      <w:p w:rsidR="00037CF4" w:rsidRPr="009273A3" w:rsidRDefault="00037CF4" w:rsidP="009273A3">
                        <w:pPr>
                          <w:spacing w:before="0" w:after="0" w:line="240" w:lineRule="auto"/>
                          <w:jc w:val="center"/>
                          <w:rPr>
                            <w:sz w:val="16"/>
                            <w:szCs w:val="16"/>
                          </w:rPr>
                        </w:pPr>
                        <w:r>
                          <w:rPr>
                            <w:sz w:val="16"/>
                            <w:szCs w:val="16"/>
                          </w:rPr>
                          <w:t>&amp;</w:t>
                        </w:r>
                      </w:p>
                      <w:p w:rsidR="00037CF4" w:rsidRDefault="00037CF4" w:rsidP="009273A3">
                        <w:pPr>
                          <w:spacing w:before="0" w:after="0" w:line="240" w:lineRule="auto"/>
                          <w:jc w:val="center"/>
                          <w:rPr>
                            <w:sz w:val="16"/>
                            <w:szCs w:val="16"/>
                          </w:rPr>
                        </w:pPr>
                        <w:r w:rsidRPr="009273A3">
                          <w:rPr>
                            <w:sz w:val="16"/>
                            <w:szCs w:val="16"/>
                          </w:rPr>
                          <w:t xml:space="preserve"> DTCA </w:t>
                        </w:r>
                        <w:r>
                          <w:rPr>
                            <w:sz w:val="16"/>
                            <w:szCs w:val="16"/>
                          </w:rPr>
                          <w:t xml:space="preserve">Regualtory </w:t>
                        </w:r>
                        <w:r w:rsidRPr="009273A3">
                          <w:rPr>
                            <w:sz w:val="16"/>
                            <w:szCs w:val="16"/>
                          </w:rPr>
                          <w:t>Knowledge</w:t>
                        </w:r>
                      </w:p>
                      <w:p w:rsidR="00037CF4" w:rsidRDefault="00037CF4" w:rsidP="009273A3">
                        <w:pPr>
                          <w:spacing w:before="0" w:after="0" w:line="240" w:lineRule="auto"/>
                          <w:jc w:val="center"/>
                          <w:rPr>
                            <w:sz w:val="16"/>
                            <w:szCs w:val="16"/>
                          </w:rPr>
                        </w:pPr>
                        <w:r>
                          <w:rPr>
                            <w:sz w:val="16"/>
                            <w:szCs w:val="16"/>
                          </w:rPr>
                          <w:t>&amp;</w:t>
                        </w:r>
                      </w:p>
                      <w:p w:rsidR="00037CF4" w:rsidRPr="009273A3" w:rsidRDefault="00037CF4" w:rsidP="009273A3">
                        <w:pPr>
                          <w:spacing w:before="0" w:after="0" w:line="240" w:lineRule="auto"/>
                          <w:jc w:val="center"/>
                          <w:rPr>
                            <w:sz w:val="16"/>
                            <w:szCs w:val="16"/>
                          </w:rPr>
                        </w:pPr>
                        <w:r>
                          <w:rPr>
                            <w:sz w:val="16"/>
                            <w:szCs w:val="16"/>
                          </w:rPr>
                          <w:t xml:space="preserve">Prominence </w:t>
                        </w:r>
                        <w:r w:rsidRPr="00A2660F">
                          <w:rPr>
                            <w:rFonts w:ascii="MTSYN" w:eastAsia="MTSYN" w:cs="MTSYN" w:hint="eastAsia"/>
                            <w:bCs w:val="0"/>
                            <w:color w:val="231F20"/>
                            <w:sz w:val="16"/>
                            <w:szCs w:val="16"/>
                          </w:rPr>
                          <w:t>×</w:t>
                        </w:r>
                        <w:r>
                          <w:rPr>
                            <w:rFonts w:ascii="MTSYN" w:eastAsia="MTSYN" w:cs="MTSYN" w:hint="eastAsia"/>
                            <w:bCs w:val="0"/>
                            <w:color w:val="231F20"/>
                            <w:sz w:val="16"/>
                            <w:szCs w:val="16"/>
                          </w:rPr>
                          <w:t xml:space="preserve"> </w:t>
                        </w:r>
                        <w:r w:rsidRPr="00866628">
                          <w:rPr>
                            <w:rFonts w:hint="eastAsia"/>
                            <w:sz w:val="16"/>
                            <w:szCs w:val="16"/>
                          </w:rPr>
                          <w:t xml:space="preserve">DTCA </w:t>
                        </w:r>
                        <w:r>
                          <w:rPr>
                            <w:sz w:val="16"/>
                            <w:szCs w:val="16"/>
                          </w:rPr>
                          <w:t xml:space="preserve">Regualtory </w:t>
                        </w:r>
                        <w:r w:rsidRPr="00866628">
                          <w:rPr>
                            <w:rFonts w:hint="eastAsia"/>
                            <w:sz w:val="16"/>
                            <w:szCs w:val="16"/>
                          </w:rPr>
                          <w:t>Knowledge</w:t>
                        </w:r>
                      </w:p>
                    </w:txbxContent>
                  </v:textbox>
                </v:rect>
                <v:rect id="Rectangle 14" o:spid="_x0000_s1035" style="position:absolute;left:56180;top:30501;width:23042;height:43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egs8UA&#10;AADbAAAADwAAAGRycy9kb3ducmV2LnhtbESPQWvCQBCF7wX/wzKCl6IbpRWJrqKlhYKloPXibciO&#10;STA7G7KbmP575yB4m+G9ee+b1aZ3leqoCaVnA9NJAoo487bk3MDp72u8ABUissXKMxn4pwCb9eBl&#10;han1Nz5Qd4y5khAOKRooYqxTrUNWkMMw8TWxaBffOIyyNrm2Dd4k3FV6liRz7bBkaSiwpo+Csuux&#10;dQbezofPXX3ZvS+6/U+btdtXnPe/xoyG/XYJKlIfn+bH9bcVfIGVX2QAvb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16CzxQAAANsAAAAPAAAAAAAAAAAAAAAAAJgCAABkcnMv&#10;ZG93bnJldi54bWxQSwUGAAAAAAQABAD1AAAAigMAAAAA&#10;" fillcolor="white [3201]" strokecolor="black [3200]" strokeweight="3pt">
                  <v:textbox>
                    <w:txbxContent>
                      <w:p w:rsidR="00037CF4" w:rsidRPr="004D6F6A" w:rsidRDefault="00037CF4" w:rsidP="00F1629B">
                        <w:pPr>
                          <w:spacing w:before="0" w:after="0" w:line="240" w:lineRule="auto"/>
                          <w:rPr>
                            <w:sz w:val="20"/>
                            <w:szCs w:val="20"/>
                          </w:rPr>
                        </w:pPr>
                        <w:r w:rsidRPr="004D6F6A">
                          <w:rPr>
                            <w:sz w:val="20"/>
                            <w:szCs w:val="20"/>
                          </w:rPr>
                          <w:t>Recall of Health Risk Information</w:t>
                        </w:r>
                      </w:p>
                      <w:p w:rsidR="00037CF4" w:rsidRPr="004D6F6A" w:rsidRDefault="00037CF4" w:rsidP="00F1629B">
                        <w:pPr>
                          <w:spacing w:before="0" w:after="0" w:line="240" w:lineRule="auto"/>
                          <w:rPr>
                            <w:sz w:val="20"/>
                            <w:szCs w:val="20"/>
                          </w:rPr>
                        </w:pPr>
                        <w:r w:rsidRPr="004D6F6A">
                          <w:rPr>
                            <w:sz w:val="20"/>
                            <w:szCs w:val="20"/>
                          </w:rPr>
                          <w:t>Recognition of Health Risk Information</w:t>
                        </w:r>
                      </w:p>
                      <w:p w:rsidR="00037CF4" w:rsidRPr="004D6F6A" w:rsidRDefault="00037CF4" w:rsidP="00F1629B">
                        <w:pPr>
                          <w:spacing w:before="0" w:after="0" w:line="240" w:lineRule="auto"/>
                          <w:rPr>
                            <w:sz w:val="20"/>
                            <w:szCs w:val="20"/>
                          </w:rPr>
                        </w:pPr>
                      </w:p>
                    </w:txbxContent>
                  </v:textbox>
                </v:rect>
                <v:shape id="Text Box 2" o:spid="_x0000_s1036" type="#_x0000_t202" style="position:absolute;left:31619;top:31595;width:17236;height:32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l1CcQA&#10;AADbAAAADwAAAGRycy9kb3ducmV2LnhtbESPQWuDQBSE74X+h+UVcqurBkKx2YQSENtDwZi2kNvD&#10;fVGp+1bcTbT/PhsI9DjMzDfMejubXlxodJ1lBUkUgyCure64UfB1yJ9fQDiPrLG3TAr+yMF28/iw&#10;xkzbifd0qXwjAoRdhgpa74dMSle3ZNBFdiAO3smOBn2QYyP1iFOAm16mcbySBjsOCy0OtGup/q3O&#10;RsFn8U3lz9Lsjuf9B8u0TKiocqUWT/PbKwhPs/8P39vvWkGawO1L+AFyc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pdQnEAAAA2wAAAA8AAAAAAAAAAAAAAAAAmAIAAGRycy9k&#10;b3ducmV2LnhtbFBLBQYAAAAABAAEAPUAAACJAwAAAAA=&#10;" strokecolor="black [3213]" strokeweight="3pt">
                  <v:textbox>
                    <w:txbxContent>
                      <w:p w:rsidR="00037CF4" w:rsidRPr="0038011B" w:rsidRDefault="00037CF4" w:rsidP="00E00741">
                        <w:pPr>
                          <w:spacing w:before="0" w:after="0"/>
                          <w:jc w:val="center"/>
                          <w:rPr>
                            <w:b/>
                            <w:szCs w:val="24"/>
                          </w:rPr>
                        </w:pPr>
                        <w:r w:rsidRPr="0038011B">
                          <w:rPr>
                            <w:b/>
                            <w:szCs w:val="24"/>
                          </w:rPr>
                          <w:t>Perceived Attention</w:t>
                        </w:r>
                      </w:p>
                      <w:p w:rsidR="00037CF4" w:rsidRPr="00E00741" w:rsidRDefault="00037CF4" w:rsidP="00F91D3E">
                        <w:pPr>
                          <w:spacing w:before="0" w:after="0"/>
                          <w:rPr>
                            <w:sz w:val="22"/>
                            <w:szCs w:val="22"/>
                          </w:rPr>
                        </w:pPr>
                      </w:p>
                    </w:txbxContent>
                  </v:textbox>
                </v:shape>
                <v:shape id="Text Box 2" o:spid="_x0000_s1037" type="#_x0000_t202" style="position:absolute;left:26846;top:36941;width:27432;height:35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MKLMEA&#10;AADbAAAADwAAAGRycy9kb3ducmV2LnhtbESP3YrCMBSE7wXfIRzBG9F0i7/VKKuw4q0/D3Bsjm2x&#10;OSlNtPXtN4Lg5TAz3zCrTWtK8aTaFZYV/IwiEMSp1QVnCi7nv+EchPPIGkvLpOBFDjbrbmeFibYN&#10;H+l58pkIEHYJKsi9rxIpXZqTQTeyFXHwbrY26IOsM6lrbALclDKOoqk0WHBYyLGiXU7p/fQwCm6H&#10;ZjBZNNe9v8yO4+kWi9nVvpTq99rfJQhPrf+GP+2DVhDH8P4Sfo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TCizBAAAA2wAAAA8AAAAAAAAAAAAAAAAAmAIAAGRycy9kb3du&#10;cmV2LnhtbFBLBQYAAAAABAAEAPUAAACGAwAAAAA=&#10;" stroked="f">
                  <v:textbox>
                    <w:txbxContent>
                      <w:p w:rsidR="00037CF4" w:rsidRPr="00F91D3E" w:rsidRDefault="00037CF4" w:rsidP="00F91D3E">
                        <w:pPr>
                          <w:spacing w:before="0" w:after="0"/>
                          <w:rPr>
                            <w:b/>
                          </w:rPr>
                        </w:pPr>
                        <w:r>
                          <w:rPr>
                            <w:b/>
                          </w:rPr>
                          <w:t>Perceived Attention Mediating Effects</w:t>
                        </w:r>
                      </w:p>
                      <w:p w:rsidR="00037CF4" w:rsidRPr="00F91D3E" w:rsidRDefault="00037CF4" w:rsidP="00F91D3E">
                        <w:pPr>
                          <w:spacing w:before="0" w:after="0"/>
                        </w:pPr>
                      </w:p>
                    </w:txbxContent>
                  </v:textbox>
                </v:shape>
                <v:shape id="Text Box 30" o:spid="_x0000_s1038" type="#_x0000_t202" style="position:absolute;left:5413;top:292;width:3950;height:62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vt8MA&#10;AADbAAAADwAAAGRycy9kb3ducmV2LnhtbESP3YrCMBSE74V9h3AWvJE1Xf+62zWKCoq3/jzAaXNs&#10;yzYnpYm2vr0RBC+HmfmGmS87U4kbNa60rOB7GIEgzqwuOVdwPm2/fkA4j6yxskwK7uRgufjozTHR&#10;tuUD3Y4+FwHCLkEFhfd1IqXLCjLohrYmDt7FNgZ9kE0udYNtgJtKjqJoJg2WHBYKrGlTUPZ/vBoF&#10;l307mP626c6f48NktsYyTu1dqf5nt/oD4anz7/CrvdcKRmN4fgk/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9+vt8MAAADbAAAADwAAAAAAAAAAAAAAAACYAgAAZHJzL2Rv&#10;d25yZXYueG1sUEsFBgAAAAAEAAQA9QAAAIgDAAAAAA==&#10;" stroked="f">
                  <v:textbox>
                    <w:txbxContent>
                      <w:p w:rsidR="00037CF4" w:rsidRPr="00A8166B" w:rsidRDefault="00037CF4" w:rsidP="00A8166B">
                        <w:pPr>
                          <w:spacing w:line="240" w:lineRule="auto"/>
                          <w:rPr>
                            <w:b/>
                            <w:sz w:val="40"/>
                            <w:szCs w:val="40"/>
                          </w:rPr>
                        </w:pPr>
                        <w:r w:rsidRPr="00A8166B">
                          <w:rPr>
                            <w:b/>
                            <w:sz w:val="40"/>
                            <w:szCs w:val="40"/>
                          </w:rPr>
                          <w:t>1.</w:t>
                        </w:r>
                      </w:p>
                    </w:txbxContent>
                  </v:textbox>
                </v:shape>
                <v:shape id="Text Box 31" o:spid="_x0000_s1039" type="#_x0000_t202" style="position:absolute;left:5413;top:16020;width:3950;height:62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Y3w8QA&#10;AADbAAAADwAAAGRycy9kb3ducmV2LnhtbESP3WrCQBSE7wu+w3KE3hTdKKk/0U1oCxZvoz7AMXtM&#10;gtmzIbs1ydt3hUIvh5n5htlng2nEgzpXW1awmEcgiAuray4VXM6H2QaE88gaG8ukYCQHWTp52WOi&#10;bc85PU6+FAHCLkEFlfdtIqUrKjLo5rYlDt7NdgZ9kF0pdYd9gJtGLqNoJQ3WHBYqbOmrouJ++jEK&#10;bsf+7X3bX7/9ZZ3Hq0+s11c7KvU6HT52IDwN/j/81z5qBcsYnl/CD5Dp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2N8PEAAAA2wAAAA8AAAAAAAAAAAAAAAAAmAIAAGRycy9k&#10;b3ducmV2LnhtbFBLBQYAAAAABAAEAPUAAACJAwAAAAA=&#10;" stroked="f">
                  <v:textbox>
                    <w:txbxContent>
                      <w:p w:rsidR="00037CF4" w:rsidRPr="00A8166B" w:rsidRDefault="00037CF4" w:rsidP="00A8166B">
                        <w:pPr>
                          <w:spacing w:line="240" w:lineRule="auto"/>
                          <w:rPr>
                            <w:b/>
                            <w:sz w:val="40"/>
                            <w:szCs w:val="40"/>
                          </w:rPr>
                        </w:pPr>
                        <w:r>
                          <w:rPr>
                            <w:b/>
                            <w:sz w:val="40"/>
                            <w:szCs w:val="40"/>
                          </w:rPr>
                          <w:t>2</w:t>
                        </w:r>
                        <w:r w:rsidRPr="00A8166B">
                          <w:rPr>
                            <w:b/>
                            <w:sz w:val="40"/>
                            <w:szCs w:val="40"/>
                          </w:rPr>
                          <w:t>.</w:t>
                        </w:r>
                      </w:p>
                    </w:txbxContent>
                  </v:textbox>
                </v:shape>
                <v:shape id="Text Box 192" o:spid="_x0000_s1040" type="#_x0000_t202" style="position:absolute;left:5193;top:29041;width:3951;height:62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qSWMMA&#10;AADbAAAADwAAAGRycy9kb3ducmV2LnhtbESP3WrCQBSE7wu+w3KE3hTdKPUvugm20JLbqA9wzB6T&#10;YPZsyK4meftuodDLYWa+YQ7pYBrxpM7VlhUs5hEI4sLqmksFl/PXbAvCeWSNjWVSMJKDNJm8HDDW&#10;tuecnidfigBhF6OCyvs2ltIVFRl0c9sSB+9mO4M+yK6UusM+wE0jl1G0lgZrDgsVtvRZUXE/PYyC&#10;W9a/rXb99dtfNvn7+gPrzdWOSr1Oh+MehKfB/4f/2plWsFzB75fwA2Ty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3qSWMMAAADbAAAADwAAAAAAAAAAAAAAAACYAgAAZHJzL2Rv&#10;d25yZXYueG1sUEsFBgAAAAAEAAQA9QAAAIgDAAAAAA==&#10;" stroked="f">
                  <v:textbox>
                    <w:txbxContent>
                      <w:p w:rsidR="00037CF4" w:rsidRPr="00A8166B" w:rsidRDefault="00037CF4" w:rsidP="00A8166B">
                        <w:pPr>
                          <w:spacing w:line="240" w:lineRule="auto"/>
                          <w:rPr>
                            <w:b/>
                            <w:sz w:val="40"/>
                            <w:szCs w:val="40"/>
                          </w:rPr>
                        </w:pPr>
                        <w:r>
                          <w:rPr>
                            <w:b/>
                            <w:sz w:val="40"/>
                            <w:szCs w:val="40"/>
                          </w:rPr>
                          <w:t>3</w:t>
                        </w:r>
                        <w:r w:rsidRPr="00A8166B">
                          <w:rPr>
                            <w:b/>
                            <w:sz w:val="40"/>
                            <w:szCs w:val="40"/>
                          </w:rPr>
                          <w:t>.</w:t>
                        </w:r>
                      </w:p>
                    </w:txbxContent>
                  </v:textbox>
                </v:shape>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Curved Right Arrow 193" o:spid="_x0000_s1041" type="#_x0000_t102" style="position:absolute;top:6729;width:5193;height:114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qdM8EA&#10;AADbAAAADwAAAGRycy9kb3ducmV2LnhtbESP3WqDQBCF7wt5h2UCuWvGJCBiswmlEPDCBmr7AIM7&#10;Vak7K+5Gzdt3A4VeHs7PxzmeF9uriUffOdGw2yagWGpnOmk0fH1enjNQPpAY6p2whjt7OJ9WT0fK&#10;jZvlg6cqNCqOiM9JQxvCkCP6umVLfusGluh9u9FSiHJs0Iw0x3Hb4z5JUrTUSSS0NPBby/VPdbOR&#10;e5t3priGBct3Ux4yLHCandab9fL6AirwEv7Df+3CaNin8PgSfwCe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06nTPBAAAA2wAAAA8AAAAAAAAAAAAAAAAAmAIAAGRycy9kb3du&#10;cmV2LnhtbFBLBQYAAAAABAAEAPUAAACGAwAAAAA=&#10;" adj="16686,20371,16200" fillcolor="black" strokecolor="black [3040]">
                  <v:fill color2="black" rotate="t" angle="180" colors="0 black;42205f black;52429f black;54985f black;1 black" focus="100%" type="gradient">
                    <o:fill v:ext="view" type="gradientUnscaled"/>
                  </v:fill>
                  <v:shadow on="t" color="black" opacity="22936f" origin=",.5" offset="0,.63889mm"/>
                </v:shape>
                <v:shape id="Curved Right Arrow 194" o:spid="_x0000_s1042" type="#_x0000_t102" style="position:absolute;top:22311;width:5193;height:114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Y4qMEA&#10;AADbAAAADwAAAGRycy9kb3ducmV2LnhtbESP3WqDQBCF7wt5h2UCuatjUmjFZhNKIOCFLdTkAQZ3&#10;qlJ3VtyN2rfPFgq9PJyfj7M/LrZXE4++c6Jhm6SgWGpnOmk0XC/nxwyUDySGeies4Yc9HA+rhz3l&#10;xs3yyVMVGhVHxOekoQ1hyBF93bIln7iBJXpfbrQUohwbNCPNcdz2uEvTZ7TUSSS0NPCp5fq7utnI&#10;vc1bU3yEBct3Uz5lWOA0O6036+XtFVTgJfyH/9qF0bB7gd8v8Qfg4Q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J2OKjBAAAA2wAAAA8AAAAAAAAAAAAAAAAAmAIAAGRycy9kb3du&#10;cmV2LnhtbFBLBQYAAAAABAAEAPUAAACGAwAAAAA=&#10;" adj="16686,20371,16200" fillcolor="black" strokecolor="black [3040]">
                  <v:fill color2="black" rotate="t" angle="180" colors="0 black;42205f black;52429f black;54985f black;1 black" focus="100%" type="gradient">
                    <o:fill v:ext="view" type="gradientUnscaled"/>
                  </v:fill>
                  <v:shadow on="t" color="black" opacity="22936f" origin=",.5" offset="0,.63889mm"/>
                </v:shape>
              </v:group>
            </w:pict>
          </mc:Fallback>
        </mc:AlternateContent>
      </w:r>
    </w:p>
    <w:p w:rsidR="0076116E" w:rsidRPr="00476FC9" w:rsidRDefault="00FC3987" w:rsidP="007D2ACE">
      <w:pPr>
        <w:keepNext w:val="0"/>
        <w:widowControl w:val="0"/>
        <w:tabs>
          <w:tab w:val="left" w:pos="4686"/>
        </w:tabs>
        <w:kinsoku w:val="0"/>
        <w:overflowPunct w:val="0"/>
        <w:autoSpaceDE w:val="0"/>
        <w:autoSpaceDN w:val="0"/>
        <w:adjustRightInd w:val="0"/>
        <w:snapToGrid w:val="0"/>
        <w:rPr>
          <w:color w:val="000000" w:themeColor="text1"/>
        </w:rPr>
      </w:pPr>
      <w:r w:rsidRPr="00476FC9">
        <w:rPr>
          <w:noProof/>
          <w:color w:val="000000" w:themeColor="text1"/>
        </w:rPr>
        <mc:AlternateContent>
          <mc:Choice Requires="wps">
            <w:drawing>
              <wp:anchor distT="4294967295" distB="4294967295" distL="114300" distR="114300" simplePos="0" relativeHeight="251672064" behindDoc="0" locked="0" layoutInCell="1" allowOverlap="1" wp14:anchorId="2A18B93D" wp14:editId="11871E06">
                <wp:simplePos x="0" y="0"/>
                <wp:positionH relativeFrom="column">
                  <wp:posOffset>2428875</wp:posOffset>
                </wp:positionH>
                <wp:positionV relativeFrom="paragraph">
                  <wp:posOffset>11429</wp:posOffset>
                </wp:positionV>
                <wp:extent cx="3371850" cy="0"/>
                <wp:effectExtent l="0" t="95250" r="0" b="952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371850" cy="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501B36A6" id="_x0000_t32" coordsize="21600,21600" o:spt="32" o:oned="t" path="m,l21600,21600e" filled="f">
                <v:path arrowok="t" fillok="f" o:connecttype="none"/>
                <o:lock v:ext="edit" shapetype="t"/>
              </v:shapetype>
              <v:shape id="Straight Arrow Connector 4" o:spid="_x0000_s1026" type="#_x0000_t32" style="position:absolute;margin-left:191.25pt;margin-top:.9pt;width:265.5pt;height:0;z-index:251672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" strokecolor="black [3213]" strokeweight="3pt">
                <v:stroke endarrow="block"/>
                <o:lock v:ext="edit" shapetype="f"/>
              </v:shape>
            </w:pict>
          </mc:Fallback>
        </mc:AlternateContent>
      </w:r>
      <w:r w:rsidR="0076116E" w:rsidRPr="00476FC9">
        <w:rPr>
          <w:color w:val="000000" w:themeColor="text1"/>
        </w:rPr>
        <w:tab/>
      </w:r>
    </w:p>
    <w:p w:rsidR="0076116E" w:rsidRPr="00476FC9" w:rsidRDefault="0076116E" w:rsidP="007D2ACE">
      <w:pPr>
        <w:keepNext w:val="0"/>
        <w:widowControl w:val="0"/>
        <w:kinsoku w:val="0"/>
        <w:overflowPunct w:val="0"/>
        <w:autoSpaceDE w:val="0"/>
        <w:autoSpaceDN w:val="0"/>
        <w:adjustRightInd w:val="0"/>
        <w:snapToGrid w:val="0"/>
        <w:rPr>
          <w:color w:val="000000" w:themeColor="text1"/>
        </w:rPr>
      </w:pPr>
    </w:p>
    <w:p w:rsidR="0076116E" w:rsidRPr="00476FC9" w:rsidRDefault="00FC3987" w:rsidP="007D2ACE">
      <w:pPr>
        <w:keepNext w:val="0"/>
        <w:widowControl w:val="0"/>
        <w:kinsoku w:val="0"/>
        <w:overflowPunct w:val="0"/>
        <w:autoSpaceDE w:val="0"/>
        <w:autoSpaceDN w:val="0"/>
        <w:adjustRightInd w:val="0"/>
        <w:snapToGrid w:val="0"/>
        <w:rPr>
          <w:color w:val="000000" w:themeColor="text1"/>
        </w:rPr>
      </w:pPr>
      <w:r w:rsidRPr="00476FC9">
        <w:rPr>
          <w:noProof/>
          <w:color w:val="000000" w:themeColor="text1"/>
        </w:rPr>
        <mc:AlternateContent>
          <mc:Choice Requires="wps">
            <w:drawing>
              <wp:anchor distT="0" distB="0" distL="114299" distR="114299" simplePos="0" relativeHeight="251659776" behindDoc="0" locked="0" layoutInCell="1" allowOverlap="1" wp14:anchorId="07977CE3" wp14:editId="599EC67D">
                <wp:simplePos x="0" y="0"/>
                <wp:positionH relativeFrom="column">
                  <wp:posOffset>4220209</wp:posOffset>
                </wp:positionH>
                <wp:positionV relativeFrom="paragraph">
                  <wp:posOffset>117475</wp:posOffset>
                </wp:positionV>
                <wp:extent cx="0" cy="453390"/>
                <wp:effectExtent l="57150" t="0" r="76200" b="4191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5339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553212CE" id="Straight Arrow Connector 20" o:spid="_x0000_s1026" type="#_x0000_t32" style="position:absolute;margin-left:332.3pt;margin-top:9.25pt;width:0;height:35.7pt;z-index:2516597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" strokecolor="black [3213]" strokeweight="3pt">
                <v:stroke endarrow="block"/>
                <o:lock v:ext="edit" shapetype="f"/>
              </v:shape>
            </w:pict>
          </mc:Fallback>
        </mc:AlternateContent>
      </w:r>
    </w:p>
    <w:p w:rsidR="0076116E" w:rsidRPr="00476FC9" w:rsidRDefault="00FC3987" w:rsidP="007D2ACE">
      <w:pPr>
        <w:keepNext w:val="0"/>
        <w:widowControl w:val="0"/>
        <w:kinsoku w:val="0"/>
        <w:overflowPunct w:val="0"/>
        <w:autoSpaceDE w:val="0"/>
        <w:autoSpaceDN w:val="0"/>
        <w:adjustRightInd w:val="0"/>
        <w:snapToGrid w:val="0"/>
        <w:rPr>
          <w:color w:val="000000" w:themeColor="text1"/>
        </w:rPr>
      </w:pPr>
      <w:r w:rsidRPr="00476FC9">
        <w:rPr>
          <w:noProof/>
          <w:color w:val="000000" w:themeColor="text1"/>
        </w:rPr>
        <mc:AlternateContent>
          <mc:Choice Requires="wps">
            <w:drawing>
              <wp:anchor distT="4294967295" distB="4294967295" distL="114300" distR="114300" simplePos="0" relativeHeight="251678208" behindDoc="0" locked="0" layoutInCell="1" allowOverlap="1" wp14:anchorId="3B3181D3" wp14:editId="754E6260">
                <wp:simplePos x="0" y="0"/>
                <wp:positionH relativeFrom="column">
                  <wp:posOffset>2639695</wp:posOffset>
                </wp:positionH>
                <wp:positionV relativeFrom="paragraph">
                  <wp:posOffset>68579</wp:posOffset>
                </wp:positionV>
                <wp:extent cx="3160395" cy="0"/>
                <wp:effectExtent l="0" t="95250" r="0" b="9525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60395" cy="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3A38430" id="Straight Arrow Connector 11" o:spid="_x0000_s1026" type="#_x0000_t32" style="position:absolute;margin-left:207.85pt;margin-top:5.4pt;width:248.85pt;height:0;z-index:2516782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" strokecolor="black [3213]" strokeweight="3pt">
                <v:stroke endarrow="block"/>
                <o:lock v:ext="edit" shapetype="f"/>
              </v:shape>
            </w:pict>
          </mc:Fallback>
        </mc:AlternateContent>
      </w:r>
    </w:p>
    <w:p w:rsidR="0076116E" w:rsidRPr="00476FC9" w:rsidRDefault="0076116E" w:rsidP="007D2ACE">
      <w:pPr>
        <w:keepNext w:val="0"/>
        <w:widowControl w:val="0"/>
        <w:kinsoku w:val="0"/>
        <w:overflowPunct w:val="0"/>
        <w:autoSpaceDE w:val="0"/>
        <w:autoSpaceDN w:val="0"/>
        <w:adjustRightInd w:val="0"/>
        <w:snapToGrid w:val="0"/>
        <w:rPr>
          <w:color w:val="000000" w:themeColor="text1"/>
        </w:rPr>
      </w:pPr>
    </w:p>
    <w:p w:rsidR="0076116E" w:rsidRPr="00476FC9" w:rsidRDefault="00FC3987" w:rsidP="007D2ACE">
      <w:pPr>
        <w:keepNext w:val="0"/>
        <w:widowControl w:val="0"/>
        <w:tabs>
          <w:tab w:val="center" w:pos="6480"/>
        </w:tabs>
        <w:kinsoku w:val="0"/>
        <w:overflowPunct w:val="0"/>
        <w:autoSpaceDE w:val="0"/>
        <w:autoSpaceDN w:val="0"/>
        <w:adjustRightInd w:val="0"/>
        <w:snapToGrid w:val="0"/>
        <w:rPr>
          <w:color w:val="000000" w:themeColor="text1"/>
        </w:rPr>
      </w:pPr>
      <w:r w:rsidRPr="00476FC9">
        <w:rPr>
          <w:noProof/>
          <w:color w:val="000000" w:themeColor="text1"/>
        </w:rPr>
        <mc:AlternateContent>
          <mc:Choice Requires="wps">
            <w:drawing>
              <wp:anchor distT="4294967295" distB="4294967295" distL="114300" distR="114300" simplePos="0" relativeHeight="251653632" behindDoc="0" locked="0" layoutInCell="1" allowOverlap="1" wp14:anchorId="5B20FE33" wp14:editId="1BC4D826">
                <wp:simplePos x="0" y="0"/>
                <wp:positionH relativeFrom="column">
                  <wp:posOffset>5085715</wp:posOffset>
                </wp:positionH>
                <wp:positionV relativeFrom="paragraph">
                  <wp:posOffset>426719</wp:posOffset>
                </wp:positionV>
                <wp:extent cx="716280" cy="0"/>
                <wp:effectExtent l="0" t="95250" r="0" b="9525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6280" cy="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2ADF58DF" id="Straight Arrow Connector 17" o:spid="_x0000_s1026" type="#_x0000_t32" style="position:absolute;margin-left:400.45pt;margin-top:33.6pt;width:56.4pt;height:0;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" strokecolor="black [3213]" strokeweight="3pt">
                <v:stroke endarrow="block"/>
                <o:lock v:ext="edit" shapetype="f"/>
              </v:shape>
            </w:pict>
          </mc:Fallback>
        </mc:AlternateContent>
      </w:r>
      <w:r w:rsidRPr="00476FC9">
        <w:rPr>
          <w:noProof/>
          <w:color w:val="000000" w:themeColor="text1"/>
        </w:rPr>
        <mc:AlternateContent>
          <mc:Choice Requires="wps">
            <w:drawing>
              <wp:anchor distT="4294967295" distB="4294967295" distL="114300" distR="114300" simplePos="0" relativeHeight="251647488" behindDoc="0" locked="0" layoutInCell="1" allowOverlap="1" wp14:anchorId="69A4F9AD" wp14:editId="790B53CF">
                <wp:simplePos x="0" y="0"/>
                <wp:positionH relativeFrom="column">
                  <wp:posOffset>2619375</wp:posOffset>
                </wp:positionH>
                <wp:positionV relativeFrom="paragraph">
                  <wp:posOffset>426719</wp:posOffset>
                </wp:positionV>
                <wp:extent cx="742315" cy="0"/>
                <wp:effectExtent l="0" t="95250" r="0" b="95250"/>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42315" cy="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736EED9E" id="Straight Arrow Connector 16" o:spid="_x0000_s1026" type="#_x0000_t32" style="position:absolute;margin-left:206.25pt;margin-top:33.6pt;width:58.45pt;height:0;z-index:2516474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" strokecolor="black [3213]" strokeweight="3pt">
                <v:stroke endarrow="block"/>
                <o:lock v:ext="edit" shapetype="f"/>
              </v:shape>
            </w:pict>
          </mc:Fallback>
        </mc:AlternateContent>
      </w:r>
      <w:r w:rsidR="0076116E" w:rsidRPr="00476FC9">
        <w:rPr>
          <w:color w:val="000000" w:themeColor="text1"/>
        </w:rPr>
        <w:tab/>
      </w:r>
    </w:p>
    <w:p w:rsidR="00F91D3E" w:rsidRPr="00476FC9" w:rsidRDefault="00F91D3E" w:rsidP="007D2ACE">
      <w:pPr>
        <w:keepNext w:val="0"/>
        <w:widowControl w:val="0"/>
        <w:tabs>
          <w:tab w:val="center" w:pos="6480"/>
        </w:tabs>
        <w:kinsoku w:val="0"/>
        <w:overflowPunct w:val="0"/>
        <w:autoSpaceDE w:val="0"/>
        <w:autoSpaceDN w:val="0"/>
        <w:adjustRightInd w:val="0"/>
        <w:snapToGrid w:val="0"/>
        <w:rPr>
          <w:color w:val="000000" w:themeColor="text1"/>
        </w:rPr>
      </w:pPr>
    </w:p>
    <w:p w:rsidR="00E00741" w:rsidRPr="00476FC9" w:rsidRDefault="00E00741" w:rsidP="007D2ACE">
      <w:pPr>
        <w:pStyle w:val="Caption"/>
        <w:keepNext w:val="0"/>
        <w:widowControl w:val="0"/>
        <w:kinsoku w:val="0"/>
        <w:overflowPunct w:val="0"/>
        <w:autoSpaceDE w:val="0"/>
        <w:autoSpaceDN w:val="0"/>
        <w:adjustRightInd w:val="0"/>
        <w:snapToGrid w:val="0"/>
        <w:rPr>
          <w:color w:val="000000" w:themeColor="text1"/>
        </w:rPr>
      </w:pPr>
    </w:p>
    <w:p w:rsidR="00F91D3E" w:rsidRPr="00476FC9" w:rsidRDefault="00E00741" w:rsidP="007D2ACE">
      <w:pPr>
        <w:pStyle w:val="Caption"/>
        <w:keepNext w:val="0"/>
        <w:widowControl w:val="0"/>
        <w:kinsoku w:val="0"/>
        <w:overflowPunct w:val="0"/>
        <w:autoSpaceDE w:val="0"/>
        <w:autoSpaceDN w:val="0"/>
        <w:adjustRightInd w:val="0"/>
        <w:snapToGrid w:val="0"/>
        <w:rPr>
          <w:color w:val="000000" w:themeColor="text1"/>
        </w:rPr>
      </w:pPr>
      <w:bookmarkStart w:id="28" w:name="_Toc393800646"/>
      <w:r w:rsidRPr="00476FC9">
        <w:rPr>
          <w:color w:val="000000" w:themeColor="text1"/>
        </w:rPr>
        <w:t xml:space="preserve">Figure </w:t>
      </w:r>
      <w:r w:rsidR="00037CF4" w:rsidRPr="00476FC9">
        <w:rPr>
          <w:color w:val="000000" w:themeColor="text1"/>
        </w:rPr>
        <w:fldChar w:fldCharType="begin"/>
      </w:r>
      <w:r w:rsidR="00037CF4" w:rsidRPr="00476FC9">
        <w:rPr>
          <w:color w:val="000000" w:themeColor="text1"/>
        </w:rPr>
        <w:instrText xml:space="preserve"> SEQ Figure \* ARABIC </w:instrText>
      </w:r>
      <w:r w:rsidR="00037CF4" w:rsidRPr="00476FC9">
        <w:rPr>
          <w:color w:val="000000" w:themeColor="text1"/>
        </w:rPr>
        <w:fldChar w:fldCharType="separate"/>
      </w:r>
      <w:r w:rsidR="00C77B30" w:rsidRPr="00476FC9">
        <w:rPr>
          <w:noProof/>
          <w:color w:val="000000" w:themeColor="text1"/>
        </w:rPr>
        <w:t>1</w:t>
      </w:r>
      <w:r w:rsidR="00037CF4" w:rsidRPr="00476FC9">
        <w:rPr>
          <w:noProof/>
          <w:color w:val="000000" w:themeColor="text1"/>
        </w:rPr>
        <w:fldChar w:fldCharType="end"/>
      </w:r>
      <w:r w:rsidRPr="00476FC9">
        <w:rPr>
          <w:color w:val="000000" w:themeColor="text1"/>
        </w:rPr>
        <w:t>. The Conceptual Framework of Dissertation</w:t>
      </w:r>
      <w:bookmarkEnd w:id="28"/>
    </w:p>
    <w:p w:rsidR="00F91D3E" w:rsidRPr="00476FC9" w:rsidRDefault="00F91D3E" w:rsidP="007D2ACE">
      <w:pPr>
        <w:keepNext w:val="0"/>
        <w:widowControl w:val="0"/>
        <w:tabs>
          <w:tab w:val="center" w:pos="6480"/>
        </w:tabs>
        <w:kinsoku w:val="0"/>
        <w:overflowPunct w:val="0"/>
        <w:autoSpaceDE w:val="0"/>
        <w:autoSpaceDN w:val="0"/>
        <w:adjustRightInd w:val="0"/>
        <w:snapToGrid w:val="0"/>
        <w:rPr>
          <w:color w:val="000000" w:themeColor="text1"/>
        </w:rPr>
        <w:sectPr w:rsidR="00F91D3E" w:rsidRPr="00476FC9" w:rsidSect="0076116E">
          <w:pgSz w:w="15840" w:h="12240" w:orient="landscape" w:code="1"/>
          <w:pgMar w:top="1440" w:right="1440" w:bottom="1440" w:left="1440" w:header="0" w:footer="144" w:gutter="0"/>
          <w:pgNumType w:chapStyle="1"/>
          <w:cols w:space="720"/>
          <w:noEndnote/>
          <w:docGrid w:linePitch="326"/>
        </w:sectPr>
      </w:pPr>
    </w:p>
    <w:p w:rsidR="00714294" w:rsidRPr="00476FC9" w:rsidRDefault="00714294" w:rsidP="007D2ACE">
      <w:pPr>
        <w:pStyle w:val="Heading1"/>
        <w:rPr>
          <w:color w:val="000000" w:themeColor="text1"/>
        </w:rPr>
      </w:pPr>
      <w:bookmarkStart w:id="29" w:name="_Toc393800674"/>
      <w:r w:rsidRPr="00476FC9">
        <w:rPr>
          <w:color w:val="000000" w:themeColor="text1"/>
        </w:rPr>
        <w:lastRenderedPageBreak/>
        <w:t>CHAPTER 3: METHOD</w:t>
      </w:r>
      <w:bookmarkEnd w:id="29"/>
    </w:p>
    <w:p w:rsidR="00714294" w:rsidRPr="00476FC9" w:rsidRDefault="00714294" w:rsidP="007D2ACE">
      <w:pPr>
        <w:pStyle w:val="Heading2"/>
        <w:rPr>
          <w:color w:val="000000" w:themeColor="text1"/>
        </w:rPr>
      </w:pPr>
      <w:bookmarkStart w:id="30" w:name="_Toc393800675"/>
      <w:r w:rsidRPr="00476FC9">
        <w:rPr>
          <w:color w:val="000000" w:themeColor="text1"/>
        </w:rPr>
        <w:t>Procedure and Sample</w:t>
      </w:r>
      <w:bookmarkEnd w:id="30"/>
    </w:p>
    <w:p w:rsidR="00DF57D0" w:rsidRPr="00476FC9" w:rsidRDefault="00BF3AE8"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BF3981" w:rsidRPr="00476FC9">
        <w:rPr>
          <w:color w:val="000000" w:themeColor="text1"/>
        </w:rPr>
        <w:t>Prior to the data collection, p</w:t>
      </w:r>
      <w:r w:rsidR="00CD6BBB" w:rsidRPr="00476FC9">
        <w:rPr>
          <w:color w:val="000000" w:themeColor="text1"/>
        </w:rPr>
        <w:t xml:space="preserve">retests </w:t>
      </w:r>
      <w:r w:rsidR="00BF3981" w:rsidRPr="00476FC9">
        <w:rPr>
          <w:color w:val="000000" w:themeColor="text1"/>
        </w:rPr>
        <w:t xml:space="preserve">were </w:t>
      </w:r>
      <w:r w:rsidR="00CD6BBB" w:rsidRPr="00476FC9">
        <w:rPr>
          <w:color w:val="000000" w:themeColor="text1"/>
        </w:rPr>
        <w:t xml:space="preserve">undertaken to ensure </w:t>
      </w:r>
      <w:r w:rsidR="00BD5543" w:rsidRPr="00476FC9">
        <w:rPr>
          <w:color w:val="000000" w:themeColor="text1"/>
        </w:rPr>
        <w:t xml:space="preserve">subjects' </w:t>
      </w:r>
      <w:r w:rsidR="00CD6BBB" w:rsidRPr="00476FC9">
        <w:rPr>
          <w:color w:val="000000" w:themeColor="text1"/>
        </w:rPr>
        <w:t xml:space="preserve">understanding and readability of the </w:t>
      </w:r>
      <w:r w:rsidR="0066191C" w:rsidRPr="00476FC9">
        <w:rPr>
          <w:color w:val="000000" w:themeColor="text1"/>
        </w:rPr>
        <w:t xml:space="preserve">research instrument </w:t>
      </w:r>
      <w:r w:rsidR="00CD6BBB" w:rsidRPr="00476FC9">
        <w:rPr>
          <w:color w:val="000000" w:themeColor="text1"/>
        </w:rPr>
        <w:t xml:space="preserve">questions. </w:t>
      </w:r>
      <w:r w:rsidR="00BF3981" w:rsidRPr="00476FC9">
        <w:rPr>
          <w:color w:val="000000" w:themeColor="text1"/>
        </w:rPr>
        <w:t xml:space="preserve">In addition, </w:t>
      </w:r>
      <w:r w:rsidR="00B840AD" w:rsidRPr="00476FC9">
        <w:rPr>
          <w:color w:val="000000" w:themeColor="text1"/>
        </w:rPr>
        <w:t xml:space="preserve">the subjects in pretests served as the function of manipulation check groups (Perdue &amp; Summers, 1986; Wetzel, 1977) to examine </w:t>
      </w:r>
      <w:r w:rsidR="00BF3981" w:rsidRPr="00476FC9">
        <w:rPr>
          <w:color w:val="000000" w:themeColor="text1"/>
        </w:rPr>
        <w:t>whether risk prominence was operationalized in a proper way</w:t>
      </w:r>
      <w:r w:rsidR="00DF57D0" w:rsidRPr="00476FC9">
        <w:rPr>
          <w:color w:val="000000" w:themeColor="text1"/>
        </w:rPr>
        <w:t xml:space="preserve">. The test ads were reviewed by one advertising professor and three other </w:t>
      </w:r>
      <w:r w:rsidR="00B840AD" w:rsidRPr="00476FC9">
        <w:rPr>
          <w:color w:val="000000" w:themeColor="text1"/>
        </w:rPr>
        <w:t>communication</w:t>
      </w:r>
      <w:r w:rsidR="00DF57D0" w:rsidRPr="00476FC9">
        <w:rPr>
          <w:color w:val="000000" w:themeColor="text1"/>
        </w:rPr>
        <w:t xml:space="preserve"> professors. Based on </w:t>
      </w:r>
      <w:r w:rsidR="00B840AD" w:rsidRPr="00476FC9">
        <w:rPr>
          <w:color w:val="000000" w:themeColor="text1"/>
        </w:rPr>
        <w:t xml:space="preserve">their </w:t>
      </w:r>
      <w:r w:rsidR="00DF57D0" w:rsidRPr="00476FC9">
        <w:rPr>
          <w:color w:val="000000" w:themeColor="text1"/>
        </w:rPr>
        <w:t>recommendations, the ad manipulations were revised several times to secure intended operationalization of ad stimuli.</w:t>
      </w:r>
    </w:p>
    <w:p w:rsidR="00CD6BBB" w:rsidRPr="00476FC9" w:rsidRDefault="00DF57D0"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Then, c</w:t>
      </w:r>
      <w:r w:rsidR="00CD6BBB" w:rsidRPr="00476FC9">
        <w:rPr>
          <w:color w:val="000000" w:themeColor="text1"/>
        </w:rPr>
        <w:t xml:space="preserve">onfusing wording and unclear instructions </w:t>
      </w:r>
      <w:r w:rsidRPr="00476FC9">
        <w:rPr>
          <w:color w:val="000000" w:themeColor="text1"/>
        </w:rPr>
        <w:t xml:space="preserve">were </w:t>
      </w:r>
      <w:r w:rsidR="00CD6BBB" w:rsidRPr="00476FC9">
        <w:rPr>
          <w:color w:val="000000" w:themeColor="text1"/>
        </w:rPr>
        <w:t xml:space="preserve">revised until the questionnaire </w:t>
      </w:r>
      <w:r w:rsidR="00EF4E30" w:rsidRPr="00476FC9">
        <w:rPr>
          <w:color w:val="000000" w:themeColor="text1"/>
        </w:rPr>
        <w:t xml:space="preserve">is became </w:t>
      </w:r>
      <w:r w:rsidRPr="00476FC9">
        <w:rPr>
          <w:color w:val="000000" w:themeColor="text1"/>
        </w:rPr>
        <w:t>c</w:t>
      </w:r>
      <w:r w:rsidR="00CD6BBB" w:rsidRPr="00476FC9">
        <w:rPr>
          <w:color w:val="000000" w:themeColor="text1"/>
        </w:rPr>
        <w:t xml:space="preserve">lear and easily understood. </w:t>
      </w:r>
      <w:r w:rsidR="00984A01" w:rsidRPr="00476FC9">
        <w:rPr>
          <w:color w:val="000000" w:themeColor="text1"/>
        </w:rPr>
        <w:t>T</w:t>
      </w:r>
      <w:r w:rsidR="00CD6BBB" w:rsidRPr="00476FC9">
        <w:rPr>
          <w:color w:val="000000" w:themeColor="text1"/>
        </w:rPr>
        <w:t>he main experiment manipulate</w:t>
      </w:r>
      <w:r w:rsidRPr="00476FC9">
        <w:rPr>
          <w:color w:val="000000" w:themeColor="text1"/>
        </w:rPr>
        <w:t>d</w:t>
      </w:r>
      <w:r w:rsidR="00CD6BBB" w:rsidRPr="00476FC9">
        <w:rPr>
          <w:color w:val="000000" w:themeColor="text1"/>
        </w:rPr>
        <w:t xml:space="preserve"> the prominence of risk disclosure</w:t>
      </w:r>
      <w:r w:rsidR="00BE6C22" w:rsidRPr="00476FC9">
        <w:rPr>
          <w:color w:val="000000" w:themeColor="text1"/>
        </w:rPr>
        <w:t xml:space="preserve"> by </w:t>
      </w:r>
      <w:r w:rsidR="00CD6BBB" w:rsidRPr="00476FC9">
        <w:rPr>
          <w:color w:val="000000" w:themeColor="text1"/>
        </w:rPr>
        <w:t xml:space="preserve">employing </w:t>
      </w:r>
      <w:r w:rsidR="00BE6C22" w:rsidRPr="00476FC9">
        <w:rPr>
          <w:color w:val="000000" w:themeColor="text1"/>
        </w:rPr>
        <w:t>a set of message execution</w:t>
      </w:r>
      <w:r w:rsidRPr="00476FC9">
        <w:rPr>
          <w:color w:val="000000" w:themeColor="text1"/>
        </w:rPr>
        <w:t xml:space="preserve"> factors according to the FDA’s (2009) </w:t>
      </w:r>
      <w:r w:rsidR="00847102" w:rsidRPr="00476FC9">
        <w:rPr>
          <w:color w:val="000000" w:themeColor="text1"/>
        </w:rPr>
        <w:t xml:space="preserve">risk communication </w:t>
      </w:r>
      <w:r w:rsidRPr="00476FC9">
        <w:rPr>
          <w:color w:val="000000" w:themeColor="text1"/>
        </w:rPr>
        <w:t>guidance.</w:t>
      </w:r>
      <w:r w:rsidR="00BE6C22" w:rsidRPr="00476FC9">
        <w:rPr>
          <w:color w:val="000000" w:themeColor="text1"/>
        </w:rPr>
        <w:t xml:space="preserve"> </w:t>
      </w:r>
      <w:r w:rsidR="00847102" w:rsidRPr="00476FC9">
        <w:rPr>
          <w:color w:val="000000" w:themeColor="text1"/>
        </w:rPr>
        <w:t>To ensure less-biased research findings, r</w:t>
      </w:r>
      <w:r w:rsidRPr="00476FC9">
        <w:rPr>
          <w:color w:val="000000" w:themeColor="text1"/>
        </w:rPr>
        <w:t xml:space="preserve">andom sample assignment </w:t>
      </w:r>
      <w:r w:rsidR="00CD6BBB" w:rsidRPr="00476FC9">
        <w:rPr>
          <w:color w:val="000000" w:themeColor="text1"/>
        </w:rPr>
        <w:t xml:space="preserve">and statistical control of potential covariates </w:t>
      </w:r>
      <w:r w:rsidRPr="00476FC9">
        <w:rPr>
          <w:color w:val="000000" w:themeColor="text1"/>
        </w:rPr>
        <w:t xml:space="preserve">were </w:t>
      </w:r>
      <w:r w:rsidR="00BD403C" w:rsidRPr="00476FC9">
        <w:rPr>
          <w:color w:val="000000" w:themeColor="text1"/>
        </w:rPr>
        <w:t>utilized according to the suggest</w:t>
      </w:r>
      <w:r w:rsidR="00FE432B" w:rsidRPr="00476FC9">
        <w:rPr>
          <w:color w:val="000000" w:themeColor="text1"/>
        </w:rPr>
        <w:t>ed experimental research approach (Goodwin, 2008; Shadish, Cook, &amp; Campbell, 2002). Further, this approach has been also suggested in t</w:t>
      </w:r>
      <w:r w:rsidR="00CD6BBB" w:rsidRPr="00476FC9">
        <w:rPr>
          <w:color w:val="000000" w:themeColor="text1"/>
        </w:rPr>
        <w:t>he health communication literature (</w:t>
      </w:r>
      <w:r w:rsidRPr="00476FC9">
        <w:rPr>
          <w:color w:val="000000" w:themeColor="text1"/>
        </w:rPr>
        <w:t xml:space="preserve">e.g., </w:t>
      </w:r>
      <w:r w:rsidR="00CD6BBB" w:rsidRPr="00476FC9">
        <w:rPr>
          <w:color w:val="000000" w:themeColor="text1"/>
        </w:rPr>
        <w:t xml:space="preserve">An, 2007, Park, Ju, &amp; Kim, 2013; Ju &amp; Park, 2013). </w:t>
      </w:r>
      <w:r w:rsidRPr="00476FC9">
        <w:rPr>
          <w:color w:val="000000" w:themeColor="text1"/>
        </w:rPr>
        <w:t>T</w:t>
      </w:r>
      <w:r w:rsidR="00F429E9" w:rsidRPr="00476FC9">
        <w:rPr>
          <w:color w:val="000000" w:themeColor="text1"/>
        </w:rPr>
        <w:t>wo</w:t>
      </w:r>
      <w:r w:rsidRPr="00476FC9">
        <w:rPr>
          <w:color w:val="000000" w:themeColor="text1"/>
        </w:rPr>
        <w:t xml:space="preserve"> different test ads were </w:t>
      </w:r>
      <w:r w:rsidR="00CD6BBB" w:rsidRPr="00476FC9">
        <w:rPr>
          <w:color w:val="000000" w:themeColor="text1"/>
        </w:rPr>
        <w:t xml:space="preserve">created for a </w:t>
      </w:r>
      <w:r w:rsidR="004A6B0D" w:rsidRPr="00476FC9">
        <w:rPr>
          <w:color w:val="000000" w:themeColor="text1"/>
        </w:rPr>
        <w:t>fictitious</w:t>
      </w:r>
      <w:r w:rsidR="00CD6BBB" w:rsidRPr="00476FC9">
        <w:rPr>
          <w:color w:val="000000" w:themeColor="text1"/>
        </w:rPr>
        <w:t xml:space="preserve"> </w:t>
      </w:r>
      <w:r w:rsidR="004A6B0D" w:rsidRPr="00476FC9">
        <w:rPr>
          <w:color w:val="000000" w:themeColor="text1"/>
        </w:rPr>
        <w:t>antidepressant brand</w:t>
      </w:r>
      <w:r w:rsidRPr="00476FC9">
        <w:rPr>
          <w:color w:val="000000" w:themeColor="text1"/>
        </w:rPr>
        <w:t xml:space="preserve"> (i.e., Luminexell)</w:t>
      </w:r>
      <w:r w:rsidR="004A6B0D" w:rsidRPr="00476FC9">
        <w:rPr>
          <w:color w:val="000000" w:themeColor="text1"/>
        </w:rPr>
        <w:t xml:space="preserve"> </w:t>
      </w:r>
      <w:r w:rsidR="00CD6BBB" w:rsidRPr="00476FC9">
        <w:rPr>
          <w:color w:val="000000" w:themeColor="text1"/>
        </w:rPr>
        <w:t xml:space="preserve">because mental depression is among </w:t>
      </w:r>
      <w:r w:rsidR="00C61317" w:rsidRPr="00476FC9">
        <w:rPr>
          <w:color w:val="000000" w:themeColor="text1"/>
        </w:rPr>
        <w:t xml:space="preserve">major </w:t>
      </w:r>
      <w:r w:rsidR="00CD6BBB" w:rsidRPr="00476FC9">
        <w:rPr>
          <w:color w:val="000000" w:themeColor="text1"/>
        </w:rPr>
        <w:t>undertreated social diseases</w:t>
      </w:r>
      <w:r w:rsidR="00C61317" w:rsidRPr="00476FC9">
        <w:rPr>
          <w:color w:val="000000" w:themeColor="text1"/>
        </w:rPr>
        <w:t xml:space="preserve"> </w:t>
      </w:r>
      <w:r w:rsidRPr="00476FC9">
        <w:rPr>
          <w:color w:val="000000" w:themeColor="text1"/>
        </w:rPr>
        <w:t xml:space="preserve">(FDA, 2014) </w:t>
      </w:r>
      <w:r w:rsidR="00C61317" w:rsidRPr="00476FC9">
        <w:rPr>
          <w:color w:val="000000" w:themeColor="text1"/>
        </w:rPr>
        <w:t>and a fictitious brand can exclude alternative explanations in interpreting the findings</w:t>
      </w:r>
      <w:r w:rsidRPr="00476FC9">
        <w:rPr>
          <w:color w:val="000000" w:themeColor="text1"/>
        </w:rPr>
        <w:t xml:space="preserve"> (Shadish</w:t>
      </w:r>
      <w:r w:rsidR="00FE432B" w:rsidRPr="00476FC9">
        <w:rPr>
          <w:color w:val="000000" w:themeColor="text1"/>
        </w:rPr>
        <w:t xml:space="preserve"> et al.</w:t>
      </w:r>
      <w:r w:rsidRPr="00476FC9">
        <w:rPr>
          <w:color w:val="000000" w:themeColor="text1"/>
        </w:rPr>
        <w:t>, 2002)</w:t>
      </w:r>
      <w:r w:rsidR="00B80650" w:rsidRPr="00476FC9">
        <w:rPr>
          <w:color w:val="000000" w:themeColor="text1"/>
        </w:rPr>
        <w:t xml:space="preserve"> (see the manipulation development section for more information)</w:t>
      </w:r>
      <w:r w:rsidRPr="00476FC9">
        <w:rPr>
          <w:color w:val="000000" w:themeColor="text1"/>
        </w:rPr>
        <w:t>.</w:t>
      </w:r>
    </w:p>
    <w:p w:rsidR="00EB0B87" w:rsidRPr="00476FC9" w:rsidRDefault="002F777C"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EF4E30" w:rsidRPr="00476FC9">
        <w:rPr>
          <w:color w:val="000000" w:themeColor="text1"/>
        </w:rPr>
        <w:t>A</w:t>
      </w:r>
      <w:r w:rsidR="00C9360C" w:rsidRPr="00476FC9">
        <w:rPr>
          <w:color w:val="000000" w:themeColor="text1"/>
        </w:rPr>
        <w:t xml:space="preserve"> US </w:t>
      </w:r>
      <w:r w:rsidR="00EF4E30" w:rsidRPr="00476FC9">
        <w:rPr>
          <w:color w:val="000000" w:themeColor="text1"/>
        </w:rPr>
        <w:t>adult</w:t>
      </w:r>
      <w:r w:rsidR="00C9360C" w:rsidRPr="00476FC9">
        <w:rPr>
          <w:color w:val="000000" w:themeColor="text1"/>
        </w:rPr>
        <w:t xml:space="preserve"> sample was </w:t>
      </w:r>
      <w:r w:rsidR="00CD6BBB" w:rsidRPr="00476FC9">
        <w:rPr>
          <w:color w:val="000000" w:themeColor="text1"/>
        </w:rPr>
        <w:t xml:space="preserve">obtained from </w:t>
      </w:r>
      <w:r w:rsidR="00DF57D0" w:rsidRPr="00476FC9">
        <w:rPr>
          <w:color w:val="000000" w:themeColor="text1"/>
        </w:rPr>
        <w:t>a professional online consumer panel, Qualtrics</w:t>
      </w:r>
      <w:r w:rsidR="00CD6BBB" w:rsidRPr="00476FC9">
        <w:rPr>
          <w:color w:val="000000" w:themeColor="text1"/>
        </w:rPr>
        <w:t xml:space="preserve">. </w:t>
      </w:r>
      <w:r w:rsidR="00DF57D0" w:rsidRPr="00476FC9">
        <w:rPr>
          <w:color w:val="000000" w:themeColor="text1"/>
        </w:rPr>
        <w:t xml:space="preserve">A </w:t>
      </w:r>
      <w:r w:rsidR="00DF57D0" w:rsidRPr="00476FC9">
        <w:rPr>
          <w:color w:val="000000" w:themeColor="text1"/>
        </w:rPr>
        <w:lastRenderedPageBreak/>
        <w:t xml:space="preserve">set of factors recommended the use of online consumer panel to conduct this research. First, it was an efficient way to reach </w:t>
      </w:r>
      <w:r w:rsidR="00C9360C" w:rsidRPr="00476FC9">
        <w:rPr>
          <w:color w:val="000000" w:themeColor="text1"/>
        </w:rPr>
        <w:t xml:space="preserve">relatively </w:t>
      </w:r>
      <w:r w:rsidR="00DF57D0" w:rsidRPr="00476FC9">
        <w:rPr>
          <w:color w:val="000000" w:themeColor="text1"/>
        </w:rPr>
        <w:t xml:space="preserve">representative </w:t>
      </w:r>
      <w:r w:rsidR="00EB0B87" w:rsidRPr="00476FC9">
        <w:rPr>
          <w:color w:val="000000" w:themeColor="text1"/>
        </w:rPr>
        <w:t xml:space="preserve">US </w:t>
      </w:r>
      <w:r w:rsidR="00DF57D0" w:rsidRPr="00476FC9">
        <w:rPr>
          <w:color w:val="000000" w:themeColor="text1"/>
        </w:rPr>
        <w:t>adults</w:t>
      </w:r>
      <w:r w:rsidR="00962CF5" w:rsidRPr="00476FC9">
        <w:rPr>
          <w:color w:val="000000" w:themeColor="text1"/>
        </w:rPr>
        <w:t xml:space="preserve">. Second, the Internet access has been grown rapidly and the generation gap has been continuously narrowed. Third, to enhance the validity of the research, some of the questions were randomized to counterbalance any potential order effects. In particular, regarding random </w:t>
      </w:r>
      <w:r w:rsidR="00C9360C" w:rsidRPr="00476FC9">
        <w:rPr>
          <w:color w:val="000000" w:themeColor="text1"/>
        </w:rPr>
        <w:t xml:space="preserve">sample </w:t>
      </w:r>
      <w:r w:rsidR="00962CF5" w:rsidRPr="00476FC9">
        <w:rPr>
          <w:color w:val="000000" w:themeColor="text1"/>
        </w:rPr>
        <w:t>assignment</w:t>
      </w:r>
      <w:r w:rsidR="00D63959" w:rsidRPr="00476FC9">
        <w:rPr>
          <w:color w:val="000000" w:themeColor="text1"/>
        </w:rPr>
        <w:t xml:space="preserve">, </w:t>
      </w:r>
      <w:r w:rsidR="00962CF5" w:rsidRPr="00476FC9">
        <w:rPr>
          <w:color w:val="000000" w:themeColor="text1"/>
        </w:rPr>
        <w:t>the faster and easier data collection allow</w:t>
      </w:r>
      <w:r w:rsidR="00C9360C" w:rsidRPr="00476FC9">
        <w:rPr>
          <w:color w:val="000000" w:themeColor="text1"/>
        </w:rPr>
        <w:t>ed</w:t>
      </w:r>
      <w:r w:rsidR="00962CF5" w:rsidRPr="00476FC9">
        <w:rPr>
          <w:color w:val="000000" w:themeColor="text1"/>
        </w:rPr>
        <w:t xml:space="preserve"> the researcher to better conduct research.</w:t>
      </w:r>
      <w:r w:rsidR="00C429C6" w:rsidRPr="00476FC9">
        <w:rPr>
          <w:color w:val="000000" w:themeColor="text1"/>
        </w:rPr>
        <w:t xml:space="preserve"> Fourth, the Qualtrics consumer panel software provide</w:t>
      </w:r>
      <w:r w:rsidR="00D63959" w:rsidRPr="00476FC9">
        <w:rPr>
          <w:color w:val="000000" w:themeColor="text1"/>
        </w:rPr>
        <w:t>s</w:t>
      </w:r>
      <w:r w:rsidR="00C429C6" w:rsidRPr="00476FC9">
        <w:rPr>
          <w:color w:val="000000" w:themeColor="text1"/>
        </w:rPr>
        <w:t xml:space="preserve"> promising response validation check features</w:t>
      </w:r>
      <w:r w:rsidR="00D63959" w:rsidRPr="00476FC9">
        <w:rPr>
          <w:color w:val="000000" w:themeColor="text1"/>
        </w:rPr>
        <w:t xml:space="preserve">, including </w:t>
      </w:r>
      <w:r w:rsidR="00C429C6" w:rsidRPr="00476FC9">
        <w:rPr>
          <w:i/>
          <w:color w:val="000000" w:themeColor="text1"/>
        </w:rPr>
        <w:t>attention filters</w:t>
      </w:r>
      <w:r w:rsidR="00C429C6" w:rsidRPr="00476FC9">
        <w:rPr>
          <w:color w:val="000000" w:themeColor="text1"/>
        </w:rPr>
        <w:t xml:space="preserve"> and </w:t>
      </w:r>
      <w:r w:rsidR="00C429C6" w:rsidRPr="00476FC9">
        <w:rPr>
          <w:i/>
          <w:color w:val="000000" w:themeColor="text1"/>
        </w:rPr>
        <w:t>average time duration screen out</w:t>
      </w:r>
      <w:r w:rsidR="00C429C6" w:rsidRPr="00476FC9">
        <w:rPr>
          <w:color w:val="000000" w:themeColor="text1"/>
        </w:rPr>
        <w:t xml:space="preserve">. There are many factors that </w:t>
      </w:r>
      <w:r w:rsidR="00D63959" w:rsidRPr="00476FC9">
        <w:rPr>
          <w:color w:val="000000" w:themeColor="text1"/>
        </w:rPr>
        <w:t xml:space="preserve">may </w:t>
      </w:r>
      <w:r w:rsidR="00C429C6" w:rsidRPr="00476FC9">
        <w:rPr>
          <w:color w:val="000000" w:themeColor="text1"/>
        </w:rPr>
        <w:t>lead to respondent fatigue. One way to reduce the number of “</w:t>
      </w:r>
      <w:r w:rsidR="00EB0B87" w:rsidRPr="00476FC9">
        <w:rPr>
          <w:color w:val="000000" w:themeColor="text1"/>
        </w:rPr>
        <w:t>straight</w:t>
      </w:r>
      <w:r w:rsidR="00C429C6" w:rsidRPr="00476FC9">
        <w:rPr>
          <w:color w:val="000000" w:themeColor="text1"/>
        </w:rPr>
        <w:t xml:space="preserve">-liners” and “speeders” is to insert </w:t>
      </w:r>
      <w:r w:rsidR="00EB0B87" w:rsidRPr="00476FC9">
        <w:rPr>
          <w:color w:val="000000" w:themeColor="text1"/>
        </w:rPr>
        <w:t>attention filters</w:t>
      </w:r>
      <w:r w:rsidR="00EB0B87" w:rsidRPr="00476FC9">
        <w:rPr>
          <w:i/>
          <w:color w:val="000000" w:themeColor="text1"/>
        </w:rPr>
        <w:t xml:space="preserve"> </w:t>
      </w:r>
      <w:r w:rsidR="00EB0B87" w:rsidRPr="00476FC9">
        <w:rPr>
          <w:color w:val="000000" w:themeColor="text1"/>
        </w:rPr>
        <w:t>into the survey. These questions verify respondents are reading the questions carefully and are following instructions. The most common type</w:t>
      </w:r>
      <w:r w:rsidR="00C9360C" w:rsidRPr="00476FC9">
        <w:rPr>
          <w:color w:val="000000" w:themeColor="text1"/>
        </w:rPr>
        <w:t xml:space="preserve"> of attention filters</w:t>
      </w:r>
      <w:r w:rsidR="00EB0B87" w:rsidRPr="00476FC9">
        <w:rPr>
          <w:color w:val="000000" w:themeColor="text1"/>
        </w:rPr>
        <w:t xml:space="preserve"> is </w:t>
      </w:r>
      <w:r w:rsidR="00C9360C" w:rsidRPr="00476FC9">
        <w:rPr>
          <w:color w:val="000000" w:themeColor="text1"/>
        </w:rPr>
        <w:t xml:space="preserve">asking respondents to answer to </w:t>
      </w:r>
      <w:r w:rsidR="00EB0B87" w:rsidRPr="00476FC9">
        <w:rPr>
          <w:color w:val="000000" w:themeColor="text1"/>
        </w:rPr>
        <w:t>“This is an attention filter. Please select “Strongly Disagree” for this statement</w:t>
      </w:r>
      <w:r w:rsidR="00C429C6" w:rsidRPr="00476FC9">
        <w:rPr>
          <w:color w:val="000000" w:themeColor="text1"/>
        </w:rPr>
        <w:t>.</w:t>
      </w:r>
      <w:r w:rsidR="00D63959" w:rsidRPr="00476FC9">
        <w:rPr>
          <w:color w:val="000000" w:themeColor="text1"/>
        </w:rPr>
        <w:t>”</w:t>
      </w:r>
      <w:r w:rsidR="00C429C6" w:rsidRPr="00476FC9">
        <w:rPr>
          <w:color w:val="000000" w:themeColor="text1"/>
        </w:rPr>
        <w:t xml:space="preserve"> If the respondent did not follow the instruction, the response was excluded from the results. </w:t>
      </w:r>
    </w:p>
    <w:p w:rsidR="00962CF5" w:rsidRPr="00476FC9" w:rsidRDefault="00C429C6"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In the same manner, </w:t>
      </w:r>
      <w:r w:rsidR="00EB0B87" w:rsidRPr="00476FC9">
        <w:rPr>
          <w:color w:val="000000" w:themeColor="text1"/>
        </w:rPr>
        <w:t>to control the minimum time to submit the questionnaire, the researcher can enforce 1/3 of the average survey duration found during the pilot test phase. If there are respondents who attempt to take the survey in less than 1/3 the average time, the responses were removed from the results. Furthermore, to ensure the measurement validity of recall and recognition of risk disclosure, respondents were not allowed to go back to the previous pages to see the ad again.</w:t>
      </w:r>
    </w:p>
    <w:p w:rsidR="00962CF5" w:rsidRPr="00476FC9" w:rsidRDefault="00962CF5"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Regarding the online survey procedure, t</w:t>
      </w:r>
      <w:r w:rsidR="00CD6BBB" w:rsidRPr="00476FC9">
        <w:rPr>
          <w:color w:val="000000" w:themeColor="text1"/>
        </w:rPr>
        <w:t>he online consumer panel members receive</w:t>
      </w:r>
      <w:r w:rsidRPr="00476FC9">
        <w:rPr>
          <w:color w:val="000000" w:themeColor="text1"/>
        </w:rPr>
        <w:t>d</w:t>
      </w:r>
      <w:r w:rsidR="00CD6BBB" w:rsidRPr="00476FC9">
        <w:rPr>
          <w:color w:val="000000" w:themeColor="text1"/>
        </w:rPr>
        <w:t xml:space="preserve"> an e-mail announcement containing a brief description of the study</w:t>
      </w:r>
      <w:r w:rsidRPr="00476FC9">
        <w:rPr>
          <w:color w:val="000000" w:themeColor="text1"/>
        </w:rPr>
        <w:t xml:space="preserve"> with a link to the survey</w:t>
      </w:r>
      <w:r w:rsidR="00CD6BBB" w:rsidRPr="00476FC9">
        <w:rPr>
          <w:color w:val="000000" w:themeColor="text1"/>
        </w:rPr>
        <w:t xml:space="preserve">. </w:t>
      </w:r>
      <w:r w:rsidRPr="00476FC9">
        <w:rPr>
          <w:color w:val="000000" w:themeColor="text1"/>
        </w:rPr>
        <w:t>The first page of the survey showed consent form and ask</w:t>
      </w:r>
      <w:r w:rsidR="000434A9" w:rsidRPr="00476FC9">
        <w:rPr>
          <w:color w:val="000000" w:themeColor="text1"/>
        </w:rPr>
        <w:t>ed</w:t>
      </w:r>
      <w:r w:rsidRPr="00476FC9">
        <w:rPr>
          <w:color w:val="000000" w:themeColor="text1"/>
        </w:rPr>
        <w:t xml:space="preserve"> if the respondents are at least 18 years </w:t>
      </w:r>
      <w:r w:rsidRPr="00476FC9">
        <w:rPr>
          <w:color w:val="000000" w:themeColor="text1"/>
        </w:rPr>
        <w:lastRenderedPageBreak/>
        <w:t xml:space="preserve">old to participate according to the Institutional Research Board (IRB) protocol. The first page ensured the purpose of the study broadly and assured anonymity. </w:t>
      </w:r>
    </w:p>
    <w:p w:rsidR="00CD6BBB" w:rsidRPr="00476FC9" w:rsidRDefault="00CD6BBB"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By clicking the URL, the panel members directly </w:t>
      </w:r>
      <w:r w:rsidR="00EB0B87" w:rsidRPr="00476FC9">
        <w:rPr>
          <w:color w:val="000000" w:themeColor="text1"/>
        </w:rPr>
        <w:t>logged</w:t>
      </w:r>
      <w:r w:rsidRPr="00476FC9">
        <w:rPr>
          <w:color w:val="000000" w:themeColor="text1"/>
        </w:rPr>
        <w:t xml:space="preserve"> on to the survey site. </w:t>
      </w:r>
      <w:r w:rsidR="00FA45D7" w:rsidRPr="00476FC9">
        <w:rPr>
          <w:color w:val="000000" w:themeColor="text1"/>
        </w:rPr>
        <w:t>S</w:t>
      </w:r>
      <w:r w:rsidRPr="00476FC9">
        <w:rPr>
          <w:color w:val="000000" w:themeColor="text1"/>
        </w:rPr>
        <w:t>ubjects</w:t>
      </w:r>
      <w:r w:rsidR="00FA45D7" w:rsidRPr="00476FC9">
        <w:rPr>
          <w:color w:val="000000" w:themeColor="text1"/>
        </w:rPr>
        <w:t xml:space="preserve"> who agreed</w:t>
      </w:r>
      <w:r w:rsidRPr="00476FC9">
        <w:rPr>
          <w:color w:val="000000" w:themeColor="text1"/>
        </w:rPr>
        <w:t xml:space="preserve"> proceed</w:t>
      </w:r>
      <w:r w:rsidR="00C429C6" w:rsidRPr="00476FC9">
        <w:rPr>
          <w:color w:val="000000" w:themeColor="text1"/>
        </w:rPr>
        <w:t>ed</w:t>
      </w:r>
      <w:r w:rsidRPr="00476FC9">
        <w:rPr>
          <w:color w:val="000000" w:themeColor="text1"/>
        </w:rPr>
        <w:t xml:space="preserve"> to the </w:t>
      </w:r>
      <w:r w:rsidR="00C429C6" w:rsidRPr="00476FC9">
        <w:rPr>
          <w:color w:val="000000" w:themeColor="text1"/>
        </w:rPr>
        <w:t>survey</w:t>
      </w:r>
      <w:r w:rsidRPr="00476FC9">
        <w:rPr>
          <w:color w:val="000000" w:themeColor="text1"/>
        </w:rPr>
        <w:t xml:space="preserve">. </w:t>
      </w:r>
      <w:r w:rsidR="003A5F44" w:rsidRPr="00476FC9">
        <w:rPr>
          <w:color w:val="000000" w:themeColor="text1"/>
        </w:rPr>
        <w:t>By the survey software, s</w:t>
      </w:r>
      <w:r w:rsidRPr="00476FC9">
        <w:rPr>
          <w:color w:val="000000" w:themeColor="text1"/>
        </w:rPr>
        <w:t xml:space="preserve">ubjects </w:t>
      </w:r>
      <w:r w:rsidR="00C429C6" w:rsidRPr="00476FC9">
        <w:rPr>
          <w:color w:val="000000" w:themeColor="text1"/>
        </w:rPr>
        <w:t xml:space="preserve">were </w:t>
      </w:r>
      <w:r w:rsidR="00874975" w:rsidRPr="00476FC9">
        <w:rPr>
          <w:color w:val="000000" w:themeColor="text1"/>
        </w:rPr>
        <w:t xml:space="preserve">randomly assigned to one of the </w:t>
      </w:r>
      <w:r w:rsidRPr="00476FC9">
        <w:rPr>
          <w:color w:val="000000" w:themeColor="text1"/>
        </w:rPr>
        <w:t>manipulated treatment conditions. After answering some pre-measures</w:t>
      </w:r>
      <w:r w:rsidR="00874975" w:rsidRPr="00476FC9">
        <w:rPr>
          <w:color w:val="000000" w:themeColor="text1"/>
        </w:rPr>
        <w:t xml:space="preserve"> including DTCA </w:t>
      </w:r>
      <w:r w:rsidR="002F0A9F" w:rsidRPr="00476FC9">
        <w:rPr>
          <w:color w:val="000000" w:themeColor="text1"/>
        </w:rPr>
        <w:t>regulatory</w:t>
      </w:r>
      <w:r w:rsidR="00874975" w:rsidRPr="00476FC9">
        <w:rPr>
          <w:color w:val="000000" w:themeColor="text1"/>
        </w:rPr>
        <w:t xml:space="preserve"> knowledge measures</w:t>
      </w:r>
      <w:r w:rsidRPr="00476FC9">
        <w:rPr>
          <w:color w:val="000000" w:themeColor="text1"/>
        </w:rPr>
        <w:t xml:space="preserve">, subjects </w:t>
      </w:r>
      <w:r w:rsidR="00C429C6" w:rsidRPr="00476FC9">
        <w:rPr>
          <w:color w:val="000000" w:themeColor="text1"/>
        </w:rPr>
        <w:t xml:space="preserve">were </w:t>
      </w:r>
      <w:r w:rsidRPr="00476FC9">
        <w:rPr>
          <w:color w:val="000000" w:themeColor="text1"/>
        </w:rPr>
        <w:t>shown a</w:t>
      </w:r>
      <w:r w:rsidR="00C429C6" w:rsidRPr="00476FC9">
        <w:rPr>
          <w:color w:val="000000" w:themeColor="text1"/>
        </w:rPr>
        <w:t xml:space="preserve">n </w:t>
      </w:r>
      <w:r w:rsidR="009E4F79" w:rsidRPr="00476FC9">
        <w:rPr>
          <w:color w:val="000000" w:themeColor="text1"/>
        </w:rPr>
        <w:t xml:space="preserve">antidepressant </w:t>
      </w:r>
      <w:r w:rsidRPr="00476FC9">
        <w:rPr>
          <w:color w:val="000000" w:themeColor="text1"/>
        </w:rPr>
        <w:t>ad</w:t>
      </w:r>
      <w:r w:rsidR="00B10660" w:rsidRPr="00476FC9">
        <w:rPr>
          <w:color w:val="000000" w:themeColor="text1"/>
        </w:rPr>
        <w:t xml:space="preserve"> on the screen</w:t>
      </w:r>
      <w:r w:rsidRPr="00476FC9">
        <w:rPr>
          <w:color w:val="000000" w:themeColor="text1"/>
        </w:rPr>
        <w:t>. After viewing the ad, subjects complete</w:t>
      </w:r>
      <w:r w:rsidR="00C429C6" w:rsidRPr="00476FC9">
        <w:rPr>
          <w:color w:val="000000" w:themeColor="text1"/>
        </w:rPr>
        <w:t xml:space="preserve">d manipulation check items and major </w:t>
      </w:r>
      <w:r w:rsidRPr="00476FC9">
        <w:rPr>
          <w:color w:val="000000" w:themeColor="text1"/>
        </w:rPr>
        <w:t xml:space="preserve">dependent measures. </w:t>
      </w:r>
      <w:r w:rsidR="00C429C6" w:rsidRPr="00476FC9">
        <w:rPr>
          <w:color w:val="000000" w:themeColor="text1"/>
        </w:rPr>
        <w:t xml:space="preserve">At the end of the survey, </w:t>
      </w:r>
      <w:r w:rsidRPr="00476FC9">
        <w:rPr>
          <w:color w:val="000000" w:themeColor="text1"/>
        </w:rPr>
        <w:t xml:space="preserve">basic demographic information </w:t>
      </w:r>
      <w:r w:rsidR="00874975" w:rsidRPr="00476FC9">
        <w:rPr>
          <w:color w:val="000000" w:themeColor="text1"/>
        </w:rPr>
        <w:t>was</w:t>
      </w:r>
      <w:r w:rsidRPr="00476FC9">
        <w:rPr>
          <w:color w:val="000000" w:themeColor="text1"/>
        </w:rPr>
        <w:t xml:space="preserve"> asked.  </w:t>
      </w:r>
    </w:p>
    <w:p w:rsidR="002C17FA" w:rsidRPr="00476FC9" w:rsidRDefault="002F777C"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CD6BBB" w:rsidRPr="00476FC9">
        <w:rPr>
          <w:color w:val="000000" w:themeColor="text1"/>
        </w:rPr>
        <w:t>More specifically, at the pre-measure stage, the instrument first measure</w:t>
      </w:r>
      <w:r w:rsidR="00EB0B87" w:rsidRPr="00476FC9">
        <w:rPr>
          <w:color w:val="000000" w:themeColor="text1"/>
        </w:rPr>
        <w:t>d</w:t>
      </w:r>
      <w:r w:rsidR="00CD6BBB" w:rsidRPr="00476FC9">
        <w:rPr>
          <w:color w:val="000000" w:themeColor="text1"/>
        </w:rPr>
        <w:t xml:space="preserve"> potential correlates (i.e., </w:t>
      </w:r>
      <w:r w:rsidR="00EB0B87" w:rsidRPr="00476FC9">
        <w:rPr>
          <w:color w:val="000000" w:themeColor="text1"/>
        </w:rPr>
        <w:t xml:space="preserve">overall subjective health status, </w:t>
      </w:r>
      <w:r w:rsidR="006F3AE9" w:rsidRPr="00476FC9">
        <w:rPr>
          <w:color w:val="000000" w:themeColor="text1"/>
        </w:rPr>
        <w:t xml:space="preserve">perceived </w:t>
      </w:r>
      <w:r w:rsidR="00CD6BBB" w:rsidRPr="00476FC9">
        <w:rPr>
          <w:color w:val="000000" w:themeColor="text1"/>
        </w:rPr>
        <w:t>importance</w:t>
      </w:r>
      <w:r w:rsidR="00EB0B87" w:rsidRPr="00476FC9">
        <w:rPr>
          <w:color w:val="000000" w:themeColor="text1"/>
        </w:rPr>
        <w:t xml:space="preserve"> of the disease</w:t>
      </w:r>
      <w:r w:rsidR="00CD6BBB" w:rsidRPr="00476FC9">
        <w:rPr>
          <w:color w:val="000000" w:themeColor="text1"/>
        </w:rPr>
        <w:t xml:space="preserve">, </w:t>
      </w:r>
      <w:r w:rsidR="006B49EA" w:rsidRPr="00476FC9">
        <w:rPr>
          <w:color w:val="000000" w:themeColor="text1"/>
        </w:rPr>
        <w:t>perceived familiarity</w:t>
      </w:r>
      <w:r w:rsidR="00EB0B87" w:rsidRPr="00476FC9">
        <w:rPr>
          <w:color w:val="000000" w:themeColor="text1"/>
        </w:rPr>
        <w:t xml:space="preserve"> with the disease</w:t>
      </w:r>
      <w:r w:rsidR="006B49EA" w:rsidRPr="00476FC9">
        <w:rPr>
          <w:color w:val="000000" w:themeColor="text1"/>
        </w:rPr>
        <w:t xml:space="preserve">, </w:t>
      </w:r>
      <w:r w:rsidR="008E1AB7" w:rsidRPr="00476FC9">
        <w:rPr>
          <w:color w:val="000000" w:themeColor="text1"/>
        </w:rPr>
        <w:t xml:space="preserve">and </w:t>
      </w:r>
      <w:r w:rsidR="00EB0B87" w:rsidRPr="00476FC9">
        <w:rPr>
          <w:color w:val="000000" w:themeColor="text1"/>
        </w:rPr>
        <w:t>previous experience with the disease</w:t>
      </w:r>
      <w:r w:rsidR="00CD6BBB" w:rsidRPr="00476FC9">
        <w:rPr>
          <w:color w:val="000000" w:themeColor="text1"/>
        </w:rPr>
        <w:t>)</w:t>
      </w:r>
      <w:r w:rsidR="004B5F28" w:rsidRPr="00476FC9">
        <w:rPr>
          <w:color w:val="000000" w:themeColor="text1"/>
        </w:rPr>
        <w:t xml:space="preserve"> and DTCA </w:t>
      </w:r>
      <w:r w:rsidR="002F0A9F" w:rsidRPr="00476FC9">
        <w:rPr>
          <w:color w:val="000000" w:themeColor="text1"/>
        </w:rPr>
        <w:t>regulatory</w:t>
      </w:r>
      <w:r w:rsidR="004B5F28" w:rsidRPr="00476FC9">
        <w:rPr>
          <w:color w:val="000000" w:themeColor="text1"/>
        </w:rPr>
        <w:t xml:space="preserve"> knowledge</w:t>
      </w:r>
      <w:r w:rsidR="00CD6BBB" w:rsidRPr="00476FC9">
        <w:rPr>
          <w:color w:val="000000" w:themeColor="text1"/>
        </w:rPr>
        <w:t>.</w:t>
      </w:r>
    </w:p>
    <w:p w:rsidR="00F059E7" w:rsidRPr="00476FC9" w:rsidRDefault="002C17FA"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t>Considering the artificial nature of the experiment, s</w:t>
      </w:r>
      <w:r w:rsidR="00CD6BBB" w:rsidRPr="00476FC9">
        <w:rPr>
          <w:color w:val="000000" w:themeColor="text1"/>
        </w:rPr>
        <w:t xml:space="preserve">ubjects </w:t>
      </w:r>
      <w:r w:rsidR="00954B1D" w:rsidRPr="00476FC9">
        <w:rPr>
          <w:color w:val="000000" w:themeColor="text1"/>
        </w:rPr>
        <w:t>were</w:t>
      </w:r>
      <w:r w:rsidR="00CD6BBB" w:rsidRPr="00476FC9">
        <w:rPr>
          <w:color w:val="000000" w:themeColor="text1"/>
        </w:rPr>
        <w:t xml:space="preserve"> asked to read the ads the same way </w:t>
      </w:r>
      <w:r w:rsidR="009509E5" w:rsidRPr="00476FC9">
        <w:rPr>
          <w:color w:val="000000" w:themeColor="text1"/>
        </w:rPr>
        <w:t xml:space="preserve">as </w:t>
      </w:r>
      <w:r w:rsidR="00CD6BBB" w:rsidRPr="00476FC9">
        <w:rPr>
          <w:color w:val="000000" w:themeColor="text1"/>
        </w:rPr>
        <w:t xml:space="preserve">they </w:t>
      </w:r>
      <w:r w:rsidR="00954B1D" w:rsidRPr="00476FC9">
        <w:rPr>
          <w:color w:val="000000" w:themeColor="text1"/>
        </w:rPr>
        <w:t xml:space="preserve">would if they were at risk of </w:t>
      </w:r>
      <w:r w:rsidR="00255692" w:rsidRPr="00476FC9">
        <w:rPr>
          <w:color w:val="000000" w:themeColor="text1"/>
        </w:rPr>
        <w:t xml:space="preserve">mental </w:t>
      </w:r>
      <w:r w:rsidR="00954B1D" w:rsidRPr="00476FC9">
        <w:rPr>
          <w:color w:val="000000" w:themeColor="text1"/>
        </w:rPr>
        <w:t>depression in their real life</w:t>
      </w:r>
      <w:r w:rsidR="00CD6BBB" w:rsidRPr="00476FC9">
        <w:rPr>
          <w:color w:val="000000" w:themeColor="text1"/>
        </w:rPr>
        <w:t>.</w:t>
      </w:r>
      <w:r w:rsidR="00954B1D" w:rsidRPr="00476FC9">
        <w:rPr>
          <w:color w:val="000000" w:themeColor="text1"/>
        </w:rPr>
        <w:t xml:space="preserve"> </w:t>
      </w:r>
      <w:r w:rsidR="00CD6BBB" w:rsidRPr="00476FC9">
        <w:rPr>
          <w:color w:val="000000" w:themeColor="text1"/>
        </w:rPr>
        <w:t>After the</w:t>
      </w:r>
      <w:r w:rsidR="00C05A09" w:rsidRPr="00476FC9">
        <w:rPr>
          <w:color w:val="000000" w:themeColor="text1"/>
        </w:rPr>
        <w:t xml:space="preserve"> </w:t>
      </w:r>
      <w:r w:rsidR="00CD6BBB" w:rsidRPr="00476FC9">
        <w:rPr>
          <w:color w:val="000000" w:themeColor="text1"/>
        </w:rPr>
        <w:t xml:space="preserve">subjects </w:t>
      </w:r>
      <w:r w:rsidR="00954B1D" w:rsidRPr="00476FC9">
        <w:rPr>
          <w:color w:val="000000" w:themeColor="text1"/>
        </w:rPr>
        <w:t>read</w:t>
      </w:r>
      <w:r w:rsidR="00CD6BBB" w:rsidRPr="00476FC9">
        <w:rPr>
          <w:color w:val="000000" w:themeColor="text1"/>
        </w:rPr>
        <w:t xml:space="preserve"> the ad, they </w:t>
      </w:r>
      <w:r w:rsidR="00954B1D" w:rsidRPr="00476FC9">
        <w:rPr>
          <w:color w:val="000000" w:themeColor="text1"/>
        </w:rPr>
        <w:t>were</w:t>
      </w:r>
      <w:r w:rsidR="00CD6BBB" w:rsidRPr="00476FC9">
        <w:rPr>
          <w:color w:val="000000" w:themeColor="text1"/>
        </w:rPr>
        <w:t xml:space="preserve"> asked to </w:t>
      </w:r>
      <w:r w:rsidR="00954B1D" w:rsidRPr="00476FC9">
        <w:rPr>
          <w:color w:val="000000" w:themeColor="text1"/>
        </w:rPr>
        <w:t xml:space="preserve">complete manipulation check items and </w:t>
      </w:r>
      <w:r w:rsidR="00CD6BBB" w:rsidRPr="00476FC9">
        <w:rPr>
          <w:color w:val="000000" w:themeColor="text1"/>
        </w:rPr>
        <w:t xml:space="preserve">dependent </w:t>
      </w:r>
      <w:r w:rsidR="00954B1D" w:rsidRPr="00476FC9">
        <w:rPr>
          <w:color w:val="000000" w:themeColor="text1"/>
        </w:rPr>
        <w:t>measures</w:t>
      </w:r>
      <w:r w:rsidR="00CD6BBB" w:rsidRPr="00476FC9">
        <w:rPr>
          <w:color w:val="000000" w:themeColor="text1"/>
        </w:rPr>
        <w:t xml:space="preserve">. The </w:t>
      </w:r>
      <w:r w:rsidR="00954B1D" w:rsidRPr="00476FC9">
        <w:rPr>
          <w:color w:val="000000" w:themeColor="text1"/>
        </w:rPr>
        <w:t>survey duration mean was ap</w:t>
      </w:r>
      <w:r w:rsidR="00CD6BBB" w:rsidRPr="00476FC9">
        <w:rPr>
          <w:color w:val="000000" w:themeColor="text1"/>
        </w:rPr>
        <w:t xml:space="preserve">proximately </w:t>
      </w:r>
      <w:r w:rsidR="00954B1D" w:rsidRPr="00476FC9">
        <w:rPr>
          <w:color w:val="000000" w:themeColor="text1"/>
        </w:rPr>
        <w:t>14 minutes to</w:t>
      </w:r>
      <w:r w:rsidR="00CD6BBB" w:rsidRPr="00476FC9">
        <w:rPr>
          <w:color w:val="000000" w:themeColor="text1"/>
        </w:rPr>
        <w:t xml:space="preserve"> complete.</w:t>
      </w:r>
      <w:r w:rsidR="002612A9" w:rsidRPr="00476FC9">
        <w:rPr>
          <w:color w:val="000000" w:themeColor="text1"/>
        </w:rPr>
        <w:t xml:space="preserve"> </w:t>
      </w:r>
      <w:r w:rsidR="008D49D7" w:rsidRPr="00476FC9">
        <w:rPr>
          <w:color w:val="000000" w:themeColor="text1"/>
        </w:rPr>
        <w:t xml:space="preserve">The number of </w:t>
      </w:r>
      <w:r w:rsidR="008D49D7" w:rsidRPr="00476FC9">
        <w:rPr>
          <w:color w:val="000000" w:themeColor="text1"/>
        </w:rPr>
        <w:lastRenderedPageBreak/>
        <w:t>participants</w:t>
      </w:r>
      <w:r w:rsidR="0040499C" w:rsidRPr="00476FC9">
        <w:rPr>
          <w:color w:val="000000" w:themeColor="text1"/>
        </w:rPr>
        <w:t xml:space="preserve"> </w:t>
      </w:r>
      <w:r w:rsidR="008D49D7" w:rsidRPr="00476FC9">
        <w:rPr>
          <w:color w:val="000000" w:themeColor="text1"/>
        </w:rPr>
        <w:t>amounted to 264</w:t>
      </w:r>
      <w:r w:rsidR="008D49D7" w:rsidRPr="00476FC9">
        <w:rPr>
          <w:rStyle w:val="FootnoteReference"/>
          <w:color w:val="000000" w:themeColor="text1"/>
        </w:rPr>
        <w:footnoteReference w:id="2"/>
      </w:r>
      <w:r w:rsidR="008D49D7" w:rsidRPr="00476FC9">
        <w:rPr>
          <w:color w:val="000000" w:themeColor="text1"/>
        </w:rPr>
        <w:t xml:space="preserve"> that is a fairly sufficient sample size for the current research design and the number o</w:t>
      </w:r>
      <w:r w:rsidR="00DD5684" w:rsidRPr="00476FC9">
        <w:rPr>
          <w:color w:val="000000" w:themeColor="text1"/>
        </w:rPr>
        <w:t>f dependent variables.</w:t>
      </w:r>
    </w:p>
    <w:p w:rsidR="00F76010" w:rsidRPr="00476FC9" w:rsidRDefault="00F059E7"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A74125" w:rsidRPr="00476FC9">
        <w:rPr>
          <w:color w:val="000000" w:themeColor="text1"/>
        </w:rPr>
        <w:t>A number of sources were considered to obtain a sample of adult consumers from diverse demographic backgrounds</w:t>
      </w:r>
      <w:r w:rsidR="00D63959" w:rsidRPr="00476FC9">
        <w:rPr>
          <w:color w:val="000000" w:themeColor="text1"/>
        </w:rPr>
        <w:t>.</w:t>
      </w:r>
      <w:r w:rsidR="00A74125" w:rsidRPr="00476FC9">
        <w:rPr>
          <w:color w:val="000000" w:themeColor="text1"/>
        </w:rPr>
        <w:t xml:space="preserve"> A convenience sample of </w:t>
      </w:r>
      <w:r w:rsidR="004B5F28" w:rsidRPr="00476FC9">
        <w:rPr>
          <w:color w:val="000000" w:themeColor="text1"/>
        </w:rPr>
        <w:t>264</w:t>
      </w:r>
      <w:r w:rsidR="00A74125" w:rsidRPr="00476FC9">
        <w:rPr>
          <w:color w:val="000000" w:themeColor="text1"/>
        </w:rPr>
        <w:t xml:space="preserve"> consumers were registered members of the panel. The overall demographics consist of a random spread across the US. </w:t>
      </w:r>
      <w:r w:rsidR="000207D7" w:rsidRPr="00476FC9">
        <w:rPr>
          <w:color w:val="000000" w:themeColor="text1"/>
        </w:rPr>
        <w:t xml:space="preserve">Though </w:t>
      </w:r>
      <w:r w:rsidR="00A74125" w:rsidRPr="00476FC9">
        <w:rPr>
          <w:color w:val="000000" w:themeColor="text1"/>
        </w:rPr>
        <w:t xml:space="preserve">it was not specifically mirroring the US census, the sample had </w:t>
      </w:r>
      <w:r w:rsidR="00256442" w:rsidRPr="00476FC9">
        <w:rPr>
          <w:color w:val="000000" w:themeColor="text1"/>
        </w:rPr>
        <w:t>a diverse representation. Specifically, the sample represented diverse demographic background. Among the respondents (</w:t>
      </w:r>
      <w:r w:rsidR="005F6FB6" w:rsidRPr="00476FC9">
        <w:rPr>
          <w:rFonts w:eastAsiaTheme="minorEastAsia" w:hint="eastAsia"/>
          <w:i/>
          <w:color w:val="000000" w:themeColor="text1"/>
        </w:rPr>
        <w:t>N</w:t>
      </w:r>
      <w:r w:rsidR="00256442" w:rsidRPr="00476FC9">
        <w:rPr>
          <w:color w:val="000000" w:themeColor="text1"/>
        </w:rPr>
        <w:t xml:space="preserve"> = </w:t>
      </w:r>
      <w:r w:rsidR="000207D7" w:rsidRPr="00476FC9">
        <w:rPr>
          <w:color w:val="000000" w:themeColor="text1"/>
        </w:rPr>
        <w:t>264</w:t>
      </w:r>
      <w:r w:rsidR="00256442" w:rsidRPr="00476FC9">
        <w:rPr>
          <w:color w:val="000000" w:themeColor="text1"/>
        </w:rPr>
        <w:t xml:space="preserve">), </w:t>
      </w:r>
      <w:r w:rsidR="00A33A92" w:rsidRPr="00476FC9">
        <w:rPr>
          <w:color w:val="000000" w:themeColor="text1"/>
        </w:rPr>
        <w:t>6</w:t>
      </w:r>
      <w:r w:rsidR="000207D7" w:rsidRPr="00476FC9">
        <w:rPr>
          <w:color w:val="000000" w:themeColor="text1"/>
        </w:rPr>
        <w:t>3.6</w:t>
      </w:r>
      <w:r w:rsidR="00256442" w:rsidRPr="00476FC9">
        <w:rPr>
          <w:color w:val="000000" w:themeColor="text1"/>
        </w:rPr>
        <w:t xml:space="preserve">% were males and </w:t>
      </w:r>
      <w:r w:rsidR="000207D7" w:rsidRPr="00476FC9">
        <w:rPr>
          <w:color w:val="000000" w:themeColor="text1"/>
        </w:rPr>
        <w:t>36.4</w:t>
      </w:r>
      <w:r w:rsidR="00256442" w:rsidRPr="00476FC9">
        <w:rPr>
          <w:color w:val="000000" w:themeColor="text1"/>
        </w:rPr>
        <w:t xml:space="preserve">% were females. The respondents ranged in age from </w:t>
      </w:r>
      <w:r w:rsidR="00A33A92" w:rsidRPr="00476FC9">
        <w:rPr>
          <w:color w:val="000000" w:themeColor="text1"/>
        </w:rPr>
        <w:t xml:space="preserve">18 </w:t>
      </w:r>
      <w:r w:rsidR="00256442" w:rsidRPr="00476FC9">
        <w:rPr>
          <w:color w:val="000000" w:themeColor="text1"/>
        </w:rPr>
        <w:t xml:space="preserve">to </w:t>
      </w:r>
      <w:r w:rsidR="000207D7" w:rsidRPr="00476FC9">
        <w:rPr>
          <w:color w:val="000000" w:themeColor="text1"/>
        </w:rPr>
        <w:t>77</w:t>
      </w:r>
      <w:r w:rsidR="00256442" w:rsidRPr="00476FC9">
        <w:rPr>
          <w:color w:val="000000" w:themeColor="text1"/>
        </w:rPr>
        <w:t xml:space="preserve"> years (</w:t>
      </w:r>
      <w:r w:rsidR="00256442" w:rsidRPr="00476FC9">
        <w:rPr>
          <w:i/>
          <w:iCs/>
          <w:color w:val="000000" w:themeColor="text1"/>
        </w:rPr>
        <w:t xml:space="preserve">M </w:t>
      </w:r>
      <w:r w:rsidR="00256442" w:rsidRPr="00476FC9">
        <w:rPr>
          <w:color w:val="000000" w:themeColor="text1"/>
        </w:rPr>
        <w:t xml:space="preserve">= </w:t>
      </w:r>
      <w:r w:rsidR="000207D7" w:rsidRPr="00476FC9">
        <w:rPr>
          <w:color w:val="000000" w:themeColor="text1"/>
        </w:rPr>
        <w:t>30.03</w:t>
      </w:r>
      <w:r w:rsidR="00256442" w:rsidRPr="00476FC9">
        <w:rPr>
          <w:color w:val="000000" w:themeColor="text1"/>
        </w:rPr>
        <w:t xml:space="preserve">, </w:t>
      </w:r>
      <w:r w:rsidR="00256442" w:rsidRPr="00476FC9">
        <w:rPr>
          <w:i/>
          <w:iCs/>
          <w:color w:val="000000" w:themeColor="text1"/>
        </w:rPr>
        <w:t xml:space="preserve">SD </w:t>
      </w:r>
      <w:r w:rsidR="00256442" w:rsidRPr="00476FC9">
        <w:rPr>
          <w:color w:val="000000" w:themeColor="text1"/>
        </w:rPr>
        <w:t>= 13.</w:t>
      </w:r>
      <w:r w:rsidR="000207D7" w:rsidRPr="00476FC9">
        <w:rPr>
          <w:color w:val="000000" w:themeColor="text1"/>
        </w:rPr>
        <w:t>73</w:t>
      </w:r>
      <w:r w:rsidR="00256442" w:rsidRPr="00476FC9">
        <w:rPr>
          <w:color w:val="000000" w:themeColor="text1"/>
        </w:rPr>
        <w:t>). Among them</w:t>
      </w:r>
      <w:r w:rsidR="000207D7" w:rsidRPr="00476FC9">
        <w:rPr>
          <w:color w:val="000000" w:themeColor="text1"/>
        </w:rPr>
        <w:t>,</w:t>
      </w:r>
      <w:r w:rsidR="00256442" w:rsidRPr="00476FC9">
        <w:rPr>
          <w:color w:val="000000" w:themeColor="text1"/>
        </w:rPr>
        <w:t xml:space="preserve"> </w:t>
      </w:r>
      <w:r w:rsidR="000207D7" w:rsidRPr="00476FC9">
        <w:rPr>
          <w:color w:val="000000" w:themeColor="text1"/>
        </w:rPr>
        <w:t>43.9</w:t>
      </w:r>
      <w:r w:rsidR="00256442" w:rsidRPr="00476FC9">
        <w:rPr>
          <w:color w:val="000000" w:themeColor="text1"/>
        </w:rPr>
        <w:t xml:space="preserve">% were younger adults (18–44 years), </w:t>
      </w:r>
      <w:r w:rsidR="000207D7" w:rsidRPr="00476FC9">
        <w:rPr>
          <w:color w:val="000000" w:themeColor="text1"/>
        </w:rPr>
        <w:t>45.1</w:t>
      </w:r>
      <w:r w:rsidR="00256442" w:rsidRPr="00476FC9">
        <w:rPr>
          <w:color w:val="000000" w:themeColor="text1"/>
        </w:rPr>
        <w:t xml:space="preserve">% mature adults (45–64 years), and </w:t>
      </w:r>
      <w:r w:rsidR="00A33A92" w:rsidRPr="00476FC9">
        <w:rPr>
          <w:color w:val="000000" w:themeColor="text1"/>
        </w:rPr>
        <w:t>11</w:t>
      </w:r>
      <w:r w:rsidR="00256442" w:rsidRPr="00476FC9">
        <w:rPr>
          <w:color w:val="000000" w:themeColor="text1"/>
        </w:rPr>
        <w:t>% older adults (65 years or older). The majority were whites (</w:t>
      </w:r>
      <w:r w:rsidR="00221BBF" w:rsidRPr="00476FC9">
        <w:rPr>
          <w:color w:val="000000" w:themeColor="text1"/>
        </w:rPr>
        <w:t>79.5</w:t>
      </w:r>
      <w:r w:rsidR="00256442" w:rsidRPr="00476FC9">
        <w:rPr>
          <w:color w:val="000000" w:themeColor="text1"/>
        </w:rPr>
        <w:t>%), followed by Black, not Hispanic (1</w:t>
      </w:r>
      <w:r w:rsidR="00221BBF" w:rsidRPr="00476FC9">
        <w:rPr>
          <w:color w:val="000000" w:themeColor="text1"/>
        </w:rPr>
        <w:t>3.3</w:t>
      </w:r>
      <w:r w:rsidR="00256442" w:rsidRPr="00476FC9">
        <w:rPr>
          <w:color w:val="000000" w:themeColor="text1"/>
        </w:rPr>
        <w:t>%), Hispanic</w:t>
      </w:r>
      <w:r w:rsidR="00A33A92" w:rsidRPr="00476FC9">
        <w:rPr>
          <w:color w:val="000000" w:themeColor="text1"/>
        </w:rPr>
        <w:t>, of any race</w:t>
      </w:r>
      <w:r w:rsidR="00256442" w:rsidRPr="00476FC9">
        <w:rPr>
          <w:color w:val="000000" w:themeColor="text1"/>
        </w:rPr>
        <w:t xml:space="preserve"> (</w:t>
      </w:r>
      <w:r w:rsidR="00A33A92" w:rsidRPr="00476FC9">
        <w:rPr>
          <w:color w:val="000000" w:themeColor="text1"/>
        </w:rPr>
        <w:t>4</w:t>
      </w:r>
      <w:r w:rsidR="00256442" w:rsidRPr="00476FC9">
        <w:rPr>
          <w:color w:val="000000" w:themeColor="text1"/>
        </w:rPr>
        <w:t>.</w:t>
      </w:r>
      <w:r w:rsidR="00221BBF" w:rsidRPr="00476FC9">
        <w:rPr>
          <w:color w:val="000000" w:themeColor="text1"/>
        </w:rPr>
        <w:t>5</w:t>
      </w:r>
      <w:r w:rsidR="00256442" w:rsidRPr="00476FC9">
        <w:rPr>
          <w:color w:val="000000" w:themeColor="text1"/>
        </w:rPr>
        <w:t>%), Asian or Pacific Islander (1.</w:t>
      </w:r>
      <w:r w:rsidR="00221BBF" w:rsidRPr="00476FC9">
        <w:rPr>
          <w:color w:val="000000" w:themeColor="text1"/>
        </w:rPr>
        <w:t>1</w:t>
      </w:r>
      <w:r w:rsidR="00256442" w:rsidRPr="00476FC9">
        <w:rPr>
          <w:color w:val="000000" w:themeColor="text1"/>
        </w:rPr>
        <w:t>%), and American Indian, Eskimo, or Aleut (.</w:t>
      </w:r>
      <w:r w:rsidR="00221BBF" w:rsidRPr="00476FC9">
        <w:rPr>
          <w:color w:val="000000" w:themeColor="text1"/>
        </w:rPr>
        <w:t>8</w:t>
      </w:r>
      <w:r w:rsidR="00256442" w:rsidRPr="00476FC9">
        <w:rPr>
          <w:color w:val="000000" w:themeColor="text1"/>
        </w:rPr>
        <w:t>%)</w:t>
      </w:r>
      <w:r w:rsidR="00F76010" w:rsidRPr="00476FC9">
        <w:rPr>
          <w:color w:val="000000" w:themeColor="text1"/>
        </w:rPr>
        <w:t>.</w:t>
      </w:r>
    </w:p>
    <w:p w:rsidR="00F76010" w:rsidRPr="00476FC9" w:rsidRDefault="00F76010"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E87854" w:rsidRPr="00476FC9">
        <w:rPr>
          <w:color w:val="000000" w:themeColor="text1"/>
        </w:rPr>
        <w:t>In t</w:t>
      </w:r>
      <w:r w:rsidR="0030533A" w:rsidRPr="00476FC9">
        <w:rPr>
          <w:color w:val="000000" w:themeColor="text1"/>
        </w:rPr>
        <w:t>erms of respondent education, 27</w:t>
      </w:r>
      <w:r w:rsidR="00E87854" w:rsidRPr="00476FC9">
        <w:rPr>
          <w:color w:val="000000" w:themeColor="text1"/>
        </w:rPr>
        <w:t>.</w:t>
      </w:r>
      <w:r w:rsidR="00221BBF" w:rsidRPr="00476FC9">
        <w:rPr>
          <w:color w:val="000000" w:themeColor="text1"/>
        </w:rPr>
        <w:t>7</w:t>
      </w:r>
      <w:r w:rsidR="00E87854" w:rsidRPr="00476FC9">
        <w:rPr>
          <w:color w:val="000000" w:themeColor="text1"/>
        </w:rPr>
        <w:t xml:space="preserve">% of </w:t>
      </w:r>
      <w:r w:rsidR="0030533A" w:rsidRPr="00476FC9">
        <w:rPr>
          <w:color w:val="000000" w:themeColor="text1"/>
        </w:rPr>
        <w:t xml:space="preserve">respondents </w:t>
      </w:r>
      <w:r w:rsidR="009560C5" w:rsidRPr="00476FC9">
        <w:rPr>
          <w:color w:val="000000" w:themeColor="text1"/>
        </w:rPr>
        <w:t xml:space="preserve">attended some college education </w:t>
      </w:r>
      <w:r w:rsidR="009560C5" w:rsidRPr="00476FC9">
        <w:rPr>
          <w:color w:val="000000" w:themeColor="text1"/>
        </w:rPr>
        <w:lastRenderedPageBreak/>
        <w:t xml:space="preserve">without degree, followed by </w:t>
      </w:r>
      <w:r w:rsidR="0030533A" w:rsidRPr="00476FC9">
        <w:rPr>
          <w:color w:val="000000" w:themeColor="text1"/>
        </w:rPr>
        <w:t xml:space="preserve">respondents </w:t>
      </w:r>
      <w:r w:rsidR="009560C5" w:rsidRPr="00476FC9">
        <w:rPr>
          <w:color w:val="000000" w:themeColor="text1"/>
        </w:rPr>
        <w:t>completed high school but no college education (2</w:t>
      </w:r>
      <w:r w:rsidR="0030533A" w:rsidRPr="00476FC9">
        <w:rPr>
          <w:color w:val="000000" w:themeColor="text1"/>
        </w:rPr>
        <w:t>5</w:t>
      </w:r>
      <w:r w:rsidR="009560C5" w:rsidRPr="00476FC9">
        <w:rPr>
          <w:color w:val="000000" w:themeColor="text1"/>
        </w:rPr>
        <w:t>.</w:t>
      </w:r>
      <w:r w:rsidR="0030533A" w:rsidRPr="00476FC9">
        <w:rPr>
          <w:color w:val="000000" w:themeColor="text1"/>
        </w:rPr>
        <w:t>0</w:t>
      </w:r>
      <w:r w:rsidR="009560C5" w:rsidRPr="00476FC9">
        <w:rPr>
          <w:color w:val="000000" w:themeColor="text1"/>
        </w:rPr>
        <w:t>%), bachelor’s degree (</w:t>
      </w:r>
      <w:r w:rsidR="0030533A" w:rsidRPr="00476FC9">
        <w:rPr>
          <w:color w:val="000000" w:themeColor="text1"/>
        </w:rPr>
        <w:t>1</w:t>
      </w:r>
      <w:r w:rsidR="00221BBF" w:rsidRPr="00476FC9">
        <w:rPr>
          <w:color w:val="000000" w:themeColor="text1"/>
        </w:rPr>
        <w:t>7.8</w:t>
      </w:r>
      <w:r w:rsidR="009560C5" w:rsidRPr="00476FC9">
        <w:rPr>
          <w:color w:val="000000" w:themeColor="text1"/>
        </w:rPr>
        <w:t>%), and associate’s degree (1</w:t>
      </w:r>
      <w:r w:rsidR="0030533A" w:rsidRPr="00476FC9">
        <w:rPr>
          <w:color w:val="000000" w:themeColor="text1"/>
        </w:rPr>
        <w:t>3.</w:t>
      </w:r>
      <w:r w:rsidR="00221BBF" w:rsidRPr="00476FC9">
        <w:rPr>
          <w:color w:val="000000" w:themeColor="text1"/>
        </w:rPr>
        <w:t>3</w:t>
      </w:r>
      <w:r w:rsidR="009560C5" w:rsidRPr="00476FC9">
        <w:rPr>
          <w:color w:val="000000" w:themeColor="text1"/>
        </w:rPr>
        <w:t xml:space="preserve">%). </w:t>
      </w:r>
      <w:r w:rsidR="0030533A" w:rsidRPr="00476FC9">
        <w:rPr>
          <w:color w:val="000000" w:themeColor="text1"/>
        </w:rPr>
        <w:t>The majority of respondents had an annual household income of $25,000 to $99,999, with 6</w:t>
      </w:r>
      <w:r w:rsidR="00221BBF" w:rsidRPr="00476FC9">
        <w:rPr>
          <w:color w:val="000000" w:themeColor="text1"/>
        </w:rPr>
        <w:t>2.1</w:t>
      </w:r>
      <w:r w:rsidR="0030533A" w:rsidRPr="00476FC9">
        <w:rPr>
          <w:color w:val="000000" w:themeColor="text1"/>
        </w:rPr>
        <w:t xml:space="preserve">% reporting. In addition, most respondents </w:t>
      </w:r>
      <w:r w:rsidR="00221BBF" w:rsidRPr="00476FC9">
        <w:rPr>
          <w:color w:val="000000" w:themeColor="text1"/>
        </w:rPr>
        <w:t xml:space="preserve">(87.9%) </w:t>
      </w:r>
      <w:r w:rsidR="0030533A" w:rsidRPr="00476FC9">
        <w:rPr>
          <w:color w:val="000000" w:themeColor="text1"/>
        </w:rPr>
        <w:t xml:space="preserve">used laptop or desktop computers </w:t>
      </w:r>
      <w:r w:rsidR="00221BBF" w:rsidRPr="00476FC9">
        <w:rPr>
          <w:color w:val="000000" w:themeColor="text1"/>
        </w:rPr>
        <w:t>to participate in the survey</w:t>
      </w:r>
      <w:r w:rsidR="0030533A" w:rsidRPr="00476FC9">
        <w:rPr>
          <w:color w:val="000000" w:themeColor="text1"/>
        </w:rPr>
        <w:t xml:space="preserve">. </w:t>
      </w:r>
      <w:r w:rsidR="009560C5" w:rsidRPr="00476FC9">
        <w:rPr>
          <w:color w:val="000000" w:themeColor="text1"/>
        </w:rPr>
        <w:t>The sample of this</w:t>
      </w:r>
      <w:r w:rsidR="0030533A" w:rsidRPr="00476FC9">
        <w:rPr>
          <w:color w:val="000000" w:themeColor="text1"/>
        </w:rPr>
        <w:t xml:space="preserve"> </w:t>
      </w:r>
      <w:r w:rsidR="009560C5" w:rsidRPr="00476FC9">
        <w:rPr>
          <w:color w:val="000000" w:themeColor="text1"/>
        </w:rPr>
        <w:t xml:space="preserve">research is illustrated in Table </w:t>
      </w:r>
      <w:r w:rsidR="00EE4451" w:rsidRPr="00476FC9">
        <w:rPr>
          <w:color w:val="000000" w:themeColor="text1"/>
        </w:rPr>
        <w:t>2</w:t>
      </w:r>
      <w:r w:rsidR="009560C5" w:rsidRPr="00476FC9">
        <w:rPr>
          <w:color w:val="000000" w:themeColor="text1"/>
        </w:rPr>
        <w:t>.</w:t>
      </w:r>
    </w:p>
    <w:p w:rsidR="00255692" w:rsidRPr="00476FC9" w:rsidRDefault="00F76010"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131643" w:rsidRPr="00476FC9">
        <w:rPr>
          <w:color w:val="000000" w:themeColor="text1"/>
        </w:rPr>
        <w:t xml:space="preserve">It is worthy to note that </w:t>
      </w:r>
      <w:r w:rsidR="00255692" w:rsidRPr="00476FC9">
        <w:rPr>
          <w:color w:val="000000" w:themeColor="text1"/>
        </w:rPr>
        <w:t>29.9% (</w:t>
      </w:r>
      <w:r w:rsidR="00255692" w:rsidRPr="00476FC9">
        <w:rPr>
          <w:i/>
          <w:color w:val="000000" w:themeColor="text1"/>
        </w:rPr>
        <w:t>n</w:t>
      </w:r>
      <w:r w:rsidR="00255692" w:rsidRPr="00476FC9">
        <w:rPr>
          <w:color w:val="000000" w:themeColor="text1"/>
        </w:rPr>
        <w:t xml:space="preserve"> = 79) of the sample reported having been diagnosed with clinical depression. Considering </w:t>
      </w:r>
      <w:r w:rsidR="000605BD" w:rsidRPr="00476FC9">
        <w:rPr>
          <w:color w:val="000000" w:themeColor="text1"/>
        </w:rPr>
        <w:t>that an estimated 1 in 10 US adults report</w:t>
      </w:r>
      <w:r w:rsidR="00131643" w:rsidRPr="00476FC9">
        <w:rPr>
          <w:color w:val="000000" w:themeColor="text1"/>
        </w:rPr>
        <w:t xml:space="preserve">s current </w:t>
      </w:r>
      <w:r w:rsidR="000605BD" w:rsidRPr="00476FC9">
        <w:rPr>
          <w:color w:val="000000" w:themeColor="text1"/>
        </w:rPr>
        <w:t xml:space="preserve">depression (Center for Disease Control and Prevention, 2010), the current study’s sample </w:t>
      </w:r>
      <w:r w:rsidR="00B80650" w:rsidRPr="00476FC9">
        <w:rPr>
          <w:color w:val="000000" w:themeColor="text1"/>
        </w:rPr>
        <w:t xml:space="preserve">may </w:t>
      </w:r>
      <w:r w:rsidR="000605BD" w:rsidRPr="00476FC9">
        <w:rPr>
          <w:color w:val="000000" w:themeColor="text1"/>
        </w:rPr>
        <w:t>over-represent</w:t>
      </w:r>
      <w:r w:rsidR="00B80650" w:rsidRPr="00476FC9">
        <w:rPr>
          <w:color w:val="000000" w:themeColor="text1"/>
        </w:rPr>
        <w:t xml:space="preserve"> the</w:t>
      </w:r>
      <w:r w:rsidR="000605BD" w:rsidRPr="00476FC9">
        <w:rPr>
          <w:color w:val="000000" w:themeColor="text1"/>
        </w:rPr>
        <w:t xml:space="preserve"> US adult population with depression experience. However, it is worth noting that the survey instrument of the current study asks subjects to report their previous experience with depression up to now. Given that the Center for Disease Control and Prevention (2010) report</w:t>
      </w:r>
      <w:r w:rsidR="00774EAF" w:rsidRPr="00476FC9">
        <w:rPr>
          <w:color w:val="000000" w:themeColor="text1"/>
        </w:rPr>
        <w:t>s</w:t>
      </w:r>
      <w:r w:rsidR="000605BD" w:rsidRPr="00476FC9">
        <w:rPr>
          <w:color w:val="000000" w:themeColor="text1"/>
        </w:rPr>
        <w:t xml:space="preserve"> the current depression diagnosis</w:t>
      </w:r>
      <w:r w:rsidR="00774EAF" w:rsidRPr="00476FC9">
        <w:rPr>
          <w:color w:val="000000" w:themeColor="text1"/>
        </w:rPr>
        <w:t xml:space="preserve"> (approximately 10%)</w:t>
      </w:r>
      <w:r w:rsidR="000605BD" w:rsidRPr="00476FC9">
        <w:rPr>
          <w:color w:val="000000" w:themeColor="text1"/>
        </w:rPr>
        <w:t xml:space="preserve">, </w:t>
      </w:r>
      <w:r w:rsidR="00774EAF" w:rsidRPr="00476FC9">
        <w:rPr>
          <w:color w:val="000000" w:themeColor="text1"/>
        </w:rPr>
        <w:t xml:space="preserve">it </w:t>
      </w:r>
      <w:r w:rsidR="000C7312" w:rsidRPr="00476FC9">
        <w:rPr>
          <w:color w:val="000000" w:themeColor="text1"/>
        </w:rPr>
        <w:t>is</w:t>
      </w:r>
      <w:r w:rsidR="00774EAF" w:rsidRPr="00476FC9">
        <w:rPr>
          <w:color w:val="000000" w:themeColor="text1"/>
        </w:rPr>
        <w:t xml:space="preserve"> possible to speculate that subjects’</w:t>
      </w:r>
      <w:r w:rsidR="000605BD" w:rsidRPr="00476FC9">
        <w:rPr>
          <w:color w:val="000000" w:themeColor="text1"/>
        </w:rPr>
        <w:t xml:space="preserve"> </w:t>
      </w:r>
      <w:r w:rsidR="00774EAF" w:rsidRPr="00476FC9">
        <w:rPr>
          <w:color w:val="000000" w:themeColor="text1"/>
        </w:rPr>
        <w:t xml:space="preserve">reported </w:t>
      </w:r>
      <w:r w:rsidR="00B80650" w:rsidRPr="00476FC9">
        <w:rPr>
          <w:color w:val="000000" w:themeColor="text1"/>
        </w:rPr>
        <w:t xml:space="preserve">accumulative </w:t>
      </w:r>
      <w:r w:rsidR="00774EAF" w:rsidRPr="00476FC9">
        <w:rPr>
          <w:color w:val="000000" w:themeColor="text1"/>
        </w:rPr>
        <w:t xml:space="preserve">depression experience rate (approximately 30%) </w:t>
      </w:r>
      <w:r w:rsidR="000C7312" w:rsidRPr="00476FC9">
        <w:rPr>
          <w:color w:val="000000" w:themeColor="text1"/>
        </w:rPr>
        <w:t xml:space="preserve">would be </w:t>
      </w:r>
      <w:r w:rsidR="00774EAF" w:rsidRPr="00476FC9">
        <w:rPr>
          <w:color w:val="000000" w:themeColor="text1"/>
        </w:rPr>
        <w:t>h</w:t>
      </w:r>
      <w:r w:rsidR="000605BD" w:rsidRPr="00476FC9">
        <w:rPr>
          <w:color w:val="000000" w:themeColor="text1"/>
        </w:rPr>
        <w:t>igher than the current depression rate</w:t>
      </w:r>
      <w:r w:rsidR="000C7312" w:rsidRPr="00476FC9">
        <w:rPr>
          <w:color w:val="000000" w:themeColor="text1"/>
        </w:rPr>
        <w:t xml:space="preserve"> reported</w:t>
      </w:r>
      <w:r w:rsidR="00774EAF" w:rsidRPr="00476FC9">
        <w:rPr>
          <w:color w:val="000000" w:themeColor="text1"/>
        </w:rPr>
        <w:t xml:space="preserve">. </w:t>
      </w:r>
      <w:r w:rsidR="00B80650" w:rsidRPr="00476FC9">
        <w:rPr>
          <w:color w:val="000000" w:themeColor="text1"/>
        </w:rPr>
        <w:t xml:space="preserve">That is, </w:t>
      </w:r>
      <w:r w:rsidR="00774EAF" w:rsidRPr="00476FC9">
        <w:rPr>
          <w:color w:val="000000" w:themeColor="text1"/>
        </w:rPr>
        <w:t xml:space="preserve">because </w:t>
      </w:r>
      <w:r w:rsidR="00A9257B" w:rsidRPr="00476FC9">
        <w:rPr>
          <w:color w:val="000000" w:themeColor="text1"/>
        </w:rPr>
        <w:t xml:space="preserve">subjects’ response in the current research </w:t>
      </w:r>
      <w:r w:rsidR="00774EAF" w:rsidRPr="00476FC9">
        <w:rPr>
          <w:color w:val="000000" w:themeColor="text1"/>
        </w:rPr>
        <w:t xml:space="preserve">may represent </w:t>
      </w:r>
      <w:r w:rsidR="00B80650" w:rsidRPr="00476FC9">
        <w:rPr>
          <w:color w:val="000000" w:themeColor="text1"/>
        </w:rPr>
        <w:t xml:space="preserve">not only current depression experience but also </w:t>
      </w:r>
      <w:r w:rsidR="00774EAF" w:rsidRPr="00476FC9">
        <w:rPr>
          <w:color w:val="000000" w:themeColor="text1"/>
        </w:rPr>
        <w:t xml:space="preserve">a whole </w:t>
      </w:r>
      <w:r w:rsidR="00A9257B" w:rsidRPr="00476FC9">
        <w:rPr>
          <w:color w:val="000000" w:themeColor="text1"/>
        </w:rPr>
        <w:t xml:space="preserve">personal </w:t>
      </w:r>
      <w:r w:rsidR="00774EAF" w:rsidRPr="00476FC9">
        <w:rPr>
          <w:color w:val="000000" w:themeColor="text1"/>
        </w:rPr>
        <w:t xml:space="preserve">history of depression in </w:t>
      </w:r>
      <w:r w:rsidR="00A9257B" w:rsidRPr="00476FC9">
        <w:rPr>
          <w:color w:val="000000" w:themeColor="text1"/>
        </w:rPr>
        <w:t xml:space="preserve">their </w:t>
      </w:r>
      <w:r w:rsidR="00774EAF" w:rsidRPr="00476FC9">
        <w:rPr>
          <w:color w:val="000000" w:themeColor="text1"/>
        </w:rPr>
        <w:t>lifetime</w:t>
      </w:r>
      <w:r w:rsidR="000605BD" w:rsidRPr="00476FC9">
        <w:rPr>
          <w:color w:val="000000" w:themeColor="text1"/>
        </w:rPr>
        <w:t xml:space="preserve">. </w:t>
      </w:r>
      <w:r w:rsidR="00B80650" w:rsidRPr="00476FC9">
        <w:rPr>
          <w:color w:val="000000" w:themeColor="text1"/>
        </w:rPr>
        <w:t>Therefore, w</w:t>
      </w:r>
      <w:r w:rsidR="000605BD" w:rsidRPr="00476FC9">
        <w:rPr>
          <w:color w:val="000000" w:themeColor="text1"/>
        </w:rPr>
        <w:t>ith careful caution, the high</w:t>
      </w:r>
      <w:r w:rsidR="00A9257B" w:rsidRPr="00476FC9">
        <w:rPr>
          <w:color w:val="000000" w:themeColor="text1"/>
        </w:rPr>
        <w:t>er</w:t>
      </w:r>
      <w:r w:rsidR="000605BD" w:rsidRPr="00476FC9">
        <w:rPr>
          <w:color w:val="000000" w:themeColor="text1"/>
        </w:rPr>
        <w:t xml:space="preserve"> depression experience report</w:t>
      </w:r>
      <w:r w:rsidR="00A9257B" w:rsidRPr="00476FC9">
        <w:rPr>
          <w:color w:val="000000" w:themeColor="text1"/>
        </w:rPr>
        <w:t xml:space="preserve"> of this research</w:t>
      </w:r>
      <w:r w:rsidR="000605BD" w:rsidRPr="00476FC9">
        <w:rPr>
          <w:color w:val="000000" w:themeColor="text1"/>
        </w:rPr>
        <w:t xml:space="preserve"> </w:t>
      </w:r>
      <w:r w:rsidR="00A9257B" w:rsidRPr="00476FC9">
        <w:rPr>
          <w:color w:val="000000" w:themeColor="text1"/>
        </w:rPr>
        <w:t xml:space="preserve">than that of the current epidemiological data </w:t>
      </w:r>
      <w:r w:rsidR="000605BD" w:rsidRPr="00476FC9">
        <w:rPr>
          <w:color w:val="000000" w:themeColor="text1"/>
        </w:rPr>
        <w:t>seem</w:t>
      </w:r>
      <w:r w:rsidR="00364285" w:rsidRPr="00476FC9">
        <w:rPr>
          <w:color w:val="000000" w:themeColor="text1"/>
        </w:rPr>
        <w:t>s</w:t>
      </w:r>
      <w:r w:rsidR="000605BD" w:rsidRPr="00476FC9">
        <w:rPr>
          <w:color w:val="000000" w:themeColor="text1"/>
        </w:rPr>
        <w:t xml:space="preserve"> to be understandable.</w:t>
      </w:r>
    </w:p>
    <w:p w:rsidR="00F76010" w:rsidRPr="00476FC9" w:rsidRDefault="00F76010" w:rsidP="007D2ACE">
      <w:pPr>
        <w:pStyle w:val="Heading2"/>
        <w:rPr>
          <w:color w:val="000000" w:themeColor="text1"/>
        </w:rPr>
      </w:pPr>
    </w:p>
    <w:p w:rsidR="00385E58" w:rsidRPr="00476FC9" w:rsidRDefault="00385E58" w:rsidP="007D2ACE">
      <w:pPr>
        <w:pStyle w:val="Heading2"/>
        <w:rPr>
          <w:color w:val="000000" w:themeColor="text1"/>
        </w:rPr>
      </w:pPr>
      <w:bookmarkStart w:id="31" w:name="_Toc393800676"/>
      <w:r w:rsidRPr="00476FC9">
        <w:rPr>
          <w:color w:val="000000" w:themeColor="text1"/>
        </w:rPr>
        <w:t>Design</w:t>
      </w:r>
      <w:bookmarkEnd w:id="31"/>
    </w:p>
    <w:p w:rsidR="00EC28A5" w:rsidRPr="00476FC9" w:rsidRDefault="00385E58"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D61F8C" w:rsidRPr="00476FC9">
        <w:rPr>
          <w:color w:val="000000" w:themeColor="text1"/>
        </w:rPr>
        <w:t>Because the current stu</w:t>
      </w:r>
      <w:r w:rsidR="001F0F98" w:rsidRPr="00476FC9">
        <w:rPr>
          <w:color w:val="000000" w:themeColor="text1"/>
        </w:rPr>
        <w:t xml:space="preserve">dy has one manipulated </w:t>
      </w:r>
      <w:r w:rsidR="0082015F" w:rsidRPr="00476FC9">
        <w:rPr>
          <w:color w:val="000000" w:themeColor="text1"/>
        </w:rPr>
        <w:t xml:space="preserve">categorical </w:t>
      </w:r>
      <w:r w:rsidR="001F0F98" w:rsidRPr="00476FC9">
        <w:rPr>
          <w:color w:val="000000" w:themeColor="text1"/>
        </w:rPr>
        <w:t>variable</w:t>
      </w:r>
      <w:r w:rsidR="00D61F8C" w:rsidRPr="00476FC9">
        <w:rPr>
          <w:color w:val="000000" w:themeColor="text1"/>
        </w:rPr>
        <w:t xml:space="preserve"> with two levels (i.e., high vs. low prominence) and one </w:t>
      </w:r>
      <w:r w:rsidR="0063551B" w:rsidRPr="00476FC9">
        <w:rPr>
          <w:color w:val="000000" w:themeColor="text1"/>
        </w:rPr>
        <w:t xml:space="preserve">measured </w:t>
      </w:r>
      <w:r w:rsidR="00D61F8C" w:rsidRPr="00476FC9">
        <w:rPr>
          <w:color w:val="000000" w:themeColor="text1"/>
        </w:rPr>
        <w:t>continuous variable (i.e., DTCA regulatory knowledge)</w:t>
      </w:r>
      <w:r w:rsidR="0082015F" w:rsidRPr="00476FC9">
        <w:rPr>
          <w:color w:val="000000" w:themeColor="text1"/>
        </w:rPr>
        <w:t xml:space="preserve"> along with control variables</w:t>
      </w:r>
      <w:r w:rsidR="00D61F8C" w:rsidRPr="00476FC9">
        <w:rPr>
          <w:color w:val="000000" w:themeColor="text1"/>
        </w:rPr>
        <w:t xml:space="preserve">, </w:t>
      </w:r>
      <w:r w:rsidR="00F07ABD" w:rsidRPr="00476FC9">
        <w:rPr>
          <w:color w:val="000000" w:themeColor="text1"/>
        </w:rPr>
        <w:t xml:space="preserve">a </w:t>
      </w:r>
      <w:r w:rsidR="0063551B" w:rsidRPr="00476FC9">
        <w:rPr>
          <w:color w:val="000000" w:themeColor="text1"/>
        </w:rPr>
        <w:t xml:space="preserve">multiple </w:t>
      </w:r>
      <w:r w:rsidR="00D61F8C" w:rsidRPr="00476FC9">
        <w:rPr>
          <w:color w:val="000000" w:themeColor="text1"/>
        </w:rPr>
        <w:t xml:space="preserve">regression approach </w:t>
      </w:r>
      <w:r w:rsidR="00F07ABD" w:rsidRPr="00476FC9">
        <w:rPr>
          <w:color w:val="000000" w:themeColor="text1"/>
        </w:rPr>
        <w:t xml:space="preserve">was employed to probe </w:t>
      </w:r>
      <w:r w:rsidR="00F07ABD" w:rsidRPr="00476FC9">
        <w:rPr>
          <w:color w:val="000000" w:themeColor="text1"/>
        </w:rPr>
        <w:lastRenderedPageBreak/>
        <w:t>the research hypotheses</w:t>
      </w:r>
      <w:r w:rsidR="00E50B4A" w:rsidRPr="00476FC9">
        <w:rPr>
          <w:color w:val="000000" w:themeColor="text1"/>
        </w:rPr>
        <w:t xml:space="preserve"> </w:t>
      </w:r>
      <w:r w:rsidR="0063551B" w:rsidRPr="00476FC9">
        <w:rPr>
          <w:color w:val="000000" w:themeColor="text1"/>
        </w:rPr>
        <w:t>(Aiken &amp; West, 1991; Fitzsimons, 2008)</w:t>
      </w:r>
      <w:r w:rsidR="00F07ABD" w:rsidRPr="00476FC9">
        <w:rPr>
          <w:color w:val="000000" w:themeColor="text1"/>
        </w:rPr>
        <w:t xml:space="preserve">. </w:t>
      </w:r>
      <w:r w:rsidR="003A461E" w:rsidRPr="00476FC9">
        <w:rPr>
          <w:color w:val="000000" w:themeColor="text1"/>
        </w:rPr>
        <w:t>T</w:t>
      </w:r>
      <w:r w:rsidR="00F07ABD" w:rsidRPr="00476FC9">
        <w:rPr>
          <w:color w:val="000000" w:themeColor="text1"/>
        </w:rPr>
        <w:t>he current study did not dichotomize the continuous DT</w:t>
      </w:r>
      <w:r w:rsidR="0042137D" w:rsidRPr="00476FC9">
        <w:rPr>
          <w:color w:val="000000" w:themeColor="text1"/>
        </w:rPr>
        <w:t>CA regulatory knowledge levels</w:t>
      </w:r>
      <w:r w:rsidR="00F07ABD" w:rsidRPr="00476FC9">
        <w:rPr>
          <w:color w:val="000000" w:themeColor="text1"/>
        </w:rPr>
        <w:t xml:space="preserve"> </w:t>
      </w:r>
      <w:r w:rsidR="0082015F" w:rsidRPr="00476FC9">
        <w:rPr>
          <w:color w:val="000000" w:themeColor="text1"/>
        </w:rPr>
        <w:t xml:space="preserve">(e.g., 0-6) </w:t>
      </w:r>
      <w:r w:rsidR="00F07ABD" w:rsidRPr="00476FC9">
        <w:rPr>
          <w:color w:val="000000" w:themeColor="text1"/>
        </w:rPr>
        <w:t xml:space="preserve">into two categories such as high and low. Fitzsimons (2008) notes that median-splitting of a continuous independent variable has principal problems. First, dichotomizing continuous independent variables are likely to </w:t>
      </w:r>
      <w:r w:rsidR="0082015F" w:rsidRPr="00476FC9">
        <w:rPr>
          <w:color w:val="000000" w:themeColor="text1"/>
        </w:rPr>
        <w:t xml:space="preserve">unnecessarily </w:t>
      </w:r>
      <w:r w:rsidR="00F07ABD" w:rsidRPr="00476FC9">
        <w:rPr>
          <w:color w:val="000000" w:themeColor="text1"/>
        </w:rPr>
        <w:t>reduce the statistical power available to test research hypotheses (Irwin &amp; McClelland, 2003). Second, a more serious potential problem is that inappropriate dichotomiz</w:t>
      </w:r>
      <w:r w:rsidR="00EE24D5" w:rsidRPr="00476FC9">
        <w:rPr>
          <w:color w:val="000000" w:themeColor="text1"/>
        </w:rPr>
        <w:t>ation o</w:t>
      </w:r>
      <w:r w:rsidR="00F07ABD" w:rsidRPr="00476FC9">
        <w:rPr>
          <w:color w:val="000000" w:themeColor="text1"/>
        </w:rPr>
        <w:t xml:space="preserve">f continuous variables can create spurious significant results if the independent variables are </w:t>
      </w:r>
      <w:r w:rsidR="0082015F" w:rsidRPr="00476FC9">
        <w:rPr>
          <w:color w:val="000000" w:themeColor="text1"/>
        </w:rPr>
        <w:t xml:space="preserve">strongly </w:t>
      </w:r>
      <w:r w:rsidR="00F07ABD" w:rsidRPr="00476FC9">
        <w:rPr>
          <w:color w:val="000000" w:themeColor="text1"/>
        </w:rPr>
        <w:t xml:space="preserve">correlated (Maxwell &amp; Delaney, 1993). </w:t>
      </w:r>
      <w:r w:rsidR="0042137D" w:rsidRPr="00476FC9">
        <w:rPr>
          <w:color w:val="000000" w:themeColor="text1"/>
        </w:rPr>
        <w:t>Third,</w:t>
      </w:r>
      <w:r w:rsidR="00EE24D5" w:rsidRPr="00476FC9">
        <w:rPr>
          <w:color w:val="000000" w:themeColor="text1"/>
        </w:rPr>
        <w:t xml:space="preserve"> inappropriate dichotomy of the data</w:t>
      </w:r>
      <w:r w:rsidR="0042137D" w:rsidRPr="00476FC9">
        <w:rPr>
          <w:color w:val="000000" w:themeColor="text1"/>
        </w:rPr>
        <w:t xml:space="preserve"> is likely to loss important information </w:t>
      </w:r>
      <w:r w:rsidR="0082015F" w:rsidRPr="00476FC9">
        <w:rPr>
          <w:color w:val="000000" w:themeColor="text1"/>
        </w:rPr>
        <w:t xml:space="preserve">by disregarding </w:t>
      </w:r>
      <w:r w:rsidR="00EE24D5" w:rsidRPr="00476FC9">
        <w:rPr>
          <w:color w:val="000000" w:themeColor="text1"/>
        </w:rPr>
        <w:t>m</w:t>
      </w:r>
      <w:r w:rsidR="0042137D" w:rsidRPr="00476FC9">
        <w:rPr>
          <w:color w:val="000000" w:themeColor="text1"/>
        </w:rPr>
        <w:t xml:space="preserve">eaningful differences </w:t>
      </w:r>
      <w:r w:rsidR="00EE24D5" w:rsidRPr="00476FC9">
        <w:rPr>
          <w:color w:val="000000" w:themeColor="text1"/>
        </w:rPr>
        <w:t xml:space="preserve">among varying </w:t>
      </w:r>
      <w:r w:rsidR="0042137D" w:rsidRPr="00476FC9">
        <w:rPr>
          <w:color w:val="000000" w:themeColor="text1"/>
        </w:rPr>
        <w:t>continuous l</w:t>
      </w:r>
      <w:r w:rsidR="00EE24D5" w:rsidRPr="00476FC9">
        <w:rPr>
          <w:color w:val="000000" w:themeColor="text1"/>
        </w:rPr>
        <w:t>evels</w:t>
      </w:r>
      <w:r w:rsidR="0042137D" w:rsidRPr="00476FC9">
        <w:rPr>
          <w:color w:val="000000" w:themeColor="text1"/>
        </w:rPr>
        <w:t xml:space="preserve"> (Fitzsimons, 2008). </w:t>
      </w:r>
      <w:r w:rsidR="00EC28A5" w:rsidRPr="00476FC9">
        <w:rPr>
          <w:color w:val="000000" w:themeColor="text1"/>
        </w:rPr>
        <w:t>In this regard, Fitzsimons (2008) suggests to follow a guide to performing analysis including continuous independent variables and interactions</w:t>
      </w:r>
      <w:r w:rsidR="0082015F" w:rsidRPr="00476FC9">
        <w:rPr>
          <w:color w:val="000000" w:themeColor="text1"/>
        </w:rPr>
        <w:t xml:space="preserve"> </w:t>
      </w:r>
      <w:r w:rsidR="00EE24D5" w:rsidRPr="00476FC9">
        <w:rPr>
          <w:color w:val="000000" w:themeColor="text1"/>
        </w:rPr>
        <w:t xml:space="preserve">proposed by </w:t>
      </w:r>
      <w:r w:rsidR="00EC28A5" w:rsidRPr="00476FC9">
        <w:rPr>
          <w:color w:val="000000" w:themeColor="text1"/>
        </w:rPr>
        <w:t xml:space="preserve">Aiken and West (1991). </w:t>
      </w:r>
    </w:p>
    <w:p w:rsidR="001D10D5" w:rsidRPr="00476FC9" w:rsidRDefault="00EC28A5"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More specifically, when there are one straightforward manipulation of independent variable and one measured </w:t>
      </w:r>
      <w:r w:rsidR="00B07037" w:rsidRPr="00476FC9">
        <w:rPr>
          <w:color w:val="000000" w:themeColor="text1"/>
        </w:rPr>
        <w:t xml:space="preserve">continuous </w:t>
      </w:r>
      <w:r w:rsidRPr="00476FC9">
        <w:rPr>
          <w:color w:val="000000" w:themeColor="text1"/>
        </w:rPr>
        <w:t xml:space="preserve">variable that is not easy to manipulate at the individual consumer level or not appropriate for manipulating due to its nature such as pre-existing cognitive traits, the researcher needs to decide </w:t>
      </w:r>
      <w:r w:rsidR="0082015F" w:rsidRPr="00476FC9">
        <w:rPr>
          <w:color w:val="000000" w:themeColor="text1"/>
        </w:rPr>
        <w:t xml:space="preserve">whether he/she </w:t>
      </w:r>
      <w:r w:rsidRPr="00476FC9">
        <w:rPr>
          <w:color w:val="000000" w:themeColor="text1"/>
        </w:rPr>
        <w:t>use</w:t>
      </w:r>
      <w:r w:rsidR="0082015F" w:rsidRPr="00476FC9">
        <w:rPr>
          <w:color w:val="000000" w:themeColor="text1"/>
        </w:rPr>
        <w:t>s</w:t>
      </w:r>
      <w:r w:rsidRPr="00476FC9">
        <w:rPr>
          <w:color w:val="000000" w:themeColor="text1"/>
        </w:rPr>
        <w:t xml:space="preserve"> a continuous measure</w:t>
      </w:r>
      <w:r w:rsidR="0082015F" w:rsidRPr="00476FC9">
        <w:rPr>
          <w:color w:val="000000" w:themeColor="text1"/>
        </w:rPr>
        <w:t xml:space="preserve"> as it is,</w:t>
      </w:r>
      <w:r w:rsidRPr="00476FC9">
        <w:rPr>
          <w:color w:val="000000" w:themeColor="text1"/>
        </w:rPr>
        <w:t xml:space="preserve"> to capture </w:t>
      </w:r>
      <w:r w:rsidR="0082015F" w:rsidRPr="00476FC9">
        <w:rPr>
          <w:color w:val="000000" w:themeColor="text1"/>
        </w:rPr>
        <w:t xml:space="preserve">varying </w:t>
      </w:r>
      <w:r w:rsidRPr="00476FC9">
        <w:rPr>
          <w:color w:val="000000" w:themeColor="text1"/>
        </w:rPr>
        <w:t xml:space="preserve">levels of the measured variable (Fitzsimons, 2008). However, </w:t>
      </w:r>
      <w:r w:rsidR="0082015F" w:rsidRPr="00476FC9">
        <w:rPr>
          <w:color w:val="000000" w:themeColor="text1"/>
        </w:rPr>
        <w:t xml:space="preserve">more often than not, </w:t>
      </w:r>
      <w:r w:rsidRPr="00476FC9">
        <w:rPr>
          <w:color w:val="000000" w:themeColor="text1"/>
        </w:rPr>
        <w:t xml:space="preserve">when the researcher is interested in testing the interaction between the two independent variables, a common mistake committed by the researcher is dichotomizing the measured variable into two levels using a median-split method. However, this approach may be inappropriate and </w:t>
      </w:r>
      <w:r w:rsidR="00EF0C9B" w:rsidRPr="00476FC9">
        <w:rPr>
          <w:color w:val="000000" w:themeColor="text1"/>
        </w:rPr>
        <w:t xml:space="preserve">possibly </w:t>
      </w:r>
      <w:r w:rsidR="00D66C29" w:rsidRPr="00476FC9">
        <w:rPr>
          <w:color w:val="000000" w:themeColor="text1"/>
        </w:rPr>
        <w:t>result in</w:t>
      </w:r>
      <w:r w:rsidRPr="00476FC9">
        <w:rPr>
          <w:color w:val="000000" w:themeColor="text1"/>
        </w:rPr>
        <w:t xml:space="preserve"> misleading interpretations of t</w:t>
      </w:r>
      <w:r w:rsidR="00D66C29" w:rsidRPr="00476FC9">
        <w:rPr>
          <w:color w:val="000000" w:themeColor="text1"/>
        </w:rPr>
        <w:t>he results (Fitzsimons, 2008).</w:t>
      </w:r>
    </w:p>
    <w:p w:rsidR="00DD5684" w:rsidRPr="00476FC9" w:rsidRDefault="001D10D5"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To address </w:t>
      </w:r>
      <w:r w:rsidR="00EF0C9B" w:rsidRPr="00476FC9">
        <w:rPr>
          <w:color w:val="000000" w:themeColor="text1"/>
        </w:rPr>
        <w:t>these</w:t>
      </w:r>
      <w:r w:rsidRPr="00476FC9">
        <w:rPr>
          <w:color w:val="000000" w:themeColor="text1"/>
        </w:rPr>
        <w:t xml:space="preserve"> limitations, Aiken and West (1991) suggest to perform regression </w:t>
      </w:r>
      <w:r w:rsidRPr="00476FC9">
        <w:rPr>
          <w:color w:val="000000" w:themeColor="text1"/>
        </w:rPr>
        <w:lastRenderedPageBreak/>
        <w:t xml:space="preserve">analyses to utilize the continuous nature of the measured independent variable. Further, when the researcher analyzes the interaction between one manipulated categorical variable and one </w:t>
      </w:r>
      <w:r w:rsidR="00904513" w:rsidRPr="00476FC9">
        <w:rPr>
          <w:color w:val="000000" w:themeColor="text1"/>
        </w:rPr>
        <w:t xml:space="preserve">measured </w:t>
      </w:r>
      <w:r w:rsidRPr="00476FC9">
        <w:rPr>
          <w:color w:val="000000" w:themeColor="text1"/>
        </w:rPr>
        <w:t xml:space="preserve">continuous variable, the </w:t>
      </w:r>
      <w:r w:rsidRPr="00476FC9">
        <w:rPr>
          <w:i/>
          <w:color w:val="000000" w:themeColor="text1"/>
        </w:rPr>
        <w:t>Johnson-Neyman</w:t>
      </w:r>
      <w:r w:rsidRPr="00476FC9">
        <w:rPr>
          <w:color w:val="000000" w:themeColor="text1"/>
        </w:rPr>
        <w:t xml:space="preserve"> </w:t>
      </w:r>
      <w:r w:rsidRPr="00476FC9">
        <w:rPr>
          <w:i/>
          <w:color w:val="000000" w:themeColor="text1"/>
        </w:rPr>
        <w:t>regions of significance procedure</w:t>
      </w:r>
      <w:r w:rsidRPr="00476FC9">
        <w:rPr>
          <w:color w:val="000000" w:themeColor="text1"/>
        </w:rPr>
        <w:t xml:space="preserve"> is suggested as well as a </w:t>
      </w:r>
      <w:r w:rsidRPr="00476FC9">
        <w:rPr>
          <w:i/>
          <w:color w:val="000000" w:themeColor="text1"/>
        </w:rPr>
        <w:t>simple slop analysis</w:t>
      </w:r>
      <w:r w:rsidRPr="00476FC9">
        <w:rPr>
          <w:color w:val="000000" w:themeColor="text1"/>
        </w:rPr>
        <w:t xml:space="preserve"> (Aiken &amp; West, 1991</w:t>
      </w:r>
      <w:r w:rsidR="005227A8" w:rsidRPr="00476FC9">
        <w:rPr>
          <w:color w:val="000000" w:themeColor="text1"/>
        </w:rPr>
        <w:t>; Preacher, Rucker, &amp; Hayes, 2007)</w:t>
      </w:r>
      <w:r w:rsidRPr="00476FC9">
        <w:rPr>
          <w:color w:val="000000" w:themeColor="text1"/>
        </w:rPr>
        <w:t xml:space="preserve">. </w:t>
      </w:r>
      <w:r w:rsidR="008C525C" w:rsidRPr="00476FC9">
        <w:rPr>
          <w:color w:val="000000" w:themeColor="text1"/>
        </w:rPr>
        <w:t>For instance, t</w:t>
      </w:r>
      <w:r w:rsidRPr="00476FC9">
        <w:rPr>
          <w:color w:val="000000" w:themeColor="text1"/>
        </w:rPr>
        <w:t xml:space="preserve">he </w:t>
      </w:r>
      <w:r w:rsidRPr="00476FC9">
        <w:rPr>
          <w:i/>
          <w:color w:val="000000" w:themeColor="text1"/>
        </w:rPr>
        <w:t>Johnson-Neyman</w:t>
      </w:r>
      <w:r w:rsidRPr="00476FC9">
        <w:rPr>
          <w:color w:val="000000" w:themeColor="text1"/>
        </w:rPr>
        <w:t xml:space="preserve"> procedure shows</w:t>
      </w:r>
      <w:r w:rsidR="008C525C" w:rsidRPr="00476FC9">
        <w:rPr>
          <w:color w:val="000000" w:themeColor="text1"/>
        </w:rPr>
        <w:t xml:space="preserve"> where the </w:t>
      </w:r>
      <w:r w:rsidRPr="00476FC9">
        <w:rPr>
          <w:color w:val="000000" w:themeColor="text1"/>
        </w:rPr>
        <w:t>subgroups</w:t>
      </w:r>
      <w:r w:rsidR="008C525C" w:rsidRPr="00476FC9">
        <w:rPr>
          <w:color w:val="000000" w:themeColor="text1"/>
        </w:rPr>
        <w:t xml:space="preserve">’ </w:t>
      </w:r>
      <w:r w:rsidR="00997A56" w:rsidRPr="00476FC9">
        <w:rPr>
          <w:color w:val="000000" w:themeColor="text1"/>
        </w:rPr>
        <w:t xml:space="preserve">(e.g. high vs. low) </w:t>
      </w:r>
      <w:r w:rsidRPr="00476FC9">
        <w:rPr>
          <w:color w:val="000000" w:themeColor="text1"/>
        </w:rPr>
        <w:t>regression slopes and intercepts are significantly different from one another</w:t>
      </w:r>
      <w:r w:rsidR="008A7764" w:rsidRPr="00476FC9">
        <w:rPr>
          <w:color w:val="000000" w:themeColor="text1"/>
        </w:rPr>
        <w:t xml:space="preserve"> across varying levels of the measured variable</w:t>
      </w:r>
      <w:r w:rsidRPr="00476FC9">
        <w:rPr>
          <w:color w:val="000000" w:themeColor="text1"/>
        </w:rPr>
        <w:t xml:space="preserve">. </w:t>
      </w:r>
      <w:r w:rsidR="008C525C" w:rsidRPr="00476FC9">
        <w:rPr>
          <w:color w:val="000000" w:themeColor="text1"/>
        </w:rPr>
        <w:t xml:space="preserve">The regression slopes and intercepts can be plotted in graph and the </w:t>
      </w:r>
      <w:r w:rsidR="005227A8" w:rsidRPr="00476FC9">
        <w:rPr>
          <w:color w:val="000000" w:themeColor="text1"/>
        </w:rPr>
        <w:t>statistics</w:t>
      </w:r>
      <w:r w:rsidR="008C525C" w:rsidRPr="00476FC9">
        <w:rPr>
          <w:color w:val="000000" w:themeColor="text1"/>
        </w:rPr>
        <w:t xml:space="preserve"> </w:t>
      </w:r>
      <w:r w:rsidR="00C06F92" w:rsidRPr="00476FC9">
        <w:rPr>
          <w:color w:val="000000" w:themeColor="text1"/>
        </w:rPr>
        <w:t xml:space="preserve">of the method </w:t>
      </w:r>
      <w:r w:rsidR="008C525C" w:rsidRPr="00476FC9">
        <w:rPr>
          <w:color w:val="000000" w:themeColor="text1"/>
        </w:rPr>
        <w:t xml:space="preserve">indicate the regions of significance. </w:t>
      </w:r>
      <w:r w:rsidRPr="00476FC9">
        <w:rPr>
          <w:color w:val="000000" w:themeColor="text1"/>
        </w:rPr>
        <w:t>To</w:t>
      </w:r>
      <w:r w:rsidR="008A7764" w:rsidRPr="00476FC9">
        <w:rPr>
          <w:color w:val="000000" w:themeColor="text1"/>
        </w:rPr>
        <w:t xml:space="preserve"> further pinpoint </w:t>
      </w:r>
      <w:r w:rsidRPr="00476FC9">
        <w:rPr>
          <w:color w:val="000000" w:themeColor="text1"/>
        </w:rPr>
        <w:t xml:space="preserve">the interaction pattern, the simple slope analysis </w:t>
      </w:r>
      <w:r w:rsidR="008C525C" w:rsidRPr="00476FC9">
        <w:rPr>
          <w:color w:val="000000" w:themeColor="text1"/>
        </w:rPr>
        <w:t xml:space="preserve">allows the researcher to examine the slopes of the </w:t>
      </w:r>
      <w:r w:rsidR="008A7764" w:rsidRPr="00476FC9">
        <w:rPr>
          <w:color w:val="000000" w:themeColor="text1"/>
        </w:rPr>
        <w:t xml:space="preserve">manipulated </w:t>
      </w:r>
      <w:r w:rsidR="008C525C" w:rsidRPr="00476FC9">
        <w:rPr>
          <w:color w:val="000000" w:themeColor="text1"/>
        </w:rPr>
        <w:t xml:space="preserve">variable at each level of the </w:t>
      </w:r>
      <w:r w:rsidR="008A7764" w:rsidRPr="00476FC9">
        <w:rPr>
          <w:color w:val="000000" w:themeColor="text1"/>
        </w:rPr>
        <w:t xml:space="preserve">measured </w:t>
      </w:r>
      <w:r w:rsidR="008C525C" w:rsidRPr="00476FC9">
        <w:rPr>
          <w:color w:val="000000" w:themeColor="text1"/>
        </w:rPr>
        <w:t xml:space="preserve">variable. In the current research context, for instance, the simple slope analysis shows </w:t>
      </w:r>
      <w:r w:rsidRPr="00476FC9">
        <w:rPr>
          <w:color w:val="000000" w:themeColor="text1"/>
        </w:rPr>
        <w:t xml:space="preserve">whether </w:t>
      </w:r>
      <w:r w:rsidR="008A7764" w:rsidRPr="00476FC9">
        <w:rPr>
          <w:color w:val="000000" w:themeColor="text1"/>
        </w:rPr>
        <w:t xml:space="preserve">the regression slopes are significantly different between the two different manipulation conditions, </w:t>
      </w:r>
      <w:r w:rsidRPr="00476FC9">
        <w:rPr>
          <w:color w:val="000000" w:themeColor="text1"/>
        </w:rPr>
        <w:t xml:space="preserve">at one standard deviation below the mean of </w:t>
      </w:r>
      <w:r w:rsidR="008C525C" w:rsidRPr="00476FC9">
        <w:rPr>
          <w:color w:val="000000" w:themeColor="text1"/>
        </w:rPr>
        <w:t>the</w:t>
      </w:r>
      <w:r w:rsidRPr="00476FC9">
        <w:rPr>
          <w:color w:val="000000" w:themeColor="text1"/>
        </w:rPr>
        <w:t xml:space="preserve"> measured variable, at the mean of </w:t>
      </w:r>
      <w:r w:rsidR="008C525C" w:rsidRPr="00476FC9">
        <w:rPr>
          <w:color w:val="000000" w:themeColor="text1"/>
        </w:rPr>
        <w:t xml:space="preserve">the </w:t>
      </w:r>
      <w:r w:rsidRPr="00476FC9">
        <w:rPr>
          <w:color w:val="000000" w:themeColor="text1"/>
        </w:rPr>
        <w:t>measured variable, and at one standard deviation above the mean of the measured variable</w:t>
      </w:r>
      <w:r w:rsidR="008A7764" w:rsidRPr="00476FC9">
        <w:rPr>
          <w:color w:val="000000" w:themeColor="text1"/>
        </w:rPr>
        <w:t>,</w:t>
      </w:r>
      <w:r w:rsidR="008C525C" w:rsidRPr="00476FC9">
        <w:rPr>
          <w:color w:val="000000" w:themeColor="text1"/>
        </w:rPr>
        <w:t xml:space="preserve"> (Aiken &amp; West, 1991).</w:t>
      </w:r>
    </w:p>
    <w:p w:rsidR="005227A8" w:rsidRDefault="0053383D"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W</w:t>
      </w:r>
      <w:r w:rsidR="005227A8" w:rsidRPr="00476FC9">
        <w:rPr>
          <w:color w:val="000000" w:themeColor="text1"/>
        </w:rPr>
        <w:t xml:space="preserve">hen the researcher addresses moderated mediation hypotheses, the use of the simple slopes method and Johnson-Neyman technique are suggested as a rigorous and appropriate analysis approach (Preacher et al., 2007). Further, to examine the mediating hypotheses, asymptotic (i.e., interpreting confidence intervals) and resampling (e.g., 5,000 resamples) strategies for assessing and comparing indirect effects, referred to as the </w:t>
      </w:r>
      <w:r w:rsidR="005227A8" w:rsidRPr="00476FC9">
        <w:rPr>
          <w:i/>
          <w:color w:val="000000" w:themeColor="text1"/>
        </w:rPr>
        <w:t>bootstrap approach,</w:t>
      </w:r>
      <w:r w:rsidR="005227A8" w:rsidRPr="00476FC9">
        <w:rPr>
          <w:color w:val="000000" w:themeColor="text1"/>
        </w:rPr>
        <w:t xml:space="preserve"> </w:t>
      </w:r>
      <w:r w:rsidR="008A7764" w:rsidRPr="00476FC9">
        <w:rPr>
          <w:color w:val="000000" w:themeColor="text1"/>
        </w:rPr>
        <w:t>are</w:t>
      </w:r>
      <w:r w:rsidR="005227A8" w:rsidRPr="00476FC9">
        <w:rPr>
          <w:color w:val="000000" w:themeColor="text1"/>
        </w:rPr>
        <w:t xml:space="preserve"> suggested as a rigorous contemporary analysis (Preacher &amp; Hayes, 2008). Taken together, </w:t>
      </w:r>
      <w:r w:rsidR="001432A1" w:rsidRPr="00476FC9">
        <w:rPr>
          <w:color w:val="000000" w:themeColor="text1"/>
        </w:rPr>
        <w:t xml:space="preserve">given </w:t>
      </w:r>
      <w:r w:rsidR="005227A8" w:rsidRPr="00476FC9">
        <w:rPr>
          <w:color w:val="000000" w:themeColor="text1"/>
        </w:rPr>
        <w:t xml:space="preserve">the aforementioned methodological considerations and suggestions by methodologists, the researcher judged that the use of multiple regressions, along with Johnson-Neyman procedure, </w:t>
      </w:r>
      <w:r w:rsidR="005227A8" w:rsidRPr="00476FC9">
        <w:rPr>
          <w:color w:val="000000" w:themeColor="text1"/>
        </w:rPr>
        <w:lastRenderedPageBreak/>
        <w:t xml:space="preserve">the simple slopes method, and the bootstrap approach are appropriate for </w:t>
      </w:r>
      <w:r w:rsidR="008A7764" w:rsidRPr="00476FC9">
        <w:rPr>
          <w:color w:val="000000" w:themeColor="text1"/>
        </w:rPr>
        <w:t xml:space="preserve">probing </w:t>
      </w:r>
      <w:r w:rsidR="005227A8" w:rsidRPr="00476FC9">
        <w:rPr>
          <w:color w:val="000000" w:themeColor="text1"/>
        </w:rPr>
        <w:t xml:space="preserve">the research hypotheses of the current </w:t>
      </w:r>
      <w:r w:rsidR="00774EAF" w:rsidRPr="00476FC9">
        <w:rPr>
          <w:color w:val="000000" w:themeColor="text1"/>
        </w:rPr>
        <w:t>research</w:t>
      </w:r>
      <w:r w:rsidR="005227A8" w:rsidRPr="00476FC9">
        <w:rPr>
          <w:color w:val="000000" w:themeColor="text1"/>
        </w:rPr>
        <w:t>.</w:t>
      </w:r>
    </w:p>
    <w:p w:rsidR="000F1F4B" w:rsidRPr="00476FC9" w:rsidRDefault="000F1F4B" w:rsidP="007D2ACE">
      <w:pPr>
        <w:keepNext w:val="0"/>
        <w:widowControl w:val="0"/>
        <w:kinsoku w:val="0"/>
        <w:overflowPunct w:val="0"/>
        <w:autoSpaceDE w:val="0"/>
        <w:autoSpaceDN w:val="0"/>
        <w:adjustRightInd w:val="0"/>
        <w:snapToGrid w:val="0"/>
        <w:spacing w:before="0" w:after="0" w:line="240" w:lineRule="auto"/>
        <w:outlineLvl w:val="9"/>
        <w:rPr>
          <w:color w:val="000000" w:themeColor="text1"/>
        </w:rPr>
      </w:pPr>
    </w:p>
    <w:p w:rsidR="009560C5" w:rsidRPr="00476FC9" w:rsidRDefault="00C77B30" w:rsidP="007D2ACE">
      <w:pPr>
        <w:pStyle w:val="Caption"/>
        <w:keepNext w:val="0"/>
        <w:widowControl w:val="0"/>
        <w:kinsoku w:val="0"/>
        <w:overflowPunct w:val="0"/>
        <w:autoSpaceDE w:val="0"/>
        <w:autoSpaceDN w:val="0"/>
        <w:adjustRightInd w:val="0"/>
        <w:snapToGrid w:val="0"/>
        <w:rPr>
          <w:color w:val="000000" w:themeColor="text1"/>
        </w:rPr>
      </w:pPr>
      <w:bookmarkStart w:id="32" w:name="_Toc393800634"/>
      <w:r w:rsidRPr="00476FC9">
        <w:rPr>
          <w:color w:val="000000" w:themeColor="text1"/>
        </w:rPr>
        <w:t xml:space="preserve">Table </w:t>
      </w:r>
      <w:r w:rsidR="00037CF4" w:rsidRPr="00476FC9">
        <w:rPr>
          <w:color w:val="000000" w:themeColor="text1"/>
        </w:rPr>
        <w:fldChar w:fldCharType="begin"/>
      </w:r>
      <w:r w:rsidR="00037CF4" w:rsidRPr="00476FC9">
        <w:rPr>
          <w:color w:val="000000" w:themeColor="text1"/>
        </w:rPr>
        <w:instrText xml:space="preserve"> SEQ Table \* ARABIC </w:instrText>
      </w:r>
      <w:r w:rsidR="00037CF4" w:rsidRPr="00476FC9">
        <w:rPr>
          <w:color w:val="000000" w:themeColor="text1"/>
        </w:rPr>
        <w:fldChar w:fldCharType="separate"/>
      </w:r>
      <w:r w:rsidR="00E02362" w:rsidRPr="00476FC9">
        <w:rPr>
          <w:noProof/>
          <w:color w:val="000000" w:themeColor="text1"/>
        </w:rPr>
        <w:t>2</w:t>
      </w:r>
      <w:r w:rsidR="00037CF4" w:rsidRPr="00476FC9">
        <w:rPr>
          <w:noProof/>
          <w:color w:val="000000" w:themeColor="text1"/>
        </w:rPr>
        <w:fldChar w:fldCharType="end"/>
      </w:r>
      <w:r w:rsidR="00FE4EFC" w:rsidRPr="00476FC9">
        <w:rPr>
          <w:color w:val="000000" w:themeColor="text1"/>
        </w:rPr>
        <w:t>. The Sample Profile of Study Respondents (</w:t>
      </w:r>
      <w:r w:rsidR="00FE4EFC" w:rsidRPr="00476FC9">
        <w:rPr>
          <w:i/>
          <w:color w:val="000000" w:themeColor="text1"/>
        </w:rPr>
        <w:t>N</w:t>
      </w:r>
      <w:r w:rsidR="00FE4EFC" w:rsidRPr="00476FC9">
        <w:rPr>
          <w:color w:val="000000" w:themeColor="text1"/>
        </w:rPr>
        <w:t xml:space="preserve"> = </w:t>
      </w:r>
      <w:r w:rsidR="00F1629B" w:rsidRPr="00476FC9">
        <w:rPr>
          <w:color w:val="000000" w:themeColor="text1"/>
        </w:rPr>
        <w:t>264</w:t>
      </w:r>
      <w:r w:rsidR="00FE4EFC" w:rsidRPr="00476FC9">
        <w:rPr>
          <w:color w:val="000000" w:themeColor="text1"/>
        </w:rPr>
        <w:t>)</w:t>
      </w:r>
      <w:bookmarkEnd w:id="32"/>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5"/>
        <w:gridCol w:w="2175"/>
        <w:gridCol w:w="1840"/>
      </w:tblGrid>
      <w:tr w:rsidR="00476FC9" w:rsidRPr="00476FC9" w:rsidTr="00385E58">
        <w:tc>
          <w:tcPr>
            <w:tcW w:w="2855" w:type="pct"/>
            <w:tcBorders>
              <w:top w:val="single" w:sz="4" w:space="0" w:color="auto"/>
              <w:bottom w:val="single" w:sz="4" w:space="0" w:color="auto"/>
            </w:tcBorders>
          </w:tcPr>
          <w:p w:rsidR="008033D9" w:rsidRPr="00476FC9" w:rsidRDefault="008033D9"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p>
        </w:tc>
        <w:tc>
          <w:tcPr>
            <w:tcW w:w="1162" w:type="pct"/>
            <w:tcBorders>
              <w:top w:val="single" w:sz="4" w:space="0" w:color="auto"/>
              <w:bottom w:val="single" w:sz="4" w:space="0" w:color="auto"/>
            </w:tcBorders>
          </w:tcPr>
          <w:p w:rsidR="008033D9" w:rsidRPr="00476FC9" w:rsidRDefault="008033D9" w:rsidP="007D2ACE">
            <w:pPr>
              <w:keepNext w:val="0"/>
              <w:widowControl w:val="0"/>
              <w:kinsoku w:val="0"/>
              <w:overflowPunct w:val="0"/>
              <w:autoSpaceDE w:val="0"/>
              <w:autoSpaceDN w:val="0"/>
              <w:adjustRightInd w:val="0"/>
              <w:snapToGrid w:val="0"/>
              <w:spacing w:before="0" w:after="0" w:line="240" w:lineRule="auto"/>
              <w:jc w:val="right"/>
              <w:rPr>
                <w:b/>
                <w:color w:val="000000" w:themeColor="text1"/>
                <w:sz w:val="20"/>
                <w:szCs w:val="20"/>
              </w:rPr>
            </w:pPr>
            <w:r w:rsidRPr="00476FC9">
              <w:rPr>
                <w:b/>
                <w:color w:val="000000" w:themeColor="text1"/>
                <w:sz w:val="20"/>
                <w:szCs w:val="20"/>
              </w:rPr>
              <w:t>N</w:t>
            </w:r>
          </w:p>
        </w:tc>
        <w:tc>
          <w:tcPr>
            <w:tcW w:w="983" w:type="pct"/>
            <w:tcBorders>
              <w:top w:val="single" w:sz="4" w:space="0" w:color="auto"/>
              <w:bottom w:val="single" w:sz="4" w:space="0" w:color="auto"/>
            </w:tcBorders>
          </w:tcPr>
          <w:p w:rsidR="008033D9" w:rsidRPr="00476FC9" w:rsidRDefault="008033D9" w:rsidP="007D2ACE">
            <w:pPr>
              <w:keepNext w:val="0"/>
              <w:widowControl w:val="0"/>
              <w:kinsoku w:val="0"/>
              <w:overflowPunct w:val="0"/>
              <w:autoSpaceDE w:val="0"/>
              <w:autoSpaceDN w:val="0"/>
              <w:adjustRightInd w:val="0"/>
              <w:snapToGrid w:val="0"/>
              <w:spacing w:before="0" w:after="0" w:line="240" w:lineRule="auto"/>
              <w:jc w:val="right"/>
              <w:rPr>
                <w:b/>
                <w:color w:val="000000" w:themeColor="text1"/>
                <w:sz w:val="20"/>
                <w:szCs w:val="20"/>
              </w:rPr>
            </w:pPr>
            <w:r w:rsidRPr="00476FC9">
              <w:rPr>
                <w:b/>
                <w:color w:val="000000" w:themeColor="text1"/>
                <w:sz w:val="20"/>
                <w:szCs w:val="20"/>
              </w:rPr>
              <w:t>%</w:t>
            </w:r>
          </w:p>
        </w:tc>
      </w:tr>
      <w:tr w:rsidR="00476FC9" w:rsidRPr="00476FC9" w:rsidTr="00385E58">
        <w:tc>
          <w:tcPr>
            <w:tcW w:w="2855" w:type="pct"/>
            <w:tcBorders>
              <w:top w:val="single" w:sz="4" w:space="0" w:color="auto"/>
            </w:tcBorders>
          </w:tcPr>
          <w:p w:rsidR="008033D9" w:rsidRPr="00476FC9" w:rsidRDefault="008033D9" w:rsidP="007D2ACE">
            <w:pPr>
              <w:keepNext w:val="0"/>
              <w:widowControl w:val="0"/>
              <w:kinsoku w:val="0"/>
              <w:overflowPunct w:val="0"/>
              <w:autoSpaceDE w:val="0"/>
              <w:autoSpaceDN w:val="0"/>
              <w:adjustRightInd w:val="0"/>
              <w:snapToGrid w:val="0"/>
              <w:spacing w:before="0" w:after="0" w:line="240" w:lineRule="auto"/>
              <w:rPr>
                <w:b/>
                <w:i/>
                <w:color w:val="000000" w:themeColor="text1"/>
                <w:sz w:val="20"/>
                <w:szCs w:val="20"/>
              </w:rPr>
            </w:pPr>
            <w:r w:rsidRPr="00476FC9">
              <w:rPr>
                <w:b/>
                <w:i/>
                <w:color w:val="000000" w:themeColor="text1"/>
                <w:sz w:val="20"/>
                <w:szCs w:val="20"/>
              </w:rPr>
              <w:t>Gender</w:t>
            </w:r>
          </w:p>
          <w:p w:rsidR="008033D9" w:rsidRPr="00476FC9" w:rsidRDefault="008033D9" w:rsidP="007D2ACE">
            <w:pPr>
              <w:keepNext w:val="0"/>
              <w:widowControl w:val="0"/>
              <w:kinsoku w:val="0"/>
              <w:overflowPunct w:val="0"/>
              <w:autoSpaceDE w:val="0"/>
              <w:autoSpaceDN w:val="0"/>
              <w:adjustRightInd w:val="0"/>
              <w:snapToGrid w:val="0"/>
              <w:spacing w:before="0" w:after="0" w:line="240" w:lineRule="auto"/>
              <w:rPr>
                <w:b/>
                <w:color w:val="000000" w:themeColor="text1"/>
                <w:sz w:val="20"/>
                <w:szCs w:val="20"/>
              </w:rPr>
            </w:pPr>
          </w:p>
          <w:p w:rsidR="008033D9" w:rsidRPr="00476FC9" w:rsidRDefault="008033D9"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 xml:space="preserve">Male </w:t>
            </w:r>
          </w:p>
          <w:p w:rsidR="008033D9" w:rsidRPr="00476FC9" w:rsidRDefault="008033D9"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 xml:space="preserve">Female </w:t>
            </w:r>
          </w:p>
          <w:p w:rsidR="008033D9" w:rsidRPr="00476FC9" w:rsidRDefault="008033D9"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p>
        </w:tc>
        <w:tc>
          <w:tcPr>
            <w:tcW w:w="1162" w:type="pct"/>
            <w:tcBorders>
              <w:top w:val="single" w:sz="4" w:space="0" w:color="auto"/>
            </w:tcBorders>
          </w:tcPr>
          <w:p w:rsidR="008033D9" w:rsidRPr="00476FC9" w:rsidRDefault="008033D9"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p>
          <w:p w:rsidR="00D90510" w:rsidRPr="00476FC9" w:rsidRDefault="00D90510"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p>
          <w:p w:rsidR="00D90510" w:rsidRPr="00476FC9" w:rsidRDefault="00221BBF"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168</w:t>
            </w:r>
          </w:p>
          <w:p w:rsidR="00D90510" w:rsidRPr="00476FC9" w:rsidRDefault="00221BBF"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96</w:t>
            </w:r>
          </w:p>
        </w:tc>
        <w:tc>
          <w:tcPr>
            <w:tcW w:w="983" w:type="pct"/>
            <w:tcBorders>
              <w:top w:val="single" w:sz="4" w:space="0" w:color="auto"/>
            </w:tcBorders>
          </w:tcPr>
          <w:p w:rsidR="008033D9" w:rsidRPr="00476FC9" w:rsidRDefault="008033D9"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p>
          <w:p w:rsidR="00D90510" w:rsidRPr="00476FC9" w:rsidRDefault="00D90510"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p>
          <w:p w:rsidR="00D90510" w:rsidRPr="00476FC9" w:rsidRDefault="00221BBF"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63.6</w:t>
            </w:r>
            <w:r w:rsidR="00D90510" w:rsidRPr="00476FC9">
              <w:rPr>
                <w:color w:val="000000" w:themeColor="text1"/>
                <w:sz w:val="20"/>
                <w:szCs w:val="20"/>
              </w:rPr>
              <w:t>%</w:t>
            </w:r>
          </w:p>
          <w:p w:rsidR="00D90510" w:rsidRPr="00476FC9" w:rsidRDefault="0030533A"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3</w:t>
            </w:r>
            <w:r w:rsidR="00221BBF" w:rsidRPr="00476FC9">
              <w:rPr>
                <w:color w:val="000000" w:themeColor="text1"/>
                <w:sz w:val="20"/>
                <w:szCs w:val="20"/>
              </w:rPr>
              <w:t>6.4</w:t>
            </w:r>
            <w:r w:rsidR="00D90510" w:rsidRPr="00476FC9">
              <w:rPr>
                <w:color w:val="000000" w:themeColor="text1"/>
                <w:sz w:val="20"/>
                <w:szCs w:val="20"/>
              </w:rPr>
              <w:t>%</w:t>
            </w:r>
          </w:p>
        </w:tc>
      </w:tr>
      <w:tr w:rsidR="00476FC9" w:rsidRPr="00476FC9" w:rsidTr="00385E58">
        <w:tc>
          <w:tcPr>
            <w:tcW w:w="2855" w:type="pct"/>
          </w:tcPr>
          <w:p w:rsidR="008033D9" w:rsidRPr="00476FC9" w:rsidRDefault="008033D9" w:rsidP="007D2ACE">
            <w:pPr>
              <w:keepNext w:val="0"/>
              <w:widowControl w:val="0"/>
              <w:kinsoku w:val="0"/>
              <w:overflowPunct w:val="0"/>
              <w:autoSpaceDE w:val="0"/>
              <w:autoSpaceDN w:val="0"/>
              <w:adjustRightInd w:val="0"/>
              <w:snapToGrid w:val="0"/>
              <w:spacing w:before="0" w:after="0" w:line="240" w:lineRule="auto"/>
              <w:rPr>
                <w:b/>
                <w:i/>
                <w:color w:val="000000" w:themeColor="text1"/>
                <w:sz w:val="20"/>
                <w:szCs w:val="20"/>
              </w:rPr>
            </w:pPr>
            <w:r w:rsidRPr="00476FC9">
              <w:rPr>
                <w:b/>
                <w:i/>
                <w:color w:val="000000" w:themeColor="text1"/>
                <w:sz w:val="20"/>
                <w:szCs w:val="20"/>
              </w:rPr>
              <w:t>Age</w:t>
            </w:r>
          </w:p>
          <w:p w:rsidR="008033D9" w:rsidRPr="00476FC9" w:rsidRDefault="008033D9" w:rsidP="007D2ACE">
            <w:pPr>
              <w:keepNext w:val="0"/>
              <w:widowControl w:val="0"/>
              <w:kinsoku w:val="0"/>
              <w:overflowPunct w:val="0"/>
              <w:autoSpaceDE w:val="0"/>
              <w:autoSpaceDN w:val="0"/>
              <w:adjustRightInd w:val="0"/>
              <w:snapToGrid w:val="0"/>
              <w:spacing w:before="0" w:after="0" w:line="240" w:lineRule="auto"/>
              <w:rPr>
                <w:b/>
                <w:color w:val="000000" w:themeColor="text1"/>
                <w:sz w:val="20"/>
                <w:szCs w:val="20"/>
              </w:rPr>
            </w:pPr>
          </w:p>
          <w:p w:rsidR="00D90510" w:rsidRPr="00476FC9" w:rsidRDefault="00D90510"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r w:rsidRPr="00476FC9">
              <w:rPr>
                <w:color w:val="000000" w:themeColor="text1"/>
                <w:sz w:val="20"/>
                <w:szCs w:val="20"/>
              </w:rPr>
              <w:t>45-64</w:t>
            </w:r>
          </w:p>
          <w:p w:rsidR="008033D9" w:rsidRPr="00476FC9" w:rsidRDefault="008033D9"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r w:rsidRPr="00476FC9">
              <w:rPr>
                <w:color w:val="000000" w:themeColor="text1"/>
                <w:sz w:val="20"/>
                <w:szCs w:val="20"/>
              </w:rPr>
              <w:t>18-44</w:t>
            </w:r>
          </w:p>
          <w:p w:rsidR="008033D9" w:rsidRPr="00476FC9" w:rsidRDefault="008033D9"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r w:rsidRPr="00476FC9">
              <w:rPr>
                <w:color w:val="000000" w:themeColor="text1"/>
                <w:sz w:val="20"/>
                <w:szCs w:val="20"/>
              </w:rPr>
              <w:t>65 and older</w:t>
            </w:r>
          </w:p>
          <w:p w:rsidR="008033D9" w:rsidRPr="00476FC9" w:rsidRDefault="008033D9"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p>
        </w:tc>
        <w:tc>
          <w:tcPr>
            <w:tcW w:w="1162" w:type="pct"/>
          </w:tcPr>
          <w:p w:rsidR="008033D9" w:rsidRPr="00476FC9" w:rsidRDefault="008033D9"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p>
          <w:p w:rsidR="00D90510" w:rsidRPr="00476FC9" w:rsidRDefault="00D90510"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p>
          <w:p w:rsidR="00D90510" w:rsidRPr="00476FC9" w:rsidRDefault="00221BBF"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119</w:t>
            </w:r>
          </w:p>
          <w:p w:rsidR="00D90510" w:rsidRPr="00476FC9" w:rsidRDefault="00221BBF"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116</w:t>
            </w:r>
          </w:p>
          <w:p w:rsidR="00D90510" w:rsidRPr="00476FC9" w:rsidRDefault="00221BBF"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29</w:t>
            </w:r>
          </w:p>
        </w:tc>
        <w:tc>
          <w:tcPr>
            <w:tcW w:w="983" w:type="pct"/>
          </w:tcPr>
          <w:p w:rsidR="008033D9" w:rsidRPr="00476FC9" w:rsidRDefault="008033D9"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p>
          <w:p w:rsidR="00D90510" w:rsidRPr="00476FC9" w:rsidRDefault="00D90510"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p>
          <w:p w:rsidR="00D90510" w:rsidRPr="00476FC9" w:rsidRDefault="00221BBF"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45.1</w:t>
            </w:r>
            <w:r w:rsidR="00D90510" w:rsidRPr="00476FC9">
              <w:rPr>
                <w:color w:val="000000" w:themeColor="text1"/>
                <w:sz w:val="20"/>
                <w:szCs w:val="20"/>
              </w:rPr>
              <w:t>%</w:t>
            </w:r>
          </w:p>
          <w:p w:rsidR="00D90510" w:rsidRPr="00476FC9" w:rsidRDefault="00221BBF"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43.9</w:t>
            </w:r>
            <w:r w:rsidR="00D90510" w:rsidRPr="00476FC9">
              <w:rPr>
                <w:color w:val="000000" w:themeColor="text1"/>
                <w:sz w:val="20"/>
                <w:szCs w:val="20"/>
              </w:rPr>
              <w:t>%</w:t>
            </w:r>
          </w:p>
          <w:p w:rsidR="00D90510" w:rsidRPr="00476FC9" w:rsidRDefault="0030533A"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11</w:t>
            </w:r>
            <w:r w:rsidR="00D90510" w:rsidRPr="00476FC9">
              <w:rPr>
                <w:color w:val="000000" w:themeColor="text1"/>
                <w:sz w:val="20"/>
                <w:szCs w:val="20"/>
              </w:rPr>
              <w:t>%</w:t>
            </w:r>
          </w:p>
        </w:tc>
      </w:tr>
      <w:tr w:rsidR="00476FC9" w:rsidRPr="00476FC9" w:rsidTr="00385E58">
        <w:tc>
          <w:tcPr>
            <w:tcW w:w="2855" w:type="pct"/>
          </w:tcPr>
          <w:p w:rsidR="008033D9" w:rsidRPr="00476FC9" w:rsidRDefault="008033D9" w:rsidP="007D2ACE">
            <w:pPr>
              <w:keepNext w:val="0"/>
              <w:widowControl w:val="0"/>
              <w:kinsoku w:val="0"/>
              <w:overflowPunct w:val="0"/>
              <w:autoSpaceDE w:val="0"/>
              <w:autoSpaceDN w:val="0"/>
              <w:adjustRightInd w:val="0"/>
              <w:snapToGrid w:val="0"/>
              <w:spacing w:before="0" w:after="0" w:line="240" w:lineRule="auto"/>
              <w:rPr>
                <w:b/>
                <w:i/>
                <w:color w:val="000000" w:themeColor="text1"/>
                <w:sz w:val="20"/>
                <w:szCs w:val="20"/>
              </w:rPr>
            </w:pPr>
            <w:r w:rsidRPr="00476FC9">
              <w:rPr>
                <w:b/>
                <w:i/>
                <w:color w:val="000000" w:themeColor="text1"/>
                <w:sz w:val="20"/>
                <w:szCs w:val="20"/>
              </w:rPr>
              <w:t>Ethnic Background</w:t>
            </w:r>
          </w:p>
          <w:p w:rsidR="008033D9" w:rsidRPr="00476FC9" w:rsidRDefault="008033D9" w:rsidP="007D2ACE">
            <w:pPr>
              <w:keepNext w:val="0"/>
              <w:widowControl w:val="0"/>
              <w:kinsoku w:val="0"/>
              <w:overflowPunct w:val="0"/>
              <w:autoSpaceDE w:val="0"/>
              <w:autoSpaceDN w:val="0"/>
              <w:adjustRightInd w:val="0"/>
              <w:snapToGrid w:val="0"/>
              <w:spacing w:before="0" w:after="0" w:line="240" w:lineRule="auto"/>
              <w:rPr>
                <w:b/>
                <w:color w:val="000000" w:themeColor="text1"/>
                <w:sz w:val="20"/>
                <w:szCs w:val="20"/>
              </w:rPr>
            </w:pPr>
          </w:p>
          <w:p w:rsidR="008033D9" w:rsidRPr="00476FC9" w:rsidRDefault="008033D9"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 xml:space="preserve">White, not Hispanic </w:t>
            </w:r>
          </w:p>
          <w:p w:rsidR="00D90510" w:rsidRPr="00476FC9" w:rsidRDefault="00D90510"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 xml:space="preserve">Black, not Hispanic </w:t>
            </w:r>
          </w:p>
          <w:p w:rsidR="008033D9" w:rsidRPr="00476FC9" w:rsidRDefault="008033D9"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 xml:space="preserve">Hispanic, of any race </w:t>
            </w:r>
          </w:p>
          <w:p w:rsidR="008033D9" w:rsidRPr="00476FC9" w:rsidRDefault="008033D9"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 xml:space="preserve">Asian or Pacific Islander </w:t>
            </w:r>
          </w:p>
          <w:p w:rsidR="008033D9" w:rsidRPr="00476FC9" w:rsidRDefault="008033D9"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 xml:space="preserve">American Indian, Eskimo, or Aleut </w:t>
            </w:r>
          </w:p>
          <w:p w:rsidR="008033D9" w:rsidRPr="00476FC9" w:rsidRDefault="008033D9" w:rsidP="007D2ACE">
            <w:pPr>
              <w:pStyle w:val="ListParagraph"/>
              <w:keepNext w:val="0"/>
              <w:widowControl w:val="0"/>
              <w:kinsoku w:val="0"/>
              <w:overflowPunct w:val="0"/>
              <w:autoSpaceDE w:val="0"/>
              <w:autoSpaceDN w:val="0"/>
              <w:adjustRightInd w:val="0"/>
              <w:snapToGrid w:val="0"/>
              <w:spacing w:before="0" w:after="0" w:line="240" w:lineRule="auto"/>
              <w:ind w:left="360"/>
              <w:contextualSpacing w:val="0"/>
              <w:outlineLvl w:val="9"/>
              <w:rPr>
                <w:color w:val="000000" w:themeColor="text1"/>
                <w:sz w:val="20"/>
                <w:szCs w:val="20"/>
              </w:rPr>
            </w:pPr>
          </w:p>
        </w:tc>
        <w:tc>
          <w:tcPr>
            <w:tcW w:w="1162" w:type="pct"/>
          </w:tcPr>
          <w:p w:rsidR="008033D9" w:rsidRPr="00476FC9" w:rsidRDefault="008033D9"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p>
          <w:p w:rsidR="00D90510" w:rsidRPr="00476FC9" w:rsidRDefault="00D90510"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p>
          <w:p w:rsidR="00D90510" w:rsidRPr="00476FC9" w:rsidRDefault="00FD2D65"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210</w:t>
            </w:r>
          </w:p>
          <w:p w:rsidR="00D90510" w:rsidRPr="00476FC9" w:rsidRDefault="00FD2D65"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35</w:t>
            </w:r>
          </w:p>
          <w:p w:rsidR="00D90510" w:rsidRPr="00476FC9" w:rsidRDefault="00FD2D65"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12</w:t>
            </w:r>
          </w:p>
          <w:p w:rsidR="00D90510" w:rsidRPr="00476FC9" w:rsidRDefault="00FD2D65"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3</w:t>
            </w:r>
          </w:p>
          <w:p w:rsidR="00D90510" w:rsidRPr="00476FC9" w:rsidRDefault="00FD2D65"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2</w:t>
            </w:r>
          </w:p>
        </w:tc>
        <w:tc>
          <w:tcPr>
            <w:tcW w:w="983" w:type="pct"/>
          </w:tcPr>
          <w:p w:rsidR="008033D9" w:rsidRPr="00476FC9" w:rsidRDefault="008033D9"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p>
          <w:p w:rsidR="00D90510" w:rsidRPr="00476FC9" w:rsidRDefault="00D90510"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p>
          <w:p w:rsidR="00D90510" w:rsidRPr="00476FC9" w:rsidRDefault="00FD2D65"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79.5</w:t>
            </w:r>
            <w:r w:rsidR="00D90510" w:rsidRPr="00476FC9">
              <w:rPr>
                <w:color w:val="000000" w:themeColor="text1"/>
                <w:sz w:val="20"/>
                <w:szCs w:val="20"/>
              </w:rPr>
              <w:t>%</w:t>
            </w:r>
          </w:p>
          <w:p w:rsidR="00D90510" w:rsidRPr="00476FC9" w:rsidRDefault="00FD2D65"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13.3</w:t>
            </w:r>
            <w:r w:rsidR="00D90510" w:rsidRPr="00476FC9">
              <w:rPr>
                <w:color w:val="000000" w:themeColor="text1"/>
                <w:sz w:val="20"/>
                <w:szCs w:val="20"/>
              </w:rPr>
              <w:t>%</w:t>
            </w:r>
          </w:p>
          <w:p w:rsidR="00D90510" w:rsidRPr="00476FC9" w:rsidRDefault="00FD2D65"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4.5</w:t>
            </w:r>
            <w:r w:rsidR="00D90510" w:rsidRPr="00476FC9">
              <w:rPr>
                <w:color w:val="000000" w:themeColor="text1"/>
                <w:sz w:val="20"/>
                <w:szCs w:val="20"/>
              </w:rPr>
              <w:t>%</w:t>
            </w:r>
            <w:r w:rsidR="00D90510" w:rsidRPr="00476FC9">
              <w:rPr>
                <w:color w:val="000000" w:themeColor="text1"/>
                <w:sz w:val="20"/>
                <w:szCs w:val="20"/>
              </w:rPr>
              <w:br/>
            </w:r>
            <w:r w:rsidRPr="00476FC9">
              <w:rPr>
                <w:color w:val="000000" w:themeColor="text1"/>
                <w:sz w:val="20"/>
                <w:szCs w:val="20"/>
              </w:rPr>
              <w:t>1.1</w:t>
            </w:r>
            <w:r w:rsidR="00D90510" w:rsidRPr="00476FC9">
              <w:rPr>
                <w:color w:val="000000" w:themeColor="text1"/>
                <w:sz w:val="20"/>
                <w:szCs w:val="20"/>
              </w:rPr>
              <w:t>%</w:t>
            </w:r>
          </w:p>
          <w:p w:rsidR="00D90510" w:rsidRPr="00476FC9" w:rsidRDefault="00FD2D65"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.8</w:t>
            </w:r>
            <w:r w:rsidR="00D90510" w:rsidRPr="00476FC9">
              <w:rPr>
                <w:color w:val="000000" w:themeColor="text1"/>
                <w:sz w:val="20"/>
                <w:szCs w:val="20"/>
              </w:rPr>
              <w:t>%</w:t>
            </w:r>
          </w:p>
          <w:p w:rsidR="00D90510" w:rsidRPr="00476FC9" w:rsidRDefault="00D90510"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p>
        </w:tc>
      </w:tr>
      <w:tr w:rsidR="00476FC9" w:rsidRPr="00476FC9" w:rsidTr="00385E58">
        <w:tc>
          <w:tcPr>
            <w:tcW w:w="2855" w:type="pct"/>
          </w:tcPr>
          <w:p w:rsidR="008033D9" w:rsidRPr="00476FC9" w:rsidRDefault="008033D9" w:rsidP="007D2ACE">
            <w:pPr>
              <w:keepNext w:val="0"/>
              <w:widowControl w:val="0"/>
              <w:kinsoku w:val="0"/>
              <w:overflowPunct w:val="0"/>
              <w:autoSpaceDE w:val="0"/>
              <w:autoSpaceDN w:val="0"/>
              <w:adjustRightInd w:val="0"/>
              <w:snapToGrid w:val="0"/>
              <w:spacing w:before="0" w:after="0" w:line="240" w:lineRule="auto"/>
              <w:rPr>
                <w:b/>
                <w:i/>
                <w:color w:val="000000" w:themeColor="text1"/>
                <w:sz w:val="20"/>
                <w:szCs w:val="20"/>
              </w:rPr>
            </w:pPr>
            <w:r w:rsidRPr="00476FC9">
              <w:rPr>
                <w:b/>
                <w:i/>
                <w:color w:val="000000" w:themeColor="text1"/>
                <w:sz w:val="20"/>
                <w:szCs w:val="20"/>
              </w:rPr>
              <w:t>Education</w:t>
            </w:r>
          </w:p>
          <w:p w:rsidR="008033D9" w:rsidRPr="00476FC9" w:rsidRDefault="008033D9" w:rsidP="007D2ACE">
            <w:pPr>
              <w:keepNext w:val="0"/>
              <w:widowControl w:val="0"/>
              <w:kinsoku w:val="0"/>
              <w:overflowPunct w:val="0"/>
              <w:autoSpaceDE w:val="0"/>
              <w:autoSpaceDN w:val="0"/>
              <w:adjustRightInd w:val="0"/>
              <w:snapToGrid w:val="0"/>
              <w:spacing w:before="0" w:after="0" w:line="240" w:lineRule="auto"/>
              <w:rPr>
                <w:b/>
                <w:color w:val="000000" w:themeColor="text1"/>
                <w:sz w:val="20"/>
                <w:szCs w:val="20"/>
              </w:rPr>
            </w:pPr>
          </w:p>
          <w:p w:rsidR="00D90510" w:rsidRPr="00476FC9" w:rsidRDefault="00D90510"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 xml:space="preserve">Some college education but no degree </w:t>
            </w:r>
          </w:p>
          <w:p w:rsidR="00D90510" w:rsidRPr="00476FC9" w:rsidRDefault="00D90510"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 xml:space="preserve">Completed high school but no college education </w:t>
            </w:r>
          </w:p>
          <w:p w:rsidR="008033D9" w:rsidRPr="00476FC9" w:rsidRDefault="00D90510"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Bachelor</w:t>
            </w:r>
            <w:r w:rsidR="008033D9" w:rsidRPr="00476FC9">
              <w:rPr>
                <w:color w:val="000000" w:themeColor="text1"/>
                <w:sz w:val="20"/>
                <w:szCs w:val="20"/>
              </w:rPr>
              <w:t xml:space="preserve">’s degree (examples: BA, BS) </w:t>
            </w:r>
          </w:p>
          <w:p w:rsidR="00385E58" w:rsidRPr="00476FC9" w:rsidRDefault="00385E58"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 xml:space="preserve">Associate's degree (examples: AA, AS) </w:t>
            </w:r>
          </w:p>
          <w:p w:rsidR="00385E58" w:rsidRPr="00476FC9" w:rsidRDefault="00385E58"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 xml:space="preserve">Master's degree (examples: MA, MBA) </w:t>
            </w:r>
          </w:p>
          <w:p w:rsidR="008033D9" w:rsidRPr="00476FC9" w:rsidRDefault="008033D9"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 xml:space="preserve">Attended graduate school but no degree </w:t>
            </w:r>
          </w:p>
          <w:p w:rsidR="00FD2D65" w:rsidRPr="00476FC9" w:rsidRDefault="00FD2D6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 xml:space="preserve">Did not finish high school </w:t>
            </w:r>
          </w:p>
          <w:p w:rsidR="008033D9" w:rsidRPr="00476FC9" w:rsidRDefault="008033D9"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 xml:space="preserve">Doctorate degree (examples: PhD, EdD) </w:t>
            </w:r>
          </w:p>
          <w:p w:rsidR="00385E58" w:rsidRPr="00476FC9" w:rsidRDefault="00385E58"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 xml:space="preserve">Professional degree (examples: JD, MD) </w:t>
            </w:r>
          </w:p>
          <w:p w:rsidR="008033D9" w:rsidRPr="00476FC9" w:rsidRDefault="008033D9"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p>
        </w:tc>
        <w:tc>
          <w:tcPr>
            <w:tcW w:w="1162" w:type="pct"/>
          </w:tcPr>
          <w:p w:rsidR="008033D9" w:rsidRPr="00476FC9" w:rsidRDefault="008033D9"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p>
          <w:p w:rsidR="00D90510" w:rsidRPr="00476FC9" w:rsidRDefault="00D90510"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p>
          <w:p w:rsidR="00D90510" w:rsidRPr="00476FC9" w:rsidRDefault="00FD2D65"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73</w:t>
            </w:r>
          </w:p>
          <w:p w:rsidR="00D90510" w:rsidRPr="00476FC9" w:rsidRDefault="00FD2D65"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66</w:t>
            </w:r>
          </w:p>
          <w:p w:rsidR="00D90510" w:rsidRPr="00476FC9" w:rsidRDefault="00FD2D65"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47</w:t>
            </w:r>
          </w:p>
          <w:p w:rsidR="00385E58" w:rsidRPr="00476FC9" w:rsidRDefault="00FD2D65"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35</w:t>
            </w:r>
          </w:p>
          <w:p w:rsidR="00385E58" w:rsidRPr="00476FC9" w:rsidRDefault="00FD2D65"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21</w:t>
            </w:r>
          </w:p>
          <w:p w:rsidR="00D90510" w:rsidRPr="00476FC9" w:rsidRDefault="00FD2D65"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8</w:t>
            </w:r>
          </w:p>
          <w:p w:rsidR="00D90510" w:rsidRPr="00476FC9" w:rsidRDefault="00FD2D65"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6</w:t>
            </w:r>
          </w:p>
          <w:p w:rsidR="00385E58" w:rsidRPr="00476FC9" w:rsidRDefault="00FD2D65"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7</w:t>
            </w:r>
          </w:p>
          <w:p w:rsidR="00385E58" w:rsidRPr="00476FC9" w:rsidRDefault="00E924ED"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1</w:t>
            </w:r>
          </w:p>
          <w:p w:rsidR="00385E58" w:rsidRPr="00476FC9" w:rsidRDefault="00385E58"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p>
        </w:tc>
        <w:tc>
          <w:tcPr>
            <w:tcW w:w="983" w:type="pct"/>
          </w:tcPr>
          <w:p w:rsidR="008033D9" w:rsidRPr="00476FC9" w:rsidRDefault="008033D9"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p>
          <w:p w:rsidR="00D90510" w:rsidRPr="00476FC9" w:rsidRDefault="00D90510"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p>
          <w:p w:rsidR="00D90510" w:rsidRPr="00476FC9" w:rsidRDefault="00D90510"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2</w:t>
            </w:r>
            <w:r w:rsidR="00E924ED" w:rsidRPr="00476FC9">
              <w:rPr>
                <w:color w:val="000000" w:themeColor="text1"/>
                <w:sz w:val="20"/>
                <w:szCs w:val="20"/>
              </w:rPr>
              <w:t>7</w:t>
            </w:r>
            <w:r w:rsidRPr="00476FC9">
              <w:rPr>
                <w:color w:val="000000" w:themeColor="text1"/>
                <w:sz w:val="20"/>
                <w:szCs w:val="20"/>
              </w:rPr>
              <w:t>.</w:t>
            </w:r>
            <w:r w:rsidR="00FD2D65" w:rsidRPr="00476FC9">
              <w:rPr>
                <w:color w:val="000000" w:themeColor="text1"/>
                <w:sz w:val="20"/>
                <w:szCs w:val="20"/>
              </w:rPr>
              <w:t>7</w:t>
            </w:r>
            <w:r w:rsidRPr="00476FC9">
              <w:rPr>
                <w:color w:val="000000" w:themeColor="text1"/>
                <w:sz w:val="20"/>
                <w:szCs w:val="20"/>
              </w:rPr>
              <w:t>%</w:t>
            </w:r>
          </w:p>
          <w:p w:rsidR="00D90510" w:rsidRPr="00476FC9" w:rsidRDefault="00D90510"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2</w:t>
            </w:r>
            <w:r w:rsidR="00E924ED" w:rsidRPr="00476FC9">
              <w:rPr>
                <w:color w:val="000000" w:themeColor="text1"/>
                <w:sz w:val="20"/>
                <w:szCs w:val="20"/>
              </w:rPr>
              <w:t>5.0</w:t>
            </w:r>
            <w:r w:rsidRPr="00476FC9">
              <w:rPr>
                <w:color w:val="000000" w:themeColor="text1"/>
                <w:sz w:val="20"/>
                <w:szCs w:val="20"/>
              </w:rPr>
              <w:t>%</w:t>
            </w:r>
          </w:p>
          <w:p w:rsidR="00D90510" w:rsidRPr="00476FC9" w:rsidRDefault="00E924ED"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1</w:t>
            </w:r>
            <w:r w:rsidR="00FD2D65" w:rsidRPr="00476FC9">
              <w:rPr>
                <w:color w:val="000000" w:themeColor="text1"/>
                <w:sz w:val="20"/>
                <w:szCs w:val="20"/>
              </w:rPr>
              <w:t>7.8</w:t>
            </w:r>
            <w:r w:rsidR="00D90510" w:rsidRPr="00476FC9">
              <w:rPr>
                <w:color w:val="000000" w:themeColor="text1"/>
                <w:sz w:val="20"/>
                <w:szCs w:val="20"/>
              </w:rPr>
              <w:t>%</w:t>
            </w:r>
          </w:p>
          <w:p w:rsidR="00385E58" w:rsidRPr="00476FC9" w:rsidRDefault="00385E58"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1</w:t>
            </w:r>
            <w:r w:rsidR="00E924ED" w:rsidRPr="00476FC9">
              <w:rPr>
                <w:color w:val="000000" w:themeColor="text1"/>
                <w:sz w:val="20"/>
                <w:szCs w:val="20"/>
              </w:rPr>
              <w:t>3.</w:t>
            </w:r>
            <w:r w:rsidR="00FD2D65" w:rsidRPr="00476FC9">
              <w:rPr>
                <w:color w:val="000000" w:themeColor="text1"/>
                <w:sz w:val="20"/>
                <w:szCs w:val="20"/>
              </w:rPr>
              <w:t>3</w:t>
            </w:r>
            <w:r w:rsidRPr="00476FC9">
              <w:rPr>
                <w:color w:val="000000" w:themeColor="text1"/>
                <w:sz w:val="20"/>
                <w:szCs w:val="20"/>
              </w:rPr>
              <w:t>%</w:t>
            </w:r>
          </w:p>
          <w:p w:rsidR="00385E58" w:rsidRPr="00476FC9" w:rsidRDefault="00E924ED"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8.</w:t>
            </w:r>
            <w:r w:rsidR="00FD2D65" w:rsidRPr="00476FC9">
              <w:rPr>
                <w:color w:val="000000" w:themeColor="text1"/>
                <w:sz w:val="20"/>
                <w:szCs w:val="20"/>
              </w:rPr>
              <w:t>0</w:t>
            </w:r>
            <w:r w:rsidR="00385E58" w:rsidRPr="00476FC9">
              <w:rPr>
                <w:color w:val="000000" w:themeColor="text1"/>
                <w:sz w:val="20"/>
                <w:szCs w:val="20"/>
              </w:rPr>
              <w:t>%</w:t>
            </w:r>
          </w:p>
          <w:p w:rsidR="00D90510" w:rsidRPr="00476FC9" w:rsidRDefault="00FD2D65"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3.0</w:t>
            </w:r>
            <w:r w:rsidR="00D90510" w:rsidRPr="00476FC9">
              <w:rPr>
                <w:color w:val="000000" w:themeColor="text1"/>
                <w:sz w:val="20"/>
                <w:szCs w:val="20"/>
              </w:rPr>
              <w:t>%</w:t>
            </w:r>
          </w:p>
          <w:p w:rsidR="00D90510" w:rsidRPr="00476FC9" w:rsidRDefault="00FD2D65"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2.7</w:t>
            </w:r>
            <w:r w:rsidR="00D90510" w:rsidRPr="00476FC9">
              <w:rPr>
                <w:color w:val="000000" w:themeColor="text1"/>
                <w:sz w:val="20"/>
                <w:szCs w:val="20"/>
              </w:rPr>
              <w:t>%</w:t>
            </w:r>
          </w:p>
          <w:p w:rsidR="00385E58" w:rsidRPr="00476FC9" w:rsidRDefault="00FD2D65"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2.3</w:t>
            </w:r>
            <w:r w:rsidR="00385E58" w:rsidRPr="00476FC9">
              <w:rPr>
                <w:color w:val="000000" w:themeColor="text1"/>
                <w:sz w:val="20"/>
                <w:szCs w:val="20"/>
              </w:rPr>
              <w:t>%</w:t>
            </w:r>
          </w:p>
          <w:p w:rsidR="00385E58" w:rsidRPr="00476FC9" w:rsidRDefault="00E924ED"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w:t>
            </w:r>
            <w:r w:rsidR="00FD2D65" w:rsidRPr="00476FC9">
              <w:rPr>
                <w:color w:val="000000" w:themeColor="text1"/>
                <w:sz w:val="20"/>
                <w:szCs w:val="20"/>
              </w:rPr>
              <w:t>4</w:t>
            </w:r>
            <w:r w:rsidR="00385E58" w:rsidRPr="00476FC9">
              <w:rPr>
                <w:color w:val="000000" w:themeColor="text1"/>
                <w:sz w:val="20"/>
                <w:szCs w:val="20"/>
              </w:rPr>
              <w:t>%</w:t>
            </w:r>
          </w:p>
          <w:p w:rsidR="00385E58" w:rsidRPr="00476FC9" w:rsidRDefault="00385E58"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p>
        </w:tc>
      </w:tr>
      <w:tr w:rsidR="008033D9" w:rsidRPr="00476FC9" w:rsidTr="00385E58">
        <w:tc>
          <w:tcPr>
            <w:tcW w:w="2855" w:type="pct"/>
            <w:tcBorders>
              <w:bottom w:val="single" w:sz="4" w:space="0" w:color="auto"/>
            </w:tcBorders>
          </w:tcPr>
          <w:p w:rsidR="008033D9" w:rsidRPr="00476FC9" w:rsidRDefault="008033D9" w:rsidP="007D2ACE">
            <w:pPr>
              <w:keepNext w:val="0"/>
              <w:widowControl w:val="0"/>
              <w:kinsoku w:val="0"/>
              <w:overflowPunct w:val="0"/>
              <w:autoSpaceDE w:val="0"/>
              <w:autoSpaceDN w:val="0"/>
              <w:adjustRightInd w:val="0"/>
              <w:snapToGrid w:val="0"/>
              <w:spacing w:before="0" w:after="0" w:line="240" w:lineRule="auto"/>
              <w:rPr>
                <w:b/>
                <w:i/>
                <w:color w:val="000000" w:themeColor="text1"/>
                <w:sz w:val="20"/>
                <w:szCs w:val="20"/>
              </w:rPr>
            </w:pPr>
            <w:r w:rsidRPr="00476FC9">
              <w:rPr>
                <w:b/>
                <w:i/>
                <w:color w:val="000000" w:themeColor="text1"/>
                <w:sz w:val="20"/>
                <w:szCs w:val="20"/>
              </w:rPr>
              <w:t>Annual Household Income</w:t>
            </w:r>
          </w:p>
          <w:p w:rsidR="008033D9" w:rsidRPr="00476FC9" w:rsidRDefault="008033D9" w:rsidP="007D2ACE">
            <w:pPr>
              <w:keepNext w:val="0"/>
              <w:widowControl w:val="0"/>
              <w:kinsoku w:val="0"/>
              <w:overflowPunct w:val="0"/>
              <w:autoSpaceDE w:val="0"/>
              <w:autoSpaceDN w:val="0"/>
              <w:adjustRightInd w:val="0"/>
              <w:snapToGrid w:val="0"/>
              <w:spacing w:before="0" w:after="0" w:line="240" w:lineRule="auto"/>
              <w:rPr>
                <w:b/>
                <w:color w:val="000000" w:themeColor="text1"/>
                <w:sz w:val="20"/>
                <w:szCs w:val="20"/>
              </w:rPr>
            </w:pPr>
          </w:p>
          <w:p w:rsidR="008033D9" w:rsidRPr="00476FC9" w:rsidRDefault="008033D9"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 xml:space="preserve">$25,000 ~ $49,999 </w:t>
            </w:r>
          </w:p>
          <w:p w:rsidR="00385E58" w:rsidRPr="00476FC9" w:rsidRDefault="00385E58"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 xml:space="preserve">Lower than $25,000 </w:t>
            </w:r>
          </w:p>
          <w:p w:rsidR="00FD2D65" w:rsidRPr="00476FC9" w:rsidRDefault="00FD2D6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 xml:space="preserve">$50,000 ~ $74,999 </w:t>
            </w:r>
          </w:p>
          <w:p w:rsidR="008033D9" w:rsidRPr="00476FC9" w:rsidRDefault="008033D9"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 xml:space="preserve">$75,000 ~ $99,999 </w:t>
            </w:r>
          </w:p>
          <w:p w:rsidR="008033D9" w:rsidRPr="00476FC9" w:rsidRDefault="008033D9"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 xml:space="preserve">$100,000 ~ $149,999 </w:t>
            </w:r>
          </w:p>
          <w:p w:rsidR="008033D9" w:rsidRPr="00476FC9" w:rsidRDefault="008033D9"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 xml:space="preserve">$150,000 or higher </w:t>
            </w:r>
          </w:p>
          <w:p w:rsidR="008033D9" w:rsidRPr="00476FC9" w:rsidRDefault="008033D9"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p>
        </w:tc>
        <w:tc>
          <w:tcPr>
            <w:tcW w:w="1162" w:type="pct"/>
            <w:tcBorders>
              <w:bottom w:val="single" w:sz="4" w:space="0" w:color="auto"/>
            </w:tcBorders>
          </w:tcPr>
          <w:p w:rsidR="008033D9" w:rsidRPr="00476FC9" w:rsidRDefault="008033D9"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p>
          <w:p w:rsidR="00D90510" w:rsidRPr="00476FC9" w:rsidRDefault="00D90510"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p>
          <w:p w:rsidR="00D90510" w:rsidRPr="00476FC9" w:rsidRDefault="00FD2D65"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75</w:t>
            </w:r>
          </w:p>
          <w:p w:rsidR="00FD2D65" w:rsidRPr="00476FC9" w:rsidRDefault="00FD2D65"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73</w:t>
            </w:r>
          </w:p>
          <w:p w:rsidR="00D90510" w:rsidRPr="00476FC9" w:rsidRDefault="00FD2D65"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66</w:t>
            </w:r>
          </w:p>
          <w:p w:rsidR="00D90510" w:rsidRPr="00476FC9" w:rsidRDefault="00FD2D65"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23</w:t>
            </w:r>
          </w:p>
          <w:p w:rsidR="00D90510" w:rsidRPr="00476FC9" w:rsidRDefault="00FD2D65"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18</w:t>
            </w:r>
          </w:p>
          <w:p w:rsidR="00D90510" w:rsidRPr="00476FC9" w:rsidRDefault="00FD2D65"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9</w:t>
            </w:r>
          </w:p>
          <w:p w:rsidR="00D90510" w:rsidRPr="00476FC9" w:rsidRDefault="00D90510"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p>
        </w:tc>
        <w:tc>
          <w:tcPr>
            <w:tcW w:w="983" w:type="pct"/>
            <w:tcBorders>
              <w:bottom w:val="single" w:sz="4" w:space="0" w:color="auto"/>
            </w:tcBorders>
          </w:tcPr>
          <w:p w:rsidR="008033D9" w:rsidRPr="00476FC9" w:rsidRDefault="008033D9"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p>
          <w:p w:rsidR="00D90510" w:rsidRPr="00476FC9" w:rsidRDefault="00D90510"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p>
          <w:p w:rsidR="00D90510" w:rsidRPr="00476FC9" w:rsidRDefault="00D90510"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2</w:t>
            </w:r>
            <w:r w:rsidR="00FD2D65" w:rsidRPr="00476FC9">
              <w:rPr>
                <w:color w:val="000000" w:themeColor="text1"/>
                <w:sz w:val="20"/>
                <w:szCs w:val="20"/>
              </w:rPr>
              <w:t>8.4</w:t>
            </w:r>
            <w:r w:rsidRPr="00476FC9">
              <w:rPr>
                <w:color w:val="000000" w:themeColor="text1"/>
                <w:sz w:val="20"/>
                <w:szCs w:val="20"/>
              </w:rPr>
              <w:t>%</w:t>
            </w:r>
          </w:p>
          <w:p w:rsidR="00D90510" w:rsidRPr="00476FC9" w:rsidRDefault="00D90510"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2</w:t>
            </w:r>
            <w:r w:rsidR="00FD2D65" w:rsidRPr="00476FC9">
              <w:rPr>
                <w:color w:val="000000" w:themeColor="text1"/>
                <w:sz w:val="20"/>
                <w:szCs w:val="20"/>
              </w:rPr>
              <w:t>7.7</w:t>
            </w:r>
            <w:r w:rsidRPr="00476FC9">
              <w:rPr>
                <w:color w:val="000000" w:themeColor="text1"/>
                <w:sz w:val="20"/>
                <w:szCs w:val="20"/>
              </w:rPr>
              <w:t>%</w:t>
            </w:r>
          </w:p>
          <w:p w:rsidR="00385E58" w:rsidRPr="00476FC9" w:rsidRDefault="00E924ED"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2</w:t>
            </w:r>
            <w:r w:rsidR="00FD2D65" w:rsidRPr="00476FC9">
              <w:rPr>
                <w:color w:val="000000" w:themeColor="text1"/>
                <w:sz w:val="20"/>
                <w:szCs w:val="20"/>
              </w:rPr>
              <w:t>5.0</w:t>
            </w:r>
            <w:r w:rsidR="00385E58" w:rsidRPr="00476FC9">
              <w:rPr>
                <w:color w:val="000000" w:themeColor="text1"/>
                <w:sz w:val="20"/>
                <w:szCs w:val="20"/>
              </w:rPr>
              <w:t>%</w:t>
            </w:r>
          </w:p>
          <w:p w:rsidR="00D90510" w:rsidRPr="00476FC9" w:rsidRDefault="00FD2D65"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8.7</w:t>
            </w:r>
            <w:r w:rsidR="00D90510" w:rsidRPr="00476FC9">
              <w:rPr>
                <w:color w:val="000000" w:themeColor="text1"/>
                <w:sz w:val="20"/>
                <w:szCs w:val="20"/>
              </w:rPr>
              <w:t>%</w:t>
            </w:r>
          </w:p>
          <w:p w:rsidR="00D90510" w:rsidRPr="00476FC9" w:rsidRDefault="00FD2D65"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6.8</w:t>
            </w:r>
            <w:r w:rsidR="00D90510" w:rsidRPr="00476FC9">
              <w:rPr>
                <w:color w:val="000000" w:themeColor="text1"/>
                <w:sz w:val="20"/>
                <w:szCs w:val="20"/>
              </w:rPr>
              <w:t>%</w:t>
            </w:r>
          </w:p>
          <w:p w:rsidR="00D90510" w:rsidRPr="00476FC9" w:rsidRDefault="00E924ED"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r w:rsidRPr="00476FC9">
              <w:rPr>
                <w:color w:val="000000" w:themeColor="text1"/>
                <w:sz w:val="20"/>
                <w:szCs w:val="20"/>
              </w:rPr>
              <w:t>3.</w:t>
            </w:r>
            <w:r w:rsidR="00FD2D65" w:rsidRPr="00476FC9">
              <w:rPr>
                <w:color w:val="000000" w:themeColor="text1"/>
                <w:sz w:val="20"/>
                <w:szCs w:val="20"/>
              </w:rPr>
              <w:t>4</w:t>
            </w:r>
            <w:r w:rsidR="00D90510" w:rsidRPr="00476FC9">
              <w:rPr>
                <w:color w:val="000000" w:themeColor="text1"/>
                <w:sz w:val="20"/>
                <w:szCs w:val="20"/>
              </w:rPr>
              <w:t>%</w:t>
            </w:r>
          </w:p>
          <w:p w:rsidR="00D90510" w:rsidRPr="00476FC9" w:rsidRDefault="00D90510" w:rsidP="007D2ACE">
            <w:pPr>
              <w:keepNext w:val="0"/>
              <w:widowControl w:val="0"/>
              <w:kinsoku w:val="0"/>
              <w:overflowPunct w:val="0"/>
              <w:autoSpaceDE w:val="0"/>
              <w:autoSpaceDN w:val="0"/>
              <w:adjustRightInd w:val="0"/>
              <w:snapToGrid w:val="0"/>
              <w:spacing w:before="0" w:after="0" w:line="240" w:lineRule="auto"/>
              <w:jc w:val="right"/>
              <w:rPr>
                <w:color w:val="000000" w:themeColor="text1"/>
                <w:sz w:val="20"/>
                <w:szCs w:val="20"/>
              </w:rPr>
            </w:pPr>
          </w:p>
        </w:tc>
      </w:tr>
    </w:tbl>
    <w:p w:rsidR="00DD5684" w:rsidRPr="00476FC9" w:rsidRDefault="00DD5684" w:rsidP="007D2ACE">
      <w:pPr>
        <w:keepNext w:val="0"/>
        <w:widowControl w:val="0"/>
        <w:kinsoku w:val="0"/>
        <w:overflowPunct w:val="0"/>
        <w:autoSpaceDE w:val="0"/>
        <w:autoSpaceDN w:val="0"/>
        <w:adjustRightInd w:val="0"/>
        <w:snapToGrid w:val="0"/>
        <w:spacing w:before="0" w:after="0" w:line="240" w:lineRule="auto"/>
        <w:outlineLvl w:val="9"/>
        <w:rPr>
          <w:color w:val="000000" w:themeColor="text1"/>
        </w:rPr>
      </w:pPr>
    </w:p>
    <w:p w:rsidR="00DD5684" w:rsidRPr="00476FC9" w:rsidRDefault="00DD5684" w:rsidP="007D2ACE">
      <w:pPr>
        <w:keepNext w:val="0"/>
        <w:widowControl w:val="0"/>
        <w:kinsoku w:val="0"/>
        <w:overflowPunct w:val="0"/>
        <w:autoSpaceDE w:val="0"/>
        <w:autoSpaceDN w:val="0"/>
        <w:adjustRightInd w:val="0"/>
        <w:snapToGrid w:val="0"/>
        <w:spacing w:before="0" w:after="0" w:line="240" w:lineRule="auto"/>
        <w:outlineLvl w:val="9"/>
        <w:rPr>
          <w:color w:val="000000" w:themeColor="text1"/>
        </w:rPr>
      </w:pPr>
      <w:r w:rsidRPr="00476FC9">
        <w:rPr>
          <w:color w:val="000000" w:themeColor="text1"/>
        </w:rPr>
        <w:br w:type="page"/>
      </w:r>
    </w:p>
    <w:p w:rsidR="004D5A46" w:rsidRPr="00476FC9" w:rsidRDefault="00A133AE" w:rsidP="007D2ACE">
      <w:pPr>
        <w:pStyle w:val="Heading2"/>
        <w:rPr>
          <w:color w:val="000000" w:themeColor="text1"/>
        </w:rPr>
      </w:pPr>
      <w:bookmarkStart w:id="33" w:name="_Toc393800677"/>
      <w:r w:rsidRPr="00476FC9">
        <w:rPr>
          <w:color w:val="000000" w:themeColor="text1"/>
        </w:rPr>
        <w:lastRenderedPageBreak/>
        <w:t>Manipulation</w:t>
      </w:r>
      <w:r w:rsidR="00810F13" w:rsidRPr="00476FC9">
        <w:rPr>
          <w:color w:val="000000" w:themeColor="text1"/>
        </w:rPr>
        <w:t xml:space="preserve"> of </w:t>
      </w:r>
      <w:r w:rsidR="004D5A46" w:rsidRPr="00476FC9">
        <w:rPr>
          <w:color w:val="000000" w:themeColor="text1"/>
        </w:rPr>
        <w:t>Independent Variable</w:t>
      </w:r>
      <w:r w:rsidR="00810F13" w:rsidRPr="00476FC9">
        <w:rPr>
          <w:color w:val="000000" w:themeColor="text1"/>
        </w:rPr>
        <w:t>: Prominence</w:t>
      </w:r>
      <w:bookmarkEnd w:id="33"/>
    </w:p>
    <w:p w:rsidR="00DD5684" w:rsidRPr="00476FC9" w:rsidRDefault="00810F13" w:rsidP="007D2ACE">
      <w:pPr>
        <w:pStyle w:val="Heading3"/>
        <w:widowControl w:val="0"/>
        <w:kinsoku w:val="0"/>
        <w:overflowPunct w:val="0"/>
        <w:autoSpaceDE w:val="0"/>
        <w:autoSpaceDN w:val="0"/>
        <w:snapToGrid w:val="0"/>
        <w:contextualSpacing w:val="0"/>
        <w:rPr>
          <w:color w:val="000000" w:themeColor="text1"/>
        </w:rPr>
      </w:pPr>
      <w:bookmarkStart w:id="34" w:name="_Toc393800678"/>
      <w:r w:rsidRPr="00476FC9">
        <w:rPr>
          <w:color w:val="000000" w:themeColor="text1"/>
        </w:rPr>
        <w:t>Pretests and Manipulation Checks</w:t>
      </w:r>
      <w:bookmarkEnd w:id="34"/>
    </w:p>
    <w:p w:rsidR="00DD5684" w:rsidRPr="00476FC9" w:rsidRDefault="00D17295" w:rsidP="007D2ACE">
      <w:pPr>
        <w:keepNext w:val="0"/>
        <w:widowControl w:val="0"/>
        <w:kinsoku w:val="0"/>
        <w:overflowPunct w:val="0"/>
        <w:autoSpaceDE w:val="0"/>
        <w:autoSpaceDN w:val="0"/>
        <w:adjustRightInd w:val="0"/>
        <w:snapToGrid w:val="0"/>
        <w:spacing w:before="0" w:after="0"/>
        <w:ind w:firstLine="720"/>
        <w:rPr>
          <w:color w:val="000000" w:themeColor="text1"/>
          <w:szCs w:val="24"/>
        </w:rPr>
      </w:pPr>
      <w:r w:rsidRPr="00476FC9">
        <w:rPr>
          <w:color w:val="000000" w:themeColor="text1"/>
        </w:rPr>
        <w:t>A</w:t>
      </w:r>
      <w:r w:rsidR="00A741C5" w:rsidRPr="00476FC9">
        <w:rPr>
          <w:color w:val="000000" w:themeColor="text1"/>
        </w:rPr>
        <w:t xml:space="preserve">ntidepressant ads </w:t>
      </w:r>
      <w:r w:rsidRPr="00476FC9">
        <w:rPr>
          <w:color w:val="000000" w:themeColor="text1"/>
        </w:rPr>
        <w:t xml:space="preserve">for a fictitious brand </w:t>
      </w:r>
      <w:r w:rsidR="00A741C5" w:rsidRPr="00476FC9">
        <w:rPr>
          <w:color w:val="000000" w:themeColor="text1"/>
        </w:rPr>
        <w:t xml:space="preserve">were generated to exclude potential </w:t>
      </w:r>
      <w:r w:rsidRPr="00476FC9">
        <w:rPr>
          <w:color w:val="000000" w:themeColor="text1"/>
        </w:rPr>
        <w:t xml:space="preserve">biases from </w:t>
      </w:r>
      <w:r w:rsidR="00A741C5" w:rsidRPr="00476FC9">
        <w:rPr>
          <w:color w:val="000000" w:themeColor="text1"/>
        </w:rPr>
        <w:t xml:space="preserve">prior experience or perception regarding the brand. The current study focuses on </w:t>
      </w:r>
      <w:r w:rsidRPr="00476FC9">
        <w:rPr>
          <w:color w:val="000000" w:themeColor="text1"/>
        </w:rPr>
        <w:t xml:space="preserve">mental </w:t>
      </w:r>
      <w:r w:rsidR="00A741C5" w:rsidRPr="00476FC9">
        <w:rPr>
          <w:color w:val="000000" w:themeColor="text1"/>
        </w:rPr>
        <w:t>depression because it represent</w:t>
      </w:r>
      <w:r w:rsidR="003E774B" w:rsidRPr="00476FC9">
        <w:rPr>
          <w:color w:val="000000" w:themeColor="text1"/>
        </w:rPr>
        <w:t>s</w:t>
      </w:r>
      <w:r w:rsidR="00A741C5" w:rsidRPr="00476FC9">
        <w:rPr>
          <w:color w:val="000000" w:themeColor="text1"/>
        </w:rPr>
        <w:t xml:space="preserve"> one prevalent but undertreated health issue among US adults </w:t>
      </w:r>
      <w:r w:rsidR="00064728" w:rsidRPr="00476FC9">
        <w:rPr>
          <w:color w:val="000000" w:themeColor="text1"/>
        </w:rPr>
        <w:t>(</w:t>
      </w:r>
      <w:r w:rsidR="00064728" w:rsidRPr="00476FC9">
        <w:rPr>
          <w:color w:val="000000" w:themeColor="text1"/>
          <w:szCs w:val="24"/>
        </w:rPr>
        <w:t xml:space="preserve">Gonzales, Tarraf, Whitfield, &amp; Vega, 2010; Kessler et al., 2003; Rosenthal, Berndt, Donohue, Frank, &amp; Epstein, 2002). The Centers for Disease Control and Prevention (2014) </w:t>
      </w:r>
      <w:r w:rsidR="005F1F5C" w:rsidRPr="00476FC9">
        <w:rPr>
          <w:color w:val="000000" w:themeColor="text1"/>
          <w:szCs w:val="24"/>
        </w:rPr>
        <w:t>indicates</w:t>
      </w:r>
      <w:r w:rsidR="00064728" w:rsidRPr="00476FC9">
        <w:rPr>
          <w:color w:val="000000" w:themeColor="text1"/>
          <w:szCs w:val="24"/>
        </w:rPr>
        <w:t xml:space="preserve"> that each year approximately 10% of US adults aged ≥ 12 years reporte</w:t>
      </w:r>
      <w:r w:rsidRPr="00476FC9">
        <w:rPr>
          <w:color w:val="000000" w:themeColor="text1"/>
          <w:szCs w:val="24"/>
        </w:rPr>
        <w:t>d</w:t>
      </w:r>
      <w:r w:rsidR="00064728" w:rsidRPr="00476FC9">
        <w:rPr>
          <w:color w:val="000000" w:themeColor="text1"/>
          <w:szCs w:val="24"/>
        </w:rPr>
        <w:t xml:space="preserve"> current depression during a period of 2007-2010. Examining consumers’ response to an antidepressant DTC ad will illuminate DTCA’s potential contribution to </w:t>
      </w:r>
      <w:r w:rsidRPr="00476FC9">
        <w:rPr>
          <w:color w:val="000000" w:themeColor="text1"/>
          <w:szCs w:val="24"/>
        </w:rPr>
        <w:t xml:space="preserve">consumer education and </w:t>
      </w:r>
      <w:r w:rsidR="00064728" w:rsidRPr="00476FC9">
        <w:rPr>
          <w:color w:val="000000" w:themeColor="text1"/>
          <w:szCs w:val="24"/>
        </w:rPr>
        <w:t>public health.</w:t>
      </w:r>
    </w:p>
    <w:p w:rsidR="00827447" w:rsidRPr="00476FC9" w:rsidRDefault="00D542F0" w:rsidP="007D2ACE">
      <w:pPr>
        <w:keepNext w:val="0"/>
        <w:widowControl w:val="0"/>
        <w:kinsoku w:val="0"/>
        <w:overflowPunct w:val="0"/>
        <w:autoSpaceDE w:val="0"/>
        <w:autoSpaceDN w:val="0"/>
        <w:adjustRightInd w:val="0"/>
        <w:snapToGrid w:val="0"/>
        <w:spacing w:before="0" w:after="0"/>
        <w:ind w:firstLine="720"/>
        <w:rPr>
          <w:color w:val="000000" w:themeColor="text1"/>
          <w:szCs w:val="24"/>
        </w:rPr>
      </w:pPr>
      <w:r w:rsidRPr="00476FC9">
        <w:rPr>
          <w:color w:val="000000" w:themeColor="text1"/>
          <w:szCs w:val="24"/>
        </w:rPr>
        <w:t xml:space="preserve">More specifically, </w:t>
      </w:r>
      <w:r w:rsidR="005F2BBF" w:rsidRPr="00476FC9">
        <w:rPr>
          <w:color w:val="000000" w:themeColor="text1"/>
          <w:szCs w:val="24"/>
        </w:rPr>
        <w:t xml:space="preserve">a </w:t>
      </w:r>
      <w:r w:rsidR="007646A5" w:rsidRPr="00476FC9">
        <w:rPr>
          <w:color w:val="000000" w:themeColor="text1"/>
          <w:szCs w:val="24"/>
        </w:rPr>
        <w:t xml:space="preserve">number </w:t>
      </w:r>
      <w:r w:rsidR="005F2BBF" w:rsidRPr="00476FC9">
        <w:rPr>
          <w:color w:val="000000" w:themeColor="text1"/>
          <w:szCs w:val="24"/>
        </w:rPr>
        <w:t xml:space="preserve">of </w:t>
      </w:r>
      <w:r w:rsidR="007646A5" w:rsidRPr="00476FC9">
        <w:rPr>
          <w:color w:val="000000" w:themeColor="text1"/>
          <w:szCs w:val="24"/>
        </w:rPr>
        <w:t xml:space="preserve">factors </w:t>
      </w:r>
      <w:r w:rsidR="005F2BBF" w:rsidRPr="00476FC9">
        <w:rPr>
          <w:color w:val="000000" w:themeColor="text1"/>
          <w:szCs w:val="24"/>
        </w:rPr>
        <w:t xml:space="preserve">were considered to select </w:t>
      </w:r>
      <w:r w:rsidR="00432FE1" w:rsidRPr="00476FC9">
        <w:rPr>
          <w:color w:val="000000" w:themeColor="text1"/>
          <w:szCs w:val="24"/>
        </w:rPr>
        <w:t>the</w:t>
      </w:r>
      <w:r w:rsidR="005F2BBF" w:rsidRPr="00476FC9">
        <w:rPr>
          <w:color w:val="000000" w:themeColor="text1"/>
          <w:szCs w:val="24"/>
        </w:rPr>
        <w:t xml:space="preserve"> antidepressant DTCA category among various therapeutic categories. </w:t>
      </w:r>
      <w:r w:rsidR="00BF26F8" w:rsidRPr="00476FC9">
        <w:rPr>
          <w:color w:val="000000" w:themeColor="text1"/>
          <w:szCs w:val="24"/>
        </w:rPr>
        <w:t xml:space="preserve">First, </w:t>
      </w:r>
      <w:r w:rsidR="00AC4BCC" w:rsidRPr="00476FC9">
        <w:rPr>
          <w:color w:val="000000" w:themeColor="text1"/>
          <w:szCs w:val="24"/>
        </w:rPr>
        <w:t xml:space="preserve">among the top 20 most advertised prescription drugs, </w:t>
      </w:r>
      <w:r w:rsidR="00D17295" w:rsidRPr="00476FC9">
        <w:rPr>
          <w:color w:val="000000" w:themeColor="text1"/>
          <w:szCs w:val="24"/>
        </w:rPr>
        <w:t xml:space="preserve">mental </w:t>
      </w:r>
      <w:r w:rsidR="00AC4BCC" w:rsidRPr="00476FC9">
        <w:rPr>
          <w:color w:val="000000" w:themeColor="text1"/>
          <w:szCs w:val="24"/>
        </w:rPr>
        <w:t xml:space="preserve">depression is one of highly stigmatized conditions (An &amp; Kang, 2011; Donohue, Cevasco, Rosenthal, 2007; Park &amp; Grow, 2008). In this regard, </w:t>
      </w:r>
      <w:r w:rsidR="00D17295" w:rsidRPr="00476FC9">
        <w:rPr>
          <w:color w:val="000000" w:themeColor="text1"/>
          <w:szCs w:val="24"/>
        </w:rPr>
        <w:t xml:space="preserve">understanding </w:t>
      </w:r>
      <w:r w:rsidR="00AC4BCC" w:rsidRPr="00476FC9">
        <w:rPr>
          <w:color w:val="000000" w:themeColor="text1"/>
          <w:szCs w:val="24"/>
        </w:rPr>
        <w:t xml:space="preserve">the educational value of antidepressant DTCA </w:t>
      </w:r>
      <w:r w:rsidR="00D17295" w:rsidRPr="00476FC9">
        <w:rPr>
          <w:color w:val="000000" w:themeColor="text1"/>
          <w:szCs w:val="24"/>
        </w:rPr>
        <w:t xml:space="preserve">may provide insight into reducing social stigma associated with the disease category (An &amp; Kang 2011). </w:t>
      </w:r>
      <w:r w:rsidR="00AC4BCC" w:rsidRPr="00476FC9">
        <w:rPr>
          <w:color w:val="000000" w:themeColor="text1"/>
          <w:szCs w:val="24"/>
        </w:rPr>
        <w:t>Second,</w:t>
      </w:r>
      <w:r w:rsidR="00461023" w:rsidRPr="00476FC9">
        <w:rPr>
          <w:color w:val="000000" w:themeColor="text1"/>
          <w:szCs w:val="24"/>
        </w:rPr>
        <w:t xml:space="preserve"> mental </w:t>
      </w:r>
      <w:r w:rsidR="00AC4BCC" w:rsidRPr="00476FC9">
        <w:rPr>
          <w:color w:val="000000" w:themeColor="text1"/>
          <w:szCs w:val="24"/>
        </w:rPr>
        <w:t xml:space="preserve">depression is the most common form of mood disorders </w:t>
      </w:r>
      <w:r w:rsidR="00461023" w:rsidRPr="00476FC9">
        <w:rPr>
          <w:color w:val="000000" w:themeColor="text1"/>
          <w:szCs w:val="24"/>
        </w:rPr>
        <w:t xml:space="preserve">that deserve research attention </w:t>
      </w:r>
      <w:r w:rsidR="00AC4BCC" w:rsidRPr="00476FC9">
        <w:rPr>
          <w:color w:val="000000" w:themeColor="text1"/>
          <w:szCs w:val="24"/>
        </w:rPr>
        <w:t xml:space="preserve">(Park &amp; Grow, 2008). Third, </w:t>
      </w:r>
      <w:r w:rsidR="00461023" w:rsidRPr="00476FC9">
        <w:rPr>
          <w:color w:val="000000" w:themeColor="text1"/>
          <w:szCs w:val="24"/>
        </w:rPr>
        <w:t xml:space="preserve">mental </w:t>
      </w:r>
      <w:r w:rsidR="00AC4BCC" w:rsidRPr="00476FC9">
        <w:rPr>
          <w:color w:val="000000" w:themeColor="text1"/>
          <w:szCs w:val="24"/>
        </w:rPr>
        <w:t xml:space="preserve">depression remains </w:t>
      </w:r>
      <w:r w:rsidR="00461023" w:rsidRPr="00476FC9">
        <w:rPr>
          <w:color w:val="000000" w:themeColor="text1"/>
          <w:szCs w:val="24"/>
        </w:rPr>
        <w:t xml:space="preserve">as </w:t>
      </w:r>
      <w:r w:rsidR="00AC4BCC" w:rsidRPr="00476FC9">
        <w:rPr>
          <w:color w:val="000000" w:themeColor="text1"/>
          <w:szCs w:val="24"/>
        </w:rPr>
        <w:t>a largely u</w:t>
      </w:r>
      <w:r w:rsidR="00461023" w:rsidRPr="00476FC9">
        <w:rPr>
          <w:color w:val="000000" w:themeColor="text1"/>
          <w:szCs w:val="24"/>
        </w:rPr>
        <w:t xml:space="preserve">nder-diagnosed and under-treated illness category </w:t>
      </w:r>
      <w:r w:rsidR="00AC4BCC" w:rsidRPr="00476FC9">
        <w:rPr>
          <w:color w:val="000000" w:themeColor="text1"/>
          <w:szCs w:val="24"/>
        </w:rPr>
        <w:t>(Holmer, 2002)</w:t>
      </w:r>
      <w:r w:rsidR="00461023" w:rsidRPr="00476FC9">
        <w:rPr>
          <w:color w:val="000000" w:themeColor="text1"/>
          <w:szCs w:val="24"/>
        </w:rPr>
        <w:t>, which calls for consumer education to promote disease diagnosis</w:t>
      </w:r>
      <w:r w:rsidR="0019307A" w:rsidRPr="00476FC9">
        <w:rPr>
          <w:color w:val="000000" w:themeColor="text1"/>
          <w:szCs w:val="24"/>
        </w:rPr>
        <w:t xml:space="preserve"> and treatment</w:t>
      </w:r>
      <w:r w:rsidR="00AC4BCC" w:rsidRPr="00476FC9">
        <w:rPr>
          <w:color w:val="000000" w:themeColor="text1"/>
          <w:szCs w:val="24"/>
        </w:rPr>
        <w:t xml:space="preserve">. </w:t>
      </w:r>
      <w:r w:rsidR="00461023" w:rsidRPr="00476FC9">
        <w:rPr>
          <w:color w:val="000000" w:themeColor="text1"/>
          <w:szCs w:val="24"/>
        </w:rPr>
        <w:t>DTCA has been considered one potential health education source (Royne &amp; Myers, 2008).</w:t>
      </w:r>
      <w:r w:rsidR="0019307A" w:rsidRPr="00476FC9">
        <w:rPr>
          <w:color w:val="000000" w:themeColor="text1"/>
          <w:szCs w:val="24"/>
        </w:rPr>
        <w:t xml:space="preserve"> </w:t>
      </w:r>
      <w:r w:rsidR="00461023" w:rsidRPr="00476FC9">
        <w:rPr>
          <w:color w:val="000000" w:themeColor="text1"/>
          <w:szCs w:val="24"/>
        </w:rPr>
        <w:t xml:space="preserve">Although </w:t>
      </w:r>
      <w:r w:rsidR="004B1AA5" w:rsidRPr="00476FC9">
        <w:rPr>
          <w:color w:val="000000" w:themeColor="text1"/>
          <w:szCs w:val="24"/>
        </w:rPr>
        <w:t>approximately</w:t>
      </w:r>
      <w:r w:rsidR="00461023" w:rsidRPr="00476FC9">
        <w:rPr>
          <w:color w:val="000000" w:themeColor="text1"/>
          <w:szCs w:val="24"/>
        </w:rPr>
        <w:t xml:space="preserve"> 10% of US adults reported their </w:t>
      </w:r>
      <w:r w:rsidR="004B1AA5" w:rsidRPr="00476FC9">
        <w:rPr>
          <w:color w:val="000000" w:themeColor="text1"/>
          <w:szCs w:val="24"/>
        </w:rPr>
        <w:t>current depression</w:t>
      </w:r>
      <w:r w:rsidR="00156FCA" w:rsidRPr="00476FC9">
        <w:rPr>
          <w:color w:val="000000" w:themeColor="text1"/>
          <w:szCs w:val="24"/>
        </w:rPr>
        <w:t xml:space="preserve"> during 2007-2010</w:t>
      </w:r>
      <w:r w:rsidR="004B1AA5" w:rsidRPr="00476FC9">
        <w:rPr>
          <w:color w:val="000000" w:themeColor="text1"/>
          <w:szCs w:val="24"/>
        </w:rPr>
        <w:t xml:space="preserve">, recent </w:t>
      </w:r>
      <w:r w:rsidR="00461023" w:rsidRPr="00476FC9">
        <w:rPr>
          <w:color w:val="000000" w:themeColor="text1"/>
          <w:szCs w:val="24"/>
        </w:rPr>
        <w:t xml:space="preserve">national </w:t>
      </w:r>
      <w:r w:rsidR="004B1AA5" w:rsidRPr="00476FC9">
        <w:rPr>
          <w:color w:val="000000" w:themeColor="text1"/>
          <w:szCs w:val="24"/>
        </w:rPr>
        <w:t xml:space="preserve">data suggest that only </w:t>
      </w:r>
      <w:r w:rsidR="00156FCA" w:rsidRPr="00476FC9">
        <w:rPr>
          <w:color w:val="000000" w:themeColor="text1"/>
          <w:szCs w:val="24"/>
        </w:rPr>
        <w:t>8.7%</w:t>
      </w:r>
      <w:r w:rsidR="004B1AA5" w:rsidRPr="00476FC9">
        <w:rPr>
          <w:color w:val="000000" w:themeColor="text1"/>
          <w:szCs w:val="24"/>
        </w:rPr>
        <w:t xml:space="preserve"> of Americans have used an antidepressant in the past </w:t>
      </w:r>
      <w:r w:rsidR="004B1AA5" w:rsidRPr="00476FC9">
        <w:rPr>
          <w:color w:val="000000" w:themeColor="text1"/>
          <w:szCs w:val="24"/>
        </w:rPr>
        <w:lastRenderedPageBreak/>
        <w:t xml:space="preserve">month </w:t>
      </w:r>
      <w:r w:rsidR="00156FCA" w:rsidRPr="00476FC9">
        <w:rPr>
          <w:color w:val="000000" w:themeColor="text1"/>
          <w:szCs w:val="24"/>
        </w:rPr>
        <w:t xml:space="preserve">during the same period </w:t>
      </w:r>
      <w:r w:rsidR="004B1AA5" w:rsidRPr="00476FC9">
        <w:rPr>
          <w:color w:val="000000" w:themeColor="text1"/>
          <w:szCs w:val="24"/>
        </w:rPr>
        <w:t>(</w:t>
      </w:r>
      <w:r w:rsidR="00156FCA" w:rsidRPr="00476FC9">
        <w:rPr>
          <w:color w:val="000000" w:themeColor="text1"/>
          <w:szCs w:val="24"/>
        </w:rPr>
        <w:t>National Center for Health Statistics</w:t>
      </w:r>
      <w:r w:rsidR="0001599B" w:rsidRPr="00476FC9">
        <w:rPr>
          <w:rFonts w:eastAsiaTheme="minorEastAsia" w:hint="eastAsia"/>
          <w:color w:val="000000" w:themeColor="text1"/>
          <w:szCs w:val="24"/>
        </w:rPr>
        <w:t>, 2013;</w:t>
      </w:r>
      <w:r w:rsidR="00156FCA" w:rsidRPr="00476FC9">
        <w:rPr>
          <w:color w:val="000000" w:themeColor="text1"/>
          <w:szCs w:val="24"/>
        </w:rPr>
        <w:t xml:space="preserve"> Health, United States, 2012). </w:t>
      </w:r>
      <w:r w:rsidR="00461023" w:rsidRPr="00476FC9">
        <w:rPr>
          <w:color w:val="000000" w:themeColor="text1"/>
          <w:szCs w:val="24"/>
        </w:rPr>
        <w:t>More specifically, i</w:t>
      </w:r>
      <w:r w:rsidR="00156FCA" w:rsidRPr="00476FC9">
        <w:rPr>
          <w:color w:val="000000" w:themeColor="text1"/>
          <w:szCs w:val="24"/>
        </w:rPr>
        <w:t xml:space="preserve">n terms of gender, 5.3% of male respondents reported that they have used antidepressants, while 11.9% have used antidepressants in past 30 days (CDC, National Center for Health Statistics. Health, United States, 2012). </w:t>
      </w:r>
      <w:r w:rsidR="00A30FFD" w:rsidRPr="00476FC9">
        <w:rPr>
          <w:color w:val="000000" w:themeColor="text1"/>
          <w:szCs w:val="24"/>
        </w:rPr>
        <w:t xml:space="preserve">This suggests that male consumers still need </w:t>
      </w:r>
      <w:r w:rsidR="0019307A" w:rsidRPr="00476FC9">
        <w:rPr>
          <w:color w:val="000000" w:themeColor="text1"/>
          <w:szCs w:val="24"/>
        </w:rPr>
        <w:t xml:space="preserve">appropriate </w:t>
      </w:r>
      <w:r w:rsidR="00A30FFD" w:rsidRPr="00476FC9">
        <w:rPr>
          <w:color w:val="000000" w:themeColor="text1"/>
          <w:szCs w:val="24"/>
        </w:rPr>
        <w:t>medical</w:t>
      </w:r>
      <w:r w:rsidR="008B06E9" w:rsidRPr="00476FC9">
        <w:rPr>
          <w:color w:val="000000" w:themeColor="text1"/>
          <w:szCs w:val="24"/>
        </w:rPr>
        <w:t xml:space="preserve"> treatments</w:t>
      </w:r>
      <w:r w:rsidR="00A30FFD" w:rsidRPr="00476FC9">
        <w:rPr>
          <w:color w:val="000000" w:themeColor="text1"/>
          <w:szCs w:val="24"/>
        </w:rPr>
        <w:t xml:space="preserve"> along with other life style</w:t>
      </w:r>
      <w:r w:rsidR="008B06E9" w:rsidRPr="00476FC9">
        <w:rPr>
          <w:color w:val="000000" w:themeColor="text1"/>
          <w:szCs w:val="24"/>
        </w:rPr>
        <w:t xml:space="preserve"> remedies</w:t>
      </w:r>
      <w:r w:rsidR="00A30FFD" w:rsidRPr="00476FC9">
        <w:rPr>
          <w:color w:val="000000" w:themeColor="text1"/>
          <w:szCs w:val="24"/>
        </w:rPr>
        <w:t>. Fourth</w:t>
      </w:r>
      <w:r w:rsidR="00AC4BCC" w:rsidRPr="00476FC9">
        <w:rPr>
          <w:color w:val="000000" w:themeColor="text1"/>
          <w:szCs w:val="24"/>
        </w:rPr>
        <w:t xml:space="preserve">, antidepressant DTCA is targeted at a potentially vulnerable consumers with symptoms such as feeling of social isolation and worthlessness (Park &amp; Grow, 2008). </w:t>
      </w:r>
      <w:r w:rsidR="0019307A" w:rsidRPr="00476FC9">
        <w:rPr>
          <w:color w:val="000000" w:themeColor="text1"/>
          <w:szCs w:val="24"/>
        </w:rPr>
        <w:t xml:space="preserve">Addressing this category has important social implications. </w:t>
      </w:r>
      <w:r w:rsidR="008335C2" w:rsidRPr="00476FC9">
        <w:rPr>
          <w:color w:val="000000" w:themeColor="text1"/>
          <w:szCs w:val="24"/>
        </w:rPr>
        <w:t xml:space="preserve">Fifth, </w:t>
      </w:r>
      <w:r w:rsidR="000D7865" w:rsidRPr="00476FC9">
        <w:rPr>
          <w:color w:val="000000" w:themeColor="text1"/>
          <w:szCs w:val="24"/>
        </w:rPr>
        <w:t>antidepressant treatments contribute to reduced risk of suicide (Olfson, Shaffer, Marcus, &amp; Greenberg, 2003) and lower suicide rates (Gibbons, Hur, Bhaumik, &amp; Mann, 2006).</w:t>
      </w:r>
      <w:r w:rsidR="00094E3E" w:rsidRPr="00476FC9">
        <w:rPr>
          <w:color w:val="000000" w:themeColor="text1"/>
          <w:szCs w:val="24"/>
        </w:rPr>
        <w:t xml:space="preserve"> </w:t>
      </w:r>
      <w:r w:rsidR="008335C2" w:rsidRPr="00476FC9">
        <w:rPr>
          <w:color w:val="000000" w:themeColor="text1"/>
          <w:szCs w:val="24"/>
        </w:rPr>
        <w:t xml:space="preserve">Sixth, </w:t>
      </w:r>
      <w:r w:rsidR="000B726A" w:rsidRPr="00476FC9">
        <w:rPr>
          <w:color w:val="000000" w:themeColor="text1"/>
          <w:szCs w:val="24"/>
        </w:rPr>
        <w:t>depressive disorders often harm social, occupational, and role functions and thereby have detrimental consequences on quality of life (Olfson et al., 200</w:t>
      </w:r>
      <w:r w:rsidR="0001599B" w:rsidRPr="00476FC9">
        <w:rPr>
          <w:rFonts w:eastAsiaTheme="minorEastAsia" w:hint="eastAsia"/>
          <w:color w:val="000000" w:themeColor="text1"/>
          <w:szCs w:val="24"/>
        </w:rPr>
        <w:t>2</w:t>
      </w:r>
      <w:r w:rsidR="000B726A" w:rsidRPr="00476FC9">
        <w:rPr>
          <w:color w:val="000000" w:themeColor="text1"/>
          <w:szCs w:val="24"/>
        </w:rPr>
        <w:t xml:space="preserve">). Olfson et al., (2002) notes that the negative effects of depression on daily function of individuals match that of heart disease, and exceed that of diabetes, arthritis, and peptic ulcer disease. </w:t>
      </w:r>
      <w:r w:rsidR="008335C2" w:rsidRPr="00476FC9">
        <w:rPr>
          <w:color w:val="000000" w:themeColor="text1"/>
          <w:szCs w:val="24"/>
        </w:rPr>
        <w:t xml:space="preserve">Seventh, </w:t>
      </w:r>
      <w:r w:rsidR="00C95B5B" w:rsidRPr="00476FC9">
        <w:rPr>
          <w:color w:val="000000" w:themeColor="text1"/>
          <w:szCs w:val="24"/>
        </w:rPr>
        <w:t xml:space="preserve">according to the Global Burden of Disease Study (Murray &amp; Lopez, 1996), </w:t>
      </w:r>
      <w:r w:rsidR="00B27CFF" w:rsidRPr="00476FC9">
        <w:rPr>
          <w:color w:val="000000" w:themeColor="text1"/>
          <w:szCs w:val="24"/>
        </w:rPr>
        <w:t xml:space="preserve">major depression is the fourth leading cause of worldwide disability and is speculated to become the second leading cause by 2020. </w:t>
      </w:r>
      <w:r w:rsidR="008335C2" w:rsidRPr="00476FC9">
        <w:rPr>
          <w:color w:val="000000" w:themeColor="text1"/>
          <w:szCs w:val="24"/>
        </w:rPr>
        <w:t xml:space="preserve">Eighth, </w:t>
      </w:r>
      <w:r w:rsidR="00B27CFF" w:rsidRPr="00476FC9">
        <w:rPr>
          <w:color w:val="000000" w:themeColor="text1"/>
          <w:szCs w:val="24"/>
        </w:rPr>
        <w:t xml:space="preserve">among persons diagnosed </w:t>
      </w:r>
      <w:r w:rsidR="0019307A" w:rsidRPr="00476FC9">
        <w:rPr>
          <w:color w:val="000000" w:themeColor="text1"/>
          <w:szCs w:val="24"/>
        </w:rPr>
        <w:t xml:space="preserve">with </w:t>
      </w:r>
      <w:r w:rsidR="00B27CFF" w:rsidRPr="00476FC9">
        <w:rPr>
          <w:color w:val="000000" w:themeColor="text1"/>
          <w:szCs w:val="24"/>
        </w:rPr>
        <w:t>and receiving treatment for depression, the second highly used treatment method was antidepressant (</w:t>
      </w:r>
      <w:r w:rsidR="00C47E1D" w:rsidRPr="00476FC9">
        <w:rPr>
          <w:color w:val="000000" w:themeColor="text1"/>
          <w:szCs w:val="24"/>
        </w:rPr>
        <w:t xml:space="preserve">75.3%) followed by physician visits (84.6%) (Marcus &amp; Olfson, 2010). Considering that antidepressant DTCA spending is positively associated with antidepressant uses (Donohue &amp; Burndt, 2004), </w:t>
      </w:r>
      <w:r w:rsidR="00827447" w:rsidRPr="00476FC9">
        <w:rPr>
          <w:color w:val="000000" w:themeColor="text1"/>
          <w:szCs w:val="24"/>
        </w:rPr>
        <w:t>addressing consumer response to antidepressant DTC ad</w:t>
      </w:r>
      <w:r w:rsidR="0019307A" w:rsidRPr="00476FC9">
        <w:rPr>
          <w:color w:val="000000" w:themeColor="text1"/>
          <w:szCs w:val="24"/>
        </w:rPr>
        <w:t>s</w:t>
      </w:r>
      <w:r w:rsidR="00827447" w:rsidRPr="00476FC9">
        <w:rPr>
          <w:color w:val="000000" w:themeColor="text1"/>
          <w:szCs w:val="24"/>
        </w:rPr>
        <w:t xml:space="preserve"> will add invaluable insights into promoting depression diagnosis and </w:t>
      </w:r>
      <w:r w:rsidR="0019307A" w:rsidRPr="00476FC9">
        <w:rPr>
          <w:color w:val="000000" w:themeColor="text1"/>
          <w:szCs w:val="24"/>
        </w:rPr>
        <w:t xml:space="preserve">the </w:t>
      </w:r>
      <w:r w:rsidR="00827447" w:rsidRPr="00476FC9">
        <w:rPr>
          <w:color w:val="000000" w:themeColor="text1"/>
          <w:szCs w:val="24"/>
        </w:rPr>
        <w:t>treatment-expanding role of DTCA (Park &amp; Grow, 2008).</w:t>
      </w:r>
    </w:p>
    <w:p w:rsidR="004D5A46" w:rsidRPr="00476FC9" w:rsidRDefault="00FF1512"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Given the importance of antidepressant DTCA, t</w:t>
      </w:r>
      <w:r w:rsidR="004D5A46" w:rsidRPr="00476FC9">
        <w:rPr>
          <w:color w:val="000000" w:themeColor="text1"/>
        </w:rPr>
        <w:t xml:space="preserve">he prominence of risk disclosure </w:t>
      </w:r>
      <w:r w:rsidR="00A8507D" w:rsidRPr="00476FC9">
        <w:rPr>
          <w:color w:val="000000" w:themeColor="text1"/>
        </w:rPr>
        <w:t>was</w:t>
      </w:r>
      <w:r w:rsidR="004D5A46" w:rsidRPr="00476FC9">
        <w:rPr>
          <w:color w:val="000000" w:themeColor="text1"/>
        </w:rPr>
        <w:t xml:space="preserve"> </w:t>
      </w:r>
      <w:r w:rsidR="004D5A46" w:rsidRPr="00476FC9">
        <w:rPr>
          <w:color w:val="000000" w:themeColor="text1"/>
        </w:rPr>
        <w:lastRenderedPageBreak/>
        <w:t xml:space="preserve">manipulated </w:t>
      </w:r>
      <w:r w:rsidR="00536A1E" w:rsidRPr="00476FC9">
        <w:rPr>
          <w:color w:val="000000" w:themeColor="text1"/>
        </w:rPr>
        <w:t>through</w:t>
      </w:r>
      <w:r w:rsidR="004D5A46" w:rsidRPr="00476FC9">
        <w:rPr>
          <w:color w:val="000000" w:themeColor="text1"/>
        </w:rPr>
        <w:t xml:space="preserve"> </w:t>
      </w:r>
      <w:r w:rsidR="00536A1E" w:rsidRPr="00476FC9">
        <w:rPr>
          <w:color w:val="000000" w:themeColor="text1"/>
        </w:rPr>
        <w:t>combining v</w:t>
      </w:r>
      <w:r w:rsidR="00A8507D" w:rsidRPr="00476FC9">
        <w:rPr>
          <w:color w:val="000000" w:themeColor="text1"/>
        </w:rPr>
        <w:t xml:space="preserve">arious </w:t>
      </w:r>
      <w:r w:rsidR="00CE456E" w:rsidRPr="00476FC9">
        <w:rPr>
          <w:color w:val="000000" w:themeColor="text1"/>
        </w:rPr>
        <w:t xml:space="preserve">message execution </w:t>
      </w:r>
      <w:r w:rsidR="00A8507D" w:rsidRPr="00476FC9">
        <w:rPr>
          <w:color w:val="000000" w:themeColor="text1"/>
        </w:rPr>
        <w:t xml:space="preserve">factors </w:t>
      </w:r>
      <w:r w:rsidRPr="00476FC9">
        <w:rPr>
          <w:color w:val="000000" w:themeColor="text1"/>
        </w:rPr>
        <w:t xml:space="preserve">simultaneously </w:t>
      </w:r>
      <w:r w:rsidRPr="00476FC9">
        <w:rPr>
          <w:rFonts w:eastAsia="바탕체"/>
          <w:color w:val="000000" w:themeColor="text1"/>
        </w:rPr>
        <w:t xml:space="preserve">based on </w:t>
      </w:r>
      <w:r w:rsidR="00A8507D" w:rsidRPr="00476FC9">
        <w:rPr>
          <w:color w:val="000000" w:themeColor="text1"/>
        </w:rPr>
        <w:t xml:space="preserve">the </w:t>
      </w:r>
      <w:r w:rsidR="00CE456E" w:rsidRPr="00476FC9">
        <w:rPr>
          <w:color w:val="000000" w:themeColor="text1"/>
        </w:rPr>
        <w:t>FDA</w:t>
      </w:r>
      <w:r w:rsidR="00A8507D" w:rsidRPr="00476FC9">
        <w:rPr>
          <w:color w:val="000000" w:themeColor="text1"/>
        </w:rPr>
        <w:t xml:space="preserve">’s (2009) </w:t>
      </w:r>
      <w:r w:rsidR="00CE456E" w:rsidRPr="00476FC9">
        <w:rPr>
          <w:color w:val="000000" w:themeColor="text1"/>
        </w:rPr>
        <w:t>draft guidance for pharmaceutical marketers</w:t>
      </w:r>
      <w:r w:rsidR="00A8507D" w:rsidRPr="00476FC9">
        <w:rPr>
          <w:color w:val="000000" w:themeColor="text1"/>
        </w:rPr>
        <w:t>’ risk communication</w:t>
      </w:r>
      <w:r w:rsidR="00CE456E" w:rsidRPr="00476FC9">
        <w:rPr>
          <w:color w:val="000000" w:themeColor="text1"/>
        </w:rPr>
        <w:t xml:space="preserve">. To be more specific, high </w:t>
      </w:r>
      <w:r w:rsidR="00757445" w:rsidRPr="00476FC9">
        <w:rPr>
          <w:color w:val="000000" w:themeColor="text1"/>
        </w:rPr>
        <w:t xml:space="preserve">risk disclosure </w:t>
      </w:r>
      <w:r w:rsidR="00CE456E" w:rsidRPr="00476FC9">
        <w:rPr>
          <w:color w:val="000000" w:themeColor="text1"/>
        </w:rPr>
        <w:t xml:space="preserve">prominence </w:t>
      </w:r>
      <w:r w:rsidR="00A8507D" w:rsidRPr="00476FC9">
        <w:rPr>
          <w:color w:val="000000" w:themeColor="text1"/>
        </w:rPr>
        <w:t xml:space="preserve">was </w:t>
      </w:r>
      <w:r w:rsidR="00CE456E" w:rsidRPr="00476FC9">
        <w:rPr>
          <w:color w:val="000000" w:themeColor="text1"/>
        </w:rPr>
        <w:t>operationalized as a combination of</w:t>
      </w:r>
      <w:r w:rsidR="00810F13" w:rsidRPr="00476FC9">
        <w:rPr>
          <w:color w:val="000000" w:themeColor="text1"/>
        </w:rPr>
        <w:t xml:space="preserve"> using </w:t>
      </w:r>
      <w:r w:rsidR="004D5A46" w:rsidRPr="00476FC9">
        <w:rPr>
          <w:color w:val="000000" w:themeColor="text1"/>
        </w:rPr>
        <w:t>box outlines (</w:t>
      </w:r>
      <w:r w:rsidR="00A8507D" w:rsidRPr="00476FC9">
        <w:rPr>
          <w:color w:val="000000" w:themeColor="text1"/>
        </w:rPr>
        <w:t>vs.</w:t>
      </w:r>
      <w:r w:rsidR="004D5A46" w:rsidRPr="00476FC9">
        <w:rPr>
          <w:color w:val="000000" w:themeColor="text1"/>
        </w:rPr>
        <w:t xml:space="preserve"> </w:t>
      </w:r>
      <w:r w:rsidR="00CE456E" w:rsidRPr="00476FC9">
        <w:rPr>
          <w:color w:val="000000" w:themeColor="text1"/>
        </w:rPr>
        <w:t>running text without box lines</w:t>
      </w:r>
      <w:r w:rsidR="004D5A46" w:rsidRPr="00476FC9">
        <w:rPr>
          <w:color w:val="000000" w:themeColor="text1"/>
        </w:rPr>
        <w:t>), a larger font size</w:t>
      </w:r>
      <w:r w:rsidR="00A8507D" w:rsidRPr="00476FC9">
        <w:rPr>
          <w:color w:val="000000" w:themeColor="text1"/>
        </w:rPr>
        <w:t xml:space="preserve"> (14 vs. 10)</w:t>
      </w:r>
      <w:r w:rsidR="004D5A46" w:rsidRPr="00476FC9">
        <w:rPr>
          <w:color w:val="000000" w:themeColor="text1"/>
        </w:rPr>
        <w:t>, red colored</w:t>
      </w:r>
      <w:r w:rsidR="00CE456E" w:rsidRPr="00476FC9">
        <w:rPr>
          <w:color w:val="000000" w:themeColor="text1"/>
        </w:rPr>
        <w:t xml:space="preserve"> </w:t>
      </w:r>
      <w:r w:rsidR="00A8507D" w:rsidRPr="00476FC9">
        <w:rPr>
          <w:color w:val="000000" w:themeColor="text1"/>
        </w:rPr>
        <w:t>texts (vs. black)</w:t>
      </w:r>
      <w:r w:rsidR="004D5A46" w:rsidRPr="00476FC9">
        <w:rPr>
          <w:color w:val="000000" w:themeColor="text1"/>
        </w:rPr>
        <w:t>, bold type</w:t>
      </w:r>
      <w:r w:rsidR="00A8507D" w:rsidRPr="00476FC9">
        <w:rPr>
          <w:color w:val="000000" w:themeColor="text1"/>
        </w:rPr>
        <w:t xml:space="preserve"> (vs. regular)</w:t>
      </w:r>
      <w:r w:rsidR="004D5A46" w:rsidRPr="00476FC9">
        <w:rPr>
          <w:color w:val="000000" w:themeColor="text1"/>
        </w:rPr>
        <w:t xml:space="preserve">, </w:t>
      </w:r>
      <w:r w:rsidR="00CE456E" w:rsidRPr="00476FC9">
        <w:rPr>
          <w:color w:val="000000" w:themeColor="text1"/>
        </w:rPr>
        <w:t>bulleted texts</w:t>
      </w:r>
      <w:r w:rsidR="00A8507D" w:rsidRPr="00476FC9">
        <w:rPr>
          <w:color w:val="000000" w:themeColor="text1"/>
        </w:rPr>
        <w:t xml:space="preserve"> (vs. no bullets)</w:t>
      </w:r>
      <w:r w:rsidR="00CE456E" w:rsidRPr="00476FC9">
        <w:rPr>
          <w:color w:val="000000" w:themeColor="text1"/>
        </w:rPr>
        <w:t xml:space="preserve">, and proximate placement to </w:t>
      </w:r>
      <w:r w:rsidR="00EE4451" w:rsidRPr="00476FC9">
        <w:rPr>
          <w:color w:val="000000" w:themeColor="text1"/>
        </w:rPr>
        <w:t>use</w:t>
      </w:r>
      <w:r w:rsidR="00CE456E" w:rsidRPr="00476FC9">
        <w:rPr>
          <w:color w:val="000000" w:themeColor="text1"/>
        </w:rPr>
        <w:t xml:space="preserve"> information. In contrast, to operationalize </w:t>
      </w:r>
      <w:r w:rsidR="00A8507D" w:rsidRPr="00476FC9">
        <w:rPr>
          <w:color w:val="000000" w:themeColor="text1"/>
        </w:rPr>
        <w:t xml:space="preserve">the </w:t>
      </w:r>
      <w:r w:rsidR="00CE456E" w:rsidRPr="00476FC9">
        <w:rPr>
          <w:color w:val="000000" w:themeColor="text1"/>
        </w:rPr>
        <w:t>low prominence</w:t>
      </w:r>
      <w:r w:rsidR="00A8507D" w:rsidRPr="00476FC9">
        <w:rPr>
          <w:color w:val="000000" w:themeColor="text1"/>
        </w:rPr>
        <w:t xml:space="preserve"> condition</w:t>
      </w:r>
      <w:r w:rsidR="00CE456E" w:rsidRPr="00476FC9">
        <w:rPr>
          <w:color w:val="000000" w:themeColor="text1"/>
        </w:rPr>
        <w:t xml:space="preserve">, the above </w:t>
      </w:r>
      <w:r w:rsidR="00A8507D" w:rsidRPr="00476FC9">
        <w:rPr>
          <w:color w:val="000000" w:themeColor="text1"/>
        </w:rPr>
        <w:t xml:space="preserve">message </w:t>
      </w:r>
      <w:r w:rsidR="00CE456E" w:rsidRPr="00476FC9">
        <w:rPr>
          <w:color w:val="000000" w:themeColor="text1"/>
        </w:rPr>
        <w:t xml:space="preserve">devices </w:t>
      </w:r>
      <w:r w:rsidR="00A8507D" w:rsidRPr="00476FC9">
        <w:rPr>
          <w:color w:val="000000" w:themeColor="text1"/>
        </w:rPr>
        <w:t xml:space="preserve">were </w:t>
      </w:r>
      <w:r w:rsidR="00CE456E" w:rsidRPr="00476FC9">
        <w:rPr>
          <w:color w:val="000000" w:themeColor="text1"/>
        </w:rPr>
        <w:t xml:space="preserve">employed in </w:t>
      </w:r>
      <w:r w:rsidR="004D5A46" w:rsidRPr="00476FC9">
        <w:rPr>
          <w:color w:val="000000" w:themeColor="text1"/>
        </w:rPr>
        <w:t>opposite ways</w:t>
      </w:r>
      <w:r w:rsidR="007255DD" w:rsidRPr="00476FC9">
        <w:rPr>
          <w:color w:val="000000" w:themeColor="text1"/>
        </w:rPr>
        <w:t xml:space="preserve"> (see appendix </w:t>
      </w:r>
      <w:r w:rsidR="00AE4541" w:rsidRPr="00476FC9">
        <w:rPr>
          <w:color w:val="000000" w:themeColor="text1"/>
        </w:rPr>
        <w:t>B</w:t>
      </w:r>
      <w:r w:rsidR="00225551" w:rsidRPr="00476FC9">
        <w:rPr>
          <w:color w:val="000000" w:themeColor="text1"/>
        </w:rPr>
        <w:t xml:space="preserve"> &amp; </w:t>
      </w:r>
      <w:r w:rsidR="00AE4541" w:rsidRPr="00476FC9">
        <w:rPr>
          <w:color w:val="000000" w:themeColor="text1"/>
        </w:rPr>
        <w:t>C</w:t>
      </w:r>
      <w:r w:rsidR="007255DD" w:rsidRPr="00476FC9">
        <w:rPr>
          <w:color w:val="000000" w:themeColor="text1"/>
        </w:rPr>
        <w:t>)</w:t>
      </w:r>
      <w:r w:rsidR="004D5A46" w:rsidRPr="00476FC9">
        <w:rPr>
          <w:color w:val="000000" w:themeColor="text1"/>
        </w:rPr>
        <w:t xml:space="preserve">. </w:t>
      </w:r>
      <w:r w:rsidR="00536A1E" w:rsidRPr="00476FC9">
        <w:rPr>
          <w:color w:val="000000" w:themeColor="text1"/>
        </w:rPr>
        <w:t>As a result, e</w:t>
      </w:r>
      <w:r w:rsidR="00521CBD" w:rsidRPr="00476FC9">
        <w:rPr>
          <w:color w:val="000000" w:themeColor="text1"/>
        </w:rPr>
        <w:t xml:space="preserve">xcept </w:t>
      </w:r>
      <w:r w:rsidR="0068200E" w:rsidRPr="00476FC9">
        <w:rPr>
          <w:color w:val="000000" w:themeColor="text1"/>
        </w:rPr>
        <w:t xml:space="preserve">major </w:t>
      </w:r>
      <w:r w:rsidR="00521CBD" w:rsidRPr="00476FC9">
        <w:rPr>
          <w:color w:val="000000" w:themeColor="text1"/>
        </w:rPr>
        <w:t>health risks of the drug</w:t>
      </w:r>
      <w:r w:rsidR="00CB3129" w:rsidRPr="00476FC9">
        <w:rPr>
          <w:color w:val="000000" w:themeColor="text1"/>
        </w:rPr>
        <w:t xml:space="preserve"> (</w:t>
      </w:r>
      <w:r w:rsidR="00100DC6" w:rsidRPr="00476FC9">
        <w:rPr>
          <w:color w:val="000000" w:themeColor="text1"/>
        </w:rPr>
        <w:t xml:space="preserve">i.e., </w:t>
      </w:r>
      <w:r w:rsidR="00CB3129" w:rsidRPr="00476FC9">
        <w:rPr>
          <w:color w:val="000000" w:themeColor="text1"/>
        </w:rPr>
        <w:t>manipulation)</w:t>
      </w:r>
      <w:r w:rsidR="00521CBD" w:rsidRPr="00476FC9">
        <w:rPr>
          <w:color w:val="000000" w:themeColor="text1"/>
        </w:rPr>
        <w:t xml:space="preserve">, all other design elements were </w:t>
      </w:r>
      <w:r w:rsidR="00225551" w:rsidRPr="00476FC9">
        <w:rPr>
          <w:color w:val="000000" w:themeColor="text1"/>
        </w:rPr>
        <w:t xml:space="preserve">equivalent </w:t>
      </w:r>
      <w:r w:rsidR="00521CBD" w:rsidRPr="00476FC9">
        <w:rPr>
          <w:color w:val="000000" w:themeColor="text1"/>
        </w:rPr>
        <w:t xml:space="preserve">across different experimental conditions. </w:t>
      </w:r>
      <w:r w:rsidR="0068200E" w:rsidRPr="00476FC9">
        <w:rPr>
          <w:color w:val="000000" w:themeColor="text1"/>
        </w:rPr>
        <w:t>G</w:t>
      </w:r>
      <w:r w:rsidR="00521CBD" w:rsidRPr="00476FC9">
        <w:rPr>
          <w:color w:val="000000" w:themeColor="text1"/>
        </w:rPr>
        <w:t xml:space="preserve">raphics </w:t>
      </w:r>
      <w:r w:rsidR="00536A1E" w:rsidRPr="00476FC9">
        <w:rPr>
          <w:color w:val="000000" w:themeColor="text1"/>
        </w:rPr>
        <w:t>were</w:t>
      </w:r>
      <w:r w:rsidR="00521CBD" w:rsidRPr="00476FC9">
        <w:rPr>
          <w:color w:val="000000" w:themeColor="text1"/>
        </w:rPr>
        <w:t xml:space="preserve"> exactly the same and word counts were largely equivalent across the </w:t>
      </w:r>
      <w:r w:rsidR="0068200E" w:rsidRPr="00476FC9">
        <w:rPr>
          <w:color w:val="000000" w:themeColor="text1"/>
        </w:rPr>
        <w:t>two</w:t>
      </w:r>
      <w:r w:rsidR="00521CBD" w:rsidRPr="00476FC9">
        <w:rPr>
          <w:color w:val="000000" w:themeColor="text1"/>
        </w:rPr>
        <w:t xml:space="preserve"> conditions (i.e., </w:t>
      </w:r>
      <w:r w:rsidR="00810F13" w:rsidRPr="00476FC9">
        <w:rPr>
          <w:color w:val="000000" w:themeColor="text1"/>
        </w:rPr>
        <w:t xml:space="preserve">221 for </w:t>
      </w:r>
      <w:r w:rsidR="00225551" w:rsidRPr="00476FC9">
        <w:rPr>
          <w:color w:val="000000" w:themeColor="text1"/>
        </w:rPr>
        <w:t>low prominence;</w:t>
      </w:r>
      <w:r w:rsidR="00810F13" w:rsidRPr="00476FC9">
        <w:rPr>
          <w:color w:val="000000" w:themeColor="text1"/>
        </w:rPr>
        <w:t xml:space="preserve"> 227 for high prominence). </w:t>
      </w:r>
    </w:p>
    <w:p w:rsidR="00810F13" w:rsidRPr="00476FC9" w:rsidRDefault="00810F13"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536A1E" w:rsidRPr="00476FC9">
        <w:rPr>
          <w:color w:val="000000" w:themeColor="text1"/>
        </w:rPr>
        <w:t xml:space="preserve">To secure proper manipulation, two pretests were conducted. </w:t>
      </w:r>
      <w:r w:rsidR="00BE1E03" w:rsidRPr="00476FC9">
        <w:rPr>
          <w:color w:val="000000" w:themeColor="text1"/>
        </w:rPr>
        <w:t>In the first pretest, 58 college students from a northern state university participated. In the second pretest, 59 college students from different state universit</w:t>
      </w:r>
      <w:r w:rsidR="00D63959" w:rsidRPr="00476FC9">
        <w:rPr>
          <w:color w:val="000000" w:themeColor="text1"/>
        </w:rPr>
        <w:t>ies</w:t>
      </w:r>
      <w:r w:rsidR="00BE1E03" w:rsidRPr="00476FC9">
        <w:rPr>
          <w:color w:val="000000" w:themeColor="text1"/>
        </w:rPr>
        <w:t xml:space="preserve"> participated. </w:t>
      </w:r>
      <w:r w:rsidRPr="00476FC9">
        <w:rPr>
          <w:color w:val="000000" w:themeColor="text1"/>
        </w:rPr>
        <w:t xml:space="preserve">To check whether risk disclosure prominence was successfully manipulated, subjects were asked to indicate on a 7-point scale (1 = not at all prominent, 7 = extremely prominent) their agreement with “How prominent do you feel was the information in the ad about the health risks of Luminexell?” </w:t>
      </w:r>
    </w:p>
    <w:p w:rsidR="00810F13" w:rsidRPr="00476FC9" w:rsidRDefault="00810F13"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In the first pretest, the manipulation check results and respondents’ solicited focus group interview were analyzed (Griffin, Babin, &amp; Darden, 1992). The </w:t>
      </w:r>
      <w:r w:rsidR="007A426F" w:rsidRPr="00476FC9">
        <w:rPr>
          <w:color w:val="000000" w:themeColor="text1"/>
        </w:rPr>
        <w:t xml:space="preserve">customized </w:t>
      </w:r>
      <w:r w:rsidR="007A426F" w:rsidRPr="00476FC9">
        <w:rPr>
          <w:i/>
          <w:color w:val="000000" w:themeColor="text1"/>
        </w:rPr>
        <w:t>simple</w:t>
      </w:r>
      <w:r w:rsidR="007A426F" w:rsidRPr="00476FC9">
        <w:rPr>
          <w:color w:val="000000" w:themeColor="text1"/>
        </w:rPr>
        <w:t xml:space="preserve"> method contrast </w:t>
      </w:r>
      <w:r w:rsidR="00536A1E" w:rsidRPr="00476FC9">
        <w:rPr>
          <w:color w:val="000000" w:themeColor="text1"/>
        </w:rPr>
        <w:t xml:space="preserve">test </w:t>
      </w:r>
      <w:r w:rsidRPr="00476FC9">
        <w:rPr>
          <w:color w:val="000000" w:themeColor="text1"/>
        </w:rPr>
        <w:t xml:space="preserve">results for the first pretest </w:t>
      </w:r>
      <w:r w:rsidR="00536A1E" w:rsidRPr="00476FC9">
        <w:rPr>
          <w:color w:val="000000" w:themeColor="text1"/>
        </w:rPr>
        <w:t>indicated</w:t>
      </w:r>
      <w:r w:rsidRPr="00476FC9">
        <w:rPr>
          <w:color w:val="000000" w:themeColor="text1"/>
        </w:rPr>
        <w:t xml:space="preserve"> that the manipulation of risk disclosure prominence was not successful, </w:t>
      </w:r>
      <w:r w:rsidRPr="00476FC9">
        <w:rPr>
          <w:i/>
          <w:color w:val="000000" w:themeColor="text1"/>
        </w:rPr>
        <w:t>M</w:t>
      </w:r>
      <w:r w:rsidRPr="00476FC9">
        <w:rPr>
          <w:color w:val="000000" w:themeColor="text1"/>
          <w:vertAlign w:val="subscript"/>
        </w:rPr>
        <w:t xml:space="preserve">low-prominence </w:t>
      </w:r>
      <w:r w:rsidRPr="00476FC9">
        <w:rPr>
          <w:color w:val="000000" w:themeColor="text1"/>
        </w:rPr>
        <w:t xml:space="preserve">= 3.61, </w:t>
      </w:r>
      <w:r w:rsidRPr="00476FC9">
        <w:rPr>
          <w:i/>
          <w:color w:val="000000" w:themeColor="text1"/>
        </w:rPr>
        <w:t xml:space="preserve">SD </w:t>
      </w:r>
      <w:r w:rsidRPr="00476FC9">
        <w:rPr>
          <w:color w:val="000000" w:themeColor="text1"/>
        </w:rPr>
        <w:t xml:space="preserve">= 1.41, </w:t>
      </w:r>
      <w:r w:rsidRPr="00476FC9">
        <w:rPr>
          <w:i/>
          <w:color w:val="000000" w:themeColor="text1"/>
        </w:rPr>
        <w:t>M</w:t>
      </w:r>
      <w:r w:rsidRPr="00476FC9">
        <w:rPr>
          <w:color w:val="000000" w:themeColor="text1"/>
          <w:vertAlign w:val="subscript"/>
        </w:rPr>
        <w:t>high-prominence</w:t>
      </w:r>
      <w:r w:rsidRPr="00476FC9">
        <w:rPr>
          <w:color w:val="000000" w:themeColor="text1"/>
        </w:rPr>
        <w:t xml:space="preserve"> = 3.81, </w:t>
      </w:r>
      <w:r w:rsidRPr="00476FC9">
        <w:rPr>
          <w:i/>
          <w:color w:val="000000" w:themeColor="text1"/>
        </w:rPr>
        <w:t>SD</w:t>
      </w:r>
      <w:r w:rsidRPr="00476FC9">
        <w:rPr>
          <w:color w:val="000000" w:themeColor="text1"/>
        </w:rPr>
        <w:t xml:space="preserve"> = 1.47, </w:t>
      </w:r>
      <w:r w:rsidR="007A426F" w:rsidRPr="00476FC9">
        <w:rPr>
          <w:color w:val="000000" w:themeColor="text1"/>
        </w:rPr>
        <w:t xml:space="preserve">difference value (estimate – hypothesized) = -.31, </w:t>
      </w:r>
      <w:r w:rsidR="007A426F" w:rsidRPr="00476FC9">
        <w:rPr>
          <w:i/>
          <w:color w:val="000000" w:themeColor="text1"/>
        </w:rPr>
        <w:t>SE</w:t>
      </w:r>
      <w:r w:rsidR="007A426F" w:rsidRPr="00476FC9">
        <w:rPr>
          <w:color w:val="000000" w:themeColor="text1"/>
        </w:rPr>
        <w:t xml:space="preserve"> = .38, </w:t>
      </w:r>
      <w:r w:rsidRPr="00476FC9">
        <w:rPr>
          <w:i/>
          <w:color w:val="000000" w:themeColor="text1"/>
        </w:rPr>
        <w:t>p</w:t>
      </w:r>
      <w:r w:rsidRPr="00476FC9">
        <w:rPr>
          <w:color w:val="000000" w:themeColor="text1"/>
        </w:rPr>
        <w:t xml:space="preserve"> &gt; .05. The results </w:t>
      </w:r>
      <w:r w:rsidR="00536A1E" w:rsidRPr="00476FC9">
        <w:rPr>
          <w:color w:val="000000" w:themeColor="text1"/>
        </w:rPr>
        <w:t xml:space="preserve">were </w:t>
      </w:r>
      <w:r w:rsidRPr="00476FC9">
        <w:rPr>
          <w:color w:val="000000" w:themeColor="text1"/>
        </w:rPr>
        <w:t xml:space="preserve">discussed with an experienced advertising professor to </w:t>
      </w:r>
      <w:r w:rsidR="00536A1E" w:rsidRPr="00476FC9">
        <w:rPr>
          <w:color w:val="000000" w:themeColor="text1"/>
        </w:rPr>
        <w:t xml:space="preserve">modify </w:t>
      </w:r>
      <w:r w:rsidR="00E24C48" w:rsidRPr="00476FC9">
        <w:rPr>
          <w:color w:val="000000" w:themeColor="text1"/>
        </w:rPr>
        <w:t xml:space="preserve">the </w:t>
      </w:r>
      <w:r w:rsidR="00536A1E" w:rsidRPr="00476FC9">
        <w:rPr>
          <w:color w:val="000000" w:themeColor="text1"/>
        </w:rPr>
        <w:t>ma</w:t>
      </w:r>
      <w:r w:rsidRPr="00476FC9">
        <w:rPr>
          <w:color w:val="000000" w:themeColor="text1"/>
        </w:rPr>
        <w:t xml:space="preserve">nipulation </w:t>
      </w:r>
      <w:r w:rsidR="00536A1E" w:rsidRPr="00476FC9">
        <w:rPr>
          <w:color w:val="000000" w:themeColor="text1"/>
        </w:rPr>
        <w:t>to be</w:t>
      </w:r>
      <w:r w:rsidR="00BB784E" w:rsidRPr="00476FC9">
        <w:rPr>
          <w:color w:val="000000" w:themeColor="text1"/>
        </w:rPr>
        <w:t xml:space="preserve"> </w:t>
      </w:r>
      <w:r w:rsidR="00536A1E" w:rsidRPr="00476FC9">
        <w:rPr>
          <w:color w:val="000000" w:themeColor="text1"/>
        </w:rPr>
        <w:t xml:space="preserve">more appropriate, </w:t>
      </w:r>
      <w:r w:rsidRPr="00476FC9">
        <w:rPr>
          <w:color w:val="000000" w:themeColor="text1"/>
        </w:rPr>
        <w:lastRenderedPageBreak/>
        <w:t>and then the research</w:t>
      </w:r>
      <w:r w:rsidR="00536A1E" w:rsidRPr="00476FC9">
        <w:rPr>
          <w:color w:val="000000" w:themeColor="text1"/>
        </w:rPr>
        <w:t>er</w:t>
      </w:r>
      <w:r w:rsidRPr="00476FC9">
        <w:rPr>
          <w:color w:val="000000" w:themeColor="text1"/>
        </w:rPr>
        <w:t xml:space="preserve"> </w:t>
      </w:r>
      <w:r w:rsidR="007A426F" w:rsidRPr="00476FC9">
        <w:rPr>
          <w:color w:val="000000" w:themeColor="text1"/>
        </w:rPr>
        <w:t>determined</w:t>
      </w:r>
      <w:r w:rsidRPr="00476FC9">
        <w:rPr>
          <w:color w:val="000000" w:themeColor="text1"/>
        </w:rPr>
        <w:t xml:space="preserve"> to conduct the second pretest after revising </w:t>
      </w:r>
      <w:r w:rsidR="00E24C48" w:rsidRPr="00476FC9">
        <w:rPr>
          <w:color w:val="000000" w:themeColor="text1"/>
        </w:rPr>
        <w:t xml:space="preserve">the stimuli and </w:t>
      </w:r>
      <w:r w:rsidRPr="00476FC9">
        <w:rPr>
          <w:color w:val="000000" w:themeColor="text1"/>
        </w:rPr>
        <w:t xml:space="preserve">manipulation </w:t>
      </w:r>
      <w:r w:rsidR="00BB784E" w:rsidRPr="00476FC9">
        <w:rPr>
          <w:color w:val="000000" w:themeColor="text1"/>
        </w:rPr>
        <w:t xml:space="preserve">check </w:t>
      </w:r>
      <w:r w:rsidRPr="00476FC9">
        <w:rPr>
          <w:color w:val="000000" w:themeColor="text1"/>
        </w:rPr>
        <w:t>items.</w:t>
      </w:r>
    </w:p>
    <w:p w:rsidR="00810F13" w:rsidRPr="00476FC9" w:rsidRDefault="00810F13"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In </w:t>
      </w:r>
      <w:r w:rsidR="00E24C48" w:rsidRPr="00476FC9">
        <w:rPr>
          <w:color w:val="000000" w:themeColor="text1"/>
        </w:rPr>
        <w:t>the second pretest</w:t>
      </w:r>
      <w:r w:rsidRPr="00476FC9">
        <w:rPr>
          <w:color w:val="000000" w:themeColor="text1"/>
        </w:rPr>
        <w:t xml:space="preserve"> phase, </w:t>
      </w:r>
      <w:r w:rsidR="007329E2" w:rsidRPr="00476FC9">
        <w:rPr>
          <w:color w:val="000000" w:themeColor="text1"/>
        </w:rPr>
        <w:t xml:space="preserve">two ad </w:t>
      </w:r>
      <w:r w:rsidRPr="00476FC9">
        <w:rPr>
          <w:color w:val="000000" w:themeColor="text1"/>
        </w:rPr>
        <w:t xml:space="preserve">stimuli were generated by using professional </w:t>
      </w:r>
      <w:r w:rsidR="00BB784E" w:rsidRPr="00476FC9">
        <w:rPr>
          <w:color w:val="000000" w:themeColor="text1"/>
        </w:rPr>
        <w:t xml:space="preserve">visual </w:t>
      </w:r>
      <w:r w:rsidRPr="00476FC9">
        <w:rPr>
          <w:color w:val="000000" w:themeColor="text1"/>
        </w:rPr>
        <w:t>design software</w:t>
      </w:r>
      <w:r w:rsidR="00BE1E03" w:rsidRPr="00476FC9">
        <w:rPr>
          <w:color w:val="000000" w:themeColor="text1"/>
        </w:rPr>
        <w:t>s</w:t>
      </w:r>
      <w:r w:rsidR="00BB784E" w:rsidRPr="00476FC9">
        <w:rPr>
          <w:color w:val="000000" w:themeColor="text1"/>
        </w:rPr>
        <w:t>,</w:t>
      </w:r>
      <w:r w:rsidRPr="00476FC9">
        <w:rPr>
          <w:color w:val="000000" w:themeColor="text1"/>
        </w:rPr>
        <w:t xml:space="preserve"> </w:t>
      </w:r>
      <w:r w:rsidR="00BE1E03" w:rsidRPr="00476FC9">
        <w:rPr>
          <w:color w:val="000000" w:themeColor="text1"/>
        </w:rPr>
        <w:t xml:space="preserve">including Adobe Creative Cloud </w:t>
      </w:r>
      <w:r w:rsidRPr="00476FC9">
        <w:rPr>
          <w:color w:val="000000" w:themeColor="text1"/>
        </w:rPr>
        <w:t>Indesign and Photoshop.</w:t>
      </w:r>
      <w:r w:rsidR="007329E2" w:rsidRPr="00476FC9">
        <w:rPr>
          <w:color w:val="000000" w:themeColor="text1"/>
        </w:rPr>
        <w:t xml:space="preserve"> S</w:t>
      </w:r>
      <w:r w:rsidRPr="00476FC9">
        <w:rPr>
          <w:color w:val="000000" w:themeColor="text1"/>
        </w:rPr>
        <w:t xml:space="preserve">ubjects were shown the </w:t>
      </w:r>
      <w:r w:rsidR="007329E2" w:rsidRPr="00476FC9">
        <w:rPr>
          <w:color w:val="000000" w:themeColor="text1"/>
        </w:rPr>
        <w:t xml:space="preserve">ads </w:t>
      </w:r>
      <w:r w:rsidRPr="00476FC9">
        <w:rPr>
          <w:color w:val="000000" w:themeColor="text1"/>
        </w:rPr>
        <w:t xml:space="preserve">and reported their </w:t>
      </w:r>
      <w:r w:rsidR="007A426F" w:rsidRPr="00476FC9">
        <w:rPr>
          <w:color w:val="000000" w:themeColor="text1"/>
        </w:rPr>
        <w:t>impression</w:t>
      </w:r>
      <w:r w:rsidRPr="00476FC9">
        <w:rPr>
          <w:color w:val="000000" w:themeColor="text1"/>
        </w:rPr>
        <w:t xml:space="preserve"> about prominence of risk disclosure</w:t>
      </w:r>
      <w:r w:rsidR="007329E2" w:rsidRPr="00476FC9">
        <w:rPr>
          <w:color w:val="000000" w:themeColor="text1"/>
        </w:rPr>
        <w:t xml:space="preserve"> in the ads</w:t>
      </w:r>
      <w:r w:rsidRPr="00476FC9">
        <w:rPr>
          <w:color w:val="000000" w:themeColor="text1"/>
        </w:rPr>
        <w:t xml:space="preserve">. </w:t>
      </w:r>
      <w:r w:rsidR="00BB784E" w:rsidRPr="00476FC9">
        <w:rPr>
          <w:color w:val="000000" w:themeColor="text1"/>
        </w:rPr>
        <w:t>A</w:t>
      </w:r>
      <w:r w:rsidR="00E24C48" w:rsidRPr="00476FC9">
        <w:rPr>
          <w:color w:val="000000" w:themeColor="text1"/>
        </w:rPr>
        <w:t xml:space="preserve"> </w:t>
      </w:r>
      <w:r w:rsidR="007329E2" w:rsidRPr="00476FC9">
        <w:rPr>
          <w:i/>
          <w:color w:val="000000" w:themeColor="text1"/>
        </w:rPr>
        <w:t>simple</w:t>
      </w:r>
      <w:r w:rsidR="007329E2" w:rsidRPr="00476FC9">
        <w:rPr>
          <w:color w:val="000000" w:themeColor="text1"/>
        </w:rPr>
        <w:t xml:space="preserve"> method planned contrast</w:t>
      </w:r>
      <w:r w:rsidRPr="00476FC9">
        <w:rPr>
          <w:color w:val="000000" w:themeColor="text1"/>
        </w:rPr>
        <w:t xml:space="preserve"> test was performed</w:t>
      </w:r>
      <w:r w:rsidR="00BB784E" w:rsidRPr="00476FC9">
        <w:rPr>
          <w:color w:val="000000" w:themeColor="text1"/>
        </w:rPr>
        <w:t xml:space="preserve">, </w:t>
      </w:r>
      <w:r w:rsidRPr="00476FC9">
        <w:rPr>
          <w:color w:val="000000" w:themeColor="text1"/>
        </w:rPr>
        <w:t xml:space="preserve">using the statement “How prominent do you feel was the information in the ad about the health risks of Luminexell?” with endpoints of “not at all prominent” and “extremely prominent.” </w:t>
      </w:r>
      <w:r w:rsidR="003F0C39" w:rsidRPr="00476FC9">
        <w:rPr>
          <w:color w:val="000000" w:themeColor="text1"/>
        </w:rPr>
        <w:t>The results showed that the manipulation of risk disclosure prominence was successful, (</w:t>
      </w:r>
      <w:r w:rsidR="003F0C39" w:rsidRPr="00476FC9">
        <w:rPr>
          <w:i/>
          <w:color w:val="000000" w:themeColor="text1"/>
        </w:rPr>
        <w:t>M</w:t>
      </w:r>
      <w:r w:rsidR="007329E2" w:rsidRPr="00476FC9">
        <w:rPr>
          <w:color w:val="000000" w:themeColor="text1"/>
          <w:vertAlign w:val="subscript"/>
        </w:rPr>
        <w:t>low</w:t>
      </w:r>
      <w:r w:rsidR="007A426F" w:rsidRPr="00476FC9">
        <w:rPr>
          <w:color w:val="000000" w:themeColor="text1"/>
          <w:vertAlign w:val="subscript"/>
        </w:rPr>
        <w:t>-prominence</w:t>
      </w:r>
      <w:r w:rsidR="003F0C39" w:rsidRPr="00476FC9">
        <w:rPr>
          <w:color w:val="000000" w:themeColor="text1"/>
        </w:rPr>
        <w:t xml:space="preserve"> = 3.27, </w:t>
      </w:r>
      <w:r w:rsidR="003F0C39" w:rsidRPr="00476FC9">
        <w:rPr>
          <w:i/>
          <w:color w:val="000000" w:themeColor="text1"/>
        </w:rPr>
        <w:t xml:space="preserve">SD </w:t>
      </w:r>
      <w:r w:rsidR="003F0C39" w:rsidRPr="00476FC9">
        <w:rPr>
          <w:color w:val="000000" w:themeColor="text1"/>
        </w:rPr>
        <w:t xml:space="preserve">= 1.49, </w:t>
      </w:r>
      <w:r w:rsidR="003F0C39" w:rsidRPr="00476FC9">
        <w:rPr>
          <w:i/>
          <w:color w:val="000000" w:themeColor="text1"/>
        </w:rPr>
        <w:t>M</w:t>
      </w:r>
      <w:r w:rsidR="007329E2" w:rsidRPr="00476FC9">
        <w:rPr>
          <w:color w:val="000000" w:themeColor="text1"/>
          <w:vertAlign w:val="subscript"/>
        </w:rPr>
        <w:t>high</w:t>
      </w:r>
      <w:r w:rsidR="007A426F" w:rsidRPr="00476FC9">
        <w:rPr>
          <w:color w:val="000000" w:themeColor="text1"/>
          <w:vertAlign w:val="subscript"/>
        </w:rPr>
        <w:t>-prominence</w:t>
      </w:r>
      <w:r w:rsidR="003F0C39" w:rsidRPr="00476FC9">
        <w:rPr>
          <w:color w:val="000000" w:themeColor="text1"/>
        </w:rPr>
        <w:t xml:space="preserve"> = 4.21, </w:t>
      </w:r>
      <w:r w:rsidR="003F0C39" w:rsidRPr="00476FC9">
        <w:rPr>
          <w:i/>
          <w:color w:val="000000" w:themeColor="text1"/>
        </w:rPr>
        <w:t>SD</w:t>
      </w:r>
      <w:r w:rsidR="003F0C39" w:rsidRPr="00476FC9">
        <w:rPr>
          <w:color w:val="000000" w:themeColor="text1"/>
        </w:rPr>
        <w:t xml:space="preserve"> = 1.75, </w:t>
      </w:r>
      <w:r w:rsidR="007329E2" w:rsidRPr="00476FC9">
        <w:rPr>
          <w:color w:val="000000" w:themeColor="text1"/>
        </w:rPr>
        <w:t>difference value (estimate – hypothesized) = -.9</w:t>
      </w:r>
      <w:r w:rsidR="007A426F" w:rsidRPr="00476FC9">
        <w:rPr>
          <w:color w:val="000000" w:themeColor="text1"/>
        </w:rPr>
        <w:t>4</w:t>
      </w:r>
      <w:r w:rsidR="007329E2" w:rsidRPr="00476FC9">
        <w:rPr>
          <w:color w:val="000000" w:themeColor="text1"/>
        </w:rPr>
        <w:t xml:space="preserve">, </w:t>
      </w:r>
      <w:r w:rsidR="007329E2" w:rsidRPr="00476FC9">
        <w:rPr>
          <w:i/>
          <w:color w:val="000000" w:themeColor="text1"/>
        </w:rPr>
        <w:t>SE</w:t>
      </w:r>
      <w:r w:rsidR="007329E2" w:rsidRPr="00476FC9">
        <w:rPr>
          <w:color w:val="000000" w:themeColor="text1"/>
        </w:rPr>
        <w:t xml:space="preserve"> = .44, </w:t>
      </w:r>
      <w:r w:rsidR="007329E2" w:rsidRPr="00476FC9">
        <w:rPr>
          <w:i/>
          <w:color w:val="000000" w:themeColor="text1"/>
        </w:rPr>
        <w:t>p</w:t>
      </w:r>
      <w:r w:rsidR="007329E2" w:rsidRPr="00476FC9">
        <w:rPr>
          <w:color w:val="000000" w:themeColor="text1"/>
        </w:rPr>
        <w:t xml:space="preserve"> &lt; .05.</w:t>
      </w:r>
    </w:p>
    <w:p w:rsidR="00734485" w:rsidRPr="00476FC9" w:rsidRDefault="00553DCB"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Based on the pretest</w:t>
      </w:r>
      <w:r w:rsidR="00C70B07" w:rsidRPr="00476FC9">
        <w:rPr>
          <w:color w:val="000000" w:themeColor="text1"/>
        </w:rPr>
        <w:t xml:space="preserve"> results</w:t>
      </w:r>
      <w:r w:rsidRPr="00476FC9">
        <w:rPr>
          <w:color w:val="000000" w:themeColor="text1"/>
        </w:rPr>
        <w:t xml:space="preserve">, </w:t>
      </w:r>
      <w:r w:rsidR="007A426F" w:rsidRPr="00476FC9">
        <w:rPr>
          <w:color w:val="000000" w:themeColor="text1"/>
        </w:rPr>
        <w:t xml:space="preserve">in the main test </w:t>
      </w:r>
      <w:r w:rsidRPr="00476FC9">
        <w:rPr>
          <w:color w:val="000000" w:themeColor="text1"/>
        </w:rPr>
        <w:t>the manipulation check was also conducted</w:t>
      </w:r>
      <w:r w:rsidR="00C70B07" w:rsidRPr="00476FC9">
        <w:rPr>
          <w:color w:val="000000" w:themeColor="text1"/>
        </w:rPr>
        <w:t xml:space="preserve">, in order </w:t>
      </w:r>
      <w:r w:rsidRPr="00476FC9">
        <w:rPr>
          <w:color w:val="000000" w:themeColor="text1"/>
        </w:rPr>
        <w:t xml:space="preserve">to </w:t>
      </w:r>
      <w:r w:rsidR="00D63959" w:rsidRPr="00476FC9">
        <w:rPr>
          <w:color w:val="000000" w:themeColor="text1"/>
        </w:rPr>
        <w:t>confirm</w:t>
      </w:r>
      <w:r w:rsidRPr="00476FC9">
        <w:rPr>
          <w:color w:val="000000" w:themeColor="text1"/>
        </w:rPr>
        <w:t xml:space="preserve"> the test ads were </w:t>
      </w:r>
      <w:r w:rsidR="00C70B07" w:rsidRPr="00476FC9">
        <w:rPr>
          <w:color w:val="000000" w:themeColor="text1"/>
        </w:rPr>
        <w:t>operationalized</w:t>
      </w:r>
      <w:r w:rsidRPr="00476FC9">
        <w:rPr>
          <w:color w:val="000000" w:themeColor="text1"/>
        </w:rPr>
        <w:t xml:space="preserve"> as the researcher intended. The GLM univariate test results showed that the manipulation of risk disclosure prominence was successful, </w:t>
      </w:r>
      <w:r w:rsidRPr="00476FC9">
        <w:rPr>
          <w:i/>
          <w:color w:val="000000" w:themeColor="text1"/>
        </w:rPr>
        <w:t>M</w:t>
      </w:r>
      <w:r w:rsidR="00C70B07" w:rsidRPr="00476FC9">
        <w:rPr>
          <w:color w:val="000000" w:themeColor="text1"/>
          <w:vertAlign w:val="subscript"/>
        </w:rPr>
        <w:t>low</w:t>
      </w:r>
      <w:r w:rsidR="005256FF" w:rsidRPr="00476FC9">
        <w:rPr>
          <w:color w:val="000000" w:themeColor="text1"/>
          <w:vertAlign w:val="subscript"/>
        </w:rPr>
        <w:t>-prominence</w:t>
      </w:r>
      <w:r w:rsidRPr="00476FC9">
        <w:rPr>
          <w:color w:val="000000" w:themeColor="text1"/>
        </w:rPr>
        <w:t xml:space="preserve"> = 4.41, </w:t>
      </w:r>
      <w:r w:rsidRPr="00476FC9">
        <w:rPr>
          <w:i/>
          <w:color w:val="000000" w:themeColor="text1"/>
        </w:rPr>
        <w:t>SD</w:t>
      </w:r>
      <w:r w:rsidRPr="00476FC9">
        <w:rPr>
          <w:color w:val="000000" w:themeColor="text1"/>
        </w:rPr>
        <w:t xml:space="preserve"> = 1.60, M</w:t>
      </w:r>
      <w:r w:rsidRPr="00476FC9">
        <w:rPr>
          <w:color w:val="000000" w:themeColor="text1"/>
          <w:vertAlign w:val="subscript"/>
        </w:rPr>
        <w:t>high</w:t>
      </w:r>
      <w:r w:rsidR="005256FF" w:rsidRPr="00476FC9">
        <w:rPr>
          <w:color w:val="000000" w:themeColor="text1"/>
          <w:vertAlign w:val="subscript"/>
        </w:rPr>
        <w:t>-prominence</w:t>
      </w:r>
      <w:r w:rsidRPr="00476FC9">
        <w:rPr>
          <w:color w:val="000000" w:themeColor="text1"/>
        </w:rPr>
        <w:t xml:space="preserve"> = </w:t>
      </w:r>
      <w:r w:rsidR="00B72388" w:rsidRPr="00476FC9">
        <w:rPr>
          <w:color w:val="000000" w:themeColor="text1"/>
        </w:rPr>
        <w:t>5.03</w:t>
      </w:r>
      <w:r w:rsidRPr="00476FC9">
        <w:rPr>
          <w:color w:val="000000" w:themeColor="text1"/>
        </w:rPr>
        <w:t xml:space="preserve">, </w:t>
      </w:r>
      <w:r w:rsidRPr="00476FC9">
        <w:rPr>
          <w:i/>
          <w:color w:val="000000" w:themeColor="text1"/>
        </w:rPr>
        <w:t>SD</w:t>
      </w:r>
      <w:r w:rsidRPr="00476FC9">
        <w:rPr>
          <w:color w:val="000000" w:themeColor="text1"/>
        </w:rPr>
        <w:t xml:space="preserve"> = 1.</w:t>
      </w:r>
      <w:r w:rsidR="00B72388" w:rsidRPr="00476FC9">
        <w:rPr>
          <w:color w:val="000000" w:themeColor="text1"/>
        </w:rPr>
        <w:t>5</w:t>
      </w:r>
      <w:r w:rsidR="003333B2" w:rsidRPr="00476FC9">
        <w:rPr>
          <w:color w:val="000000" w:themeColor="text1"/>
        </w:rPr>
        <w:t>2</w:t>
      </w:r>
      <w:r w:rsidRPr="00476FC9">
        <w:rPr>
          <w:color w:val="000000" w:themeColor="text1"/>
        </w:rPr>
        <w:t xml:space="preserve">, </w:t>
      </w:r>
      <w:r w:rsidRPr="00476FC9">
        <w:rPr>
          <w:i/>
          <w:color w:val="000000" w:themeColor="text1"/>
        </w:rPr>
        <w:t>F</w:t>
      </w:r>
      <w:r w:rsidRPr="00476FC9">
        <w:rPr>
          <w:color w:val="000000" w:themeColor="text1"/>
        </w:rPr>
        <w:t>(</w:t>
      </w:r>
      <w:r w:rsidR="00C70B07" w:rsidRPr="00476FC9">
        <w:rPr>
          <w:color w:val="000000" w:themeColor="text1"/>
        </w:rPr>
        <w:t>1</w:t>
      </w:r>
      <w:r w:rsidRPr="00476FC9">
        <w:rPr>
          <w:color w:val="000000" w:themeColor="text1"/>
        </w:rPr>
        <w:t xml:space="preserve">, </w:t>
      </w:r>
      <w:r w:rsidR="00C70B07" w:rsidRPr="00476FC9">
        <w:rPr>
          <w:color w:val="000000" w:themeColor="text1"/>
        </w:rPr>
        <w:t>262</w:t>
      </w:r>
      <w:r w:rsidRPr="00476FC9">
        <w:rPr>
          <w:color w:val="000000" w:themeColor="text1"/>
        </w:rPr>
        <w:t>)</w:t>
      </w:r>
      <w:r w:rsidR="002F0A9F" w:rsidRPr="00476FC9">
        <w:rPr>
          <w:color w:val="000000" w:themeColor="text1"/>
        </w:rPr>
        <w:t xml:space="preserve"> = </w:t>
      </w:r>
      <w:r w:rsidR="00C70B07" w:rsidRPr="00476FC9">
        <w:rPr>
          <w:color w:val="000000" w:themeColor="text1"/>
        </w:rPr>
        <w:t>10.43</w:t>
      </w:r>
      <w:r w:rsidRPr="00476FC9">
        <w:rPr>
          <w:color w:val="000000" w:themeColor="text1"/>
        </w:rPr>
        <w:t xml:space="preserve">, </w:t>
      </w:r>
      <w:r w:rsidRPr="00476FC9">
        <w:rPr>
          <w:i/>
          <w:color w:val="000000" w:themeColor="text1"/>
        </w:rPr>
        <w:t>p</w:t>
      </w:r>
      <w:r w:rsidRPr="00476FC9">
        <w:rPr>
          <w:color w:val="000000" w:themeColor="text1"/>
        </w:rPr>
        <w:t xml:space="preserve"> </w:t>
      </w:r>
      <w:r w:rsidR="00C70B07" w:rsidRPr="00476FC9">
        <w:rPr>
          <w:color w:val="000000" w:themeColor="text1"/>
        </w:rPr>
        <w:t xml:space="preserve">≤ </w:t>
      </w:r>
      <w:r w:rsidRPr="00476FC9">
        <w:rPr>
          <w:color w:val="000000" w:themeColor="text1"/>
        </w:rPr>
        <w:t>.</w:t>
      </w:r>
      <w:r w:rsidR="00B72388" w:rsidRPr="00476FC9">
        <w:rPr>
          <w:color w:val="000000" w:themeColor="text1"/>
        </w:rPr>
        <w:t>0</w:t>
      </w:r>
      <w:r w:rsidR="00C70B07" w:rsidRPr="00476FC9">
        <w:rPr>
          <w:color w:val="000000" w:themeColor="text1"/>
        </w:rPr>
        <w:t>0</w:t>
      </w:r>
      <w:r w:rsidR="00B72388" w:rsidRPr="00476FC9">
        <w:rPr>
          <w:color w:val="000000" w:themeColor="text1"/>
        </w:rPr>
        <w:t>1</w:t>
      </w:r>
      <w:r w:rsidRPr="00476FC9">
        <w:rPr>
          <w:color w:val="000000" w:themeColor="text1"/>
        </w:rPr>
        <w:t xml:space="preserve">. The customized contrast test using the </w:t>
      </w:r>
      <w:r w:rsidR="00C70B07" w:rsidRPr="00476FC9">
        <w:rPr>
          <w:i/>
          <w:color w:val="000000" w:themeColor="text1"/>
        </w:rPr>
        <w:t>simple</w:t>
      </w:r>
      <w:r w:rsidR="00C70B07" w:rsidRPr="00476FC9">
        <w:rPr>
          <w:color w:val="000000" w:themeColor="text1"/>
        </w:rPr>
        <w:t xml:space="preserve"> </w:t>
      </w:r>
      <w:r w:rsidRPr="00476FC9">
        <w:rPr>
          <w:color w:val="000000" w:themeColor="text1"/>
        </w:rPr>
        <w:t xml:space="preserve">method confirmed </w:t>
      </w:r>
      <w:r w:rsidR="00D63959" w:rsidRPr="00476FC9">
        <w:rPr>
          <w:color w:val="000000" w:themeColor="text1"/>
        </w:rPr>
        <w:t xml:space="preserve">that </w:t>
      </w:r>
      <w:r w:rsidRPr="00476FC9">
        <w:rPr>
          <w:color w:val="000000" w:themeColor="text1"/>
        </w:rPr>
        <w:t>the manipulation was successful as the researcher intended</w:t>
      </w:r>
      <w:r w:rsidR="005256FF" w:rsidRPr="00476FC9">
        <w:rPr>
          <w:color w:val="000000" w:themeColor="text1"/>
        </w:rPr>
        <w:t>,</w:t>
      </w:r>
      <w:r w:rsidR="00A75F20" w:rsidRPr="00476FC9">
        <w:rPr>
          <w:color w:val="000000" w:themeColor="text1"/>
        </w:rPr>
        <w:t xml:space="preserve"> with the </w:t>
      </w:r>
      <w:r w:rsidR="00E16800" w:rsidRPr="00476FC9">
        <w:rPr>
          <w:color w:val="000000" w:themeColor="text1"/>
        </w:rPr>
        <w:t xml:space="preserve">difference value (estimate – hypothesized) = </w:t>
      </w:r>
      <w:r w:rsidR="00C70B07" w:rsidRPr="00476FC9">
        <w:rPr>
          <w:color w:val="000000" w:themeColor="text1"/>
        </w:rPr>
        <w:t>-.62</w:t>
      </w:r>
      <w:r w:rsidR="00E16800" w:rsidRPr="00476FC9">
        <w:rPr>
          <w:color w:val="000000" w:themeColor="text1"/>
        </w:rPr>
        <w:t xml:space="preserve">, </w:t>
      </w:r>
      <w:r w:rsidR="00E16800" w:rsidRPr="00476FC9">
        <w:rPr>
          <w:i/>
          <w:color w:val="000000" w:themeColor="text1"/>
        </w:rPr>
        <w:t>SE</w:t>
      </w:r>
      <w:r w:rsidR="00E16800" w:rsidRPr="00476FC9">
        <w:rPr>
          <w:color w:val="000000" w:themeColor="text1"/>
        </w:rPr>
        <w:t xml:space="preserve"> = .1</w:t>
      </w:r>
      <w:r w:rsidR="00C70B07" w:rsidRPr="00476FC9">
        <w:rPr>
          <w:color w:val="000000" w:themeColor="text1"/>
        </w:rPr>
        <w:t>9</w:t>
      </w:r>
      <w:r w:rsidR="00E16800" w:rsidRPr="00476FC9">
        <w:rPr>
          <w:color w:val="000000" w:themeColor="text1"/>
        </w:rPr>
        <w:t xml:space="preserve">, </w:t>
      </w:r>
      <w:r w:rsidR="00E16800" w:rsidRPr="00476FC9">
        <w:rPr>
          <w:i/>
          <w:color w:val="000000" w:themeColor="text1"/>
        </w:rPr>
        <w:t>p</w:t>
      </w:r>
      <w:r w:rsidR="00E16800" w:rsidRPr="00476FC9">
        <w:rPr>
          <w:color w:val="000000" w:themeColor="text1"/>
        </w:rPr>
        <w:t xml:space="preserve"> </w:t>
      </w:r>
      <w:r w:rsidR="00C70B07" w:rsidRPr="00476FC9">
        <w:rPr>
          <w:color w:val="000000" w:themeColor="text1"/>
        </w:rPr>
        <w:t>≤</w:t>
      </w:r>
      <w:r w:rsidR="00E16800" w:rsidRPr="00476FC9">
        <w:rPr>
          <w:color w:val="000000" w:themeColor="text1"/>
        </w:rPr>
        <w:t xml:space="preserve"> .0</w:t>
      </w:r>
      <w:r w:rsidR="00C70B07" w:rsidRPr="00476FC9">
        <w:rPr>
          <w:color w:val="000000" w:themeColor="text1"/>
        </w:rPr>
        <w:t>0</w:t>
      </w:r>
      <w:r w:rsidR="00A75F20" w:rsidRPr="00476FC9">
        <w:rPr>
          <w:color w:val="000000" w:themeColor="text1"/>
        </w:rPr>
        <w:t>1</w:t>
      </w:r>
      <w:r w:rsidR="002C377B" w:rsidRPr="00476FC9">
        <w:rPr>
          <w:color w:val="000000" w:themeColor="text1"/>
        </w:rPr>
        <w:t xml:space="preserve">. </w:t>
      </w:r>
      <w:r w:rsidR="00A75F20" w:rsidRPr="00476FC9">
        <w:rPr>
          <w:color w:val="000000" w:themeColor="text1"/>
        </w:rPr>
        <w:t>Taken together, t</w:t>
      </w:r>
      <w:r w:rsidR="008023A5" w:rsidRPr="00476FC9">
        <w:rPr>
          <w:color w:val="000000" w:themeColor="text1"/>
        </w:rPr>
        <w:t xml:space="preserve">hese results </w:t>
      </w:r>
      <w:r w:rsidR="00A75F20" w:rsidRPr="00476FC9">
        <w:rPr>
          <w:color w:val="000000" w:themeColor="text1"/>
        </w:rPr>
        <w:t xml:space="preserve">clearly </w:t>
      </w:r>
      <w:r w:rsidR="008023A5" w:rsidRPr="00476FC9">
        <w:rPr>
          <w:color w:val="000000" w:themeColor="text1"/>
        </w:rPr>
        <w:t xml:space="preserve">indicate </w:t>
      </w:r>
      <w:r w:rsidR="00A75F20" w:rsidRPr="00476FC9">
        <w:rPr>
          <w:color w:val="000000" w:themeColor="text1"/>
        </w:rPr>
        <w:t xml:space="preserve">the success of manipulation in </w:t>
      </w:r>
      <w:r w:rsidR="008023A5" w:rsidRPr="00476FC9">
        <w:rPr>
          <w:color w:val="000000" w:themeColor="text1"/>
        </w:rPr>
        <w:t>that the comparisons between hig</w:t>
      </w:r>
      <w:r w:rsidR="005256FF" w:rsidRPr="00476FC9">
        <w:rPr>
          <w:color w:val="000000" w:themeColor="text1"/>
        </w:rPr>
        <w:t>h and low prominence conditions revealed statistically significant perceptual difference regarding risk disclosure prominence.</w:t>
      </w:r>
    </w:p>
    <w:p w:rsidR="002C377B" w:rsidRPr="00476FC9" w:rsidRDefault="002C377B"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It is worth noting that the procedure of </w:t>
      </w:r>
      <w:r w:rsidR="00852028" w:rsidRPr="00476FC9">
        <w:rPr>
          <w:color w:val="000000" w:themeColor="text1"/>
        </w:rPr>
        <w:t xml:space="preserve">conducting </w:t>
      </w:r>
      <w:r w:rsidRPr="00476FC9">
        <w:rPr>
          <w:color w:val="000000" w:themeColor="text1"/>
        </w:rPr>
        <w:t xml:space="preserve">the </w:t>
      </w:r>
      <w:r w:rsidR="007F3B5C" w:rsidRPr="00476FC9">
        <w:rPr>
          <w:color w:val="000000" w:themeColor="text1"/>
        </w:rPr>
        <w:t xml:space="preserve">instrument of this </w:t>
      </w:r>
      <w:r w:rsidRPr="00476FC9">
        <w:rPr>
          <w:color w:val="000000" w:themeColor="text1"/>
        </w:rPr>
        <w:t>study</w:t>
      </w:r>
      <w:r w:rsidR="007F3B5C" w:rsidRPr="00476FC9">
        <w:rPr>
          <w:color w:val="000000" w:themeColor="text1"/>
        </w:rPr>
        <w:t>,</w:t>
      </w:r>
      <w:r w:rsidRPr="00476FC9">
        <w:rPr>
          <w:color w:val="000000" w:themeColor="text1"/>
        </w:rPr>
        <w:t xml:space="preserve"> including </w:t>
      </w:r>
      <w:r w:rsidR="009358D3" w:rsidRPr="00476FC9">
        <w:rPr>
          <w:color w:val="000000" w:themeColor="text1"/>
        </w:rPr>
        <w:t xml:space="preserve">the </w:t>
      </w:r>
      <w:r w:rsidR="000C03D5" w:rsidRPr="00476FC9">
        <w:rPr>
          <w:color w:val="000000" w:themeColor="text1"/>
        </w:rPr>
        <w:t xml:space="preserve">positioning of </w:t>
      </w:r>
      <w:r w:rsidRPr="00476FC9">
        <w:rPr>
          <w:color w:val="000000" w:themeColor="text1"/>
        </w:rPr>
        <w:t xml:space="preserve">each measure </w:t>
      </w:r>
      <w:r w:rsidR="007F3B5C" w:rsidRPr="00476FC9">
        <w:rPr>
          <w:color w:val="000000" w:themeColor="text1"/>
        </w:rPr>
        <w:t xml:space="preserve">of constructs in the questionnaire, </w:t>
      </w:r>
      <w:r w:rsidRPr="00476FC9">
        <w:rPr>
          <w:color w:val="000000" w:themeColor="text1"/>
        </w:rPr>
        <w:t xml:space="preserve">was carefully designed based on the consumer </w:t>
      </w:r>
      <w:r w:rsidR="000C03D5" w:rsidRPr="00476FC9">
        <w:rPr>
          <w:color w:val="000000" w:themeColor="text1"/>
        </w:rPr>
        <w:t xml:space="preserve">research </w:t>
      </w:r>
      <w:r w:rsidRPr="00476FC9">
        <w:rPr>
          <w:color w:val="000000" w:themeColor="text1"/>
        </w:rPr>
        <w:t xml:space="preserve">and marketing </w:t>
      </w:r>
      <w:r w:rsidR="007F3B5C" w:rsidRPr="00476FC9">
        <w:rPr>
          <w:color w:val="000000" w:themeColor="text1"/>
        </w:rPr>
        <w:t xml:space="preserve">literature (e.g., Aronson &amp; Carlsmith, 1968; Keppel., </w:t>
      </w:r>
      <w:r w:rsidR="007F3B5C" w:rsidRPr="00476FC9">
        <w:rPr>
          <w:color w:val="000000" w:themeColor="text1"/>
        </w:rPr>
        <w:lastRenderedPageBreak/>
        <w:t xml:space="preserve">1982; </w:t>
      </w:r>
      <w:r w:rsidR="00852028" w:rsidRPr="00476FC9">
        <w:rPr>
          <w:color w:val="000000" w:themeColor="text1"/>
        </w:rPr>
        <w:t xml:space="preserve">Keppel &amp; Wickens, 2004; </w:t>
      </w:r>
      <w:r w:rsidR="007F3B5C" w:rsidRPr="00476FC9">
        <w:rPr>
          <w:color w:val="000000" w:themeColor="text1"/>
        </w:rPr>
        <w:t>Purdue &amp; Summers, 1986</w:t>
      </w:r>
      <w:r w:rsidR="00852028" w:rsidRPr="00476FC9">
        <w:rPr>
          <w:color w:val="000000" w:themeColor="text1"/>
        </w:rPr>
        <w:t xml:space="preserve">; Shadish, Cook, &amp; Campbell, </w:t>
      </w:r>
      <w:r w:rsidR="008D6726" w:rsidRPr="00476FC9">
        <w:rPr>
          <w:color w:val="000000" w:themeColor="text1"/>
        </w:rPr>
        <w:t>2002</w:t>
      </w:r>
      <w:r w:rsidR="007F3B5C" w:rsidRPr="00476FC9">
        <w:rPr>
          <w:color w:val="000000" w:themeColor="text1"/>
        </w:rPr>
        <w:t>)</w:t>
      </w:r>
      <w:r w:rsidRPr="00476FC9">
        <w:rPr>
          <w:color w:val="000000" w:themeColor="text1"/>
        </w:rPr>
        <w:t xml:space="preserve">. </w:t>
      </w:r>
      <w:r w:rsidR="00852028" w:rsidRPr="00476FC9">
        <w:rPr>
          <w:color w:val="000000" w:themeColor="text1"/>
        </w:rPr>
        <w:t xml:space="preserve">First, random assignment of subjects to study </w:t>
      </w:r>
      <w:r w:rsidRPr="00476FC9">
        <w:rPr>
          <w:color w:val="000000" w:themeColor="text1"/>
        </w:rPr>
        <w:t xml:space="preserve">treatment conditions facilitates causal interpretation by </w:t>
      </w:r>
      <w:r w:rsidR="00852028" w:rsidRPr="00476FC9">
        <w:rPr>
          <w:color w:val="000000" w:themeColor="text1"/>
        </w:rPr>
        <w:t xml:space="preserve">excluding </w:t>
      </w:r>
      <w:r w:rsidRPr="00476FC9">
        <w:rPr>
          <w:color w:val="000000" w:themeColor="text1"/>
        </w:rPr>
        <w:t>potential systematic extraneous factors (</w:t>
      </w:r>
      <w:r w:rsidR="00852028" w:rsidRPr="00476FC9">
        <w:rPr>
          <w:color w:val="000000" w:themeColor="text1"/>
        </w:rPr>
        <w:t>Keppel &amp; Wickens, 2004; Shadish et al., 200</w:t>
      </w:r>
      <w:r w:rsidR="008D6726" w:rsidRPr="00476FC9">
        <w:rPr>
          <w:color w:val="000000" w:themeColor="text1"/>
        </w:rPr>
        <w:t>2</w:t>
      </w:r>
      <w:r w:rsidRPr="00476FC9">
        <w:rPr>
          <w:color w:val="000000" w:themeColor="text1"/>
        </w:rPr>
        <w:t xml:space="preserve">). In particular, manipulation </w:t>
      </w:r>
      <w:r w:rsidR="00852028" w:rsidRPr="00476FC9">
        <w:rPr>
          <w:color w:val="000000" w:themeColor="text1"/>
        </w:rPr>
        <w:t xml:space="preserve">and confounding </w:t>
      </w:r>
      <w:r w:rsidRPr="00476FC9">
        <w:rPr>
          <w:color w:val="000000" w:themeColor="text1"/>
        </w:rPr>
        <w:t xml:space="preserve">checks appear to have </w:t>
      </w:r>
      <w:r w:rsidR="00852028" w:rsidRPr="00476FC9">
        <w:rPr>
          <w:color w:val="000000" w:themeColor="text1"/>
        </w:rPr>
        <w:t xml:space="preserve">critical </w:t>
      </w:r>
      <w:r w:rsidRPr="00476FC9">
        <w:rPr>
          <w:color w:val="000000" w:themeColor="text1"/>
        </w:rPr>
        <w:t xml:space="preserve">value during the pretest/pilot test, because the cost associated with </w:t>
      </w:r>
      <w:r w:rsidR="00852028" w:rsidRPr="00476FC9">
        <w:rPr>
          <w:color w:val="000000" w:themeColor="text1"/>
        </w:rPr>
        <w:t>n</w:t>
      </w:r>
      <w:r w:rsidRPr="00476FC9">
        <w:rPr>
          <w:color w:val="000000" w:themeColor="text1"/>
        </w:rPr>
        <w:t xml:space="preserve">egative results at this </w:t>
      </w:r>
      <w:r w:rsidR="00852028" w:rsidRPr="00476FC9">
        <w:rPr>
          <w:color w:val="000000" w:themeColor="text1"/>
        </w:rPr>
        <w:t xml:space="preserve">phase </w:t>
      </w:r>
      <w:r w:rsidRPr="00476FC9">
        <w:rPr>
          <w:color w:val="000000" w:themeColor="text1"/>
        </w:rPr>
        <w:t>is relatively small, whereas the cost associated with unfavorable results is</w:t>
      </w:r>
      <w:r w:rsidR="00511EBB" w:rsidRPr="00476FC9">
        <w:rPr>
          <w:color w:val="000000" w:themeColor="text1"/>
        </w:rPr>
        <w:t xml:space="preserve"> high </w:t>
      </w:r>
      <w:r w:rsidR="00852028" w:rsidRPr="00476FC9">
        <w:rPr>
          <w:color w:val="000000" w:themeColor="text1"/>
        </w:rPr>
        <w:t>in the main experiment</w:t>
      </w:r>
      <w:r w:rsidR="008D6726" w:rsidRPr="00476FC9">
        <w:rPr>
          <w:color w:val="000000" w:themeColor="text1"/>
        </w:rPr>
        <w:t>al</w:t>
      </w:r>
      <w:r w:rsidR="00852028" w:rsidRPr="00476FC9">
        <w:rPr>
          <w:color w:val="000000" w:themeColor="text1"/>
        </w:rPr>
        <w:t xml:space="preserve"> stage </w:t>
      </w:r>
      <w:r w:rsidR="00511EBB" w:rsidRPr="00476FC9">
        <w:rPr>
          <w:color w:val="000000" w:themeColor="text1"/>
        </w:rPr>
        <w:t>(Perdue &amp; Summers, 1986).</w:t>
      </w:r>
    </w:p>
    <w:p w:rsidR="00CB6E18" w:rsidRPr="00476FC9" w:rsidRDefault="00852028"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Among others, </w:t>
      </w:r>
      <w:r w:rsidR="00511EBB" w:rsidRPr="00476FC9">
        <w:rPr>
          <w:color w:val="000000" w:themeColor="text1"/>
        </w:rPr>
        <w:t xml:space="preserve">the timing of manipulation </w:t>
      </w:r>
      <w:r w:rsidRPr="00476FC9">
        <w:rPr>
          <w:color w:val="000000" w:themeColor="text1"/>
        </w:rPr>
        <w:t xml:space="preserve">and confounding </w:t>
      </w:r>
      <w:r w:rsidR="00511EBB" w:rsidRPr="00476FC9">
        <w:rPr>
          <w:color w:val="000000" w:themeColor="text1"/>
        </w:rPr>
        <w:t xml:space="preserve">checks is </w:t>
      </w:r>
      <w:r w:rsidRPr="00476FC9">
        <w:rPr>
          <w:color w:val="000000" w:themeColor="text1"/>
        </w:rPr>
        <w:t>worthy to note</w:t>
      </w:r>
      <w:r w:rsidR="00511EBB" w:rsidRPr="00476FC9">
        <w:rPr>
          <w:color w:val="000000" w:themeColor="text1"/>
        </w:rPr>
        <w:t xml:space="preserve"> (i.e., before or after dependent measures). In general, extensive testing of the manipulations in the pretest phase could lessen the need for manipulation and confounding checks in the main experiment </w:t>
      </w:r>
      <w:r w:rsidR="00B70CBF" w:rsidRPr="00476FC9">
        <w:rPr>
          <w:color w:val="000000" w:themeColor="text1"/>
        </w:rPr>
        <w:t xml:space="preserve">if this testing is conducted with the same procedures, experimental instruments, </w:t>
      </w:r>
      <w:r w:rsidR="006B28AE" w:rsidRPr="00476FC9">
        <w:rPr>
          <w:color w:val="000000" w:themeColor="text1"/>
        </w:rPr>
        <w:t xml:space="preserve">and </w:t>
      </w:r>
      <w:r w:rsidR="00B70CBF" w:rsidRPr="00476FC9">
        <w:rPr>
          <w:color w:val="000000" w:themeColor="text1"/>
        </w:rPr>
        <w:t>subject types</w:t>
      </w:r>
      <w:r w:rsidR="006B28AE" w:rsidRPr="00476FC9">
        <w:rPr>
          <w:color w:val="000000" w:themeColor="text1"/>
        </w:rPr>
        <w:t xml:space="preserve"> </w:t>
      </w:r>
      <w:r w:rsidR="00B70CBF" w:rsidRPr="00476FC9">
        <w:rPr>
          <w:color w:val="000000" w:themeColor="text1"/>
        </w:rPr>
        <w:t xml:space="preserve">as the main experiment </w:t>
      </w:r>
      <w:r w:rsidR="00511EBB" w:rsidRPr="00476FC9">
        <w:rPr>
          <w:color w:val="000000" w:themeColor="text1"/>
        </w:rPr>
        <w:t xml:space="preserve">(Purdue &amp; Summers, 1986). </w:t>
      </w:r>
      <w:r w:rsidR="00B70CBF" w:rsidRPr="00476FC9">
        <w:rPr>
          <w:color w:val="000000" w:themeColor="text1"/>
        </w:rPr>
        <w:t xml:space="preserve">In this regard, the current research employed almost </w:t>
      </w:r>
      <w:r w:rsidR="008D6726" w:rsidRPr="00476FC9">
        <w:rPr>
          <w:color w:val="000000" w:themeColor="text1"/>
        </w:rPr>
        <w:t xml:space="preserve">the </w:t>
      </w:r>
      <w:r w:rsidR="00B70CBF" w:rsidRPr="00476FC9">
        <w:rPr>
          <w:color w:val="000000" w:themeColor="text1"/>
        </w:rPr>
        <w:t>same procedure, experimental instruments, and subject types to reduce variations between the pretest</w:t>
      </w:r>
      <w:r w:rsidR="008D6726" w:rsidRPr="00476FC9">
        <w:rPr>
          <w:color w:val="000000" w:themeColor="text1"/>
        </w:rPr>
        <w:t>s</w:t>
      </w:r>
      <w:r w:rsidR="00B70CBF" w:rsidRPr="00476FC9">
        <w:rPr>
          <w:color w:val="000000" w:themeColor="text1"/>
        </w:rPr>
        <w:t xml:space="preserve"> and main experiment. Further, the current research followed</w:t>
      </w:r>
      <w:r w:rsidR="00511EBB" w:rsidRPr="00476FC9">
        <w:rPr>
          <w:color w:val="000000" w:themeColor="text1"/>
        </w:rPr>
        <w:t xml:space="preserve"> </w:t>
      </w:r>
      <w:r w:rsidR="008D6726" w:rsidRPr="00476FC9">
        <w:rPr>
          <w:color w:val="000000" w:themeColor="text1"/>
        </w:rPr>
        <w:t xml:space="preserve">a widely </w:t>
      </w:r>
      <w:r w:rsidR="00511EBB" w:rsidRPr="00476FC9">
        <w:rPr>
          <w:color w:val="000000" w:themeColor="text1"/>
        </w:rPr>
        <w:t xml:space="preserve">suggested </w:t>
      </w:r>
      <w:r w:rsidR="00B70CBF" w:rsidRPr="00476FC9">
        <w:rPr>
          <w:color w:val="000000" w:themeColor="text1"/>
        </w:rPr>
        <w:t xml:space="preserve">experimental </w:t>
      </w:r>
      <w:r w:rsidR="00511EBB" w:rsidRPr="00476FC9">
        <w:rPr>
          <w:color w:val="000000" w:themeColor="text1"/>
        </w:rPr>
        <w:t xml:space="preserve">procedure </w:t>
      </w:r>
      <w:r w:rsidR="008D6726" w:rsidRPr="00476FC9">
        <w:rPr>
          <w:color w:val="000000" w:themeColor="text1"/>
        </w:rPr>
        <w:t xml:space="preserve">that </w:t>
      </w:r>
      <w:r w:rsidR="00511EBB" w:rsidRPr="00476FC9">
        <w:rPr>
          <w:color w:val="000000" w:themeColor="text1"/>
        </w:rPr>
        <w:t>run</w:t>
      </w:r>
      <w:r w:rsidR="008D6726" w:rsidRPr="00476FC9">
        <w:rPr>
          <w:color w:val="000000" w:themeColor="text1"/>
        </w:rPr>
        <w:t xml:space="preserve">s </w:t>
      </w:r>
      <w:r w:rsidR="00511EBB" w:rsidRPr="00476FC9">
        <w:rPr>
          <w:color w:val="000000" w:themeColor="text1"/>
        </w:rPr>
        <w:t>the major experiment</w:t>
      </w:r>
      <w:r w:rsidR="008D6726" w:rsidRPr="00476FC9">
        <w:rPr>
          <w:color w:val="000000" w:themeColor="text1"/>
        </w:rPr>
        <w:t xml:space="preserve"> only after the manipulation checks are </w:t>
      </w:r>
      <w:r w:rsidR="00B70CBF" w:rsidRPr="00476FC9">
        <w:rPr>
          <w:color w:val="000000" w:themeColor="text1"/>
        </w:rPr>
        <w:t xml:space="preserve">found to be successful </w:t>
      </w:r>
      <w:r w:rsidR="00511EBB" w:rsidRPr="00476FC9">
        <w:rPr>
          <w:color w:val="000000" w:themeColor="text1"/>
        </w:rPr>
        <w:t xml:space="preserve">in </w:t>
      </w:r>
      <w:r w:rsidR="00B70CBF" w:rsidRPr="00476FC9">
        <w:rPr>
          <w:color w:val="000000" w:themeColor="text1"/>
        </w:rPr>
        <w:t xml:space="preserve">the pre-test phase. Nevertheless, to </w:t>
      </w:r>
      <w:r w:rsidR="00CB6E18" w:rsidRPr="00476FC9">
        <w:rPr>
          <w:color w:val="000000" w:themeColor="text1"/>
        </w:rPr>
        <w:t xml:space="preserve">secure the success of </w:t>
      </w:r>
      <w:r w:rsidR="00B70CBF" w:rsidRPr="00476FC9">
        <w:rPr>
          <w:color w:val="000000" w:themeColor="text1"/>
        </w:rPr>
        <w:t xml:space="preserve">manipulation </w:t>
      </w:r>
      <w:r w:rsidR="00CB6E18" w:rsidRPr="00476FC9">
        <w:rPr>
          <w:color w:val="000000" w:themeColor="text1"/>
        </w:rPr>
        <w:t>i</w:t>
      </w:r>
      <w:r w:rsidR="00D74B7C" w:rsidRPr="00476FC9">
        <w:rPr>
          <w:color w:val="000000" w:themeColor="text1"/>
        </w:rPr>
        <w:t xml:space="preserve">n the main test, </w:t>
      </w:r>
      <w:r w:rsidR="00B70CBF" w:rsidRPr="00476FC9">
        <w:rPr>
          <w:color w:val="000000" w:themeColor="text1"/>
        </w:rPr>
        <w:t xml:space="preserve">manipulation and confounding checks </w:t>
      </w:r>
      <w:r w:rsidR="00D74B7C" w:rsidRPr="00476FC9">
        <w:rPr>
          <w:color w:val="000000" w:themeColor="text1"/>
        </w:rPr>
        <w:t>were</w:t>
      </w:r>
      <w:r w:rsidR="00CB6E18" w:rsidRPr="00476FC9">
        <w:rPr>
          <w:color w:val="000000" w:themeColor="text1"/>
        </w:rPr>
        <w:t xml:space="preserve"> also</w:t>
      </w:r>
      <w:r w:rsidR="00D74B7C" w:rsidRPr="00476FC9">
        <w:rPr>
          <w:color w:val="000000" w:themeColor="text1"/>
        </w:rPr>
        <w:t xml:space="preserve"> included </w:t>
      </w:r>
      <w:r w:rsidR="00B70CBF" w:rsidRPr="00476FC9">
        <w:rPr>
          <w:color w:val="000000" w:themeColor="text1"/>
        </w:rPr>
        <w:t xml:space="preserve">in the main experiment </w:t>
      </w:r>
      <w:r w:rsidR="00D74B7C" w:rsidRPr="00476FC9">
        <w:rPr>
          <w:color w:val="000000" w:themeColor="text1"/>
        </w:rPr>
        <w:t>(</w:t>
      </w:r>
      <w:r w:rsidR="00CE41BB" w:rsidRPr="00476FC9">
        <w:rPr>
          <w:rFonts w:eastAsiaTheme="minorEastAsia" w:hint="eastAsia"/>
          <w:color w:val="000000" w:themeColor="text1"/>
        </w:rPr>
        <w:t>Kerlinger</w:t>
      </w:r>
      <w:r w:rsidR="00D74B7C" w:rsidRPr="00476FC9">
        <w:rPr>
          <w:color w:val="000000" w:themeColor="text1"/>
        </w:rPr>
        <w:t xml:space="preserve"> &amp; Lee, </w:t>
      </w:r>
      <w:r w:rsidR="00CE41BB" w:rsidRPr="00476FC9">
        <w:rPr>
          <w:rFonts w:eastAsiaTheme="minorEastAsia" w:hint="eastAsia"/>
          <w:color w:val="000000" w:themeColor="text1"/>
        </w:rPr>
        <w:t>2000</w:t>
      </w:r>
      <w:r w:rsidR="00D74B7C" w:rsidRPr="00476FC9">
        <w:rPr>
          <w:color w:val="000000" w:themeColor="text1"/>
        </w:rPr>
        <w:t>; Shadish et al., 200</w:t>
      </w:r>
      <w:r w:rsidR="00CB6E18" w:rsidRPr="00476FC9">
        <w:rPr>
          <w:color w:val="000000" w:themeColor="text1"/>
        </w:rPr>
        <w:t>2</w:t>
      </w:r>
      <w:r w:rsidR="00D74B7C" w:rsidRPr="00476FC9">
        <w:rPr>
          <w:color w:val="000000" w:themeColor="text1"/>
        </w:rPr>
        <w:t xml:space="preserve">). </w:t>
      </w:r>
    </w:p>
    <w:p w:rsidR="00511EBB" w:rsidRPr="00476FC9" w:rsidRDefault="00D74B7C"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The reason of including </w:t>
      </w:r>
      <w:r w:rsidR="00CB6E18" w:rsidRPr="00476FC9">
        <w:rPr>
          <w:color w:val="000000" w:themeColor="text1"/>
        </w:rPr>
        <w:t>such</w:t>
      </w:r>
      <w:r w:rsidRPr="00476FC9">
        <w:rPr>
          <w:color w:val="000000" w:themeColor="text1"/>
        </w:rPr>
        <w:t xml:space="preserve"> checks before dependent measures </w:t>
      </w:r>
      <w:r w:rsidR="00CB6E18" w:rsidRPr="00476FC9">
        <w:rPr>
          <w:color w:val="000000" w:themeColor="text1"/>
        </w:rPr>
        <w:t xml:space="preserve">in the main experiment was </w:t>
      </w:r>
      <w:r w:rsidR="005F1E8E" w:rsidRPr="00476FC9">
        <w:rPr>
          <w:color w:val="000000" w:themeColor="text1"/>
        </w:rPr>
        <w:t xml:space="preserve">because </w:t>
      </w:r>
      <w:r w:rsidRPr="00476FC9">
        <w:rPr>
          <w:color w:val="000000" w:themeColor="text1"/>
        </w:rPr>
        <w:t>the researcher judged that ensuring appropriate operationalization of the independent variable (i.e., prominence) is critical given the FDA’s concern about risk disclosure prominence.</w:t>
      </w:r>
      <w:r w:rsidR="00D61124" w:rsidRPr="00476FC9">
        <w:rPr>
          <w:color w:val="000000" w:themeColor="text1"/>
        </w:rPr>
        <w:t xml:space="preserve"> Further, potential correlates of criterion variables identified and adopted from the </w:t>
      </w:r>
      <w:r w:rsidR="00D61124" w:rsidRPr="00476FC9">
        <w:rPr>
          <w:color w:val="000000" w:themeColor="text1"/>
        </w:rPr>
        <w:lastRenderedPageBreak/>
        <w:t xml:space="preserve">health communication literature were measured before </w:t>
      </w:r>
      <w:r w:rsidR="00CB6E18" w:rsidRPr="00476FC9">
        <w:rPr>
          <w:color w:val="000000" w:themeColor="text1"/>
        </w:rPr>
        <w:t>stimuli,</w:t>
      </w:r>
      <w:r w:rsidR="00D61124" w:rsidRPr="00476FC9">
        <w:rPr>
          <w:color w:val="000000" w:themeColor="text1"/>
        </w:rPr>
        <w:t xml:space="preserve"> because those constructs are individuals’ pre-existing cognitive </w:t>
      </w:r>
      <w:r w:rsidR="001B1ED6" w:rsidRPr="00476FC9">
        <w:rPr>
          <w:color w:val="000000" w:themeColor="text1"/>
        </w:rPr>
        <w:t>traits that need to be treated as persistent characteristics rather than immediate responses to the experimental stimuli. Therefore, according to the consumer experimental convention in the literature, the current research performed the measurement of potential correlates before subjects were shown experimental test ads.</w:t>
      </w:r>
    </w:p>
    <w:p w:rsidR="00511EBB" w:rsidRPr="00476FC9" w:rsidRDefault="00CB6E18"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In addition</w:t>
      </w:r>
      <w:r w:rsidR="00D74B7C" w:rsidRPr="00476FC9">
        <w:rPr>
          <w:color w:val="000000" w:themeColor="text1"/>
        </w:rPr>
        <w:t xml:space="preserve">, the inclusion of manipulation and confounding checks before dependent measures can be justified </w:t>
      </w:r>
      <w:r w:rsidRPr="00476FC9">
        <w:rPr>
          <w:color w:val="000000" w:themeColor="text1"/>
        </w:rPr>
        <w:t>based on</w:t>
      </w:r>
      <w:r w:rsidR="00D74B7C" w:rsidRPr="00476FC9">
        <w:rPr>
          <w:color w:val="000000" w:themeColor="text1"/>
        </w:rPr>
        <w:t xml:space="preserve"> </w:t>
      </w:r>
      <w:r w:rsidRPr="00476FC9">
        <w:rPr>
          <w:color w:val="000000" w:themeColor="text1"/>
        </w:rPr>
        <w:t>the literature o</w:t>
      </w:r>
      <w:r w:rsidR="00D74B7C" w:rsidRPr="00476FC9">
        <w:rPr>
          <w:color w:val="000000" w:themeColor="text1"/>
        </w:rPr>
        <w:t>n experimental methodology. S</w:t>
      </w:r>
      <w:r w:rsidR="00511EBB" w:rsidRPr="00476FC9">
        <w:rPr>
          <w:color w:val="000000" w:themeColor="text1"/>
        </w:rPr>
        <w:t>pecifically,</w:t>
      </w:r>
      <w:r w:rsidR="001C438A" w:rsidRPr="00476FC9">
        <w:rPr>
          <w:color w:val="000000" w:themeColor="text1"/>
        </w:rPr>
        <w:t xml:space="preserve"> research suggests that </w:t>
      </w:r>
      <w:r w:rsidR="00511EBB" w:rsidRPr="00476FC9">
        <w:rPr>
          <w:color w:val="000000" w:themeColor="text1"/>
        </w:rPr>
        <w:t>subjects</w:t>
      </w:r>
      <w:r w:rsidR="001C438A" w:rsidRPr="00476FC9">
        <w:rPr>
          <w:color w:val="000000" w:themeColor="text1"/>
        </w:rPr>
        <w:t xml:space="preserve"> should be </w:t>
      </w:r>
      <w:r w:rsidR="00FB7ADE" w:rsidRPr="00476FC9">
        <w:rPr>
          <w:color w:val="000000" w:themeColor="text1"/>
        </w:rPr>
        <w:t>interviewed t</w:t>
      </w:r>
      <w:r w:rsidR="00511EBB" w:rsidRPr="00476FC9">
        <w:rPr>
          <w:color w:val="000000" w:themeColor="text1"/>
        </w:rPr>
        <w:t>o complete manipulation</w:t>
      </w:r>
      <w:r w:rsidR="00FB7ADE" w:rsidRPr="00476FC9">
        <w:rPr>
          <w:color w:val="000000" w:themeColor="text1"/>
        </w:rPr>
        <w:t xml:space="preserve"> and confounding</w:t>
      </w:r>
      <w:r w:rsidR="00511EBB" w:rsidRPr="00476FC9">
        <w:rPr>
          <w:color w:val="000000" w:themeColor="text1"/>
        </w:rPr>
        <w:t xml:space="preserve"> checks immediately after exposure to the manipulation (Aronson &amp; Carlsmith, 1968</w:t>
      </w:r>
      <w:r w:rsidR="00FB7ADE" w:rsidRPr="00476FC9">
        <w:rPr>
          <w:color w:val="000000" w:themeColor="text1"/>
        </w:rPr>
        <w:t>; Purdue &amp; Summers, 1986</w:t>
      </w:r>
      <w:r w:rsidR="00511EBB" w:rsidRPr="00476FC9">
        <w:rPr>
          <w:color w:val="000000" w:themeColor="text1"/>
        </w:rPr>
        <w:t xml:space="preserve">). Waiting until after the dependent variables have been assessed </w:t>
      </w:r>
      <w:r w:rsidR="00FB7ADE" w:rsidRPr="00476FC9">
        <w:rPr>
          <w:color w:val="000000" w:themeColor="text1"/>
        </w:rPr>
        <w:t>is likely to</w:t>
      </w:r>
      <w:r w:rsidR="00511EBB" w:rsidRPr="00476FC9">
        <w:rPr>
          <w:color w:val="000000" w:themeColor="text1"/>
        </w:rPr>
        <w:t xml:space="preserve"> decrease the subject’s capacity to </w:t>
      </w:r>
      <w:r w:rsidRPr="00476FC9">
        <w:rPr>
          <w:color w:val="000000" w:themeColor="text1"/>
        </w:rPr>
        <w:t xml:space="preserve">fully </w:t>
      </w:r>
      <w:r w:rsidR="00FB7ADE" w:rsidRPr="00476FC9">
        <w:rPr>
          <w:color w:val="000000" w:themeColor="text1"/>
        </w:rPr>
        <w:t>indicate</w:t>
      </w:r>
      <w:r w:rsidR="00511EBB" w:rsidRPr="00476FC9">
        <w:rPr>
          <w:color w:val="000000" w:themeColor="text1"/>
        </w:rPr>
        <w:t xml:space="preserve"> their responses to the manipulation and could bias their reports (Purdue &amp; Summers, 1986). </w:t>
      </w:r>
      <w:r w:rsidRPr="00476FC9">
        <w:rPr>
          <w:color w:val="000000" w:themeColor="text1"/>
        </w:rPr>
        <w:t xml:space="preserve">Moreover, </w:t>
      </w:r>
      <w:r w:rsidR="00FB7ADE" w:rsidRPr="00476FC9">
        <w:rPr>
          <w:color w:val="000000" w:themeColor="text1"/>
        </w:rPr>
        <w:t>the researcher conducted solicited interviews with pretest participants as</w:t>
      </w:r>
      <w:r w:rsidR="002C4196" w:rsidRPr="00476FC9">
        <w:rPr>
          <w:color w:val="000000" w:themeColor="text1"/>
        </w:rPr>
        <w:t xml:space="preserve"> </w:t>
      </w:r>
      <w:r w:rsidR="00FB7ADE" w:rsidRPr="00476FC9">
        <w:rPr>
          <w:color w:val="000000" w:themeColor="text1"/>
        </w:rPr>
        <w:t>supplemental</w:t>
      </w:r>
      <w:r w:rsidR="002C4196" w:rsidRPr="00476FC9">
        <w:rPr>
          <w:color w:val="000000" w:themeColor="text1"/>
        </w:rPr>
        <w:t xml:space="preserve"> qualitative techniques</w:t>
      </w:r>
      <w:r w:rsidRPr="00476FC9">
        <w:rPr>
          <w:color w:val="000000" w:themeColor="text1"/>
        </w:rPr>
        <w:t xml:space="preserve"> (Aronson &amp; Carlsmith, 1968)</w:t>
      </w:r>
      <w:r w:rsidR="002C4196" w:rsidRPr="00476FC9">
        <w:rPr>
          <w:color w:val="000000" w:themeColor="text1"/>
        </w:rPr>
        <w:t xml:space="preserve">. These methods can offer a better perspective of how the desired </w:t>
      </w:r>
      <w:r w:rsidR="00FB7ADE" w:rsidRPr="00476FC9">
        <w:rPr>
          <w:color w:val="000000" w:themeColor="text1"/>
        </w:rPr>
        <w:t>variance</w:t>
      </w:r>
      <w:r w:rsidR="002C4196" w:rsidRPr="00476FC9">
        <w:rPr>
          <w:color w:val="000000" w:themeColor="text1"/>
        </w:rPr>
        <w:t xml:space="preserve"> in the intended independent variable can be </w:t>
      </w:r>
      <w:r w:rsidR="00FB7ADE" w:rsidRPr="00476FC9">
        <w:rPr>
          <w:color w:val="000000" w:themeColor="text1"/>
        </w:rPr>
        <w:t>operated</w:t>
      </w:r>
      <w:r w:rsidR="002C4196" w:rsidRPr="00476FC9">
        <w:rPr>
          <w:color w:val="000000" w:themeColor="text1"/>
        </w:rPr>
        <w:t xml:space="preserve"> (Purdue &amp; Summers, 1986).</w:t>
      </w:r>
    </w:p>
    <w:p w:rsidR="00B0249F" w:rsidRPr="00476FC9" w:rsidRDefault="002C4196"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With regard to manipulation checks in the main experiment, although some suggest that dependent measures should be conducted first </w:t>
      </w:r>
      <w:r w:rsidR="00A051E2" w:rsidRPr="00476FC9">
        <w:rPr>
          <w:color w:val="000000" w:themeColor="text1"/>
        </w:rPr>
        <w:t xml:space="preserve">due to demand characteristics associated with self-reports or other forms of obtrusive measurement </w:t>
      </w:r>
      <w:r w:rsidRPr="00476FC9">
        <w:rPr>
          <w:color w:val="000000" w:themeColor="text1"/>
        </w:rPr>
        <w:t xml:space="preserve">(Wetzel, 1977), measuring the dependent variables before conducting the manipulation assessment presents a set of potential problems. First, </w:t>
      </w:r>
      <w:r w:rsidR="004E4D44" w:rsidRPr="00476FC9">
        <w:rPr>
          <w:color w:val="000000" w:themeColor="text1"/>
        </w:rPr>
        <w:t xml:space="preserve">when the manipulation checks come after the dependent measures, important effects of the manipulation could already have dissipated </w:t>
      </w:r>
      <w:r w:rsidR="00A051E2" w:rsidRPr="00476FC9">
        <w:rPr>
          <w:color w:val="000000" w:themeColor="text1"/>
        </w:rPr>
        <w:t xml:space="preserve">because the manipulation effects would be temporary in the level of the independent or any confounding variable </w:t>
      </w:r>
      <w:r w:rsidR="004E4D44" w:rsidRPr="00476FC9">
        <w:rPr>
          <w:color w:val="000000" w:themeColor="text1"/>
        </w:rPr>
        <w:t xml:space="preserve">(Purdue &amp; Summers, 1986). In </w:t>
      </w:r>
      <w:r w:rsidR="004E4D44" w:rsidRPr="00476FC9">
        <w:rPr>
          <w:color w:val="000000" w:themeColor="text1"/>
        </w:rPr>
        <w:lastRenderedPageBreak/>
        <w:t>particular, when these checks involve self-report measures, subjects’ responses to the dependent measures could bias their reactions to the subsequent manipulation checks (Kidd, 1976).</w:t>
      </w:r>
      <w:r w:rsidR="003333B2" w:rsidRPr="00476FC9">
        <w:rPr>
          <w:color w:val="000000" w:themeColor="text1"/>
        </w:rPr>
        <w:t xml:space="preserve"> </w:t>
      </w:r>
    </w:p>
    <w:p w:rsidR="004D5A46" w:rsidRPr="00476FC9" w:rsidRDefault="003333B2"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In thi</w:t>
      </w:r>
      <w:r w:rsidR="00E83FDA" w:rsidRPr="00476FC9">
        <w:rPr>
          <w:color w:val="000000" w:themeColor="text1"/>
        </w:rPr>
        <w:t xml:space="preserve">s study, the manipulation check results </w:t>
      </w:r>
      <w:r w:rsidRPr="00476FC9">
        <w:rPr>
          <w:color w:val="000000" w:themeColor="text1"/>
        </w:rPr>
        <w:t xml:space="preserve">appeared to be </w:t>
      </w:r>
      <w:r w:rsidR="004360E6" w:rsidRPr="00476FC9">
        <w:rPr>
          <w:color w:val="000000" w:themeColor="text1"/>
        </w:rPr>
        <w:t>significant</w:t>
      </w:r>
      <w:r w:rsidRPr="00476FC9">
        <w:rPr>
          <w:color w:val="000000" w:themeColor="text1"/>
        </w:rPr>
        <w:t xml:space="preserve">, </w:t>
      </w:r>
      <w:r w:rsidRPr="00476FC9">
        <w:rPr>
          <w:i/>
          <w:color w:val="000000" w:themeColor="text1"/>
        </w:rPr>
        <w:t>M</w:t>
      </w:r>
      <w:r w:rsidRPr="00476FC9">
        <w:rPr>
          <w:color w:val="000000" w:themeColor="text1"/>
          <w:vertAlign w:val="subscript"/>
        </w:rPr>
        <w:t>low-prominence</w:t>
      </w:r>
      <w:r w:rsidRPr="00476FC9">
        <w:rPr>
          <w:color w:val="000000" w:themeColor="text1"/>
        </w:rPr>
        <w:t xml:space="preserve"> = 4.41, </w:t>
      </w:r>
      <w:r w:rsidRPr="00476FC9">
        <w:rPr>
          <w:i/>
          <w:color w:val="000000" w:themeColor="text1"/>
        </w:rPr>
        <w:t>SD</w:t>
      </w:r>
      <w:r w:rsidRPr="00476FC9">
        <w:rPr>
          <w:color w:val="000000" w:themeColor="text1"/>
        </w:rPr>
        <w:t xml:space="preserve"> = 1.60, M</w:t>
      </w:r>
      <w:r w:rsidRPr="00476FC9">
        <w:rPr>
          <w:color w:val="000000" w:themeColor="text1"/>
          <w:vertAlign w:val="subscript"/>
        </w:rPr>
        <w:t>high-prominence</w:t>
      </w:r>
      <w:r w:rsidRPr="00476FC9">
        <w:rPr>
          <w:color w:val="000000" w:themeColor="text1"/>
        </w:rPr>
        <w:t xml:space="preserve"> = 5.03, </w:t>
      </w:r>
      <w:r w:rsidRPr="00476FC9">
        <w:rPr>
          <w:i/>
          <w:color w:val="000000" w:themeColor="text1"/>
        </w:rPr>
        <w:t>SD</w:t>
      </w:r>
      <w:r w:rsidRPr="00476FC9">
        <w:rPr>
          <w:color w:val="000000" w:themeColor="text1"/>
        </w:rPr>
        <w:t xml:space="preserve"> = 1.51, </w:t>
      </w:r>
      <w:r w:rsidRPr="00476FC9">
        <w:rPr>
          <w:i/>
          <w:color w:val="000000" w:themeColor="text1"/>
        </w:rPr>
        <w:t>F</w:t>
      </w:r>
      <w:r w:rsidRPr="00476FC9">
        <w:rPr>
          <w:color w:val="000000" w:themeColor="text1"/>
        </w:rPr>
        <w:t xml:space="preserve">(1, 262) = 10.43, </w:t>
      </w:r>
      <w:r w:rsidRPr="00476FC9">
        <w:rPr>
          <w:i/>
          <w:color w:val="000000" w:themeColor="text1"/>
        </w:rPr>
        <w:t>p</w:t>
      </w:r>
      <w:r w:rsidRPr="00476FC9">
        <w:rPr>
          <w:color w:val="000000" w:themeColor="text1"/>
        </w:rPr>
        <w:t xml:space="preserve"> ≤ .001, </w:t>
      </w:r>
      <w:r w:rsidR="004360E6" w:rsidRPr="00476FC9">
        <w:rPr>
          <w:color w:val="000000" w:themeColor="text1"/>
        </w:rPr>
        <w:t>whereas</w:t>
      </w:r>
      <w:r w:rsidRPr="00476FC9">
        <w:rPr>
          <w:color w:val="000000" w:themeColor="text1"/>
        </w:rPr>
        <w:t xml:space="preserve"> the confounding check did not show significant </w:t>
      </w:r>
      <w:r w:rsidR="004360E6" w:rsidRPr="00476FC9">
        <w:rPr>
          <w:color w:val="000000" w:themeColor="text1"/>
        </w:rPr>
        <w:t>results</w:t>
      </w:r>
      <w:r w:rsidRPr="00476FC9">
        <w:rPr>
          <w:color w:val="000000" w:themeColor="text1"/>
        </w:rPr>
        <w:t xml:space="preserve">, </w:t>
      </w:r>
      <w:r w:rsidRPr="00476FC9">
        <w:rPr>
          <w:i/>
          <w:color w:val="000000" w:themeColor="text1"/>
        </w:rPr>
        <w:t>M</w:t>
      </w:r>
      <w:r w:rsidRPr="00476FC9">
        <w:rPr>
          <w:color w:val="000000" w:themeColor="text1"/>
          <w:vertAlign w:val="subscript"/>
        </w:rPr>
        <w:t>low-prominence</w:t>
      </w:r>
      <w:r w:rsidRPr="00476FC9">
        <w:rPr>
          <w:color w:val="000000" w:themeColor="text1"/>
        </w:rPr>
        <w:t xml:space="preserve"> = 5.16, </w:t>
      </w:r>
      <w:r w:rsidRPr="00476FC9">
        <w:rPr>
          <w:i/>
          <w:color w:val="000000" w:themeColor="text1"/>
        </w:rPr>
        <w:t>SD</w:t>
      </w:r>
      <w:r w:rsidRPr="00476FC9">
        <w:rPr>
          <w:color w:val="000000" w:themeColor="text1"/>
        </w:rPr>
        <w:t xml:space="preserve"> = 1.17, M</w:t>
      </w:r>
      <w:r w:rsidRPr="00476FC9">
        <w:rPr>
          <w:color w:val="000000" w:themeColor="text1"/>
          <w:vertAlign w:val="subscript"/>
        </w:rPr>
        <w:t>high-prominence</w:t>
      </w:r>
      <w:r w:rsidRPr="00476FC9">
        <w:rPr>
          <w:color w:val="000000" w:themeColor="text1"/>
        </w:rPr>
        <w:t xml:space="preserve"> = 4.98, </w:t>
      </w:r>
      <w:r w:rsidRPr="00476FC9">
        <w:rPr>
          <w:i/>
          <w:color w:val="000000" w:themeColor="text1"/>
        </w:rPr>
        <w:t>SD</w:t>
      </w:r>
      <w:r w:rsidRPr="00476FC9">
        <w:rPr>
          <w:color w:val="000000" w:themeColor="text1"/>
        </w:rPr>
        <w:t xml:space="preserve"> = 1.45, </w:t>
      </w:r>
      <w:r w:rsidRPr="00476FC9">
        <w:rPr>
          <w:i/>
          <w:color w:val="000000" w:themeColor="text1"/>
        </w:rPr>
        <w:t>F</w:t>
      </w:r>
      <w:r w:rsidRPr="00476FC9">
        <w:rPr>
          <w:color w:val="000000" w:themeColor="text1"/>
        </w:rPr>
        <w:t xml:space="preserve">(1, 262) = 11.26, </w:t>
      </w:r>
      <w:r w:rsidRPr="00476FC9">
        <w:rPr>
          <w:i/>
          <w:color w:val="000000" w:themeColor="text1"/>
        </w:rPr>
        <w:t>p</w:t>
      </w:r>
      <w:r w:rsidRPr="00476FC9">
        <w:rPr>
          <w:color w:val="000000" w:themeColor="text1"/>
        </w:rPr>
        <w:t xml:space="preserve"> &gt; .</w:t>
      </w:r>
      <w:r w:rsidR="00B0249F" w:rsidRPr="00476FC9">
        <w:rPr>
          <w:color w:val="000000" w:themeColor="text1"/>
        </w:rPr>
        <w:t xml:space="preserve">10, using the statement “How prominent do you feel was the information in the ad about the uses of Luminexell?” with endpoints of “not at all prominent” and “extremely prominent.” Although use of confounding checks has been rarely employed in marketing experiments </w:t>
      </w:r>
      <w:r w:rsidR="00331AC5" w:rsidRPr="00476FC9">
        <w:rPr>
          <w:color w:val="000000" w:themeColor="text1"/>
        </w:rPr>
        <w:t xml:space="preserve">despite its importance </w:t>
      </w:r>
      <w:r w:rsidR="00B0249F" w:rsidRPr="00476FC9">
        <w:rPr>
          <w:color w:val="000000" w:themeColor="text1"/>
        </w:rPr>
        <w:t xml:space="preserve">(Purdue &amp; Summers, 1986), the current research </w:t>
      </w:r>
      <w:r w:rsidR="005C1C9F" w:rsidRPr="00476FC9">
        <w:rPr>
          <w:color w:val="000000" w:themeColor="text1"/>
        </w:rPr>
        <w:t xml:space="preserve">utilized </w:t>
      </w:r>
      <w:r w:rsidR="00B0249F" w:rsidRPr="00476FC9">
        <w:rPr>
          <w:color w:val="000000" w:themeColor="text1"/>
        </w:rPr>
        <w:t>the confounding check an</w:t>
      </w:r>
      <w:r w:rsidR="005C1C9F" w:rsidRPr="00476FC9">
        <w:rPr>
          <w:color w:val="000000" w:themeColor="text1"/>
        </w:rPr>
        <w:t>d</w:t>
      </w:r>
      <w:r w:rsidR="00B0249F" w:rsidRPr="00476FC9">
        <w:rPr>
          <w:color w:val="000000" w:themeColor="text1"/>
        </w:rPr>
        <w:t xml:space="preserve"> </w:t>
      </w:r>
      <w:r w:rsidR="00E77E9E" w:rsidRPr="00476FC9">
        <w:rPr>
          <w:color w:val="000000" w:themeColor="text1"/>
        </w:rPr>
        <w:t xml:space="preserve">further </w:t>
      </w:r>
      <w:r w:rsidR="005C1C9F" w:rsidRPr="00476FC9">
        <w:rPr>
          <w:color w:val="000000" w:themeColor="text1"/>
        </w:rPr>
        <w:t xml:space="preserve">demonstrated </w:t>
      </w:r>
      <w:r w:rsidR="00A44893" w:rsidRPr="00476FC9">
        <w:rPr>
          <w:color w:val="000000" w:themeColor="text1"/>
        </w:rPr>
        <w:t>that</w:t>
      </w:r>
      <w:r w:rsidR="00E77E9E" w:rsidRPr="00476FC9">
        <w:rPr>
          <w:color w:val="000000" w:themeColor="text1"/>
        </w:rPr>
        <w:t xml:space="preserve"> the manipulation </w:t>
      </w:r>
      <w:r w:rsidR="003B2491" w:rsidRPr="00476FC9">
        <w:rPr>
          <w:color w:val="000000" w:themeColor="text1"/>
        </w:rPr>
        <w:t>was successful</w:t>
      </w:r>
      <w:r w:rsidR="00DE518C" w:rsidRPr="00476FC9">
        <w:rPr>
          <w:color w:val="000000" w:themeColor="text1"/>
        </w:rPr>
        <w:t xml:space="preserve"> with less concern about potential confounding</w:t>
      </w:r>
      <w:r w:rsidR="005C1C9F" w:rsidRPr="00476FC9">
        <w:rPr>
          <w:color w:val="000000" w:themeColor="text1"/>
        </w:rPr>
        <w:t>.</w:t>
      </w:r>
    </w:p>
    <w:p w:rsidR="005C1C9F" w:rsidRPr="00476FC9" w:rsidRDefault="005C1C9F"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To address alternative </w:t>
      </w:r>
      <w:r w:rsidR="00DE518C" w:rsidRPr="00476FC9">
        <w:rPr>
          <w:color w:val="000000" w:themeColor="text1"/>
        </w:rPr>
        <w:t>insights for</w:t>
      </w:r>
      <w:r w:rsidRPr="00476FC9">
        <w:rPr>
          <w:color w:val="000000" w:themeColor="text1"/>
        </w:rPr>
        <w:t xml:space="preserve"> the ordering of manipulation checks and dependent measures, Kidd (1976) suggests the creation of manipulation check groups whose sole purpose is the assessment of manipulation success. However, Wetzel (1977) argues that the subjects in a pretest serve the function of Kidd’s (1976) manipulation check groups. In this study, a </w:t>
      </w:r>
      <w:r w:rsidR="00D937FC" w:rsidRPr="00476FC9">
        <w:rPr>
          <w:color w:val="000000" w:themeColor="text1"/>
        </w:rPr>
        <w:t>series</w:t>
      </w:r>
      <w:r w:rsidRPr="00476FC9">
        <w:rPr>
          <w:color w:val="000000" w:themeColor="text1"/>
        </w:rPr>
        <w:t xml:space="preserve"> of pretests ensuring the equivalence </w:t>
      </w:r>
      <w:r w:rsidR="00634ECD" w:rsidRPr="00476FC9">
        <w:rPr>
          <w:color w:val="000000" w:themeColor="text1"/>
        </w:rPr>
        <w:t xml:space="preserve">between </w:t>
      </w:r>
      <w:r w:rsidRPr="00476FC9">
        <w:rPr>
          <w:color w:val="000000" w:themeColor="text1"/>
        </w:rPr>
        <w:t>the pretests and the main experiment clearly support the manipulation of prominence was successful</w:t>
      </w:r>
      <w:r w:rsidR="00634ECD" w:rsidRPr="00476FC9">
        <w:rPr>
          <w:color w:val="000000" w:themeColor="text1"/>
        </w:rPr>
        <w:t>,</w:t>
      </w:r>
      <w:r w:rsidRPr="00476FC9">
        <w:rPr>
          <w:color w:val="000000" w:themeColor="text1"/>
        </w:rPr>
        <w:t xml:space="preserve"> and the pattern of prominence effects on major dependent variables were similar, indicating that the potential problem of the ordering effects of manipulation checks before dependent variables are less plausible.</w:t>
      </w:r>
    </w:p>
    <w:p w:rsidR="005C1C9F" w:rsidRDefault="005C1C9F" w:rsidP="007D2ACE">
      <w:pPr>
        <w:keepNext w:val="0"/>
        <w:widowControl w:val="0"/>
        <w:kinsoku w:val="0"/>
        <w:overflowPunct w:val="0"/>
        <w:autoSpaceDE w:val="0"/>
        <w:autoSpaceDN w:val="0"/>
        <w:adjustRightInd w:val="0"/>
        <w:snapToGrid w:val="0"/>
        <w:spacing w:before="0" w:after="0"/>
        <w:ind w:firstLine="720"/>
        <w:rPr>
          <w:color w:val="000000" w:themeColor="text1"/>
        </w:rPr>
      </w:pPr>
    </w:p>
    <w:p w:rsidR="007D2ACE" w:rsidRDefault="007D2ACE" w:rsidP="007D2ACE">
      <w:pPr>
        <w:keepNext w:val="0"/>
        <w:widowControl w:val="0"/>
        <w:kinsoku w:val="0"/>
        <w:overflowPunct w:val="0"/>
        <w:autoSpaceDE w:val="0"/>
        <w:autoSpaceDN w:val="0"/>
        <w:adjustRightInd w:val="0"/>
        <w:snapToGrid w:val="0"/>
        <w:spacing w:before="0" w:after="0"/>
        <w:ind w:firstLine="720"/>
        <w:rPr>
          <w:color w:val="000000" w:themeColor="text1"/>
        </w:rPr>
      </w:pPr>
    </w:p>
    <w:p w:rsidR="007D2ACE" w:rsidRPr="00476FC9" w:rsidRDefault="007D2ACE" w:rsidP="007D2ACE">
      <w:pPr>
        <w:keepNext w:val="0"/>
        <w:widowControl w:val="0"/>
        <w:kinsoku w:val="0"/>
        <w:overflowPunct w:val="0"/>
        <w:autoSpaceDE w:val="0"/>
        <w:autoSpaceDN w:val="0"/>
        <w:adjustRightInd w:val="0"/>
        <w:snapToGrid w:val="0"/>
        <w:spacing w:before="0" w:after="0"/>
        <w:ind w:firstLine="720"/>
        <w:rPr>
          <w:color w:val="000000" w:themeColor="text1"/>
        </w:rPr>
      </w:pPr>
    </w:p>
    <w:p w:rsidR="00C70B07" w:rsidRPr="00476FC9" w:rsidRDefault="00C70B07" w:rsidP="007D2ACE">
      <w:pPr>
        <w:pStyle w:val="Heading2"/>
        <w:rPr>
          <w:color w:val="000000" w:themeColor="text1"/>
        </w:rPr>
      </w:pPr>
      <w:bookmarkStart w:id="35" w:name="_Toc393800679"/>
      <w:r w:rsidRPr="00476FC9">
        <w:rPr>
          <w:color w:val="000000" w:themeColor="text1"/>
        </w:rPr>
        <w:lastRenderedPageBreak/>
        <w:t>Measurements</w:t>
      </w:r>
      <w:bookmarkEnd w:id="35"/>
    </w:p>
    <w:p w:rsidR="00C70B07" w:rsidRPr="00476FC9" w:rsidRDefault="004171B2" w:rsidP="007D2ACE">
      <w:pPr>
        <w:pStyle w:val="Heading3"/>
        <w:widowControl w:val="0"/>
        <w:kinsoku w:val="0"/>
        <w:overflowPunct w:val="0"/>
        <w:autoSpaceDE w:val="0"/>
        <w:autoSpaceDN w:val="0"/>
        <w:snapToGrid w:val="0"/>
        <w:contextualSpacing w:val="0"/>
        <w:rPr>
          <w:color w:val="000000" w:themeColor="text1"/>
        </w:rPr>
      </w:pPr>
      <w:bookmarkStart w:id="36" w:name="_Toc393800680"/>
      <w:r w:rsidRPr="00476FC9">
        <w:rPr>
          <w:color w:val="000000" w:themeColor="text1"/>
        </w:rPr>
        <w:t>Measured Independent Variable</w:t>
      </w:r>
      <w:r w:rsidR="00C70B07" w:rsidRPr="00476FC9">
        <w:rPr>
          <w:color w:val="000000" w:themeColor="text1"/>
        </w:rPr>
        <w:t xml:space="preserve">: </w:t>
      </w:r>
      <w:r w:rsidR="00BD4731" w:rsidRPr="00476FC9">
        <w:rPr>
          <w:color w:val="000000" w:themeColor="text1"/>
        </w:rPr>
        <w:t xml:space="preserve">DTCA </w:t>
      </w:r>
      <w:r w:rsidR="00EB1FEC" w:rsidRPr="00476FC9">
        <w:rPr>
          <w:color w:val="000000" w:themeColor="text1"/>
        </w:rPr>
        <w:t>Regulatory</w:t>
      </w:r>
      <w:r w:rsidR="00BD4731" w:rsidRPr="00476FC9">
        <w:rPr>
          <w:color w:val="000000" w:themeColor="text1"/>
        </w:rPr>
        <w:t xml:space="preserve"> </w:t>
      </w:r>
      <w:r w:rsidR="00C70B07" w:rsidRPr="00476FC9">
        <w:rPr>
          <w:color w:val="000000" w:themeColor="text1"/>
        </w:rPr>
        <w:t>Knowledge</w:t>
      </w:r>
      <w:bookmarkEnd w:id="36"/>
    </w:p>
    <w:p w:rsidR="00C70B07" w:rsidRPr="00476FC9" w:rsidRDefault="00470C13"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DTCA regulatory knowledge</w:t>
      </w:r>
      <w:r w:rsidR="00C70B07" w:rsidRPr="00476FC9">
        <w:rPr>
          <w:color w:val="000000" w:themeColor="text1"/>
        </w:rPr>
        <w:t xml:space="preserve"> </w:t>
      </w:r>
      <w:r w:rsidR="00EE3702" w:rsidRPr="00476FC9">
        <w:rPr>
          <w:color w:val="000000" w:themeColor="text1"/>
        </w:rPr>
        <w:t>was</w:t>
      </w:r>
      <w:r w:rsidR="00C70B07" w:rsidRPr="00476FC9">
        <w:rPr>
          <w:color w:val="000000" w:themeColor="text1"/>
        </w:rPr>
        <w:t xml:space="preserve"> measured using multiple items adopted from the FDA’s consumer education </w:t>
      </w:r>
      <w:r w:rsidRPr="00476FC9">
        <w:rPr>
          <w:color w:val="000000" w:themeColor="text1"/>
        </w:rPr>
        <w:t>webpage</w:t>
      </w:r>
      <w:r w:rsidR="00C70B07" w:rsidRPr="00476FC9">
        <w:rPr>
          <w:color w:val="000000" w:themeColor="text1"/>
        </w:rPr>
        <w:t xml:space="preserve"> regarding prescription drug advertising, </w:t>
      </w:r>
      <w:r w:rsidR="00C70B07" w:rsidRPr="00476FC9">
        <w:rPr>
          <w:i/>
          <w:color w:val="000000" w:themeColor="text1"/>
        </w:rPr>
        <w:t>For Consumers &amp; Patients</w:t>
      </w:r>
      <w:r w:rsidR="00C70B07" w:rsidRPr="00476FC9">
        <w:rPr>
          <w:color w:val="000000" w:themeColor="text1"/>
        </w:rPr>
        <w:t xml:space="preserve"> (FDA, 2014). The FDA provides health information on its website for consumers to stay safe and healthy. On the website, consumers can </w:t>
      </w:r>
      <w:r w:rsidR="004171B2" w:rsidRPr="00476FC9">
        <w:rPr>
          <w:color w:val="000000" w:themeColor="text1"/>
        </w:rPr>
        <w:t xml:space="preserve">obtain </w:t>
      </w:r>
      <w:r w:rsidR="00C70B07" w:rsidRPr="00476FC9">
        <w:rPr>
          <w:color w:val="000000" w:themeColor="text1"/>
        </w:rPr>
        <w:t>information by topic such as cosmetics, drugs, food, medical devices, and tobacco products. If consumers click on the drugs menu, they are linked to various information sources regarding the use of drug such as educational resources, buying &amp; using medicine safely, tips for seniors, tips for parents, and</w:t>
      </w:r>
      <w:r w:rsidR="004171B2" w:rsidRPr="00476FC9">
        <w:rPr>
          <w:color w:val="000000" w:themeColor="text1"/>
        </w:rPr>
        <w:t xml:space="preserve"> prescription drug advertising.</w:t>
      </w:r>
    </w:p>
    <w:p w:rsidR="00C70B07" w:rsidRPr="00476FC9" w:rsidRDefault="00C70B07"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t xml:space="preserve">Consumers can navigate detailed information through clicking on the prescription drug advertising menu from the left side navigation column. The linked page shows important and relevant information regarding prescription drug advertising, including the background of drug advertising, basics of drug ads, questions to ask yourself, and sample prescription drug advertisements, in order to promote general knowledge of </w:t>
      </w:r>
      <w:r w:rsidR="006415D2" w:rsidRPr="00476FC9">
        <w:rPr>
          <w:color w:val="000000" w:themeColor="text1"/>
        </w:rPr>
        <w:t xml:space="preserve">the </w:t>
      </w:r>
      <w:r w:rsidRPr="00476FC9">
        <w:rPr>
          <w:color w:val="000000" w:themeColor="text1"/>
        </w:rPr>
        <w:t>DTCA</w:t>
      </w:r>
      <w:r w:rsidR="00EE3702" w:rsidRPr="00476FC9">
        <w:rPr>
          <w:color w:val="000000" w:themeColor="text1"/>
        </w:rPr>
        <w:t xml:space="preserve"> </w:t>
      </w:r>
      <w:r w:rsidR="006415D2" w:rsidRPr="00476FC9">
        <w:rPr>
          <w:color w:val="000000" w:themeColor="text1"/>
        </w:rPr>
        <w:t>category</w:t>
      </w:r>
      <w:r w:rsidRPr="00476FC9">
        <w:rPr>
          <w:color w:val="000000" w:themeColor="text1"/>
        </w:rPr>
        <w:t xml:space="preserve">. Among others, the page provides consumers with </w:t>
      </w:r>
      <w:r w:rsidRPr="00476FC9">
        <w:rPr>
          <w:i/>
          <w:color w:val="000000" w:themeColor="text1"/>
        </w:rPr>
        <w:t>frequent</w:t>
      </w:r>
      <w:r w:rsidRPr="00476FC9">
        <w:rPr>
          <w:color w:val="000000" w:themeColor="text1"/>
        </w:rPr>
        <w:t xml:space="preserve"> </w:t>
      </w:r>
      <w:r w:rsidRPr="00476FC9">
        <w:rPr>
          <w:i/>
          <w:color w:val="000000" w:themeColor="text1"/>
        </w:rPr>
        <w:t>questions and answers</w:t>
      </w:r>
      <w:r w:rsidRPr="00476FC9">
        <w:rPr>
          <w:color w:val="000000" w:themeColor="text1"/>
        </w:rPr>
        <w:t xml:space="preserve"> (Q&amp;A) regarding prescription drug advertising to inform consumers about the </w:t>
      </w:r>
      <w:r w:rsidR="00EE3702" w:rsidRPr="00476FC9">
        <w:rPr>
          <w:color w:val="000000" w:themeColor="text1"/>
        </w:rPr>
        <w:t xml:space="preserve">DTCA </w:t>
      </w:r>
      <w:r w:rsidR="006415D2" w:rsidRPr="00476FC9">
        <w:rPr>
          <w:color w:val="000000" w:themeColor="text1"/>
        </w:rPr>
        <w:t>category</w:t>
      </w:r>
      <w:r w:rsidR="00470C13" w:rsidRPr="00476FC9">
        <w:rPr>
          <w:color w:val="000000" w:themeColor="text1"/>
        </w:rPr>
        <w:t>’s regulatory context</w:t>
      </w:r>
      <w:r w:rsidRPr="00476FC9">
        <w:rPr>
          <w:color w:val="000000" w:themeColor="text1"/>
        </w:rPr>
        <w:t>.</w:t>
      </w:r>
      <w:r w:rsidR="00EE3702" w:rsidRPr="00476FC9">
        <w:rPr>
          <w:color w:val="000000" w:themeColor="text1"/>
        </w:rPr>
        <w:t xml:space="preserve"> </w:t>
      </w:r>
      <w:r w:rsidRPr="00476FC9">
        <w:rPr>
          <w:color w:val="000000" w:themeColor="text1"/>
        </w:rPr>
        <w:t xml:space="preserve">The current research </w:t>
      </w:r>
      <w:r w:rsidR="00EE3702" w:rsidRPr="00476FC9">
        <w:rPr>
          <w:color w:val="000000" w:themeColor="text1"/>
        </w:rPr>
        <w:t>borrows the DTCA knowledge measure items from</w:t>
      </w:r>
      <w:r w:rsidRPr="00476FC9">
        <w:rPr>
          <w:color w:val="000000" w:themeColor="text1"/>
        </w:rPr>
        <w:t xml:space="preserve"> the Q&amp;A section</w:t>
      </w:r>
      <w:r w:rsidR="00EE3702" w:rsidRPr="00476FC9">
        <w:rPr>
          <w:color w:val="000000" w:themeColor="text1"/>
        </w:rPr>
        <w:t>,</w:t>
      </w:r>
      <w:r w:rsidRPr="00476FC9">
        <w:rPr>
          <w:color w:val="000000" w:themeColor="text1"/>
        </w:rPr>
        <w:t xml:space="preserve"> because it best represents the current </w:t>
      </w:r>
      <w:r w:rsidR="00EE3702" w:rsidRPr="00476FC9">
        <w:rPr>
          <w:color w:val="000000" w:themeColor="text1"/>
        </w:rPr>
        <w:t xml:space="preserve">FDA’s thought </w:t>
      </w:r>
      <w:r w:rsidRPr="00476FC9">
        <w:rPr>
          <w:color w:val="000000" w:themeColor="text1"/>
        </w:rPr>
        <w:t xml:space="preserve">and </w:t>
      </w:r>
      <w:r w:rsidR="00EE3702" w:rsidRPr="00476FC9">
        <w:rPr>
          <w:color w:val="000000" w:themeColor="text1"/>
        </w:rPr>
        <w:t xml:space="preserve">consumers’ </w:t>
      </w:r>
      <w:r w:rsidRPr="00476FC9">
        <w:rPr>
          <w:color w:val="000000" w:themeColor="text1"/>
        </w:rPr>
        <w:t>most frequent</w:t>
      </w:r>
      <w:r w:rsidR="00EE3702" w:rsidRPr="00476FC9">
        <w:rPr>
          <w:color w:val="000000" w:themeColor="text1"/>
        </w:rPr>
        <w:t xml:space="preserve"> </w:t>
      </w:r>
      <w:r w:rsidRPr="00476FC9">
        <w:rPr>
          <w:color w:val="000000" w:themeColor="text1"/>
        </w:rPr>
        <w:t>questions regarding the DTCA category.</w:t>
      </w:r>
    </w:p>
    <w:p w:rsidR="00C70B07" w:rsidRPr="00476FC9" w:rsidRDefault="00C70B07" w:rsidP="007D2ACE">
      <w:pPr>
        <w:keepNext w:val="0"/>
        <w:widowControl w:val="0"/>
        <w:kinsoku w:val="0"/>
        <w:overflowPunct w:val="0"/>
        <w:autoSpaceDE w:val="0"/>
        <w:autoSpaceDN w:val="0"/>
        <w:adjustRightInd w:val="0"/>
        <w:snapToGrid w:val="0"/>
        <w:spacing w:before="0" w:after="0"/>
        <w:rPr>
          <w:vanish/>
          <w:color w:val="000000" w:themeColor="text1"/>
          <w:specVanish/>
        </w:rPr>
      </w:pPr>
    </w:p>
    <w:p w:rsidR="00EF16A0" w:rsidRPr="00476FC9" w:rsidRDefault="00C70B07"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EF16A0" w:rsidRPr="00476FC9">
        <w:rPr>
          <w:color w:val="000000" w:themeColor="text1"/>
        </w:rPr>
        <w:t>Individuals’ DTCA regulatory knowledge has been neither measured nor controlled</w:t>
      </w:r>
      <w:r w:rsidR="000B0066" w:rsidRPr="00476FC9">
        <w:rPr>
          <w:color w:val="000000" w:themeColor="text1"/>
        </w:rPr>
        <w:t xml:space="preserve"> in the literature</w:t>
      </w:r>
      <w:r w:rsidR="00EF16A0" w:rsidRPr="00476FC9">
        <w:rPr>
          <w:color w:val="000000" w:themeColor="text1"/>
        </w:rPr>
        <w:t>. Theref</w:t>
      </w:r>
      <w:r w:rsidR="00AB4CB0" w:rsidRPr="00476FC9">
        <w:rPr>
          <w:color w:val="000000" w:themeColor="text1"/>
        </w:rPr>
        <w:t xml:space="preserve">ore, developing the measurement </w:t>
      </w:r>
      <w:r w:rsidR="00EF16A0" w:rsidRPr="00476FC9">
        <w:rPr>
          <w:color w:val="000000" w:themeColor="text1"/>
        </w:rPr>
        <w:t xml:space="preserve">of this construct was critical for this </w:t>
      </w:r>
      <w:r w:rsidR="00EF16A0" w:rsidRPr="00476FC9">
        <w:rPr>
          <w:color w:val="000000" w:themeColor="text1"/>
        </w:rPr>
        <w:lastRenderedPageBreak/>
        <w:t>research</w:t>
      </w:r>
      <w:r w:rsidR="00C03D11" w:rsidRPr="00476FC9">
        <w:rPr>
          <w:color w:val="000000" w:themeColor="text1"/>
        </w:rPr>
        <w:t xml:space="preserve">. The measurement of knowledge has long been a subject in the marketing literature </w:t>
      </w:r>
      <w:r w:rsidR="00AB4CB0" w:rsidRPr="00476FC9">
        <w:rPr>
          <w:color w:val="000000" w:themeColor="text1"/>
        </w:rPr>
        <w:t xml:space="preserve">(e.g., House et al., 2004; </w:t>
      </w:r>
      <w:r w:rsidR="00EF21C1" w:rsidRPr="00476FC9">
        <w:rPr>
          <w:color w:val="000000" w:themeColor="text1"/>
        </w:rPr>
        <w:t>Park</w:t>
      </w:r>
      <w:r w:rsidR="00EF21C1" w:rsidRPr="00476FC9">
        <w:rPr>
          <w:rFonts w:eastAsiaTheme="minorEastAsia" w:hint="eastAsia"/>
          <w:color w:val="000000" w:themeColor="text1"/>
        </w:rPr>
        <w:t xml:space="preserve"> et al., </w:t>
      </w:r>
      <w:r w:rsidR="00AB4CB0" w:rsidRPr="00476FC9">
        <w:rPr>
          <w:color w:val="000000" w:themeColor="text1"/>
        </w:rPr>
        <w:t>1994)</w:t>
      </w:r>
      <w:r w:rsidR="00C03D11" w:rsidRPr="00476FC9">
        <w:rPr>
          <w:color w:val="000000" w:themeColor="text1"/>
        </w:rPr>
        <w:t xml:space="preserve">. </w:t>
      </w:r>
      <w:r w:rsidR="0016430A" w:rsidRPr="00476FC9">
        <w:rPr>
          <w:color w:val="000000" w:themeColor="text1"/>
        </w:rPr>
        <w:t>The current</w:t>
      </w:r>
      <w:r w:rsidR="00EE21B1" w:rsidRPr="00476FC9">
        <w:rPr>
          <w:color w:val="000000" w:themeColor="text1"/>
        </w:rPr>
        <w:t xml:space="preserve"> research </w:t>
      </w:r>
      <w:r w:rsidR="00806F27" w:rsidRPr="00476FC9">
        <w:rPr>
          <w:color w:val="000000" w:themeColor="text1"/>
        </w:rPr>
        <w:t xml:space="preserve">adopted a </w:t>
      </w:r>
      <w:r w:rsidR="00EE21B1" w:rsidRPr="00476FC9">
        <w:rPr>
          <w:color w:val="000000" w:themeColor="text1"/>
        </w:rPr>
        <w:t xml:space="preserve">widely suggested approach to measure </w:t>
      </w:r>
      <w:r w:rsidR="00AB4CB0" w:rsidRPr="00476FC9">
        <w:rPr>
          <w:color w:val="000000" w:themeColor="text1"/>
        </w:rPr>
        <w:t>DTCA regulatory knowledge</w:t>
      </w:r>
      <w:r w:rsidR="00EE21B1" w:rsidRPr="00476FC9">
        <w:rPr>
          <w:color w:val="000000" w:themeColor="text1"/>
        </w:rPr>
        <w:t>. The objective measure of DTCA regulatory knowledge was designed as series of six true/false</w:t>
      </w:r>
      <w:r w:rsidR="00AB4CB0" w:rsidRPr="00476FC9">
        <w:rPr>
          <w:color w:val="000000" w:themeColor="text1"/>
        </w:rPr>
        <w:t xml:space="preserve"> items</w:t>
      </w:r>
      <w:r w:rsidR="0021053D" w:rsidRPr="00476FC9">
        <w:rPr>
          <w:color w:val="000000" w:themeColor="text1"/>
        </w:rPr>
        <w:t>.</w:t>
      </w:r>
      <w:r w:rsidR="00806F27" w:rsidRPr="00476FC9">
        <w:rPr>
          <w:color w:val="000000" w:themeColor="text1"/>
        </w:rPr>
        <w:t xml:space="preserve"> </w:t>
      </w:r>
      <w:r w:rsidR="00AB4CB0" w:rsidRPr="00476FC9">
        <w:rPr>
          <w:color w:val="000000" w:themeColor="text1"/>
        </w:rPr>
        <w:t xml:space="preserve">According to previous research </w:t>
      </w:r>
      <w:r w:rsidR="00BD2C39" w:rsidRPr="00476FC9">
        <w:rPr>
          <w:color w:val="000000" w:themeColor="text1"/>
        </w:rPr>
        <w:t xml:space="preserve">approach </w:t>
      </w:r>
      <w:r w:rsidR="00AB4CB0" w:rsidRPr="00476FC9">
        <w:rPr>
          <w:color w:val="000000" w:themeColor="text1"/>
        </w:rPr>
        <w:t>(Park et al., 1994), the items</w:t>
      </w:r>
      <w:r w:rsidR="00806F27" w:rsidRPr="00476FC9">
        <w:rPr>
          <w:color w:val="000000" w:themeColor="text1"/>
        </w:rPr>
        <w:t xml:space="preserve"> were </w:t>
      </w:r>
      <w:r w:rsidR="00AB4CB0" w:rsidRPr="00476FC9">
        <w:rPr>
          <w:color w:val="000000" w:themeColor="text1"/>
        </w:rPr>
        <w:t xml:space="preserve">selected </w:t>
      </w:r>
      <w:r w:rsidR="00806F27" w:rsidRPr="00476FC9">
        <w:rPr>
          <w:color w:val="000000" w:themeColor="text1"/>
        </w:rPr>
        <w:t xml:space="preserve">from the FDA’s consumer education page </w:t>
      </w:r>
      <w:r w:rsidR="00247CC5" w:rsidRPr="00476FC9">
        <w:rPr>
          <w:color w:val="000000" w:themeColor="text1"/>
        </w:rPr>
        <w:t>through</w:t>
      </w:r>
      <w:r w:rsidR="00806F27" w:rsidRPr="00476FC9">
        <w:rPr>
          <w:color w:val="000000" w:themeColor="text1"/>
        </w:rPr>
        <w:t xml:space="preserve"> discussions with DTCA experts and from modifications of the </w:t>
      </w:r>
      <w:r w:rsidR="00A23745" w:rsidRPr="00476FC9">
        <w:rPr>
          <w:color w:val="000000" w:themeColor="text1"/>
        </w:rPr>
        <w:t>pretest</w:t>
      </w:r>
      <w:r w:rsidR="00806F27" w:rsidRPr="00476FC9">
        <w:rPr>
          <w:color w:val="000000" w:themeColor="text1"/>
        </w:rPr>
        <w:t xml:space="preserve"> items. </w:t>
      </w:r>
    </w:p>
    <w:p w:rsidR="00C70B07" w:rsidRPr="00476FC9" w:rsidRDefault="00B15C92"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More specifically, t</w:t>
      </w:r>
      <w:r w:rsidR="00C70B07" w:rsidRPr="00476FC9">
        <w:rPr>
          <w:color w:val="000000" w:themeColor="text1"/>
        </w:rPr>
        <w:t>o establish the validity</w:t>
      </w:r>
      <w:r w:rsidR="00EE3702" w:rsidRPr="00476FC9">
        <w:rPr>
          <w:color w:val="000000" w:themeColor="text1"/>
        </w:rPr>
        <w:t xml:space="preserve"> of the </w:t>
      </w:r>
      <w:r w:rsidR="00B97C05" w:rsidRPr="00476FC9">
        <w:rPr>
          <w:color w:val="000000" w:themeColor="text1"/>
        </w:rPr>
        <w:t>measurement</w:t>
      </w:r>
      <w:r w:rsidR="00C70B07" w:rsidRPr="00476FC9">
        <w:rPr>
          <w:color w:val="000000" w:themeColor="text1"/>
        </w:rPr>
        <w:t xml:space="preserve">, the items </w:t>
      </w:r>
      <w:r w:rsidR="00EE3702" w:rsidRPr="00476FC9">
        <w:rPr>
          <w:color w:val="000000" w:themeColor="text1"/>
        </w:rPr>
        <w:t xml:space="preserve">were </w:t>
      </w:r>
      <w:r w:rsidR="00C70B07" w:rsidRPr="00476FC9">
        <w:rPr>
          <w:color w:val="000000" w:themeColor="text1"/>
        </w:rPr>
        <w:t xml:space="preserve">reviewed by </w:t>
      </w:r>
      <w:r w:rsidR="00EE3702" w:rsidRPr="00476FC9">
        <w:rPr>
          <w:color w:val="000000" w:themeColor="text1"/>
        </w:rPr>
        <w:t>professional D</w:t>
      </w:r>
      <w:r w:rsidR="00C70B07" w:rsidRPr="00476FC9">
        <w:rPr>
          <w:color w:val="000000" w:themeColor="text1"/>
        </w:rPr>
        <w:t xml:space="preserve">TCA researchers, and </w:t>
      </w:r>
      <w:r w:rsidR="00EE3702" w:rsidRPr="00476FC9">
        <w:rPr>
          <w:color w:val="000000" w:themeColor="text1"/>
        </w:rPr>
        <w:t xml:space="preserve">selected and </w:t>
      </w:r>
      <w:r w:rsidR="00C70B07" w:rsidRPr="00476FC9">
        <w:rPr>
          <w:color w:val="000000" w:themeColor="text1"/>
        </w:rPr>
        <w:t>refined</w:t>
      </w:r>
      <w:r w:rsidR="00EE3702" w:rsidRPr="00476FC9">
        <w:rPr>
          <w:color w:val="000000" w:themeColor="text1"/>
        </w:rPr>
        <w:t xml:space="preserve"> to </w:t>
      </w:r>
      <w:r w:rsidRPr="00476FC9">
        <w:rPr>
          <w:color w:val="000000" w:themeColor="text1"/>
        </w:rPr>
        <w:t xml:space="preserve">form a </w:t>
      </w:r>
      <w:r w:rsidR="00EE3702" w:rsidRPr="00476FC9">
        <w:rPr>
          <w:color w:val="000000" w:themeColor="text1"/>
        </w:rPr>
        <w:t>better measure</w:t>
      </w:r>
      <w:r w:rsidRPr="00476FC9">
        <w:rPr>
          <w:color w:val="000000" w:themeColor="text1"/>
        </w:rPr>
        <w:t xml:space="preserve">ment scale for </w:t>
      </w:r>
      <w:r w:rsidR="00EE3702" w:rsidRPr="00476FC9">
        <w:rPr>
          <w:color w:val="000000" w:themeColor="text1"/>
        </w:rPr>
        <w:t>the intended construct</w:t>
      </w:r>
      <w:r w:rsidR="00C70B07" w:rsidRPr="00476FC9">
        <w:rPr>
          <w:color w:val="000000" w:themeColor="text1"/>
        </w:rPr>
        <w:t>.</w:t>
      </w:r>
      <w:r w:rsidR="00EE3702" w:rsidRPr="00476FC9">
        <w:rPr>
          <w:color w:val="000000" w:themeColor="text1"/>
        </w:rPr>
        <w:t xml:space="preserve"> </w:t>
      </w:r>
      <w:r w:rsidR="00C70B07" w:rsidRPr="00476FC9">
        <w:rPr>
          <w:color w:val="000000" w:themeColor="text1"/>
        </w:rPr>
        <w:t xml:space="preserve">The </w:t>
      </w:r>
      <w:r w:rsidR="00C027A4" w:rsidRPr="00476FC9">
        <w:rPr>
          <w:color w:val="000000" w:themeColor="text1"/>
        </w:rPr>
        <w:t>measure items</w:t>
      </w:r>
      <w:r w:rsidR="00C70B07" w:rsidRPr="00476FC9">
        <w:rPr>
          <w:color w:val="000000" w:themeColor="text1"/>
        </w:rPr>
        <w:t xml:space="preserve"> </w:t>
      </w:r>
      <w:r w:rsidR="00EE3702" w:rsidRPr="00476FC9">
        <w:rPr>
          <w:color w:val="000000" w:themeColor="text1"/>
        </w:rPr>
        <w:t>included</w:t>
      </w:r>
      <w:r w:rsidR="00C70B07" w:rsidRPr="00476FC9">
        <w:rPr>
          <w:color w:val="000000" w:themeColor="text1"/>
        </w:rPr>
        <w:t xml:space="preserve">: (1) </w:t>
      </w:r>
      <w:r w:rsidR="00EE3702" w:rsidRPr="00476FC9">
        <w:rPr>
          <w:color w:val="000000" w:themeColor="text1"/>
        </w:rPr>
        <w:t xml:space="preserve">The FDA bans consumer-directed </w:t>
      </w:r>
      <w:r w:rsidR="0093290B" w:rsidRPr="00476FC9">
        <w:rPr>
          <w:color w:val="000000" w:themeColor="text1"/>
        </w:rPr>
        <w:t>ads for prescription drugs that have serious health risks</w:t>
      </w:r>
      <w:hyperlink r:id="rId11" w:anchor="control_advertisements" w:history="1"/>
      <w:r w:rsidR="00C70B07" w:rsidRPr="00476FC9">
        <w:rPr>
          <w:color w:val="000000" w:themeColor="text1"/>
        </w:rPr>
        <w:t xml:space="preserve">; (2) </w:t>
      </w:r>
      <w:r w:rsidR="0093290B" w:rsidRPr="00476FC9">
        <w:rPr>
          <w:color w:val="000000" w:themeColor="text1"/>
        </w:rPr>
        <w:t>The FDA requires drug companies to use hard-to-understand medial language in prescription drug ads directed to consumers</w:t>
      </w:r>
      <w:hyperlink r:id="rId12" w:anchor="approve_advertisements" w:history="1"/>
      <w:r w:rsidR="00C70B07" w:rsidRPr="00476FC9">
        <w:rPr>
          <w:color w:val="000000" w:themeColor="text1"/>
        </w:rPr>
        <w:t xml:space="preserve">; (3) </w:t>
      </w:r>
      <w:r w:rsidR="0093290B" w:rsidRPr="00476FC9">
        <w:rPr>
          <w:color w:val="000000" w:themeColor="text1"/>
        </w:rPr>
        <w:t>The FDA works with drug companies to create prescription drug ads directed to consumers</w:t>
      </w:r>
      <w:hyperlink r:id="rId13" w:anchor="law" w:history="1"/>
      <w:r w:rsidR="00C70B07" w:rsidRPr="00476FC9">
        <w:rPr>
          <w:color w:val="000000" w:themeColor="text1"/>
        </w:rPr>
        <w:t xml:space="preserve">; (4) </w:t>
      </w:r>
      <w:r w:rsidR="0093290B" w:rsidRPr="00476FC9">
        <w:rPr>
          <w:color w:val="000000" w:themeColor="text1"/>
        </w:rPr>
        <w:t>The FDA approves prescription drug ads before they are seen by the public</w:t>
      </w:r>
      <w:hyperlink r:id="rId14" w:anchor="language" w:history="1"/>
      <w:r w:rsidR="00C70B07" w:rsidRPr="00476FC9">
        <w:rPr>
          <w:color w:val="000000" w:themeColor="text1"/>
        </w:rPr>
        <w:t xml:space="preserve">; (5) </w:t>
      </w:r>
      <w:r w:rsidR="0093290B" w:rsidRPr="00476FC9">
        <w:rPr>
          <w:color w:val="000000" w:themeColor="text1"/>
        </w:rPr>
        <w:t>The FDA regulates the design of prescription drug ads directed to consumers</w:t>
      </w:r>
      <w:hyperlink r:id="rId15" w:anchor="money" w:history="1"/>
      <w:r w:rsidR="00C70B07" w:rsidRPr="00476FC9">
        <w:rPr>
          <w:color w:val="000000" w:themeColor="text1"/>
        </w:rPr>
        <w:t xml:space="preserve">; </w:t>
      </w:r>
      <w:r w:rsidR="0093290B" w:rsidRPr="00476FC9">
        <w:rPr>
          <w:color w:val="000000" w:themeColor="text1"/>
        </w:rPr>
        <w:t xml:space="preserve">and </w:t>
      </w:r>
      <w:r w:rsidR="00C70B07" w:rsidRPr="00476FC9">
        <w:rPr>
          <w:color w:val="000000" w:themeColor="text1"/>
        </w:rPr>
        <w:t xml:space="preserve">(6) </w:t>
      </w:r>
      <w:r w:rsidR="0093290B" w:rsidRPr="00476FC9">
        <w:rPr>
          <w:color w:val="000000" w:themeColor="text1"/>
        </w:rPr>
        <w:t>The FDA conducts research to examine consumer attitudes and behaviors toward prescription drug advertising</w:t>
      </w:r>
      <w:r w:rsidR="00A47A97" w:rsidRPr="00476FC9">
        <w:rPr>
          <w:color w:val="000000" w:themeColor="text1"/>
        </w:rPr>
        <w:t xml:space="preserve"> (see Table</w:t>
      </w:r>
      <w:r w:rsidR="00C20776" w:rsidRPr="00476FC9">
        <w:rPr>
          <w:color w:val="000000" w:themeColor="text1"/>
        </w:rPr>
        <w:t xml:space="preserve"> 3 &amp; 4</w:t>
      </w:r>
      <w:r w:rsidR="00A47A97" w:rsidRPr="00476FC9">
        <w:rPr>
          <w:color w:val="000000" w:themeColor="text1"/>
        </w:rPr>
        <w:t>)</w:t>
      </w:r>
      <w:hyperlink r:id="rId16" w:anchor="work_with_drug_companies" w:history="1"/>
      <w:r w:rsidR="0093290B" w:rsidRPr="00476FC9">
        <w:rPr>
          <w:color w:val="000000" w:themeColor="text1"/>
        </w:rPr>
        <w:t>.</w:t>
      </w:r>
      <w:r w:rsidR="00BE4752" w:rsidRPr="00476FC9">
        <w:rPr>
          <w:color w:val="000000" w:themeColor="text1"/>
        </w:rPr>
        <w:t xml:space="preserve"> The mean for DTCA regulatory knowledge was 2.09 (</w:t>
      </w:r>
      <w:r w:rsidR="00BE4752" w:rsidRPr="00476FC9">
        <w:rPr>
          <w:i/>
          <w:color w:val="000000" w:themeColor="text1"/>
        </w:rPr>
        <w:t>SD</w:t>
      </w:r>
      <w:r w:rsidR="00BE4752" w:rsidRPr="00476FC9">
        <w:rPr>
          <w:color w:val="000000" w:themeColor="text1"/>
        </w:rPr>
        <w:t xml:space="preserve"> = 1.29)</w:t>
      </w:r>
      <w:r w:rsidR="00B97C05" w:rsidRPr="00476FC9">
        <w:rPr>
          <w:color w:val="000000" w:themeColor="text1"/>
        </w:rPr>
        <w:t>, indicating an overall low knowledge level</w:t>
      </w:r>
      <w:r w:rsidR="00BE4752" w:rsidRPr="00476FC9">
        <w:rPr>
          <w:color w:val="000000" w:themeColor="text1"/>
        </w:rPr>
        <w:t xml:space="preserve">. </w:t>
      </w:r>
      <w:r w:rsidR="00A47A97" w:rsidRPr="00476FC9">
        <w:rPr>
          <w:color w:val="000000" w:themeColor="text1"/>
        </w:rPr>
        <w:t>A</w:t>
      </w:r>
      <w:r w:rsidR="006A4B2D" w:rsidRPr="00476FC9">
        <w:rPr>
          <w:color w:val="000000" w:themeColor="text1"/>
        </w:rPr>
        <w:t xml:space="preserve"> one sample t-test results show</w:t>
      </w:r>
      <w:r w:rsidR="00EF21C1" w:rsidRPr="00476FC9">
        <w:rPr>
          <w:rFonts w:eastAsiaTheme="minorEastAsia" w:hint="eastAsia"/>
          <w:color w:val="000000" w:themeColor="text1"/>
        </w:rPr>
        <w:t>s</w:t>
      </w:r>
      <w:r w:rsidR="006A4B2D" w:rsidRPr="00476FC9">
        <w:rPr>
          <w:color w:val="000000" w:themeColor="text1"/>
        </w:rPr>
        <w:t xml:space="preserve"> that the average DTCA regulatory knowledge is significant</w:t>
      </w:r>
      <w:r w:rsidR="003778C2" w:rsidRPr="00476FC9">
        <w:rPr>
          <w:color w:val="000000" w:themeColor="text1"/>
        </w:rPr>
        <w:t>ly</w:t>
      </w:r>
      <w:r w:rsidR="006A4B2D" w:rsidRPr="00476FC9">
        <w:rPr>
          <w:color w:val="000000" w:themeColor="text1"/>
        </w:rPr>
        <w:t xml:space="preserve"> </w:t>
      </w:r>
      <w:r w:rsidR="00A47A97" w:rsidRPr="00476FC9">
        <w:rPr>
          <w:color w:val="000000" w:themeColor="text1"/>
        </w:rPr>
        <w:t>lower than</w:t>
      </w:r>
      <w:r w:rsidR="006A4B2D" w:rsidRPr="00476FC9">
        <w:rPr>
          <w:color w:val="000000" w:themeColor="text1"/>
        </w:rPr>
        <w:t xml:space="preserve"> the </w:t>
      </w:r>
      <w:r w:rsidR="00B97C05" w:rsidRPr="00476FC9">
        <w:rPr>
          <w:color w:val="000000" w:themeColor="text1"/>
        </w:rPr>
        <w:t>mid-point (3.5)</w:t>
      </w:r>
      <w:r w:rsidR="00A47A97" w:rsidRPr="00476FC9">
        <w:rPr>
          <w:color w:val="000000" w:themeColor="text1"/>
        </w:rPr>
        <w:t xml:space="preserve">, </w:t>
      </w:r>
      <w:r w:rsidR="00C20776" w:rsidRPr="00476FC9">
        <w:rPr>
          <w:i/>
          <w:color w:val="000000" w:themeColor="text1"/>
        </w:rPr>
        <w:t>t</w:t>
      </w:r>
      <w:r w:rsidR="00C20776" w:rsidRPr="00476FC9">
        <w:rPr>
          <w:color w:val="000000" w:themeColor="text1"/>
        </w:rPr>
        <w:t>(263) = -</w:t>
      </w:r>
      <w:r w:rsidR="00B97C05" w:rsidRPr="00476FC9">
        <w:rPr>
          <w:color w:val="000000" w:themeColor="text1"/>
        </w:rPr>
        <w:t>17.79</w:t>
      </w:r>
      <w:r w:rsidR="00C20776" w:rsidRPr="00476FC9">
        <w:rPr>
          <w:color w:val="000000" w:themeColor="text1"/>
        </w:rPr>
        <w:t xml:space="preserve">, </w:t>
      </w:r>
      <w:r w:rsidR="00C20776" w:rsidRPr="00476FC9">
        <w:rPr>
          <w:i/>
          <w:color w:val="000000" w:themeColor="text1"/>
        </w:rPr>
        <w:t>p</w:t>
      </w:r>
      <w:r w:rsidR="00C20776" w:rsidRPr="00476FC9">
        <w:rPr>
          <w:color w:val="000000" w:themeColor="text1"/>
        </w:rPr>
        <w:t xml:space="preserve"> &lt; .001.</w:t>
      </w:r>
    </w:p>
    <w:p w:rsidR="00222367" w:rsidRDefault="00222367" w:rsidP="007D2ACE">
      <w:pPr>
        <w:keepNext w:val="0"/>
        <w:widowControl w:val="0"/>
        <w:kinsoku w:val="0"/>
        <w:overflowPunct w:val="0"/>
        <w:autoSpaceDE w:val="0"/>
        <w:autoSpaceDN w:val="0"/>
        <w:adjustRightInd w:val="0"/>
        <w:snapToGrid w:val="0"/>
        <w:spacing w:before="0" w:after="0"/>
        <w:ind w:firstLine="720"/>
        <w:rPr>
          <w:color w:val="000000" w:themeColor="text1"/>
        </w:rPr>
      </w:pPr>
    </w:p>
    <w:p w:rsidR="007D2ACE" w:rsidRDefault="007D2ACE" w:rsidP="007D2ACE">
      <w:pPr>
        <w:keepNext w:val="0"/>
        <w:widowControl w:val="0"/>
        <w:kinsoku w:val="0"/>
        <w:overflowPunct w:val="0"/>
        <w:autoSpaceDE w:val="0"/>
        <w:autoSpaceDN w:val="0"/>
        <w:adjustRightInd w:val="0"/>
        <w:snapToGrid w:val="0"/>
        <w:spacing w:before="0" w:after="0"/>
        <w:ind w:firstLine="720"/>
        <w:rPr>
          <w:color w:val="000000" w:themeColor="text1"/>
        </w:rPr>
      </w:pPr>
    </w:p>
    <w:p w:rsidR="007D2ACE" w:rsidRDefault="007D2ACE" w:rsidP="007D2ACE">
      <w:pPr>
        <w:keepNext w:val="0"/>
        <w:widowControl w:val="0"/>
        <w:kinsoku w:val="0"/>
        <w:overflowPunct w:val="0"/>
        <w:autoSpaceDE w:val="0"/>
        <w:autoSpaceDN w:val="0"/>
        <w:adjustRightInd w:val="0"/>
        <w:snapToGrid w:val="0"/>
        <w:spacing w:before="0" w:after="0"/>
        <w:ind w:firstLine="720"/>
        <w:rPr>
          <w:color w:val="000000" w:themeColor="text1"/>
        </w:rPr>
      </w:pPr>
    </w:p>
    <w:p w:rsidR="007D2ACE" w:rsidRPr="00476FC9" w:rsidRDefault="007D2ACE" w:rsidP="007D2ACE">
      <w:pPr>
        <w:keepNext w:val="0"/>
        <w:widowControl w:val="0"/>
        <w:kinsoku w:val="0"/>
        <w:overflowPunct w:val="0"/>
        <w:autoSpaceDE w:val="0"/>
        <w:autoSpaceDN w:val="0"/>
        <w:adjustRightInd w:val="0"/>
        <w:snapToGrid w:val="0"/>
        <w:spacing w:before="0" w:after="0"/>
        <w:ind w:firstLine="720"/>
        <w:rPr>
          <w:color w:val="000000" w:themeColor="text1"/>
        </w:rPr>
      </w:pPr>
    </w:p>
    <w:p w:rsidR="00C027A4" w:rsidRPr="00476FC9" w:rsidRDefault="00A47A97" w:rsidP="007D2ACE">
      <w:pPr>
        <w:pStyle w:val="Caption"/>
        <w:keepNext w:val="0"/>
        <w:widowControl w:val="0"/>
        <w:kinsoku w:val="0"/>
        <w:overflowPunct w:val="0"/>
        <w:autoSpaceDE w:val="0"/>
        <w:autoSpaceDN w:val="0"/>
        <w:adjustRightInd w:val="0"/>
        <w:snapToGrid w:val="0"/>
        <w:rPr>
          <w:color w:val="000000" w:themeColor="text1"/>
        </w:rPr>
      </w:pPr>
      <w:bookmarkStart w:id="37" w:name="_Toc393800635"/>
      <w:r w:rsidRPr="00476FC9">
        <w:rPr>
          <w:color w:val="000000" w:themeColor="text1"/>
        </w:rPr>
        <w:lastRenderedPageBreak/>
        <w:t xml:space="preserve">Table </w:t>
      </w:r>
      <w:r w:rsidR="00037CF4" w:rsidRPr="00476FC9">
        <w:rPr>
          <w:color w:val="000000" w:themeColor="text1"/>
        </w:rPr>
        <w:fldChar w:fldCharType="begin"/>
      </w:r>
      <w:r w:rsidR="00037CF4" w:rsidRPr="00476FC9">
        <w:rPr>
          <w:color w:val="000000" w:themeColor="text1"/>
        </w:rPr>
        <w:instrText xml:space="preserve"> SEQ Table \* ARABIC </w:instrText>
      </w:r>
      <w:r w:rsidR="00037CF4" w:rsidRPr="00476FC9">
        <w:rPr>
          <w:color w:val="000000" w:themeColor="text1"/>
        </w:rPr>
        <w:fldChar w:fldCharType="separate"/>
      </w:r>
      <w:r w:rsidR="00E02362" w:rsidRPr="00476FC9">
        <w:rPr>
          <w:noProof/>
          <w:color w:val="000000" w:themeColor="text1"/>
        </w:rPr>
        <w:t>3</w:t>
      </w:r>
      <w:r w:rsidR="00037CF4" w:rsidRPr="00476FC9">
        <w:rPr>
          <w:noProof/>
          <w:color w:val="000000" w:themeColor="text1"/>
        </w:rPr>
        <w:fldChar w:fldCharType="end"/>
      </w:r>
      <w:r w:rsidRPr="00476FC9">
        <w:rPr>
          <w:color w:val="000000" w:themeColor="text1"/>
        </w:rPr>
        <w:t>. Percentage of Right Answers for DTCA Regulatory Knowledge</w:t>
      </w:r>
      <w:bookmarkEnd w:id="37"/>
    </w:p>
    <w:tbl>
      <w:tblPr>
        <w:tblStyle w:val="TableGrid"/>
        <w:tblW w:w="5000" w:type="pct"/>
        <w:tblBorders>
          <w:left w:val="none" w:sz="0" w:space="0" w:color="auto"/>
          <w:right w:val="none" w:sz="0" w:space="0" w:color="auto"/>
        </w:tblBorders>
        <w:tblLook w:val="04A0" w:firstRow="1" w:lastRow="0" w:firstColumn="1" w:lastColumn="0" w:noHBand="0" w:noVBand="1"/>
      </w:tblPr>
      <w:tblGrid>
        <w:gridCol w:w="1338"/>
        <w:gridCol w:w="1337"/>
        <w:gridCol w:w="1337"/>
        <w:gridCol w:w="1337"/>
        <w:gridCol w:w="1337"/>
        <w:gridCol w:w="1337"/>
        <w:gridCol w:w="1337"/>
      </w:tblGrid>
      <w:tr w:rsidR="00476FC9" w:rsidRPr="00476FC9" w:rsidTr="00222367">
        <w:tc>
          <w:tcPr>
            <w:tcW w:w="714" w:type="pct"/>
            <w:tcBorders>
              <w:bottom w:val="single" w:sz="4" w:space="0" w:color="auto"/>
              <w:right w:val="nil"/>
            </w:tcBorders>
          </w:tcPr>
          <w:p w:rsidR="00A47A97" w:rsidRPr="00476FC9" w:rsidRDefault="00A47A9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Items</w:t>
            </w:r>
          </w:p>
        </w:tc>
        <w:tc>
          <w:tcPr>
            <w:tcW w:w="714" w:type="pct"/>
            <w:tcBorders>
              <w:left w:val="nil"/>
              <w:bottom w:val="single" w:sz="4" w:space="0" w:color="auto"/>
              <w:right w:val="nil"/>
            </w:tcBorders>
          </w:tcPr>
          <w:p w:rsidR="00A47A97" w:rsidRPr="00476FC9" w:rsidRDefault="00A47A97" w:rsidP="007D2ACE">
            <w:pPr>
              <w:keepNext w:val="0"/>
              <w:widowControl w:val="0"/>
              <w:kinsoku w:val="0"/>
              <w:overflowPunct w:val="0"/>
              <w:autoSpaceDE w:val="0"/>
              <w:autoSpaceDN w:val="0"/>
              <w:adjustRightInd w:val="0"/>
              <w:snapToGrid w:val="0"/>
              <w:spacing w:before="0" w:after="0" w:line="240" w:lineRule="auto"/>
              <w:jc w:val="center"/>
              <w:rPr>
                <w:color w:val="000000" w:themeColor="text1"/>
                <w:sz w:val="20"/>
                <w:szCs w:val="20"/>
              </w:rPr>
            </w:pPr>
            <w:r w:rsidRPr="00476FC9">
              <w:rPr>
                <w:color w:val="000000" w:themeColor="text1"/>
                <w:sz w:val="20"/>
                <w:szCs w:val="20"/>
              </w:rPr>
              <w:t>The FDA bans consumer-directed ads for prescription drugs that have serious health risks</w:t>
            </w:r>
          </w:p>
        </w:tc>
        <w:tc>
          <w:tcPr>
            <w:tcW w:w="714" w:type="pct"/>
            <w:tcBorders>
              <w:left w:val="nil"/>
              <w:bottom w:val="single" w:sz="4" w:space="0" w:color="auto"/>
              <w:right w:val="nil"/>
            </w:tcBorders>
          </w:tcPr>
          <w:p w:rsidR="00A47A97" w:rsidRPr="00476FC9" w:rsidRDefault="00A47A97" w:rsidP="007D2ACE">
            <w:pPr>
              <w:keepNext w:val="0"/>
              <w:widowControl w:val="0"/>
              <w:kinsoku w:val="0"/>
              <w:overflowPunct w:val="0"/>
              <w:autoSpaceDE w:val="0"/>
              <w:autoSpaceDN w:val="0"/>
              <w:adjustRightInd w:val="0"/>
              <w:snapToGrid w:val="0"/>
              <w:spacing w:before="0" w:after="0" w:line="240" w:lineRule="auto"/>
              <w:jc w:val="center"/>
              <w:rPr>
                <w:color w:val="000000" w:themeColor="text1"/>
                <w:sz w:val="20"/>
                <w:szCs w:val="20"/>
              </w:rPr>
            </w:pPr>
            <w:r w:rsidRPr="00476FC9">
              <w:rPr>
                <w:color w:val="000000" w:themeColor="text1"/>
                <w:sz w:val="20"/>
                <w:szCs w:val="20"/>
              </w:rPr>
              <w:t>The FDA requires drug companies to use hard-to-understand medial language in prescription drug ads directed to consumers</w:t>
            </w:r>
          </w:p>
        </w:tc>
        <w:tc>
          <w:tcPr>
            <w:tcW w:w="714" w:type="pct"/>
            <w:tcBorders>
              <w:left w:val="nil"/>
              <w:bottom w:val="single" w:sz="4" w:space="0" w:color="auto"/>
              <w:right w:val="nil"/>
            </w:tcBorders>
          </w:tcPr>
          <w:p w:rsidR="00A47A97" w:rsidRPr="00476FC9" w:rsidRDefault="00A47A97" w:rsidP="007D2ACE">
            <w:pPr>
              <w:keepNext w:val="0"/>
              <w:widowControl w:val="0"/>
              <w:kinsoku w:val="0"/>
              <w:overflowPunct w:val="0"/>
              <w:autoSpaceDE w:val="0"/>
              <w:autoSpaceDN w:val="0"/>
              <w:adjustRightInd w:val="0"/>
              <w:snapToGrid w:val="0"/>
              <w:spacing w:before="0" w:after="0" w:line="240" w:lineRule="auto"/>
              <w:jc w:val="center"/>
              <w:rPr>
                <w:color w:val="000000" w:themeColor="text1"/>
                <w:sz w:val="20"/>
                <w:szCs w:val="20"/>
              </w:rPr>
            </w:pPr>
            <w:r w:rsidRPr="00476FC9">
              <w:rPr>
                <w:color w:val="000000" w:themeColor="text1"/>
                <w:sz w:val="20"/>
                <w:szCs w:val="20"/>
              </w:rPr>
              <w:t>The FDA works with drug companies to create prescription drug ads directed to consumers</w:t>
            </w:r>
          </w:p>
        </w:tc>
        <w:tc>
          <w:tcPr>
            <w:tcW w:w="714" w:type="pct"/>
            <w:tcBorders>
              <w:left w:val="nil"/>
              <w:bottom w:val="single" w:sz="4" w:space="0" w:color="auto"/>
              <w:right w:val="nil"/>
            </w:tcBorders>
          </w:tcPr>
          <w:p w:rsidR="00A47A97" w:rsidRPr="00476FC9" w:rsidRDefault="00A47A97" w:rsidP="007D2ACE">
            <w:pPr>
              <w:keepNext w:val="0"/>
              <w:widowControl w:val="0"/>
              <w:kinsoku w:val="0"/>
              <w:overflowPunct w:val="0"/>
              <w:autoSpaceDE w:val="0"/>
              <w:autoSpaceDN w:val="0"/>
              <w:adjustRightInd w:val="0"/>
              <w:snapToGrid w:val="0"/>
              <w:spacing w:before="0" w:after="0" w:line="240" w:lineRule="auto"/>
              <w:jc w:val="center"/>
              <w:rPr>
                <w:color w:val="000000" w:themeColor="text1"/>
                <w:sz w:val="20"/>
                <w:szCs w:val="20"/>
              </w:rPr>
            </w:pPr>
            <w:r w:rsidRPr="00476FC9">
              <w:rPr>
                <w:color w:val="000000" w:themeColor="text1"/>
                <w:sz w:val="20"/>
                <w:szCs w:val="20"/>
              </w:rPr>
              <w:t>The FDA approves prescription drug ads before they are seen by the public</w:t>
            </w:r>
          </w:p>
        </w:tc>
        <w:tc>
          <w:tcPr>
            <w:tcW w:w="714" w:type="pct"/>
            <w:tcBorders>
              <w:left w:val="nil"/>
              <w:bottom w:val="single" w:sz="4" w:space="0" w:color="auto"/>
              <w:right w:val="nil"/>
            </w:tcBorders>
          </w:tcPr>
          <w:p w:rsidR="00A47A97" w:rsidRPr="00476FC9" w:rsidRDefault="00A47A97" w:rsidP="007D2ACE">
            <w:pPr>
              <w:keepNext w:val="0"/>
              <w:widowControl w:val="0"/>
              <w:kinsoku w:val="0"/>
              <w:overflowPunct w:val="0"/>
              <w:autoSpaceDE w:val="0"/>
              <w:autoSpaceDN w:val="0"/>
              <w:adjustRightInd w:val="0"/>
              <w:snapToGrid w:val="0"/>
              <w:spacing w:before="0" w:after="0" w:line="240" w:lineRule="auto"/>
              <w:jc w:val="center"/>
              <w:rPr>
                <w:color w:val="000000" w:themeColor="text1"/>
                <w:sz w:val="20"/>
                <w:szCs w:val="20"/>
              </w:rPr>
            </w:pPr>
            <w:r w:rsidRPr="00476FC9">
              <w:rPr>
                <w:color w:val="000000" w:themeColor="text1"/>
                <w:sz w:val="20"/>
                <w:szCs w:val="20"/>
              </w:rPr>
              <w:t>The FDA regulates the design of prescription drug ads directed to consumers</w:t>
            </w:r>
          </w:p>
        </w:tc>
        <w:tc>
          <w:tcPr>
            <w:tcW w:w="714" w:type="pct"/>
            <w:tcBorders>
              <w:left w:val="nil"/>
              <w:bottom w:val="single" w:sz="4" w:space="0" w:color="auto"/>
            </w:tcBorders>
          </w:tcPr>
          <w:p w:rsidR="00A47A97" w:rsidRPr="00476FC9" w:rsidRDefault="00A47A97" w:rsidP="007D2ACE">
            <w:pPr>
              <w:keepNext w:val="0"/>
              <w:widowControl w:val="0"/>
              <w:kinsoku w:val="0"/>
              <w:overflowPunct w:val="0"/>
              <w:autoSpaceDE w:val="0"/>
              <w:autoSpaceDN w:val="0"/>
              <w:adjustRightInd w:val="0"/>
              <w:snapToGrid w:val="0"/>
              <w:spacing w:before="0" w:after="0" w:line="240" w:lineRule="auto"/>
              <w:jc w:val="center"/>
              <w:rPr>
                <w:color w:val="000000" w:themeColor="text1"/>
                <w:sz w:val="20"/>
                <w:szCs w:val="20"/>
              </w:rPr>
            </w:pPr>
            <w:r w:rsidRPr="00476FC9">
              <w:rPr>
                <w:color w:val="000000" w:themeColor="text1"/>
                <w:sz w:val="20"/>
                <w:szCs w:val="20"/>
              </w:rPr>
              <w:t>The FDA conducts research to examine consumer attitudes and behaviors toward prescription drug advertising</w:t>
            </w:r>
          </w:p>
        </w:tc>
      </w:tr>
      <w:tr w:rsidR="00E02362" w:rsidRPr="00476FC9" w:rsidTr="00E02362">
        <w:tc>
          <w:tcPr>
            <w:tcW w:w="714" w:type="pct"/>
            <w:tcBorders>
              <w:left w:val="nil"/>
              <w:right w:val="nil"/>
            </w:tcBorders>
          </w:tcPr>
          <w:p w:rsidR="00A47A97" w:rsidRPr="00476FC9" w:rsidRDefault="00A47A97" w:rsidP="007D2ACE">
            <w:pPr>
              <w:keepNext w:val="0"/>
              <w:widowControl w:val="0"/>
              <w:kinsoku w:val="0"/>
              <w:overflowPunct w:val="0"/>
              <w:autoSpaceDE w:val="0"/>
              <w:autoSpaceDN w:val="0"/>
              <w:adjustRightInd w:val="0"/>
              <w:snapToGrid w:val="0"/>
              <w:spacing w:before="0" w:after="0" w:line="240" w:lineRule="auto"/>
              <w:rPr>
                <w:color w:val="000000" w:themeColor="text1"/>
                <w:sz w:val="16"/>
                <w:szCs w:val="16"/>
              </w:rPr>
            </w:pPr>
            <w:r w:rsidRPr="00476FC9">
              <w:rPr>
                <w:color w:val="000000" w:themeColor="text1"/>
                <w:sz w:val="16"/>
                <w:szCs w:val="16"/>
              </w:rPr>
              <w:t>Percentage of Right Answers</w:t>
            </w:r>
          </w:p>
        </w:tc>
        <w:tc>
          <w:tcPr>
            <w:tcW w:w="714" w:type="pct"/>
            <w:tcBorders>
              <w:left w:val="nil"/>
              <w:right w:val="nil"/>
            </w:tcBorders>
          </w:tcPr>
          <w:p w:rsidR="00A47A97" w:rsidRPr="00476FC9" w:rsidRDefault="00A47A9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38.6%</w:t>
            </w:r>
          </w:p>
        </w:tc>
        <w:tc>
          <w:tcPr>
            <w:tcW w:w="714" w:type="pct"/>
            <w:tcBorders>
              <w:left w:val="nil"/>
              <w:right w:val="nil"/>
            </w:tcBorders>
          </w:tcPr>
          <w:p w:rsidR="00A47A97" w:rsidRPr="00476FC9" w:rsidRDefault="00A47A9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62.1%</w:t>
            </w:r>
          </w:p>
        </w:tc>
        <w:tc>
          <w:tcPr>
            <w:tcW w:w="714" w:type="pct"/>
            <w:tcBorders>
              <w:left w:val="nil"/>
              <w:right w:val="nil"/>
            </w:tcBorders>
          </w:tcPr>
          <w:p w:rsidR="00A47A97" w:rsidRPr="00476FC9" w:rsidRDefault="00A47A9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27.7%</w:t>
            </w:r>
          </w:p>
        </w:tc>
        <w:tc>
          <w:tcPr>
            <w:tcW w:w="714" w:type="pct"/>
            <w:tcBorders>
              <w:left w:val="nil"/>
              <w:right w:val="nil"/>
            </w:tcBorders>
          </w:tcPr>
          <w:p w:rsidR="00A47A97" w:rsidRPr="00476FC9" w:rsidRDefault="00A47A9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20.8%</w:t>
            </w:r>
          </w:p>
        </w:tc>
        <w:tc>
          <w:tcPr>
            <w:tcW w:w="714" w:type="pct"/>
            <w:tcBorders>
              <w:left w:val="nil"/>
              <w:right w:val="nil"/>
            </w:tcBorders>
          </w:tcPr>
          <w:p w:rsidR="00A47A97" w:rsidRPr="00476FC9" w:rsidRDefault="00A47A9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29.5%</w:t>
            </w:r>
          </w:p>
        </w:tc>
        <w:tc>
          <w:tcPr>
            <w:tcW w:w="714" w:type="pct"/>
            <w:tcBorders>
              <w:left w:val="nil"/>
              <w:right w:val="nil"/>
            </w:tcBorders>
          </w:tcPr>
          <w:p w:rsidR="00A47A97" w:rsidRPr="00476FC9" w:rsidRDefault="00A47A9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30.3%</w:t>
            </w:r>
          </w:p>
        </w:tc>
      </w:tr>
    </w:tbl>
    <w:p w:rsidR="00E02362" w:rsidRPr="00476FC9" w:rsidRDefault="00E02362" w:rsidP="007D2ACE">
      <w:pPr>
        <w:pStyle w:val="Caption"/>
        <w:keepNext w:val="0"/>
        <w:widowControl w:val="0"/>
        <w:kinsoku w:val="0"/>
        <w:overflowPunct w:val="0"/>
        <w:autoSpaceDE w:val="0"/>
        <w:autoSpaceDN w:val="0"/>
        <w:adjustRightInd w:val="0"/>
        <w:snapToGrid w:val="0"/>
        <w:rPr>
          <w:color w:val="000000" w:themeColor="text1"/>
        </w:rPr>
      </w:pPr>
    </w:p>
    <w:p w:rsidR="00A47A97" w:rsidRPr="00476FC9" w:rsidRDefault="00E02362" w:rsidP="007D2ACE">
      <w:pPr>
        <w:pStyle w:val="Caption"/>
        <w:keepNext w:val="0"/>
        <w:widowControl w:val="0"/>
        <w:kinsoku w:val="0"/>
        <w:overflowPunct w:val="0"/>
        <w:autoSpaceDE w:val="0"/>
        <w:autoSpaceDN w:val="0"/>
        <w:adjustRightInd w:val="0"/>
        <w:snapToGrid w:val="0"/>
        <w:rPr>
          <w:color w:val="000000" w:themeColor="text1"/>
        </w:rPr>
      </w:pPr>
      <w:bookmarkStart w:id="38" w:name="_Toc393800636"/>
      <w:r w:rsidRPr="00476FC9">
        <w:rPr>
          <w:color w:val="000000" w:themeColor="text1"/>
        </w:rPr>
        <w:t xml:space="preserve">Table </w:t>
      </w:r>
      <w:r w:rsidR="00037CF4" w:rsidRPr="00476FC9">
        <w:rPr>
          <w:color w:val="000000" w:themeColor="text1"/>
        </w:rPr>
        <w:fldChar w:fldCharType="begin"/>
      </w:r>
      <w:r w:rsidR="00037CF4" w:rsidRPr="00476FC9">
        <w:rPr>
          <w:color w:val="000000" w:themeColor="text1"/>
        </w:rPr>
        <w:instrText xml:space="preserve"> SEQ Table \* ARABIC </w:instrText>
      </w:r>
      <w:r w:rsidR="00037CF4" w:rsidRPr="00476FC9">
        <w:rPr>
          <w:color w:val="000000" w:themeColor="text1"/>
        </w:rPr>
        <w:fldChar w:fldCharType="separate"/>
      </w:r>
      <w:r w:rsidRPr="00476FC9">
        <w:rPr>
          <w:noProof/>
          <w:color w:val="000000" w:themeColor="text1"/>
        </w:rPr>
        <w:t>4</w:t>
      </w:r>
      <w:r w:rsidR="00037CF4" w:rsidRPr="00476FC9">
        <w:rPr>
          <w:noProof/>
          <w:color w:val="000000" w:themeColor="text1"/>
        </w:rPr>
        <w:fldChar w:fldCharType="end"/>
      </w:r>
      <w:r w:rsidRPr="00476FC9">
        <w:rPr>
          <w:color w:val="000000" w:themeColor="text1"/>
        </w:rPr>
        <w:t>. Descriptives for DTCA Regulatory Knowledge</w:t>
      </w:r>
      <w:bookmarkEnd w:id="38"/>
    </w:p>
    <w:tbl>
      <w:tblPr>
        <w:tblStyle w:val="TableGrid"/>
        <w:tblW w:w="5000" w:type="pct"/>
        <w:tblBorders>
          <w:left w:val="none" w:sz="0" w:space="0" w:color="auto"/>
          <w:right w:val="none" w:sz="0" w:space="0" w:color="auto"/>
        </w:tblBorders>
        <w:tblLook w:val="04A0" w:firstRow="1" w:lastRow="0" w:firstColumn="1" w:lastColumn="0" w:noHBand="0" w:noVBand="1"/>
      </w:tblPr>
      <w:tblGrid>
        <w:gridCol w:w="3118"/>
        <w:gridCol w:w="3121"/>
        <w:gridCol w:w="3121"/>
      </w:tblGrid>
      <w:tr w:rsidR="00476FC9" w:rsidRPr="00476FC9" w:rsidTr="00C20776">
        <w:tc>
          <w:tcPr>
            <w:tcW w:w="1666" w:type="pct"/>
            <w:tcBorders>
              <w:right w:val="nil"/>
            </w:tcBorders>
          </w:tcPr>
          <w:p w:rsidR="00E02362" w:rsidRPr="00476FC9" w:rsidRDefault="00E02362"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Number of Right Answers</w:t>
            </w:r>
          </w:p>
        </w:tc>
        <w:tc>
          <w:tcPr>
            <w:tcW w:w="1667" w:type="pct"/>
            <w:tcBorders>
              <w:left w:val="nil"/>
              <w:bottom w:val="single" w:sz="4" w:space="0" w:color="auto"/>
              <w:right w:val="nil"/>
            </w:tcBorders>
          </w:tcPr>
          <w:p w:rsidR="00E02362" w:rsidRPr="00476FC9" w:rsidRDefault="00E02362" w:rsidP="007D2ACE">
            <w:pPr>
              <w:keepNext w:val="0"/>
              <w:widowControl w:val="0"/>
              <w:kinsoku w:val="0"/>
              <w:overflowPunct w:val="0"/>
              <w:autoSpaceDE w:val="0"/>
              <w:autoSpaceDN w:val="0"/>
              <w:adjustRightInd w:val="0"/>
              <w:snapToGrid w:val="0"/>
              <w:spacing w:before="0" w:after="0" w:line="240" w:lineRule="auto"/>
              <w:jc w:val="center"/>
              <w:rPr>
                <w:i/>
                <w:color w:val="000000" w:themeColor="text1"/>
              </w:rPr>
            </w:pPr>
            <w:r w:rsidRPr="00476FC9">
              <w:rPr>
                <w:i/>
                <w:color w:val="000000" w:themeColor="text1"/>
              </w:rPr>
              <w:t>N</w:t>
            </w:r>
          </w:p>
        </w:tc>
        <w:tc>
          <w:tcPr>
            <w:tcW w:w="1667" w:type="pct"/>
            <w:tcBorders>
              <w:left w:val="nil"/>
            </w:tcBorders>
          </w:tcPr>
          <w:p w:rsidR="00E02362" w:rsidRPr="00476FC9" w:rsidRDefault="00E02362"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w:t>
            </w:r>
          </w:p>
        </w:tc>
      </w:tr>
      <w:tr w:rsidR="00476FC9" w:rsidRPr="00476FC9" w:rsidTr="00C20776">
        <w:tc>
          <w:tcPr>
            <w:tcW w:w="1666" w:type="pct"/>
            <w:tcBorders>
              <w:right w:val="nil"/>
            </w:tcBorders>
          </w:tcPr>
          <w:p w:rsidR="00E02362" w:rsidRPr="00476FC9" w:rsidRDefault="00E02362"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0</w:t>
            </w:r>
          </w:p>
          <w:p w:rsidR="00E02362" w:rsidRPr="00476FC9" w:rsidRDefault="00E02362"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1</w:t>
            </w:r>
          </w:p>
          <w:p w:rsidR="00E02362" w:rsidRPr="00476FC9" w:rsidRDefault="00E02362"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2</w:t>
            </w:r>
          </w:p>
          <w:p w:rsidR="00E02362" w:rsidRPr="00476FC9" w:rsidRDefault="00E02362"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3</w:t>
            </w:r>
          </w:p>
          <w:p w:rsidR="00E02362" w:rsidRPr="00476FC9" w:rsidRDefault="00E02362"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4</w:t>
            </w:r>
          </w:p>
          <w:p w:rsidR="00E02362" w:rsidRPr="00476FC9" w:rsidRDefault="00E02362"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5</w:t>
            </w:r>
          </w:p>
          <w:p w:rsidR="00E02362" w:rsidRPr="00476FC9" w:rsidRDefault="00E02362"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6</w:t>
            </w:r>
          </w:p>
        </w:tc>
        <w:tc>
          <w:tcPr>
            <w:tcW w:w="1667" w:type="pct"/>
            <w:tcBorders>
              <w:left w:val="nil"/>
              <w:bottom w:val="single" w:sz="4" w:space="0" w:color="auto"/>
              <w:right w:val="nil"/>
            </w:tcBorders>
          </w:tcPr>
          <w:p w:rsidR="00E02362" w:rsidRPr="00476FC9" w:rsidRDefault="00E02362"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34</w:t>
            </w:r>
          </w:p>
          <w:p w:rsidR="00E02362" w:rsidRPr="00476FC9" w:rsidRDefault="00E02362"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47</w:t>
            </w:r>
          </w:p>
          <w:p w:rsidR="00E02362" w:rsidRPr="00476FC9" w:rsidRDefault="00E02362"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96</w:t>
            </w:r>
          </w:p>
          <w:p w:rsidR="00E02362" w:rsidRPr="00476FC9" w:rsidRDefault="00E02362"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41</w:t>
            </w:r>
          </w:p>
          <w:p w:rsidR="00E02362" w:rsidRPr="00476FC9" w:rsidRDefault="00E02362"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40</w:t>
            </w:r>
          </w:p>
          <w:p w:rsidR="00E02362" w:rsidRPr="00476FC9" w:rsidRDefault="00E02362"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6</w:t>
            </w:r>
          </w:p>
          <w:p w:rsidR="00E02362" w:rsidRPr="00476FC9" w:rsidRDefault="00E02362"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0</w:t>
            </w:r>
          </w:p>
        </w:tc>
        <w:tc>
          <w:tcPr>
            <w:tcW w:w="1667" w:type="pct"/>
            <w:tcBorders>
              <w:left w:val="nil"/>
            </w:tcBorders>
          </w:tcPr>
          <w:p w:rsidR="00E02362" w:rsidRPr="00476FC9" w:rsidRDefault="00E02362"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12.9</w:t>
            </w:r>
          </w:p>
          <w:p w:rsidR="00E02362" w:rsidRPr="00476FC9" w:rsidRDefault="00E02362"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17.8</w:t>
            </w:r>
          </w:p>
          <w:p w:rsidR="00E02362" w:rsidRPr="00476FC9" w:rsidRDefault="00E02362"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36.4</w:t>
            </w:r>
          </w:p>
          <w:p w:rsidR="00E02362" w:rsidRPr="00476FC9" w:rsidRDefault="00E02362"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15.5</w:t>
            </w:r>
          </w:p>
          <w:p w:rsidR="00E02362" w:rsidRPr="00476FC9" w:rsidRDefault="00E02362"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15.2</w:t>
            </w:r>
          </w:p>
          <w:p w:rsidR="00E02362" w:rsidRPr="00476FC9" w:rsidRDefault="00E02362"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2.3</w:t>
            </w:r>
          </w:p>
          <w:p w:rsidR="00E02362" w:rsidRPr="00476FC9" w:rsidRDefault="00E02362"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0</w:t>
            </w:r>
          </w:p>
        </w:tc>
      </w:tr>
      <w:tr w:rsidR="00476FC9" w:rsidRPr="00476FC9" w:rsidTr="00C20776">
        <w:tc>
          <w:tcPr>
            <w:tcW w:w="1666" w:type="pct"/>
            <w:tcBorders>
              <w:right w:val="nil"/>
            </w:tcBorders>
          </w:tcPr>
          <w:p w:rsidR="00E02362" w:rsidRPr="00476FC9" w:rsidRDefault="00E02362"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Total</w:t>
            </w:r>
          </w:p>
        </w:tc>
        <w:tc>
          <w:tcPr>
            <w:tcW w:w="1667" w:type="pct"/>
            <w:tcBorders>
              <w:left w:val="nil"/>
              <w:right w:val="nil"/>
            </w:tcBorders>
          </w:tcPr>
          <w:p w:rsidR="00E02362" w:rsidRPr="00476FC9" w:rsidRDefault="00E02362"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264</w:t>
            </w:r>
          </w:p>
        </w:tc>
        <w:tc>
          <w:tcPr>
            <w:tcW w:w="1667" w:type="pct"/>
            <w:tcBorders>
              <w:left w:val="nil"/>
            </w:tcBorders>
          </w:tcPr>
          <w:p w:rsidR="00E02362" w:rsidRPr="00476FC9" w:rsidRDefault="00E02362"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100</w:t>
            </w:r>
          </w:p>
        </w:tc>
      </w:tr>
    </w:tbl>
    <w:p w:rsidR="00E02362" w:rsidRPr="00476FC9" w:rsidRDefault="00E02362" w:rsidP="007D2ACE">
      <w:pPr>
        <w:keepNext w:val="0"/>
        <w:widowControl w:val="0"/>
        <w:kinsoku w:val="0"/>
        <w:overflowPunct w:val="0"/>
        <w:autoSpaceDE w:val="0"/>
        <w:autoSpaceDN w:val="0"/>
        <w:adjustRightInd w:val="0"/>
        <w:snapToGrid w:val="0"/>
        <w:rPr>
          <w:color w:val="000000" w:themeColor="text1"/>
        </w:rPr>
      </w:pPr>
    </w:p>
    <w:p w:rsidR="00E64124" w:rsidRPr="00476FC9" w:rsidRDefault="000754AE" w:rsidP="007D2ACE">
      <w:pPr>
        <w:pStyle w:val="Heading3"/>
        <w:widowControl w:val="0"/>
        <w:kinsoku w:val="0"/>
        <w:overflowPunct w:val="0"/>
        <w:autoSpaceDE w:val="0"/>
        <w:autoSpaceDN w:val="0"/>
        <w:snapToGrid w:val="0"/>
        <w:contextualSpacing w:val="0"/>
        <w:rPr>
          <w:color w:val="000000" w:themeColor="text1"/>
        </w:rPr>
      </w:pPr>
      <w:bookmarkStart w:id="39" w:name="_Toc393800681"/>
      <w:r w:rsidRPr="00476FC9">
        <w:rPr>
          <w:color w:val="000000" w:themeColor="text1"/>
        </w:rPr>
        <w:t xml:space="preserve">Dependent Variable: </w:t>
      </w:r>
      <w:r w:rsidR="00131442" w:rsidRPr="00476FC9">
        <w:rPr>
          <w:color w:val="000000" w:themeColor="text1"/>
        </w:rPr>
        <w:t>Perceived Attention to Risk Disclosure</w:t>
      </w:r>
      <w:bookmarkEnd w:id="39"/>
    </w:p>
    <w:p w:rsidR="00124121" w:rsidRPr="00476FC9" w:rsidRDefault="00E64124"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9B19C2" w:rsidRPr="00476FC9">
        <w:rPr>
          <w:color w:val="000000" w:themeColor="text1"/>
        </w:rPr>
        <w:t xml:space="preserve">The measurement of attention poses a major challenge to consumer researchers. Three general approaches are found to </w:t>
      </w:r>
      <w:r w:rsidR="00B97C05" w:rsidRPr="00476FC9">
        <w:rPr>
          <w:color w:val="000000" w:themeColor="text1"/>
        </w:rPr>
        <w:t xml:space="preserve">have been </w:t>
      </w:r>
      <w:r w:rsidR="009B19C2" w:rsidRPr="00476FC9">
        <w:rPr>
          <w:color w:val="000000" w:themeColor="text1"/>
        </w:rPr>
        <w:t xml:space="preserve">employed in the consumer psychology literature: inferences based on observed behaviors, psycho-physiological techniques, and self-reports (Chaffee &amp; Schleuder, </w:t>
      </w:r>
      <w:r w:rsidR="00124121" w:rsidRPr="00476FC9">
        <w:rPr>
          <w:color w:val="000000" w:themeColor="text1"/>
        </w:rPr>
        <w:t>1986</w:t>
      </w:r>
      <w:r w:rsidR="009B19C2" w:rsidRPr="00476FC9">
        <w:rPr>
          <w:color w:val="000000" w:themeColor="text1"/>
        </w:rPr>
        <w:t xml:space="preserve">). </w:t>
      </w:r>
      <w:r w:rsidR="00124121" w:rsidRPr="00476FC9">
        <w:rPr>
          <w:color w:val="000000" w:themeColor="text1"/>
        </w:rPr>
        <w:t>To provide a foundation for the use of perceived attention to risk disclosure</w:t>
      </w:r>
      <w:r w:rsidR="00A81EE6" w:rsidRPr="00476FC9">
        <w:rPr>
          <w:color w:val="000000" w:themeColor="text1"/>
        </w:rPr>
        <w:t xml:space="preserve"> in this research</w:t>
      </w:r>
      <w:r w:rsidR="00124121" w:rsidRPr="00476FC9">
        <w:rPr>
          <w:color w:val="000000" w:themeColor="text1"/>
        </w:rPr>
        <w:t>,</w:t>
      </w:r>
      <w:r w:rsidR="00A81EE6" w:rsidRPr="00476FC9">
        <w:rPr>
          <w:color w:val="000000" w:themeColor="text1"/>
        </w:rPr>
        <w:t xml:space="preserve"> in this section</w:t>
      </w:r>
      <w:r w:rsidR="00124121" w:rsidRPr="00476FC9">
        <w:rPr>
          <w:color w:val="000000" w:themeColor="text1"/>
        </w:rPr>
        <w:t xml:space="preserve"> prior research is </w:t>
      </w:r>
      <w:r w:rsidR="001549A3" w:rsidRPr="00476FC9">
        <w:rPr>
          <w:color w:val="000000" w:themeColor="text1"/>
        </w:rPr>
        <w:t>reviewed</w:t>
      </w:r>
      <w:r w:rsidR="00124121" w:rsidRPr="00476FC9">
        <w:rPr>
          <w:color w:val="000000" w:themeColor="text1"/>
        </w:rPr>
        <w:t xml:space="preserve"> </w:t>
      </w:r>
      <w:r w:rsidR="00865269" w:rsidRPr="00476FC9">
        <w:rPr>
          <w:color w:val="000000" w:themeColor="text1"/>
        </w:rPr>
        <w:t xml:space="preserve">with the justification of the </w:t>
      </w:r>
      <w:r w:rsidR="00124121" w:rsidRPr="00476FC9">
        <w:rPr>
          <w:color w:val="000000" w:themeColor="text1"/>
        </w:rPr>
        <w:t>measure</w:t>
      </w:r>
      <w:r w:rsidR="005E5A5F" w:rsidRPr="00476FC9">
        <w:rPr>
          <w:color w:val="000000" w:themeColor="text1"/>
        </w:rPr>
        <w:t>ment</w:t>
      </w:r>
      <w:r w:rsidR="00124121" w:rsidRPr="00476FC9">
        <w:rPr>
          <w:color w:val="000000" w:themeColor="text1"/>
        </w:rPr>
        <w:t xml:space="preserve"> approach</w:t>
      </w:r>
      <w:r w:rsidR="00865269" w:rsidRPr="00476FC9">
        <w:rPr>
          <w:color w:val="000000" w:themeColor="text1"/>
        </w:rPr>
        <w:t xml:space="preserve"> of current research</w:t>
      </w:r>
      <w:r w:rsidR="00124121" w:rsidRPr="00476FC9">
        <w:rPr>
          <w:color w:val="000000" w:themeColor="text1"/>
        </w:rPr>
        <w:t>.</w:t>
      </w:r>
    </w:p>
    <w:p w:rsidR="00124121" w:rsidRPr="00476FC9" w:rsidRDefault="00124121"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lastRenderedPageBreak/>
        <w:tab/>
      </w:r>
      <w:bookmarkStart w:id="40" w:name="a"/>
      <w:bookmarkEnd w:id="40"/>
      <w:r w:rsidR="005E5A5F" w:rsidRPr="00476FC9">
        <w:rPr>
          <w:color w:val="000000" w:themeColor="text1"/>
        </w:rPr>
        <w:t>First, t</w:t>
      </w:r>
      <w:r w:rsidRPr="00476FC9">
        <w:rPr>
          <w:color w:val="000000" w:themeColor="text1"/>
        </w:rPr>
        <w:t xml:space="preserve">he behavioral observation approach has </w:t>
      </w:r>
      <w:r w:rsidR="002236DA" w:rsidRPr="00476FC9">
        <w:rPr>
          <w:color w:val="000000" w:themeColor="text1"/>
        </w:rPr>
        <w:t xml:space="preserve">assessed </w:t>
      </w:r>
      <w:r w:rsidRPr="00476FC9">
        <w:rPr>
          <w:color w:val="000000" w:themeColor="text1"/>
        </w:rPr>
        <w:t>the movements of people who were filmed while watching stimuli by carefully coding facial</w:t>
      </w:r>
      <w:r w:rsidR="00BF3057" w:rsidRPr="00476FC9">
        <w:rPr>
          <w:color w:val="000000" w:themeColor="text1"/>
        </w:rPr>
        <w:t xml:space="preserve"> expressions (Ekman et al., 197</w:t>
      </w:r>
      <w:r w:rsidR="00BF3057" w:rsidRPr="00476FC9">
        <w:rPr>
          <w:rFonts w:eastAsiaTheme="minorEastAsia" w:hint="eastAsia"/>
          <w:color w:val="000000" w:themeColor="text1"/>
        </w:rPr>
        <w:t>2</w:t>
      </w:r>
      <w:r w:rsidRPr="00476FC9">
        <w:rPr>
          <w:color w:val="000000" w:themeColor="text1"/>
        </w:rPr>
        <w:t xml:space="preserve">), by observing participants’ eye gaze or aversion during experimental presentations of messages (Alwitt, Anderson, Lorch, &amp; Levin, 1980), and by measuring reaction times to a message (Meadowcroft &amp; Reeves, 1985). </w:t>
      </w:r>
    </w:p>
    <w:p w:rsidR="00124121" w:rsidRPr="00476FC9" w:rsidRDefault="00124121"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5E5A5F" w:rsidRPr="00476FC9">
        <w:rPr>
          <w:color w:val="000000" w:themeColor="text1"/>
        </w:rPr>
        <w:t>Second, i</w:t>
      </w:r>
      <w:r w:rsidRPr="00476FC9">
        <w:rPr>
          <w:color w:val="000000" w:themeColor="text1"/>
        </w:rPr>
        <w:t xml:space="preserve">n terms of the psycho-physiological measurement, experimental psychology and psychophysiology have examined blood pressure, galvanic skin response (Zillmann, 1982) and </w:t>
      </w:r>
      <w:r w:rsidR="005E5A5F" w:rsidRPr="00476FC9">
        <w:rPr>
          <w:color w:val="000000" w:themeColor="text1"/>
        </w:rPr>
        <w:t>brain</w:t>
      </w:r>
      <w:r w:rsidRPr="00476FC9">
        <w:rPr>
          <w:color w:val="000000" w:themeColor="text1"/>
        </w:rPr>
        <w:t xml:space="preserve"> wave activity (</w:t>
      </w:r>
      <w:r w:rsidR="00CA532F" w:rsidRPr="00476FC9">
        <w:rPr>
          <w:rFonts w:eastAsiaTheme="minorEastAsia" w:hint="eastAsia"/>
          <w:color w:val="000000" w:themeColor="text1"/>
        </w:rPr>
        <w:t>Thorson, Reeves, &amp; Schleuder, 1985</w:t>
      </w:r>
      <w:r w:rsidRPr="00476FC9">
        <w:rPr>
          <w:color w:val="000000" w:themeColor="text1"/>
        </w:rPr>
        <w:t xml:space="preserve">). </w:t>
      </w:r>
      <w:r w:rsidR="005E5A5F" w:rsidRPr="00476FC9">
        <w:rPr>
          <w:color w:val="000000" w:themeColor="text1"/>
        </w:rPr>
        <w:t>In particular, e</w:t>
      </w:r>
      <w:r w:rsidR="0000381E" w:rsidRPr="00476FC9">
        <w:rPr>
          <w:color w:val="000000" w:themeColor="text1"/>
        </w:rPr>
        <w:t xml:space="preserve">ye-tracking methodology has been one of the most popular approaches to measure attention. Because attention to advertisements cannot be directly inferred from consumers’ memory, it is </w:t>
      </w:r>
      <w:r w:rsidR="00F6423F" w:rsidRPr="00476FC9">
        <w:rPr>
          <w:color w:val="000000" w:themeColor="text1"/>
        </w:rPr>
        <w:t>useful</w:t>
      </w:r>
      <w:r w:rsidR="0000381E" w:rsidRPr="00476FC9">
        <w:rPr>
          <w:color w:val="000000" w:themeColor="text1"/>
        </w:rPr>
        <w:t xml:space="preserve"> to examine consumers’ actual eye </w:t>
      </w:r>
      <w:r w:rsidR="00F6423F" w:rsidRPr="00476FC9">
        <w:rPr>
          <w:color w:val="000000" w:themeColor="text1"/>
        </w:rPr>
        <w:t xml:space="preserve">(e.g., pupil) </w:t>
      </w:r>
      <w:r w:rsidR="0000381E" w:rsidRPr="00476FC9">
        <w:rPr>
          <w:color w:val="000000" w:themeColor="text1"/>
        </w:rPr>
        <w:t xml:space="preserve">movements. Specifically, cameras track the eye and head position, and allow for continuous correction of position shifts. </w:t>
      </w:r>
      <w:r w:rsidR="00E94C6D" w:rsidRPr="00476FC9">
        <w:rPr>
          <w:color w:val="000000" w:themeColor="text1"/>
        </w:rPr>
        <w:t>A</w:t>
      </w:r>
      <w:r w:rsidR="0000381E" w:rsidRPr="00476FC9">
        <w:rPr>
          <w:color w:val="000000" w:themeColor="text1"/>
        </w:rPr>
        <w:t xml:space="preserve"> couple of indicators of visual attention can be assessed including ad </w:t>
      </w:r>
      <w:r w:rsidR="00024A2B" w:rsidRPr="00476FC9">
        <w:rPr>
          <w:color w:val="000000" w:themeColor="text1"/>
        </w:rPr>
        <w:t xml:space="preserve">(i.e., entire ad page) </w:t>
      </w:r>
      <w:r w:rsidR="0000381E" w:rsidRPr="00476FC9">
        <w:rPr>
          <w:color w:val="000000" w:themeColor="text1"/>
        </w:rPr>
        <w:t>gaze duration and ad-element gaze duration (Krugman et al., 1994</w:t>
      </w:r>
      <w:r w:rsidR="00574635" w:rsidRPr="00476FC9">
        <w:rPr>
          <w:rFonts w:eastAsiaTheme="minorEastAsia" w:hint="eastAsia"/>
          <w:color w:val="000000" w:themeColor="text1"/>
        </w:rPr>
        <w:t>; Pieters, 2008</w:t>
      </w:r>
      <w:r w:rsidR="0000381E" w:rsidRPr="00476FC9">
        <w:rPr>
          <w:color w:val="000000" w:themeColor="text1"/>
        </w:rPr>
        <w:t xml:space="preserve">). Ad gaze duration is the total time that consumers who selected </w:t>
      </w:r>
      <w:r w:rsidR="00B46057" w:rsidRPr="00476FC9">
        <w:rPr>
          <w:color w:val="000000" w:themeColor="text1"/>
        </w:rPr>
        <w:t>the ad, on average, spent on it, and measures how well an ad retain</w:t>
      </w:r>
      <w:r w:rsidR="005E5A5F" w:rsidRPr="00476FC9">
        <w:rPr>
          <w:color w:val="000000" w:themeColor="text1"/>
        </w:rPr>
        <w:t>s</w:t>
      </w:r>
      <w:r w:rsidR="00B46057" w:rsidRPr="00476FC9">
        <w:rPr>
          <w:color w:val="000000" w:themeColor="text1"/>
        </w:rPr>
        <w:t xml:space="preserve"> consumers in its environment. Ad-element gaze duration assesses the time spent on each of the ad elements (Pieters &amp; Wedel, 2004). Eye-tracking methodologies may be promising because gaze can be used as a proxy measure for a consumer’s attention (Cutrell &amp; Guan, 2007). While many measurement approaches of attention rely on the explicit actions of consumers such as mouse clicks,</w:t>
      </w:r>
      <w:r w:rsidR="005E5A5F" w:rsidRPr="00476FC9">
        <w:rPr>
          <w:color w:val="000000" w:themeColor="text1"/>
        </w:rPr>
        <w:t xml:space="preserve"> query streams or diary reports</w:t>
      </w:r>
      <w:r w:rsidR="00B46057" w:rsidRPr="00476FC9">
        <w:rPr>
          <w:color w:val="000000" w:themeColor="text1"/>
        </w:rPr>
        <w:t>, eye tracking can provide more detailed moment-by-moment observations about how consumers interact with messages (Cutre</w:t>
      </w:r>
      <w:r w:rsidR="00B618ED" w:rsidRPr="00476FC9">
        <w:rPr>
          <w:color w:val="000000" w:themeColor="text1"/>
        </w:rPr>
        <w:t>ll &amp; Guan, 2007).</w:t>
      </w:r>
    </w:p>
    <w:p w:rsidR="00B618ED" w:rsidRPr="00476FC9" w:rsidRDefault="00B618ED"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5E5A5F" w:rsidRPr="00476FC9">
        <w:rPr>
          <w:color w:val="000000" w:themeColor="text1"/>
        </w:rPr>
        <w:t>Third, w</w:t>
      </w:r>
      <w:r w:rsidRPr="00476FC9">
        <w:rPr>
          <w:color w:val="000000" w:themeColor="text1"/>
        </w:rPr>
        <w:t>ith regard to self-report</w:t>
      </w:r>
      <w:r w:rsidR="005E5A5F" w:rsidRPr="00476FC9">
        <w:rPr>
          <w:color w:val="000000" w:themeColor="text1"/>
        </w:rPr>
        <w:t>s</w:t>
      </w:r>
      <w:r w:rsidRPr="00476FC9">
        <w:rPr>
          <w:color w:val="000000" w:themeColor="text1"/>
        </w:rPr>
        <w:t xml:space="preserve">, </w:t>
      </w:r>
      <w:r w:rsidR="00832184" w:rsidRPr="00476FC9">
        <w:rPr>
          <w:color w:val="000000" w:themeColor="text1"/>
        </w:rPr>
        <w:t>a consumer is asked to recall prior mental states</w:t>
      </w:r>
      <w:r w:rsidR="0016769A" w:rsidRPr="00476FC9">
        <w:rPr>
          <w:color w:val="000000" w:themeColor="text1"/>
        </w:rPr>
        <w:t xml:space="preserve"> </w:t>
      </w:r>
      <w:r w:rsidR="0016769A" w:rsidRPr="00476FC9">
        <w:rPr>
          <w:color w:val="000000" w:themeColor="text1"/>
        </w:rPr>
        <w:lastRenderedPageBreak/>
        <w:t>regarding attention perception</w:t>
      </w:r>
      <w:r w:rsidR="00832184" w:rsidRPr="00476FC9">
        <w:rPr>
          <w:color w:val="000000" w:themeColor="text1"/>
        </w:rPr>
        <w:t xml:space="preserve">. </w:t>
      </w:r>
      <w:r w:rsidR="00194FDF" w:rsidRPr="00476FC9">
        <w:rPr>
          <w:color w:val="000000" w:themeColor="text1"/>
        </w:rPr>
        <w:t>T</w:t>
      </w:r>
      <w:r w:rsidR="00832184" w:rsidRPr="00476FC9">
        <w:rPr>
          <w:color w:val="000000" w:themeColor="text1"/>
        </w:rPr>
        <w:t xml:space="preserve">his methodological approach </w:t>
      </w:r>
      <w:r w:rsidR="005E5A5F" w:rsidRPr="00476FC9">
        <w:rPr>
          <w:color w:val="000000" w:themeColor="text1"/>
        </w:rPr>
        <w:t xml:space="preserve">is employed </w:t>
      </w:r>
      <w:r w:rsidR="00832184" w:rsidRPr="00476FC9">
        <w:rPr>
          <w:color w:val="000000" w:themeColor="text1"/>
        </w:rPr>
        <w:t xml:space="preserve">not because it is </w:t>
      </w:r>
      <w:r w:rsidR="005E5A5F" w:rsidRPr="00476FC9">
        <w:rPr>
          <w:color w:val="000000" w:themeColor="text1"/>
        </w:rPr>
        <w:t xml:space="preserve">an </w:t>
      </w:r>
      <w:r w:rsidR="00832184" w:rsidRPr="00476FC9">
        <w:rPr>
          <w:color w:val="000000" w:themeColor="text1"/>
        </w:rPr>
        <w:t>ideal method, but because for many research purposes it is the only measure available (</w:t>
      </w:r>
      <w:r w:rsidR="005C1743" w:rsidRPr="00476FC9">
        <w:rPr>
          <w:rFonts w:eastAsiaTheme="minorEastAsia" w:hint="eastAsia"/>
          <w:color w:val="000000" w:themeColor="text1"/>
        </w:rPr>
        <w:t>C</w:t>
      </w:r>
      <w:r w:rsidR="00832184" w:rsidRPr="00476FC9">
        <w:rPr>
          <w:color w:val="000000" w:themeColor="text1"/>
        </w:rPr>
        <w:t xml:space="preserve">haffee &amp; Schleuder, 1986). </w:t>
      </w:r>
      <w:r w:rsidR="00A7190B" w:rsidRPr="00476FC9">
        <w:rPr>
          <w:color w:val="000000" w:themeColor="text1"/>
        </w:rPr>
        <w:t>I</w:t>
      </w:r>
      <w:r w:rsidR="00832184" w:rsidRPr="00476FC9">
        <w:rPr>
          <w:color w:val="000000" w:themeColor="text1"/>
        </w:rPr>
        <w:t>n experimental effects research</w:t>
      </w:r>
      <w:r w:rsidR="005E5A5F" w:rsidRPr="00476FC9">
        <w:rPr>
          <w:color w:val="000000" w:themeColor="text1"/>
        </w:rPr>
        <w:t>,</w:t>
      </w:r>
      <w:r w:rsidR="00832184" w:rsidRPr="00476FC9">
        <w:rPr>
          <w:color w:val="000000" w:themeColor="text1"/>
        </w:rPr>
        <w:t xml:space="preserve"> correlations between objective attention and self-reported attention measures have been employed as a validity check (e.g., Krull &amp; Husson, 1979; Reeves et al., 1985)</w:t>
      </w:r>
      <w:r w:rsidR="005E5A5F" w:rsidRPr="00476FC9">
        <w:rPr>
          <w:color w:val="000000" w:themeColor="text1"/>
        </w:rPr>
        <w:t xml:space="preserve"> and </w:t>
      </w:r>
      <w:r w:rsidR="00832184" w:rsidRPr="00476FC9">
        <w:rPr>
          <w:color w:val="000000" w:themeColor="text1"/>
        </w:rPr>
        <w:t>introspective self-observation is commonly utilized in survey research (</w:t>
      </w:r>
      <w:r w:rsidR="008B5FC7" w:rsidRPr="00476FC9">
        <w:rPr>
          <w:rFonts w:eastAsiaTheme="minorEastAsia" w:hint="eastAsia"/>
          <w:color w:val="000000" w:themeColor="text1"/>
        </w:rPr>
        <w:t>C</w:t>
      </w:r>
      <w:r w:rsidR="00832184" w:rsidRPr="00476FC9">
        <w:rPr>
          <w:color w:val="000000" w:themeColor="text1"/>
        </w:rPr>
        <w:t>haffee &amp; Schleuder, 1986).</w:t>
      </w:r>
    </w:p>
    <w:p w:rsidR="00832184" w:rsidRPr="00476FC9" w:rsidRDefault="00832184"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6644A1" w:rsidRPr="00476FC9">
        <w:rPr>
          <w:color w:val="000000" w:themeColor="text1"/>
        </w:rPr>
        <w:t>The above three general approaches to attention measurement have their own advantages and disadvantages. Although behavioral observation provides an indicator for natural attention setting, one cannot assume that its effects can be tested in the same way as with more closely attended messages. Although psychophysiological approaches offer more reliable</w:t>
      </w:r>
      <w:r w:rsidR="005E5A5F" w:rsidRPr="00476FC9">
        <w:rPr>
          <w:color w:val="000000" w:themeColor="text1"/>
        </w:rPr>
        <w:t xml:space="preserve"> and accurate</w:t>
      </w:r>
      <w:r w:rsidR="006644A1" w:rsidRPr="00476FC9">
        <w:rPr>
          <w:color w:val="000000" w:themeColor="text1"/>
        </w:rPr>
        <w:t xml:space="preserve"> measures for attention, more often than not, the resources and instruments are not available for researchers. Further, these approaches have limitations in providing an immediate solution to multivariate filed research where attention to various media is to be measured. (see </w:t>
      </w:r>
      <w:r w:rsidR="00895BF0" w:rsidRPr="00476FC9">
        <w:rPr>
          <w:rFonts w:eastAsiaTheme="minorEastAsia" w:hint="eastAsia"/>
          <w:color w:val="000000" w:themeColor="text1"/>
        </w:rPr>
        <w:t>C</w:t>
      </w:r>
      <w:r w:rsidR="006644A1" w:rsidRPr="00476FC9">
        <w:rPr>
          <w:color w:val="000000" w:themeColor="text1"/>
        </w:rPr>
        <w:t>haffee &amp; Schleuder, 1986 for more information).</w:t>
      </w:r>
    </w:p>
    <w:p w:rsidR="006644A1" w:rsidRPr="00476FC9" w:rsidRDefault="006644A1"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t xml:space="preserve">Given the foregoing review of literature on attention measurement, there are </w:t>
      </w:r>
      <w:r w:rsidR="007E0836" w:rsidRPr="00476FC9">
        <w:rPr>
          <w:color w:val="000000" w:themeColor="text1"/>
        </w:rPr>
        <w:t>various</w:t>
      </w:r>
      <w:r w:rsidRPr="00476FC9">
        <w:rPr>
          <w:color w:val="000000" w:themeColor="text1"/>
        </w:rPr>
        <w:t xml:space="preserve"> ways to conceptualize and measure attention to messages. </w:t>
      </w:r>
      <w:r w:rsidR="007E0836" w:rsidRPr="00476FC9">
        <w:rPr>
          <w:color w:val="000000" w:themeColor="text1"/>
        </w:rPr>
        <w:t>However, a</w:t>
      </w:r>
      <w:r w:rsidRPr="00476FC9">
        <w:rPr>
          <w:color w:val="000000" w:themeColor="text1"/>
        </w:rPr>
        <w:t xml:space="preserve">ll these approaches are </w:t>
      </w:r>
      <w:r w:rsidR="007E0836" w:rsidRPr="00476FC9">
        <w:rPr>
          <w:color w:val="000000" w:themeColor="text1"/>
        </w:rPr>
        <w:t xml:space="preserve">viewed as </w:t>
      </w:r>
      <w:r w:rsidRPr="00476FC9">
        <w:rPr>
          <w:color w:val="000000" w:themeColor="text1"/>
        </w:rPr>
        <w:t xml:space="preserve">legitimate and </w:t>
      </w:r>
      <w:r w:rsidR="007E0836" w:rsidRPr="00476FC9">
        <w:rPr>
          <w:color w:val="000000" w:themeColor="text1"/>
        </w:rPr>
        <w:t xml:space="preserve">valuable and </w:t>
      </w:r>
      <w:r w:rsidRPr="00476FC9">
        <w:rPr>
          <w:color w:val="000000" w:themeColor="text1"/>
        </w:rPr>
        <w:t>methodologically the simplest way to operationalize attention is self-reports (Reeves &amp; Thorson, 1986; Thorson</w:t>
      </w:r>
      <w:r w:rsidR="00895BF0" w:rsidRPr="00476FC9">
        <w:rPr>
          <w:rFonts w:eastAsiaTheme="minorEastAsia" w:hint="eastAsia"/>
          <w:color w:val="000000" w:themeColor="text1"/>
        </w:rPr>
        <w:t xml:space="preserve"> et al., </w:t>
      </w:r>
      <w:r w:rsidRPr="00476FC9">
        <w:rPr>
          <w:color w:val="000000" w:themeColor="text1"/>
        </w:rPr>
        <w:t>1992). For this reason</w:t>
      </w:r>
      <w:r w:rsidR="007E0836" w:rsidRPr="00476FC9">
        <w:rPr>
          <w:color w:val="000000" w:themeColor="text1"/>
        </w:rPr>
        <w:t xml:space="preserve"> and </w:t>
      </w:r>
      <w:r w:rsidR="002A2258" w:rsidRPr="00476FC9">
        <w:rPr>
          <w:color w:val="000000" w:themeColor="text1"/>
        </w:rPr>
        <w:t xml:space="preserve">given </w:t>
      </w:r>
      <w:r w:rsidR="007E0836" w:rsidRPr="00476FC9">
        <w:rPr>
          <w:color w:val="000000" w:themeColor="text1"/>
        </w:rPr>
        <w:t>limited resources</w:t>
      </w:r>
      <w:r w:rsidRPr="00476FC9">
        <w:rPr>
          <w:color w:val="000000" w:themeColor="text1"/>
        </w:rPr>
        <w:t xml:space="preserve">, the self-reported intensity of attention </w:t>
      </w:r>
      <w:r w:rsidR="007E0836" w:rsidRPr="00476FC9">
        <w:rPr>
          <w:color w:val="000000" w:themeColor="text1"/>
        </w:rPr>
        <w:t xml:space="preserve">(i.e., perceived attention) </w:t>
      </w:r>
      <w:r w:rsidRPr="00476FC9">
        <w:rPr>
          <w:color w:val="000000" w:themeColor="text1"/>
        </w:rPr>
        <w:t>is employed in the current research.</w:t>
      </w:r>
    </w:p>
    <w:p w:rsidR="00D217C2" w:rsidRPr="00476FC9" w:rsidRDefault="00124121"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t xml:space="preserve"> </w:t>
      </w:r>
      <w:r w:rsidR="00E64124" w:rsidRPr="00476FC9">
        <w:rPr>
          <w:color w:val="000000" w:themeColor="text1"/>
        </w:rPr>
        <w:t xml:space="preserve">To assess </w:t>
      </w:r>
      <w:r w:rsidR="0093290B" w:rsidRPr="00476FC9">
        <w:rPr>
          <w:color w:val="000000" w:themeColor="text1"/>
        </w:rPr>
        <w:t xml:space="preserve">the extent of </w:t>
      </w:r>
      <w:r w:rsidR="00E64124" w:rsidRPr="00476FC9">
        <w:rPr>
          <w:color w:val="000000" w:themeColor="text1"/>
        </w:rPr>
        <w:t xml:space="preserve">subjects' </w:t>
      </w:r>
      <w:r w:rsidR="0093290B" w:rsidRPr="00476FC9">
        <w:rPr>
          <w:color w:val="000000" w:themeColor="text1"/>
        </w:rPr>
        <w:t>perceived attention</w:t>
      </w:r>
      <w:r w:rsidR="00E64124" w:rsidRPr="00476FC9">
        <w:rPr>
          <w:color w:val="000000" w:themeColor="text1"/>
        </w:rPr>
        <w:t xml:space="preserve"> to risk disclosure</w:t>
      </w:r>
      <w:r w:rsidR="00131442" w:rsidRPr="00476FC9">
        <w:rPr>
          <w:color w:val="000000" w:themeColor="text1"/>
        </w:rPr>
        <w:t xml:space="preserve"> prominence</w:t>
      </w:r>
      <w:r w:rsidR="00E64124" w:rsidRPr="00476FC9">
        <w:rPr>
          <w:color w:val="000000" w:themeColor="text1"/>
        </w:rPr>
        <w:t xml:space="preserve">, </w:t>
      </w:r>
      <w:r w:rsidR="00131442" w:rsidRPr="00476FC9">
        <w:rPr>
          <w:color w:val="000000" w:themeColor="text1"/>
        </w:rPr>
        <w:t>a singl</w:t>
      </w:r>
      <w:r w:rsidR="00935FCA" w:rsidRPr="00476FC9">
        <w:rPr>
          <w:color w:val="000000" w:themeColor="text1"/>
        </w:rPr>
        <w:t>e</w:t>
      </w:r>
      <w:r w:rsidR="00E64124" w:rsidRPr="00476FC9">
        <w:rPr>
          <w:color w:val="000000" w:themeColor="text1"/>
        </w:rPr>
        <w:t xml:space="preserve">-item </w:t>
      </w:r>
      <w:r w:rsidR="00131442" w:rsidRPr="00476FC9">
        <w:rPr>
          <w:color w:val="000000" w:themeColor="text1"/>
        </w:rPr>
        <w:t xml:space="preserve">7-point Likert-type scale was </w:t>
      </w:r>
      <w:r w:rsidR="002236DA" w:rsidRPr="00476FC9">
        <w:rPr>
          <w:color w:val="000000" w:themeColor="text1"/>
        </w:rPr>
        <w:t xml:space="preserve">adopted from prior research (Thorson et al., 1992) and </w:t>
      </w:r>
      <w:r w:rsidR="002236DA" w:rsidRPr="00476FC9">
        <w:rPr>
          <w:color w:val="000000" w:themeColor="text1"/>
        </w:rPr>
        <w:lastRenderedPageBreak/>
        <w:t xml:space="preserve">modified for the current study context: </w:t>
      </w:r>
      <w:r w:rsidR="00131442" w:rsidRPr="00476FC9">
        <w:rPr>
          <w:color w:val="000000" w:themeColor="text1"/>
        </w:rPr>
        <w:t xml:space="preserve"> “How much attention did you pay to the information about the health risks of Luminexell?” (1 = no attention, 7 = great attention).</w:t>
      </w:r>
      <w:r w:rsidR="00F82792" w:rsidRPr="00476FC9">
        <w:rPr>
          <w:color w:val="000000" w:themeColor="text1"/>
        </w:rPr>
        <w:t xml:space="preserve"> The mean for perceived attention was 5.78 (</w:t>
      </w:r>
      <w:r w:rsidR="00F82792" w:rsidRPr="00476FC9">
        <w:rPr>
          <w:i/>
          <w:color w:val="000000" w:themeColor="text1"/>
        </w:rPr>
        <w:t>SD</w:t>
      </w:r>
      <w:r w:rsidR="00F82792" w:rsidRPr="00476FC9">
        <w:rPr>
          <w:color w:val="000000" w:themeColor="text1"/>
        </w:rPr>
        <w:t xml:space="preserve"> = 1.29)</w:t>
      </w:r>
      <w:r w:rsidR="0025069A" w:rsidRPr="00476FC9">
        <w:rPr>
          <w:color w:val="000000" w:themeColor="text1"/>
        </w:rPr>
        <w:t xml:space="preserve"> (see Table 5)</w:t>
      </w:r>
      <w:r w:rsidR="00F82792" w:rsidRPr="00476FC9">
        <w:rPr>
          <w:color w:val="000000" w:themeColor="text1"/>
        </w:rPr>
        <w:t xml:space="preserve">. Overall, subjects reported relatively high perceived attention. 39% (n = 103) of the sample reported “great attention.” This high number raises caution in interpreting the results. For instance, due to the artificial nature of experiment or </w:t>
      </w:r>
      <w:r w:rsidR="007E0836" w:rsidRPr="00476FC9">
        <w:rPr>
          <w:color w:val="000000" w:themeColor="text1"/>
        </w:rPr>
        <w:t xml:space="preserve">obtrusive </w:t>
      </w:r>
      <w:r w:rsidR="00F82792" w:rsidRPr="00476FC9">
        <w:rPr>
          <w:color w:val="000000" w:themeColor="text1"/>
        </w:rPr>
        <w:t>self-reported measure, the overall attention score could have been inflated.</w:t>
      </w:r>
      <w:r w:rsidR="0024700E" w:rsidRPr="00476FC9">
        <w:rPr>
          <w:color w:val="000000" w:themeColor="text1"/>
        </w:rPr>
        <w:t xml:space="preserve"> The overall frequency distribution of perceived attention was negatively skewed (skewness = -.84, </w:t>
      </w:r>
      <w:r w:rsidR="0024700E" w:rsidRPr="00476FC9">
        <w:rPr>
          <w:i/>
          <w:color w:val="000000" w:themeColor="text1"/>
        </w:rPr>
        <w:t>SE</w:t>
      </w:r>
      <w:r w:rsidR="0024700E" w:rsidRPr="00476FC9">
        <w:rPr>
          <w:color w:val="000000" w:themeColor="text1"/>
        </w:rPr>
        <w:t xml:space="preserve"> = .15), indicating lack of symmetry. </w:t>
      </w:r>
      <w:r w:rsidR="0080660D" w:rsidRPr="00476FC9">
        <w:rPr>
          <w:color w:val="000000" w:themeColor="text1"/>
        </w:rPr>
        <w:t>In addition</w:t>
      </w:r>
      <w:r w:rsidR="0024700E" w:rsidRPr="00476FC9">
        <w:rPr>
          <w:color w:val="000000" w:themeColor="text1"/>
        </w:rPr>
        <w:t xml:space="preserve">, subjects’ reported </w:t>
      </w:r>
      <w:r w:rsidR="00C20776" w:rsidRPr="00476FC9">
        <w:rPr>
          <w:color w:val="000000" w:themeColor="text1"/>
        </w:rPr>
        <w:t xml:space="preserve">average </w:t>
      </w:r>
      <w:r w:rsidR="0024700E" w:rsidRPr="00476FC9">
        <w:rPr>
          <w:color w:val="000000" w:themeColor="text1"/>
        </w:rPr>
        <w:t xml:space="preserve">attention score </w:t>
      </w:r>
      <w:r w:rsidR="00C20776" w:rsidRPr="00476FC9">
        <w:rPr>
          <w:color w:val="000000" w:themeColor="text1"/>
        </w:rPr>
        <w:t xml:space="preserve">was </w:t>
      </w:r>
      <w:r w:rsidR="0024700E" w:rsidRPr="00476FC9">
        <w:rPr>
          <w:color w:val="000000" w:themeColor="text1"/>
        </w:rPr>
        <w:t>high</w:t>
      </w:r>
      <w:r w:rsidR="00C20776" w:rsidRPr="00476FC9">
        <w:rPr>
          <w:color w:val="000000" w:themeColor="text1"/>
        </w:rPr>
        <w:t xml:space="preserve">er than the </w:t>
      </w:r>
      <w:r w:rsidR="007E0836" w:rsidRPr="00476FC9">
        <w:rPr>
          <w:color w:val="000000" w:themeColor="text1"/>
        </w:rPr>
        <w:t>midpoint (</w:t>
      </w:r>
      <w:r w:rsidR="00C20776" w:rsidRPr="00476FC9">
        <w:rPr>
          <w:color w:val="000000" w:themeColor="text1"/>
        </w:rPr>
        <w:t>4</w:t>
      </w:r>
      <w:r w:rsidR="007E0836" w:rsidRPr="00476FC9">
        <w:rPr>
          <w:color w:val="000000" w:themeColor="text1"/>
        </w:rPr>
        <w:t>)</w:t>
      </w:r>
      <w:r w:rsidR="00C20776" w:rsidRPr="00476FC9">
        <w:rPr>
          <w:color w:val="000000" w:themeColor="text1"/>
        </w:rPr>
        <w:t xml:space="preserve">, using a one-sample t-test, </w:t>
      </w:r>
      <w:r w:rsidR="00C20776" w:rsidRPr="00476FC9">
        <w:rPr>
          <w:i/>
          <w:color w:val="000000" w:themeColor="text1"/>
        </w:rPr>
        <w:t>t</w:t>
      </w:r>
      <w:r w:rsidR="00C20776" w:rsidRPr="00476FC9">
        <w:rPr>
          <w:color w:val="000000" w:themeColor="text1"/>
        </w:rPr>
        <w:t xml:space="preserve">(263) = 22.42, </w:t>
      </w:r>
      <w:r w:rsidR="00C20776" w:rsidRPr="00476FC9">
        <w:rPr>
          <w:i/>
          <w:color w:val="000000" w:themeColor="text1"/>
        </w:rPr>
        <w:t>p</w:t>
      </w:r>
      <w:r w:rsidR="00C20776" w:rsidRPr="00476FC9">
        <w:rPr>
          <w:color w:val="000000" w:themeColor="text1"/>
        </w:rPr>
        <w:t xml:space="preserve"> &lt; .001.</w:t>
      </w:r>
    </w:p>
    <w:p w:rsidR="006C50CA" w:rsidRPr="00476FC9" w:rsidRDefault="000754AE" w:rsidP="007D2ACE">
      <w:pPr>
        <w:pStyle w:val="Heading3"/>
        <w:widowControl w:val="0"/>
        <w:kinsoku w:val="0"/>
        <w:overflowPunct w:val="0"/>
        <w:autoSpaceDE w:val="0"/>
        <w:autoSpaceDN w:val="0"/>
        <w:snapToGrid w:val="0"/>
        <w:contextualSpacing w:val="0"/>
        <w:rPr>
          <w:rFonts w:eastAsiaTheme="minorEastAsia"/>
          <w:color w:val="000000" w:themeColor="text1"/>
        </w:rPr>
      </w:pPr>
      <w:bookmarkStart w:id="41" w:name="_Toc393800682"/>
      <w:r w:rsidRPr="00476FC9">
        <w:rPr>
          <w:color w:val="000000" w:themeColor="text1"/>
        </w:rPr>
        <w:t xml:space="preserve">Dependent Variables: </w:t>
      </w:r>
      <w:r w:rsidR="00102A74" w:rsidRPr="00476FC9">
        <w:rPr>
          <w:color w:val="000000" w:themeColor="text1"/>
        </w:rPr>
        <w:t>Recall</w:t>
      </w:r>
      <w:r w:rsidR="0093290B" w:rsidRPr="00476FC9">
        <w:rPr>
          <w:color w:val="000000" w:themeColor="text1"/>
        </w:rPr>
        <w:t xml:space="preserve"> and</w:t>
      </w:r>
      <w:r w:rsidR="00102A74" w:rsidRPr="00476FC9">
        <w:rPr>
          <w:color w:val="000000" w:themeColor="text1"/>
        </w:rPr>
        <w:t xml:space="preserve"> Recognition</w:t>
      </w:r>
      <w:bookmarkEnd w:id="41"/>
    </w:p>
    <w:p w:rsidR="001863B4" w:rsidRPr="00476FC9" w:rsidRDefault="000F1F4B"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1863B4" w:rsidRPr="00476FC9">
        <w:rPr>
          <w:color w:val="000000" w:themeColor="text1"/>
        </w:rPr>
        <w:t xml:space="preserve">Advertising research has employed recall and recognition as important effectiveness </w:t>
      </w:r>
      <w:r w:rsidR="007E0836" w:rsidRPr="00476FC9">
        <w:rPr>
          <w:color w:val="000000" w:themeColor="text1"/>
        </w:rPr>
        <w:t>measures</w:t>
      </w:r>
      <w:r w:rsidR="001863B4" w:rsidRPr="00476FC9">
        <w:rPr>
          <w:color w:val="000000" w:themeColor="text1"/>
        </w:rPr>
        <w:t xml:space="preserve"> (Moore, Stammerjohan, &amp; Coulter, 2005). </w:t>
      </w:r>
      <w:r w:rsidR="00224CE1" w:rsidRPr="00476FC9">
        <w:rPr>
          <w:color w:val="000000" w:themeColor="text1"/>
        </w:rPr>
        <w:t xml:space="preserve">In particular, considering that the major purpose of risk disclosure is to encourage consumers to utilize provided risk information in their decision making (Andres et al., 2009; Burton, Andrews, &amp; Netemeyer, 2000), examining recall and recognition of risk information in DTCA may provide meaningful insight into consumer </w:t>
      </w:r>
      <w:r w:rsidR="0025069A" w:rsidRPr="00476FC9">
        <w:rPr>
          <w:color w:val="000000" w:themeColor="text1"/>
        </w:rPr>
        <w:t xml:space="preserve">health </w:t>
      </w:r>
      <w:r w:rsidR="00224CE1" w:rsidRPr="00476FC9">
        <w:rPr>
          <w:color w:val="000000" w:themeColor="text1"/>
        </w:rPr>
        <w:t>education. In addition, research on advertising attention has measured recall and recognition as major criterion variables (Rosbergen</w:t>
      </w:r>
      <w:r w:rsidR="00B50C35" w:rsidRPr="00476FC9">
        <w:rPr>
          <w:rFonts w:eastAsiaTheme="minorEastAsia" w:hint="eastAsia"/>
          <w:color w:val="000000" w:themeColor="text1"/>
        </w:rPr>
        <w:t xml:space="preserve"> et al., </w:t>
      </w:r>
      <w:r w:rsidR="00224CE1" w:rsidRPr="00476FC9">
        <w:rPr>
          <w:color w:val="000000" w:themeColor="text1"/>
        </w:rPr>
        <w:t>1997).</w:t>
      </w:r>
    </w:p>
    <w:p w:rsidR="00F76010" w:rsidRDefault="00F76010"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In general, the most widely employed two memory measures in advertising research are unaided-recall that is an open-ended question, and aided-recognition measure that provides a list of choices to allow respondents to indicate whether each choice was presented in the ad (Rosbergen et al., 1997). In this research, the recall test was an open-ended question asking subjects to write all health risks that were presented in the ad as much as they can recall. The </w:t>
      </w:r>
      <w:r w:rsidRPr="00476FC9">
        <w:rPr>
          <w:color w:val="000000" w:themeColor="text1"/>
        </w:rPr>
        <w:lastRenderedPageBreak/>
        <w:t>recall test statement read “The ad presented the health risks of Luminexell. In the box below, please write all the health risks of Luminexell you can recall from the ad. (Lynch &amp; Srull, 1982)” To appraise recognition, subjects were provided with a checklist that presents a list of ten health risks. Five of which were the health risks of the drug presented in the ad, and the remaining five of which were "distracter" (false) health risks that were not presented in the ad (Davis, 2010; Lynch &amp; Srull, 1982). The order of health risks were randomized using the Qualtrics software feature. The number of explicitly right answers for the recall test was coded by the researcher. In the same vein, the number of right answers for the recognition test was coded. For both measures, one right answer counted one point and the points were summed to form a composite score</w:t>
      </w:r>
      <w:r w:rsidR="007F1746" w:rsidRPr="00476FC9">
        <w:rPr>
          <w:color w:val="000000" w:themeColor="text1"/>
        </w:rPr>
        <w:t xml:space="preserve"> for each </w:t>
      </w:r>
      <w:r w:rsidR="008B3688" w:rsidRPr="00476FC9">
        <w:rPr>
          <w:color w:val="000000" w:themeColor="text1"/>
        </w:rPr>
        <w:t xml:space="preserve">memory </w:t>
      </w:r>
      <w:r w:rsidR="007F1746" w:rsidRPr="00476FC9">
        <w:rPr>
          <w:color w:val="000000" w:themeColor="text1"/>
        </w:rPr>
        <w:t>construct</w:t>
      </w:r>
      <w:r w:rsidR="00DC03C0" w:rsidRPr="00476FC9">
        <w:rPr>
          <w:color w:val="000000" w:themeColor="text1"/>
        </w:rPr>
        <w:t>.</w:t>
      </w:r>
    </w:p>
    <w:p w:rsidR="009C0F09" w:rsidRDefault="009C0F09" w:rsidP="007D2ACE">
      <w:pPr>
        <w:keepNext w:val="0"/>
        <w:widowControl w:val="0"/>
        <w:kinsoku w:val="0"/>
        <w:overflowPunct w:val="0"/>
        <w:autoSpaceDE w:val="0"/>
        <w:autoSpaceDN w:val="0"/>
        <w:adjustRightInd w:val="0"/>
        <w:snapToGrid w:val="0"/>
        <w:spacing w:before="0" w:after="0"/>
        <w:ind w:firstLine="720"/>
        <w:rPr>
          <w:color w:val="000000" w:themeColor="text1"/>
        </w:rPr>
      </w:pPr>
    </w:p>
    <w:p w:rsidR="0024700E" w:rsidRPr="00476FC9" w:rsidRDefault="0024700E" w:rsidP="007D2ACE">
      <w:pPr>
        <w:pStyle w:val="Caption"/>
        <w:keepNext w:val="0"/>
        <w:widowControl w:val="0"/>
        <w:kinsoku w:val="0"/>
        <w:overflowPunct w:val="0"/>
        <w:autoSpaceDE w:val="0"/>
        <w:autoSpaceDN w:val="0"/>
        <w:adjustRightInd w:val="0"/>
        <w:snapToGrid w:val="0"/>
        <w:rPr>
          <w:color w:val="000000" w:themeColor="text1"/>
        </w:rPr>
      </w:pPr>
      <w:bookmarkStart w:id="42" w:name="_Toc393800637"/>
      <w:r w:rsidRPr="00476FC9">
        <w:rPr>
          <w:color w:val="000000" w:themeColor="text1"/>
        </w:rPr>
        <w:t xml:space="preserve">Table </w:t>
      </w:r>
      <w:r w:rsidR="00037CF4" w:rsidRPr="00476FC9">
        <w:rPr>
          <w:color w:val="000000" w:themeColor="text1"/>
        </w:rPr>
        <w:fldChar w:fldCharType="begin"/>
      </w:r>
      <w:r w:rsidR="00037CF4" w:rsidRPr="00476FC9">
        <w:rPr>
          <w:color w:val="000000" w:themeColor="text1"/>
        </w:rPr>
        <w:instrText xml:space="preserve"> SEQ Table \* ARABIC </w:instrText>
      </w:r>
      <w:r w:rsidR="00037CF4" w:rsidRPr="00476FC9">
        <w:rPr>
          <w:color w:val="000000" w:themeColor="text1"/>
        </w:rPr>
        <w:fldChar w:fldCharType="separate"/>
      </w:r>
      <w:r w:rsidR="00E02362" w:rsidRPr="00476FC9">
        <w:rPr>
          <w:noProof/>
          <w:color w:val="000000" w:themeColor="text1"/>
        </w:rPr>
        <w:t>5</w:t>
      </w:r>
      <w:r w:rsidR="00037CF4" w:rsidRPr="00476FC9">
        <w:rPr>
          <w:noProof/>
          <w:color w:val="000000" w:themeColor="text1"/>
        </w:rPr>
        <w:fldChar w:fldCharType="end"/>
      </w:r>
      <w:r w:rsidRPr="00476FC9">
        <w:rPr>
          <w:color w:val="000000" w:themeColor="text1"/>
        </w:rPr>
        <w:t>. Descriptives for Perceived Attention</w:t>
      </w:r>
      <w:bookmarkEnd w:id="42"/>
    </w:p>
    <w:tbl>
      <w:tblPr>
        <w:tblStyle w:val="TableGrid"/>
        <w:tblW w:w="5000" w:type="pct"/>
        <w:tblBorders>
          <w:left w:val="none" w:sz="0" w:space="0" w:color="auto"/>
          <w:right w:val="none" w:sz="0" w:space="0" w:color="auto"/>
        </w:tblBorders>
        <w:tblLook w:val="04A0" w:firstRow="1" w:lastRow="0" w:firstColumn="1" w:lastColumn="0" w:noHBand="0" w:noVBand="1"/>
      </w:tblPr>
      <w:tblGrid>
        <w:gridCol w:w="3118"/>
        <w:gridCol w:w="3121"/>
        <w:gridCol w:w="3121"/>
      </w:tblGrid>
      <w:tr w:rsidR="00476FC9" w:rsidRPr="00476FC9" w:rsidTr="006A4B2D">
        <w:tc>
          <w:tcPr>
            <w:tcW w:w="1666" w:type="pct"/>
            <w:tcBorders>
              <w:right w:val="nil"/>
            </w:tcBorders>
          </w:tcPr>
          <w:p w:rsidR="0024700E" w:rsidRPr="00476FC9" w:rsidRDefault="0024700E"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Attention Levels</w:t>
            </w:r>
          </w:p>
        </w:tc>
        <w:tc>
          <w:tcPr>
            <w:tcW w:w="1667" w:type="pct"/>
            <w:tcBorders>
              <w:left w:val="nil"/>
              <w:bottom w:val="single" w:sz="4" w:space="0" w:color="auto"/>
              <w:right w:val="nil"/>
            </w:tcBorders>
          </w:tcPr>
          <w:p w:rsidR="0024700E" w:rsidRPr="00476FC9" w:rsidRDefault="0024700E" w:rsidP="007D2ACE">
            <w:pPr>
              <w:keepNext w:val="0"/>
              <w:widowControl w:val="0"/>
              <w:kinsoku w:val="0"/>
              <w:overflowPunct w:val="0"/>
              <w:autoSpaceDE w:val="0"/>
              <w:autoSpaceDN w:val="0"/>
              <w:adjustRightInd w:val="0"/>
              <w:snapToGrid w:val="0"/>
              <w:spacing w:before="0" w:after="0" w:line="240" w:lineRule="auto"/>
              <w:jc w:val="center"/>
              <w:rPr>
                <w:i/>
                <w:color w:val="000000" w:themeColor="text1"/>
              </w:rPr>
            </w:pPr>
            <w:r w:rsidRPr="00476FC9">
              <w:rPr>
                <w:i/>
                <w:color w:val="000000" w:themeColor="text1"/>
              </w:rPr>
              <w:t>N</w:t>
            </w:r>
          </w:p>
        </w:tc>
        <w:tc>
          <w:tcPr>
            <w:tcW w:w="1667" w:type="pct"/>
            <w:tcBorders>
              <w:left w:val="nil"/>
            </w:tcBorders>
          </w:tcPr>
          <w:p w:rsidR="0024700E" w:rsidRPr="00476FC9" w:rsidRDefault="0024700E"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w:t>
            </w:r>
          </w:p>
        </w:tc>
      </w:tr>
      <w:tr w:rsidR="00476FC9" w:rsidRPr="00476FC9" w:rsidTr="006A4B2D">
        <w:tc>
          <w:tcPr>
            <w:tcW w:w="1666" w:type="pct"/>
            <w:tcBorders>
              <w:right w:val="nil"/>
            </w:tcBorders>
          </w:tcPr>
          <w:p w:rsidR="0024700E" w:rsidRPr="00476FC9" w:rsidRDefault="0024700E"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1</w:t>
            </w:r>
          </w:p>
          <w:p w:rsidR="0024700E" w:rsidRPr="00476FC9" w:rsidRDefault="0024700E"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2</w:t>
            </w:r>
          </w:p>
          <w:p w:rsidR="0024700E" w:rsidRPr="00476FC9" w:rsidRDefault="0024700E"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3</w:t>
            </w:r>
          </w:p>
          <w:p w:rsidR="0024700E" w:rsidRPr="00476FC9" w:rsidRDefault="0024700E"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4</w:t>
            </w:r>
          </w:p>
          <w:p w:rsidR="0024700E" w:rsidRPr="00476FC9" w:rsidRDefault="0024700E"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5</w:t>
            </w:r>
          </w:p>
          <w:p w:rsidR="0024700E" w:rsidRPr="00476FC9" w:rsidRDefault="0024700E"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6</w:t>
            </w:r>
          </w:p>
          <w:p w:rsidR="0024700E" w:rsidRPr="00476FC9" w:rsidRDefault="0024700E"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7</w:t>
            </w:r>
          </w:p>
        </w:tc>
        <w:tc>
          <w:tcPr>
            <w:tcW w:w="1667" w:type="pct"/>
            <w:tcBorders>
              <w:left w:val="nil"/>
              <w:bottom w:val="single" w:sz="4" w:space="0" w:color="auto"/>
              <w:right w:val="nil"/>
            </w:tcBorders>
          </w:tcPr>
          <w:p w:rsidR="0024700E" w:rsidRPr="00476FC9" w:rsidRDefault="0024700E"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0</w:t>
            </w:r>
          </w:p>
          <w:p w:rsidR="0024700E" w:rsidRPr="00476FC9" w:rsidRDefault="0024700E"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4</w:t>
            </w:r>
          </w:p>
          <w:p w:rsidR="0024700E" w:rsidRPr="00476FC9" w:rsidRDefault="0024700E"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9</w:t>
            </w:r>
          </w:p>
          <w:p w:rsidR="0024700E" w:rsidRPr="00476FC9" w:rsidRDefault="0024700E"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41</w:t>
            </w:r>
          </w:p>
          <w:p w:rsidR="0024700E" w:rsidRPr="00476FC9" w:rsidRDefault="0024700E"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37</w:t>
            </w:r>
          </w:p>
          <w:p w:rsidR="0024700E" w:rsidRPr="00476FC9" w:rsidRDefault="0024700E"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70</w:t>
            </w:r>
          </w:p>
          <w:p w:rsidR="0024700E" w:rsidRPr="00476FC9" w:rsidRDefault="0024700E"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103</w:t>
            </w:r>
          </w:p>
        </w:tc>
        <w:tc>
          <w:tcPr>
            <w:tcW w:w="1667" w:type="pct"/>
            <w:tcBorders>
              <w:left w:val="nil"/>
            </w:tcBorders>
          </w:tcPr>
          <w:p w:rsidR="0024700E" w:rsidRPr="00476FC9" w:rsidRDefault="0024700E"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0</w:t>
            </w:r>
          </w:p>
          <w:p w:rsidR="0024700E" w:rsidRPr="00476FC9" w:rsidRDefault="0024700E"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1.5</w:t>
            </w:r>
          </w:p>
          <w:p w:rsidR="0024700E" w:rsidRPr="00476FC9" w:rsidRDefault="0024700E"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3.4</w:t>
            </w:r>
          </w:p>
          <w:p w:rsidR="0024700E" w:rsidRPr="00476FC9" w:rsidRDefault="0024700E"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15.5</w:t>
            </w:r>
          </w:p>
          <w:p w:rsidR="0024700E" w:rsidRPr="00476FC9" w:rsidRDefault="0024700E"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14.0</w:t>
            </w:r>
          </w:p>
          <w:p w:rsidR="0024700E" w:rsidRPr="00476FC9" w:rsidRDefault="0024700E"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26.5</w:t>
            </w:r>
          </w:p>
          <w:p w:rsidR="0024700E" w:rsidRPr="00476FC9" w:rsidRDefault="0024700E"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39.0</w:t>
            </w:r>
          </w:p>
        </w:tc>
      </w:tr>
      <w:tr w:rsidR="0024700E" w:rsidRPr="00476FC9" w:rsidTr="006A4B2D">
        <w:tc>
          <w:tcPr>
            <w:tcW w:w="1666" w:type="pct"/>
            <w:tcBorders>
              <w:right w:val="nil"/>
            </w:tcBorders>
          </w:tcPr>
          <w:p w:rsidR="0024700E" w:rsidRPr="00476FC9" w:rsidRDefault="0024700E"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Total</w:t>
            </w:r>
          </w:p>
        </w:tc>
        <w:tc>
          <w:tcPr>
            <w:tcW w:w="1667" w:type="pct"/>
            <w:tcBorders>
              <w:left w:val="nil"/>
              <w:right w:val="nil"/>
            </w:tcBorders>
          </w:tcPr>
          <w:p w:rsidR="0024700E" w:rsidRPr="00476FC9" w:rsidRDefault="0024700E"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264</w:t>
            </w:r>
          </w:p>
        </w:tc>
        <w:tc>
          <w:tcPr>
            <w:tcW w:w="1667" w:type="pct"/>
            <w:tcBorders>
              <w:left w:val="nil"/>
            </w:tcBorders>
          </w:tcPr>
          <w:p w:rsidR="0024700E" w:rsidRPr="00476FC9" w:rsidRDefault="0024700E"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100</w:t>
            </w:r>
          </w:p>
        </w:tc>
      </w:tr>
    </w:tbl>
    <w:p w:rsidR="0024700E" w:rsidRPr="00476FC9" w:rsidRDefault="0024700E" w:rsidP="007D2ACE">
      <w:pPr>
        <w:keepNext w:val="0"/>
        <w:widowControl w:val="0"/>
        <w:kinsoku w:val="0"/>
        <w:overflowPunct w:val="0"/>
        <w:autoSpaceDE w:val="0"/>
        <w:autoSpaceDN w:val="0"/>
        <w:adjustRightInd w:val="0"/>
        <w:snapToGrid w:val="0"/>
        <w:spacing w:before="0" w:after="0"/>
        <w:ind w:firstLine="720"/>
        <w:rPr>
          <w:color w:val="000000" w:themeColor="text1"/>
        </w:rPr>
      </w:pPr>
    </w:p>
    <w:p w:rsidR="00667045" w:rsidRDefault="008E003D"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It is worth noting that the current research especially uses a recognition task to assess explicit memory retrieval because recall performance is generally </w:t>
      </w:r>
      <w:r w:rsidR="00031B54" w:rsidRPr="00476FC9">
        <w:rPr>
          <w:color w:val="000000" w:themeColor="text1"/>
        </w:rPr>
        <w:t>reported as low</w:t>
      </w:r>
      <w:r w:rsidRPr="00476FC9">
        <w:rPr>
          <w:color w:val="000000" w:themeColor="text1"/>
        </w:rPr>
        <w:t xml:space="preserve"> (Shapiro &amp; Krishnan, 2001). </w:t>
      </w:r>
      <w:r w:rsidR="00A11483" w:rsidRPr="00476FC9">
        <w:rPr>
          <w:color w:val="000000" w:themeColor="text1"/>
        </w:rPr>
        <w:t xml:space="preserve">To maximize the measurement validity, two methods were utilized. First, ten health risks were randomly shown to </w:t>
      </w:r>
      <w:r w:rsidR="00EB4117" w:rsidRPr="00476FC9">
        <w:rPr>
          <w:color w:val="000000" w:themeColor="text1"/>
        </w:rPr>
        <w:t>counterbalance</w:t>
      </w:r>
      <w:r w:rsidR="00A11483" w:rsidRPr="00476FC9">
        <w:rPr>
          <w:color w:val="000000" w:themeColor="text1"/>
        </w:rPr>
        <w:t xml:space="preserve"> </w:t>
      </w:r>
      <w:r w:rsidR="000B2AC2" w:rsidRPr="00476FC9">
        <w:rPr>
          <w:color w:val="000000" w:themeColor="text1"/>
        </w:rPr>
        <w:t xml:space="preserve">potential </w:t>
      </w:r>
      <w:r w:rsidR="00A11483" w:rsidRPr="00476FC9">
        <w:rPr>
          <w:color w:val="000000" w:themeColor="text1"/>
        </w:rPr>
        <w:t xml:space="preserve">order effects. Second, </w:t>
      </w:r>
      <w:r w:rsidR="007E0A2D" w:rsidRPr="00476FC9">
        <w:rPr>
          <w:color w:val="000000" w:themeColor="text1"/>
        </w:rPr>
        <w:t xml:space="preserve">the </w:t>
      </w:r>
      <w:r w:rsidR="007E0A2D" w:rsidRPr="00476FC9">
        <w:rPr>
          <w:color w:val="000000" w:themeColor="text1"/>
        </w:rPr>
        <w:lastRenderedPageBreak/>
        <w:t xml:space="preserve">researcher considered whether the subject accurately or randomly chose the answer. To do so, </w:t>
      </w:r>
      <w:r w:rsidR="007F2B2E" w:rsidRPr="00476FC9">
        <w:rPr>
          <w:color w:val="000000" w:themeColor="text1"/>
        </w:rPr>
        <w:t xml:space="preserve">when the subject </w:t>
      </w:r>
      <w:r w:rsidR="0063346B" w:rsidRPr="00476FC9">
        <w:rPr>
          <w:color w:val="000000" w:themeColor="text1"/>
        </w:rPr>
        <w:t>indicated</w:t>
      </w:r>
      <w:r w:rsidR="007F2B2E" w:rsidRPr="00476FC9">
        <w:rPr>
          <w:color w:val="000000" w:themeColor="text1"/>
        </w:rPr>
        <w:t xml:space="preserve"> “yes” for </w:t>
      </w:r>
      <w:r w:rsidR="0063346B" w:rsidRPr="00476FC9">
        <w:rPr>
          <w:color w:val="000000" w:themeColor="text1"/>
        </w:rPr>
        <w:t>the presented health risk</w:t>
      </w:r>
      <w:r w:rsidR="00EB4117" w:rsidRPr="00476FC9">
        <w:rPr>
          <w:color w:val="000000" w:themeColor="text1"/>
        </w:rPr>
        <w:t>,</w:t>
      </w:r>
      <w:r w:rsidR="00D2564D" w:rsidRPr="00476FC9">
        <w:rPr>
          <w:color w:val="000000" w:themeColor="text1"/>
        </w:rPr>
        <w:t xml:space="preserve"> the researcher gave one point</w:t>
      </w:r>
      <w:r w:rsidR="0063346B" w:rsidRPr="00476FC9">
        <w:rPr>
          <w:color w:val="000000" w:themeColor="text1"/>
        </w:rPr>
        <w:t xml:space="preserve">. </w:t>
      </w:r>
      <w:r w:rsidR="007E0A2D" w:rsidRPr="00476FC9">
        <w:rPr>
          <w:color w:val="000000" w:themeColor="text1"/>
        </w:rPr>
        <w:t>Furthermore, t</w:t>
      </w:r>
      <w:r w:rsidR="0063346B" w:rsidRPr="00476FC9">
        <w:rPr>
          <w:color w:val="000000" w:themeColor="text1"/>
        </w:rPr>
        <w:t xml:space="preserve">o </w:t>
      </w:r>
      <w:r w:rsidR="00D2564D" w:rsidRPr="00476FC9">
        <w:rPr>
          <w:color w:val="000000" w:themeColor="text1"/>
        </w:rPr>
        <w:t>prevent</w:t>
      </w:r>
      <w:r w:rsidR="0063346B" w:rsidRPr="00476FC9">
        <w:rPr>
          <w:color w:val="000000" w:themeColor="text1"/>
        </w:rPr>
        <w:t xml:space="preserve"> inaccurate</w:t>
      </w:r>
      <w:r w:rsidR="00D2564D" w:rsidRPr="00476FC9">
        <w:rPr>
          <w:color w:val="000000" w:themeColor="text1"/>
        </w:rPr>
        <w:t xml:space="preserve"> and biased</w:t>
      </w:r>
      <w:r w:rsidR="0063346B" w:rsidRPr="00476FC9">
        <w:rPr>
          <w:color w:val="000000" w:themeColor="text1"/>
        </w:rPr>
        <w:t xml:space="preserve"> random choice, when the subject indicated “no” for the health risk that was not presented (i.e., </w:t>
      </w:r>
      <w:r w:rsidR="000F2960" w:rsidRPr="00476FC9">
        <w:rPr>
          <w:color w:val="000000" w:themeColor="text1"/>
        </w:rPr>
        <w:t>distract</w:t>
      </w:r>
      <w:r w:rsidR="00892ADB" w:rsidRPr="00476FC9">
        <w:rPr>
          <w:rFonts w:eastAsiaTheme="minorEastAsia" w:hint="eastAsia"/>
          <w:color w:val="000000" w:themeColor="text1"/>
        </w:rPr>
        <w:t>o</w:t>
      </w:r>
      <w:r w:rsidR="000F2960" w:rsidRPr="00476FC9">
        <w:rPr>
          <w:color w:val="000000" w:themeColor="text1"/>
        </w:rPr>
        <w:t>r</w:t>
      </w:r>
      <w:r w:rsidR="0063346B" w:rsidRPr="00476FC9">
        <w:rPr>
          <w:color w:val="000000" w:themeColor="text1"/>
        </w:rPr>
        <w:t xml:space="preserve">), the </w:t>
      </w:r>
      <w:r w:rsidR="00D2564D" w:rsidRPr="00476FC9">
        <w:rPr>
          <w:color w:val="000000" w:themeColor="text1"/>
        </w:rPr>
        <w:t xml:space="preserve">subject </w:t>
      </w:r>
      <w:r w:rsidR="0063346B" w:rsidRPr="00476FC9">
        <w:rPr>
          <w:color w:val="000000" w:themeColor="text1"/>
        </w:rPr>
        <w:t>was also given one point.</w:t>
      </w:r>
      <w:r w:rsidR="00D2564D" w:rsidRPr="00476FC9">
        <w:rPr>
          <w:color w:val="000000" w:themeColor="text1"/>
        </w:rPr>
        <w:t xml:space="preserve"> However, when subjects fail</w:t>
      </w:r>
      <w:r w:rsidR="00EB4117" w:rsidRPr="00476FC9">
        <w:rPr>
          <w:color w:val="000000" w:themeColor="text1"/>
        </w:rPr>
        <w:t>ed</w:t>
      </w:r>
      <w:r w:rsidR="00D2564D" w:rsidRPr="00476FC9">
        <w:rPr>
          <w:color w:val="000000" w:themeColor="text1"/>
        </w:rPr>
        <w:t xml:space="preserve"> to </w:t>
      </w:r>
      <w:r w:rsidR="00EB4117" w:rsidRPr="00476FC9">
        <w:rPr>
          <w:color w:val="000000" w:themeColor="text1"/>
        </w:rPr>
        <w:t xml:space="preserve">accurately </w:t>
      </w:r>
      <w:r w:rsidR="00D2564D" w:rsidRPr="00476FC9">
        <w:rPr>
          <w:color w:val="000000" w:themeColor="text1"/>
        </w:rPr>
        <w:t>recognize w</w:t>
      </w:r>
      <w:r w:rsidR="000B2AC2" w:rsidRPr="00476FC9">
        <w:rPr>
          <w:color w:val="000000" w:themeColor="text1"/>
        </w:rPr>
        <w:t>hether a particular health risk</w:t>
      </w:r>
      <w:r w:rsidR="00D2564D" w:rsidRPr="00476FC9">
        <w:rPr>
          <w:color w:val="000000" w:themeColor="text1"/>
        </w:rPr>
        <w:t xml:space="preserve"> was shown in the ad, they did not obtain points.</w:t>
      </w:r>
      <w:r w:rsidR="0063346B" w:rsidRPr="00476FC9">
        <w:rPr>
          <w:color w:val="000000" w:themeColor="text1"/>
        </w:rPr>
        <w:t xml:space="preserve"> When the subject chose “don’t know” </w:t>
      </w:r>
      <w:r w:rsidR="007E0A2D" w:rsidRPr="00476FC9">
        <w:rPr>
          <w:color w:val="000000" w:themeColor="text1"/>
        </w:rPr>
        <w:t xml:space="preserve">or a wrong answer, </w:t>
      </w:r>
      <w:r w:rsidR="0063346B" w:rsidRPr="00476FC9">
        <w:rPr>
          <w:color w:val="000000" w:themeColor="text1"/>
        </w:rPr>
        <w:t xml:space="preserve">the answer was given 0. As a result, when the subject correctly answered for all </w:t>
      </w:r>
      <w:r w:rsidR="007E0A2D" w:rsidRPr="00476FC9">
        <w:rPr>
          <w:color w:val="000000" w:themeColor="text1"/>
        </w:rPr>
        <w:t>choices</w:t>
      </w:r>
      <w:r w:rsidR="0063346B" w:rsidRPr="00476FC9">
        <w:rPr>
          <w:color w:val="000000" w:themeColor="text1"/>
        </w:rPr>
        <w:t xml:space="preserve">, </w:t>
      </w:r>
      <w:r w:rsidR="007E0A2D" w:rsidRPr="00476FC9">
        <w:rPr>
          <w:color w:val="000000" w:themeColor="text1"/>
        </w:rPr>
        <w:t xml:space="preserve">his/her </w:t>
      </w:r>
      <w:r w:rsidR="0063346B" w:rsidRPr="00476FC9">
        <w:rPr>
          <w:color w:val="000000" w:themeColor="text1"/>
        </w:rPr>
        <w:t xml:space="preserve">score </w:t>
      </w:r>
      <w:r w:rsidR="00D2564D" w:rsidRPr="00476FC9">
        <w:rPr>
          <w:color w:val="000000" w:themeColor="text1"/>
        </w:rPr>
        <w:t xml:space="preserve">could </w:t>
      </w:r>
      <w:r w:rsidR="007E0A2D" w:rsidRPr="00476FC9">
        <w:rPr>
          <w:color w:val="000000" w:themeColor="text1"/>
        </w:rPr>
        <w:t>add up to 1</w:t>
      </w:r>
      <w:r w:rsidR="0063346B" w:rsidRPr="00476FC9">
        <w:rPr>
          <w:color w:val="000000" w:themeColor="text1"/>
        </w:rPr>
        <w:t xml:space="preserve">0, </w:t>
      </w:r>
      <w:r w:rsidR="00D2564D" w:rsidRPr="00476FC9">
        <w:rPr>
          <w:color w:val="000000" w:themeColor="text1"/>
        </w:rPr>
        <w:t xml:space="preserve">whereas </w:t>
      </w:r>
      <w:r w:rsidR="0063346B" w:rsidRPr="00476FC9">
        <w:rPr>
          <w:color w:val="000000" w:themeColor="text1"/>
        </w:rPr>
        <w:t>when the subject’s all answers were wrong or ambiguous</w:t>
      </w:r>
      <w:r w:rsidR="007E0A2D" w:rsidRPr="00476FC9">
        <w:rPr>
          <w:color w:val="000000" w:themeColor="text1"/>
        </w:rPr>
        <w:t xml:space="preserve"> (i.e., don’t know)</w:t>
      </w:r>
      <w:r w:rsidR="0063346B" w:rsidRPr="00476FC9">
        <w:rPr>
          <w:color w:val="000000" w:themeColor="text1"/>
        </w:rPr>
        <w:t xml:space="preserve">, the score </w:t>
      </w:r>
      <w:r w:rsidR="00D2564D" w:rsidRPr="00476FC9">
        <w:rPr>
          <w:color w:val="000000" w:themeColor="text1"/>
        </w:rPr>
        <w:t xml:space="preserve">could </w:t>
      </w:r>
      <w:r w:rsidR="0063346B" w:rsidRPr="00476FC9">
        <w:rPr>
          <w:color w:val="000000" w:themeColor="text1"/>
        </w:rPr>
        <w:t>be 0.</w:t>
      </w:r>
      <w:r w:rsidR="007E0A2D" w:rsidRPr="00476FC9">
        <w:rPr>
          <w:color w:val="000000" w:themeColor="text1"/>
        </w:rPr>
        <w:t xml:space="preserve"> The summed single composite score </w:t>
      </w:r>
      <w:r w:rsidR="00D2564D" w:rsidRPr="00476FC9">
        <w:rPr>
          <w:color w:val="000000" w:themeColor="text1"/>
        </w:rPr>
        <w:t xml:space="preserve">for recognition measure </w:t>
      </w:r>
      <w:r w:rsidR="007E0A2D" w:rsidRPr="00476FC9">
        <w:rPr>
          <w:color w:val="000000" w:themeColor="text1"/>
        </w:rPr>
        <w:t xml:space="preserve">was </w:t>
      </w:r>
      <w:r w:rsidR="00667045" w:rsidRPr="00476FC9">
        <w:rPr>
          <w:color w:val="000000" w:themeColor="text1"/>
        </w:rPr>
        <w:t>reliable (Cronbach’s α = .79)</w:t>
      </w:r>
      <w:r w:rsidR="007E0A2D" w:rsidRPr="00476FC9">
        <w:rPr>
          <w:color w:val="000000" w:themeColor="text1"/>
        </w:rPr>
        <w:t>.</w:t>
      </w:r>
      <w:r w:rsidR="00667045" w:rsidRPr="00476FC9">
        <w:rPr>
          <w:color w:val="000000" w:themeColor="text1"/>
        </w:rPr>
        <w:t xml:space="preserve"> The mean for the recognition score was 5.64 (</w:t>
      </w:r>
      <w:r w:rsidR="00667045" w:rsidRPr="00476FC9">
        <w:rPr>
          <w:i/>
          <w:color w:val="000000" w:themeColor="text1"/>
        </w:rPr>
        <w:t>SD</w:t>
      </w:r>
      <w:r w:rsidR="00667045" w:rsidRPr="00476FC9">
        <w:rPr>
          <w:color w:val="000000" w:themeColor="text1"/>
        </w:rPr>
        <w:t xml:space="preserve"> = 2.88)</w:t>
      </w:r>
      <w:r w:rsidR="005B4E2C" w:rsidRPr="00476FC9">
        <w:rPr>
          <w:color w:val="000000" w:themeColor="text1"/>
        </w:rPr>
        <w:t>, indicating an overall high performance</w:t>
      </w:r>
      <w:r w:rsidR="00BB145F" w:rsidRPr="00476FC9">
        <w:rPr>
          <w:color w:val="000000" w:themeColor="text1"/>
        </w:rPr>
        <w:t>. 5.3% (</w:t>
      </w:r>
      <w:r w:rsidR="00BB145F" w:rsidRPr="00476FC9">
        <w:rPr>
          <w:i/>
          <w:color w:val="000000" w:themeColor="text1"/>
        </w:rPr>
        <w:t>n</w:t>
      </w:r>
      <w:r w:rsidR="00BB145F" w:rsidRPr="00476FC9">
        <w:rPr>
          <w:color w:val="000000" w:themeColor="text1"/>
        </w:rPr>
        <w:t xml:space="preserve"> = 14) scored 0, whereas </w:t>
      </w:r>
      <w:r w:rsidR="007F7687" w:rsidRPr="00476FC9">
        <w:rPr>
          <w:color w:val="000000" w:themeColor="text1"/>
        </w:rPr>
        <w:t>10.2% (</w:t>
      </w:r>
      <w:r w:rsidR="007F7687" w:rsidRPr="00476FC9">
        <w:rPr>
          <w:i/>
          <w:color w:val="000000" w:themeColor="text1"/>
        </w:rPr>
        <w:t>n</w:t>
      </w:r>
      <w:r w:rsidR="007F7687" w:rsidRPr="00476FC9">
        <w:rPr>
          <w:color w:val="000000" w:themeColor="text1"/>
        </w:rPr>
        <w:t xml:space="preserve"> = 27) scored 10 (see Table </w:t>
      </w:r>
      <w:r w:rsidR="005B4E2C" w:rsidRPr="00476FC9">
        <w:rPr>
          <w:color w:val="000000" w:themeColor="text1"/>
        </w:rPr>
        <w:t>6</w:t>
      </w:r>
      <w:r w:rsidR="007F7687" w:rsidRPr="00476FC9">
        <w:rPr>
          <w:color w:val="000000" w:themeColor="text1"/>
        </w:rPr>
        <w:t>).</w:t>
      </w:r>
    </w:p>
    <w:p w:rsidR="007D2ACE" w:rsidRPr="00476FC9" w:rsidRDefault="007D2ACE"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On the other hand, the recall score was coded by the researcher. When the subject reported explicitly correct health risk names that were presented in the ad, each correct answer was given one point. Therefore, when the subject correctly answered for all the five health risks presented in the ad, his/her score could add up to 5, whereas when he/she provided no right answers at all, his/her score could be 0. The mean for the recall score was 1.07 (</w:t>
      </w:r>
      <w:r w:rsidRPr="00476FC9">
        <w:rPr>
          <w:i/>
          <w:color w:val="000000" w:themeColor="text1"/>
        </w:rPr>
        <w:t>SD</w:t>
      </w:r>
      <w:r w:rsidRPr="00476FC9">
        <w:rPr>
          <w:color w:val="000000" w:themeColor="text1"/>
        </w:rPr>
        <w:t xml:space="preserve"> = 1.16), indicating an overall low retrieval performance. Approximately 40% (</w:t>
      </w:r>
      <w:r w:rsidRPr="00476FC9">
        <w:rPr>
          <w:i/>
          <w:color w:val="000000" w:themeColor="text1"/>
        </w:rPr>
        <w:t>n</w:t>
      </w:r>
      <w:r w:rsidRPr="00476FC9">
        <w:rPr>
          <w:color w:val="000000" w:themeColor="text1"/>
        </w:rPr>
        <w:t xml:space="preserve"> = 105) of the sample scored 0 (see Table 7). Whereas the recognition score was appropriate for calculating measurement reliability (internal consistency), the recall score was not appropriate for calculating a coefficient value. Further, given that only explicitly correct answers were coded as right answers, it was not necessary to conduct an inter-coder reliability test for the recall test.</w:t>
      </w:r>
    </w:p>
    <w:p w:rsidR="007D2ACE" w:rsidRPr="00476FC9" w:rsidRDefault="007D2ACE" w:rsidP="007D2ACE">
      <w:pPr>
        <w:keepNext w:val="0"/>
        <w:widowControl w:val="0"/>
        <w:kinsoku w:val="0"/>
        <w:overflowPunct w:val="0"/>
        <w:autoSpaceDE w:val="0"/>
        <w:autoSpaceDN w:val="0"/>
        <w:adjustRightInd w:val="0"/>
        <w:snapToGrid w:val="0"/>
        <w:spacing w:before="0" w:after="0"/>
        <w:ind w:firstLine="720"/>
        <w:rPr>
          <w:color w:val="000000" w:themeColor="text1"/>
        </w:rPr>
      </w:pPr>
    </w:p>
    <w:p w:rsidR="007F7687" w:rsidRPr="00476FC9" w:rsidRDefault="00F82792" w:rsidP="007D2ACE">
      <w:pPr>
        <w:pStyle w:val="Caption"/>
        <w:keepNext w:val="0"/>
        <w:widowControl w:val="0"/>
        <w:kinsoku w:val="0"/>
        <w:overflowPunct w:val="0"/>
        <w:autoSpaceDE w:val="0"/>
        <w:autoSpaceDN w:val="0"/>
        <w:adjustRightInd w:val="0"/>
        <w:snapToGrid w:val="0"/>
        <w:rPr>
          <w:color w:val="000000" w:themeColor="text1"/>
        </w:rPr>
      </w:pPr>
      <w:bookmarkStart w:id="43" w:name="_Toc393800638"/>
      <w:r w:rsidRPr="00476FC9">
        <w:rPr>
          <w:color w:val="000000" w:themeColor="text1"/>
        </w:rPr>
        <w:t xml:space="preserve">Table </w:t>
      </w:r>
      <w:r w:rsidR="00037CF4" w:rsidRPr="00476FC9">
        <w:rPr>
          <w:color w:val="000000" w:themeColor="text1"/>
        </w:rPr>
        <w:fldChar w:fldCharType="begin"/>
      </w:r>
      <w:r w:rsidR="00037CF4" w:rsidRPr="00476FC9">
        <w:rPr>
          <w:color w:val="000000" w:themeColor="text1"/>
        </w:rPr>
        <w:instrText xml:space="preserve"> SEQ Table \* ARABIC </w:instrText>
      </w:r>
      <w:r w:rsidR="00037CF4" w:rsidRPr="00476FC9">
        <w:rPr>
          <w:color w:val="000000" w:themeColor="text1"/>
        </w:rPr>
        <w:fldChar w:fldCharType="separate"/>
      </w:r>
      <w:r w:rsidR="00E02362" w:rsidRPr="00476FC9">
        <w:rPr>
          <w:noProof/>
          <w:color w:val="000000" w:themeColor="text1"/>
        </w:rPr>
        <w:t>6</w:t>
      </w:r>
      <w:r w:rsidR="00037CF4" w:rsidRPr="00476FC9">
        <w:rPr>
          <w:noProof/>
          <w:color w:val="000000" w:themeColor="text1"/>
        </w:rPr>
        <w:fldChar w:fldCharType="end"/>
      </w:r>
      <w:r w:rsidRPr="00476FC9">
        <w:rPr>
          <w:color w:val="000000" w:themeColor="text1"/>
        </w:rPr>
        <w:t>.</w:t>
      </w:r>
      <w:r w:rsidR="007F7687" w:rsidRPr="00476FC9">
        <w:rPr>
          <w:color w:val="000000" w:themeColor="text1"/>
        </w:rPr>
        <w:t xml:space="preserve"> Descriptives for Recognition</w:t>
      </w:r>
      <w:bookmarkEnd w:id="43"/>
    </w:p>
    <w:tbl>
      <w:tblPr>
        <w:tblStyle w:val="TableGrid"/>
        <w:tblW w:w="5000" w:type="pct"/>
        <w:tblBorders>
          <w:left w:val="none" w:sz="0" w:space="0" w:color="auto"/>
          <w:right w:val="none" w:sz="0" w:space="0" w:color="auto"/>
        </w:tblBorders>
        <w:tblLook w:val="04A0" w:firstRow="1" w:lastRow="0" w:firstColumn="1" w:lastColumn="0" w:noHBand="0" w:noVBand="1"/>
      </w:tblPr>
      <w:tblGrid>
        <w:gridCol w:w="3118"/>
        <w:gridCol w:w="3121"/>
        <w:gridCol w:w="3121"/>
      </w:tblGrid>
      <w:tr w:rsidR="00476FC9" w:rsidRPr="00476FC9" w:rsidTr="00F82792">
        <w:tc>
          <w:tcPr>
            <w:tcW w:w="1666" w:type="pct"/>
            <w:tcBorders>
              <w:right w:val="nil"/>
            </w:tcBorders>
          </w:tcPr>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Number of Right Answers</w:t>
            </w:r>
          </w:p>
        </w:tc>
        <w:tc>
          <w:tcPr>
            <w:tcW w:w="1667" w:type="pct"/>
            <w:tcBorders>
              <w:left w:val="nil"/>
              <w:bottom w:val="single" w:sz="4" w:space="0" w:color="auto"/>
              <w:right w:val="nil"/>
            </w:tcBorders>
          </w:tcPr>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i/>
                <w:color w:val="000000" w:themeColor="text1"/>
              </w:rPr>
            </w:pPr>
            <w:r w:rsidRPr="00476FC9">
              <w:rPr>
                <w:i/>
                <w:color w:val="000000" w:themeColor="text1"/>
              </w:rPr>
              <w:t>N</w:t>
            </w:r>
          </w:p>
        </w:tc>
        <w:tc>
          <w:tcPr>
            <w:tcW w:w="1667" w:type="pct"/>
            <w:tcBorders>
              <w:left w:val="nil"/>
            </w:tcBorders>
          </w:tcPr>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w:t>
            </w:r>
          </w:p>
        </w:tc>
      </w:tr>
      <w:tr w:rsidR="00476FC9" w:rsidRPr="00476FC9" w:rsidTr="00F82792">
        <w:tc>
          <w:tcPr>
            <w:tcW w:w="1666" w:type="pct"/>
            <w:tcBorders>
              <w:right w:val="nil"/>
            </w:tcBorders>
          </w:tcPr>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0</w:t>
            </w:r>
          </w:p>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1</w:t>
            </w:r>
          </w:p>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2</w:t>
            </w:r>
          </w:p>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3</w:t>
            </w:r>
          </w:p>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4</w:t>
            </w:r>
          </w:p>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5</w:t>
            </w:r>
          </w:p>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6</w:t>
            </w:r>
          </w:p>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7</w:t>
            </w:r>
          </w:p>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8</w:t>
            </w:r>
          </w:p>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9</w:t>
            </w:r>
          </w:p>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10</w:t>
            </w:r>
          </w:p>
        </w:tc>
        <w:tc>
          <w:tcPr>
            <w:tcW w:w="1667" w:type="pct"/>
            <w:tcBorders>
              <w:left w:val="nil"/>
              <w:bottom w:val="single" w:sz="4" w:space="0" w:color="auto"/>
              <w:right w:val="nil"/>
            </w:tcBorders>
          </w:tcPr>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14</w:t>
            </w:r>
          </w:p>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6</w:t>
            </w:r>
          </w:p>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19</w:t>
            </w:r>
          </w:p>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34</w:t>
            </w:r>
          </w:p>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21</w:t>
            </w:r>
          </w:p>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36</w:t>
            </w:r>
          </w:p>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28</w:t>
            </w:r>
          </w:p>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20</w:t>
            </w:r>
          </w:p>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30</w:t>
            </w:r>
          </w:p>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29</w:t>
            </w:r>
          </w:p>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27</w:t>
            </w:r>
          </w:p>
        </w:tc>
        <w:tc>
          <w:tcPr>
            <w:tcW w:w="1667" w:type="pct"/>
            <w:tcBorders>
              <w:left w:val="nil"/>
            </w:tcBorders>
          </w:tcPr>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5.3</w:t>
            </w:r>
          </w:p>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2.3</w:t>
            </w:r>
          </w:p>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7.2</w:t>
            </w:r>
          </w:p>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12.9</w:t>
            </w:r>
          </w:p>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8.0</w:t>
            </w:r>
          </w:p>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13.6</w:t>
            </w:r>
          </w:p>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10.6</w:t>
            </w:r>
          </w:p>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7.6</w:t>
            </w:r>
          </w:p>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11.4</w:t>
            </w:r>
          </w:p>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11.0</w:t>
            </w:r>
          </w:p>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10.2</w:t>
            </w:r>
          </w:p>
        </w:tc>
      </w:tr>
      <w:tr w:rsidR="007F7687" w:rsidRPr="00476FC9" w:rsidTr="00F82792">
        <w:tc>
          <w:tcPr>
            <w:tcW w:w="1666" w:type="pct"/>
            <w:tcBorders>
              <w:right w:val="nil"/>
            </w:tcBorders>
          </w:tcPr>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Total</w:t>
            </w:r>
          </w:p>
        </w:tc>
        <w:tc>
          <w:tcPr>
            <w:tcW w:w="1667" w:type="pct"/>
            <w:tcBorders>
              <w:left w:val="nil"/>
              <w:right w:val="nil"/>
            </w:tcBorders>
          </w:tcPr>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264</w:t>
            </w:r>
          </w:p>
        </w:tc>
        <w:tc>
          <w:tcPr>
            <w:tcW w:w="1667" w:type="pct"/>
            <w:tcBorders>
              <w:left w:val="nil"/>
            </w:tcBorders>
          </w:tcPr>
          <w:p w:rsidR="007F7687" w:rsidRPr="00476FC9" w:rsidRDefault="007F7687"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100</w:t>
            </w:r>
          </w:p>
        </w:tc>
      </w:tr>
    </w:tbl>
    <w:p w:rsidR="007F7687" w:rsidRPr="00476FC9" w:rsidRDefault="007F7687" w:rsidP="007D2ACE">
      <w:pPr>
        <w:keepNext w:val="0"/>
        <w:widowControl w:val="0"/>
        <w:kinsoku w:val="0"/>
        <w:overflowPunct w:val="0"/>
        <w:autoSpaceDE w:val="0"/>
        <w:autoSpaceDN w:val="0"/>
        <w:adjustRightInd w:val="0"/>
        <w:snapToGrid w:val="0"/>
        <w:spacing w:before="0" w:after="0"/>
        <w:ind w:firstLine="720"/>
        <w:rPr>
          <w:color w:val="000000" w:themeColor="text1"/>
        </w:rPr>
      </w:pPr>
    </w:p>
    <w:p w:rsidR="00F76010" w:rsidRPr="00476FC9" w:rsidRDefault="00F76010" w:rsidP="007D2ACE">
      <w:pPr>
        <w:pStyle w:val="Caption"/>
        <w:keepNext w:val="0"/>
        <w:widowControl w:val="0"/>
        <w:kinsoku w:val="0"/>
        <w:overflowPunct w:val="0"/>
        <w:autoSpaceDE w:val="0"/>
        <w:autoSpaceDN w:val="0"/>
        <w:adjustRightInd w:val="0"/>
        <w:snapToGrid w:val="0"/>
        <w:rPr>
          <w:color w:val="000000" w:themeColor="text1"/>
        </w:rPr>
      </w:pPr>
    </w:p>
    <w:p w:rsidR="00BB145F" w:rsidRPr="00476FC9" w:rsidRDefault="00F82792" w:rsidP="007D2ACE">
      <w:pPr>
        <w:pStyle w:val="Caption"/>
        <w:keepNext w:val="0"/>
        <w:widowControl w:val="0"/>
        <w:kinsoku w:val="0"/>
        <w:overflowPunct w:val="0"/>
        <w:autoSpaceDE w:val="0"/>
        <w:autoSpaceDN w:val="0"/>
        <w:adjustRightInd w:val="0"/>
        <w:snapToGrid w:val="0"/>
        <w:rPr>
          <w:color w:val="000000" w:themeColor="text1"/>
        </w:rPr>
      </w:pPr>
      <w:bookmarkStart w:id="44" w:name="_Toc393800639"/>
      <w:r w:rsidRPr="00476FC9">
        <w:rPr>
          <w:color w:val="000000" w:themeColor="text1"/>
        </w:rPr>
        <w:t xml:space="preserve">Table </w:t>
      </w:r>
      <w:r w:rsidR="00037CF4" w:rsidRPr="00476FC9">
        <w:rPr>
          <w:color w:val="000000" w:themeColor="text1"/>
        </w:rPr>
        <w:fldChar w:fldCharType="begin"/>
      </w:r>
      <w:r w:rsidR="00037CF4" w:rsidRPr="00476FC9">
        <w:rPr>
          <w:color w:val="000000" w:themeColor="text1"/>
        </w:rPr>
        <w:instrText xml:space="preserve"> SEQ Table \* ARABIC </w:instrText>
      </w:r>
      <w:r w:rsidR="00037CF4" w:rsidRPr="00476FC9">
        <w:rPr>
          <w:color w:val="000000" w:themeColor="text1"/>
        </w:rPr>
        <w:fldChar w:fldCharType="separate"/>
      </w:r>
      <w:r w:rsidR="00E02362" w:rsidRPr="00476FC9">
        <w:rPr>
          <w:noProof/>
          <w:color w:val="000000" w:themeColor="text1"/>
        </w:rPr>
        <w:t>7</w:t>
      </w:r>
      <w:r w:rsidR="00037CF4" w:rsidRPr="00476FC9">
        <w:rPr>
          <w:noProof/>
          <w:color w:val="000000" w:themeColor="text1"/>
        </w:rPr>
        <w:fldChar w:fldCharType="end"/>
      </w:r>
      <w:r w:rsidRPr="00476FC9">
        <w:rPr>
          <w:color w:val="000000" w:themeColor="text1"/>
        </w:rPr>
        <w:t>.</w:t>
      </w:r>
      <w:r w:rsidR="00BB145F" w:rsidRPr="00476FC9">
        <w:rPr>
          <w:color w:val="000000" w:themeColor="text1"/>
        </w:rPr>
        <w:t xml:space="preserve"> Descrptives for Recall</w:t>
      </w:r>
      <w:bookmarkEnd w:id="44"/>
    </w:p>
    <w:tbl>
      <w:tblPr>
        <w:tblStyle w:val="TableGrid"/>
        <w:tblW w:w="5000" w:type="pct"/>
        <w:tblBorders>
          <w:left w:val="none" w:sz="0" w:space="0" w:color="auto"/>
          <w:right w:val="none" w:sz="0" w:space="0" w:color="auto"/>
        </w:tblBorders>
        <w:tblLook w:val="04A0" w:firstRow="1" w:lastRow="0" w:firstColumn="1" w:lastColumn="0" w:noHBand="0" w:noVBand="1"/>
      </w:tblPr>
      <w:tblGrid>
        <w:gridCol w:w="3118"/>
        <w:gridCol w:w="3121"/>
        <w:gridCol w:w="3121"/>
      </w:tblGrid>
      <w:tr w:rsidR="00476FC9" w:rsidRPr="00476FC9" w:rsidTr="00BB145F">
        <w:tc>
          <w:tcPr>
            <w:tcW w:w="1666" w:type="pct"/>
            <w:tcBorders>
              <w:right w:val="nil"/>
            </w:tcBorders>
          </w:tcPr>
          <w:p w:rsidR="00BB145F" w:rsidRPr="00476FC9" w:rsidRDefault="00BB145F"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Number of Right Answers</w:t>
            </w:r>
          </w:p>
        </w:tc>
        <w:tc>
          <w:tcPr>
            <w:tcW w:w="1667" w:type="pct"/>
            <w:tcBorders>
              <w:left w:val="nil"/>
              <w:bottom w:val="single" w:sz="4" w:space="0" w:color="auto"/>
              <w:right w:val="nil"/>
            </w:tcBorders>
          </w:tcPr>
          <w:p w:rsidR="00BB145F" w:rsidRPr="00476FC9" w:rsidRDefault="00BB145F" w:rsidP="007D2ACE">
            <w:pPr>
              <w:keepNext w:val="0"/>
              <w:widowControl w:val="0"/>
              <w:kinsoku w:val="0"/>
              <w:overflowPunct w:val="0"/>
              <w:autoSpaceDE w:val="0"/>
              <w:autoSpaceDN w:val="0"/>
              <w:adjustRightInd w:val="0"/>
              <w:snapToGrid w:val="0"/>
              <w:spacing w:before="0" w:after="0" w:line="240" w:lineRule="auto"/>
              <w:jc w:val="center"/>
              <w:rPr>
                <w:i/>
                <w:color w:val="000000" w:themeColor="text1"/>
              </w:rPr>
            </w:pPr>
            <w:r w:rsidRPr="00476FC9">
              <w:rPr>
                <w:i/>
                <w:color w:val="000000" w:themeColor="text1"/>
              </w:rPr>
              <w:t>N</w:t>
            </w:r>
          </w:p>
        </w:tc>
        <w:tc>
          <w:tcPr>
            <w:tcW w:w="1667" w:type="pct"/>
            <w:tcBorders>
              <w:left w:val="nil"/>
            </w:tcBorders>
          </w:tcPr>
          <w:p w:rsidR="00BB145F" w:rsidRPr="00476FC9" w:rsidRDefault="00BB145F"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w:t>
            </w:r>
          </w:p>
        </w:tc>
      </w:tr>
      <w:tr w:rsidR="00476FC9" w:rsidRPr="00476FC9" w:rsidTr="00BB145F">
        <w:tc>
          <w:tcPr>
            <w:tcW w:w="1666" w:type="pct"/>
            <w:tcBorders>
              <w:right w:val="nil"/>
            </w:tcBorders>
          </w:tcPr>
          <w:p w:rsidR="00BB145F" w:rsidRPr="00476FC9" w:rsidRDefault="00BB145F"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0</w:t>
            </w:r>
          </w:p>
          <w:p w:rsidR="00BB145F" w:rsidRPr="00476FC9" w:rsidRDefault="00BB145F"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1</w:t>
            </w:r>
          </w:p>
          <w:p w:rsidR="00BB145F" w:rsidRPr="00476FC9" w:rsidRDefault="00BB145F"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2</w:t>
            </w:r>
          </w:p>
          <w:p w:rsidR="00BB145F" w:rsidRPr="00476FC9" w:rsidRDefault="00BB145F"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3</w:t>
            </w:r>
          </w:p>
          <w:p w:rsidR="00BB145F" w:rsidRPr="00476FC9" w:rsidRDefault="00BB145F"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4</w:t>
            </w:r>
          </w:p>
          <w:p w:rsidR="00BB145F" w:rsidRPr="00476FC9" w:rsidRDefault="00BB145F"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5</w:t>
            </w:r>
          </w:p>
        </w:tc>
        <w:tc>
          <w:tcPr>
            <w:tcW w:w="1667" w:type="pct"/>
            <w:tcBorders>
              <w:left w:val="nil"/>
              <w:bottom w:val="single" w:sz="4" w:space="0" w:color="auto"/>
              <w:right w:val="nil"/>
            </w:tcBorders>
          </w:tcPr>
          <w:p w:rsidR="00BB145F" w:rsidRPr="00476FC9" w:rsidRDefault="00BB145F"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105</w:t>
            </w:r>
          </w:p>
          <w:p w:rsidR="00BB145F" w:rsidRPr="00476FC9" w:rsidRDefault="00BB145F"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73</w:t>
            </w:r>
          </w:p>
          <w:p w:rsidR="00BB145F" w:rsidRPr="00476FC9" w:rsidRDefault="00BB145F"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53</w:t>
            </w:r>
          </w:p>
          <w:p w:rsidR="00BB145F" w:rsidRPr="00476FC9" w:rsidRDefault="00BB145F"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28</w:t>
            </w:r>
          </w:p>
          <w:p w:rsidR="00BB145F" w:rsidRPr="00476FC9" w:rsidRDefault="00BB145F"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3</w:t>
            </w:r>
          </w:p>
          <w:p w:rsidR="00BB145F" w:rsidRPr="00476FC9" w:rsidRDefault="00BB145F"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2</w:t>
            </w:r>
          </w:p>
        </w:tc>
        <w:tc>
          <w:tcPr>
            <w:tcW w:w="1667" w:type="pct"/>
            <w:tcBorders>
              <w:left w:val="nil"/>
            </w:tcBorders>
          </w:tcPr>
          <w:p w:rsidR="00BB145F" w:rsidRPr="00476FC9" w:rsidRDefault="00BB145F"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39.8</w:t>
            </w:r>
          </w:p>
          <w:p w:rsidR="00BB145F" w:rsidRPr="00476FC9" w:rsidRDefault="00BB145F"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27.7</w:t>
            </w:r>
          </w:p>
          <w:p w:rsidR="00BB145F" w:rsidRPr="00476FC9" w:rsidRDefault="00BB145F"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20.1</w:t>
            </w:r>
          </w:p>
          <w:p w:rsidR="00BB145F" w:rsidRPr="00476FC9" w:rsidRDefault="00BB145F"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10.6</w:t>
            </w:r>
          </w:p>
          <w:p w:rsidR="00BB145F" w:rsidRPr="00476FC9" w:rsidRDefault="00BB145F"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1.1</w:t>
            </w:r>
          </w:p>
          <w:p w:rsidR="00BB145F" w:rsidRPr="00476FC9" w:rsidRDefault="00BB145F"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.8</w:t>
            </w:r>
          </w:p>
        </w:tc>
      </w:tr>
      <w:tr w:rsidR="007D2ACE" w:rsidRPr="00476FC9" w:rsidTr="00BB145F">
        <w:tc>
          <w:tcPr>
            <w:tcW w:w="1666" w:type="pct"/>
            <w:tcBorders>
              <w:right w:val="nil"/>
            </w:tcBorders>
          </w:tcPr>
          <w:p w:rsidR="00BB145F" w:rsidRPr="00476FC9" w:rsidRDefault="00BB145F"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Total</w:t>
            </w:r>
          </w:p>
        </w:tc>
        <w:tc>
          <w:tcPr>
            <w:tcW w:w="1667" w:type="pct"/>
            <w:tcBorders>
              <w:left w:val="nil"/>
              <w:right w:val="nil"/>
            </w:tcBorders>
          </w:tcPr>
          <w:p w:rsidR="00BB145F" w:rsidRPr="00476FC9" w:rsidRDefault="00BB145F"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264</w:t>
            </w:r>
          </w:p>
        </w:tc>
        <w:tc>
          <w:tcPr>
            <w:tcW w:w="1667" w:type="pct"/>
            <w:tcBorders>
              <w:left w:val="nil"/>
            </w:tcBorders>
          </w:tcPr>
          <w:p w:rsidR="00BB145F" w:rsidRPr="00476FC9" w:rsidRDefault="00BB145F" w:rsidP="007D2ACE">
            <w:pPr>
              <w:keepNext w:val="0"/>
              <w:widowControl w:val="0"/>
              <w:kinsoku w:val="0"/>
              <w:overflowPunct w:val="0"/>
              <w:autoSpaceDE w:val="0"/>
              <w:autoSpaceDN w:val="0"/>
              <w:adjustRightInd w:val="0"/>
              <w:snapToGrid w:val="0"/>
              <w:spacing w:before="0" w:after="0" w:line="240" w:lineRule="auto"/>
              <w:jc w:val="center"/>
              <w:rPr>
                <w:color w:val="000000" w:themeColor="text1"/>
              </w:rPr>
            </w:pPr>
            <w:r w:rsidRPr="00476FC9">
              <w:rPr>
                <w:color w:val="000000" w:themeColor="text1"/>
              </w:rPr>
              <w:t>100</w:t>
            </w:r>
          </w:p>
        </w:tc>
      </w:tr>
    </w:tbl>
    <w:p w:rsidR="00BB145F" w:rsidRDefault="00BB145F" w:rsidP="007D2ACE">
      <w:pPr>
        <w:keepNext w:val="0"/>
        <w:widowControl w:val="0"/>
        <w:kinsoku w:val="0"/>
        <w:overflowPunct w:val="0"/>
        <w:autoSpaceDE w:val="0"/>
        <w:autoSpaceDN w:val="0"/>
        <w:adjustRightInd w:val="0"/>
        <w:snapToGrid w:val="0"/>
        <w:spacing w:before="0" w:after="0"/>
        <w:rPr>
          <w:color w:val="000000" w:themeColor="text1"/>
        </w:rPr>
      </w:pPr>
    </w:p>
    <w:p w:rsidR="007D2ACE" w:rsidRPr="00476FC9" w:rsidRDefault="007D2ACE" w:rsidP="007D2ACE">
      <w:pPr>
        <w:keepNext w:val="0"/>
        <w:widowControl w:val="0"/>
        <w:kinsoku w:val="0"/>
        <w:overflowPunct w:val="0"/>
        <w:autoSpaceDE w:val="0"/>
        <w:autoSpaceDN w:val="0"/>
        <w:adjustRightInd w:val="0"/>
        <w:snapToGrid w:val="0"/>
        <w:spacing w:before="0" w:after="0"/>
        <w:rPr>
          <w:color w:val="000000" w:themeColor="text1"/>
        </w:rPr>
      </w:pPr>
    </w:p>
    <w:p w:rsidR="00B8516E" w:rsidRPr="00476FC9" w:rsidRDefault="00B8516E" w:rsidP="007D2ACE">
      <w:pPr>
        <w:pStyle w:val="Heading3"/>
        <w:widowControl w:val="0"/>
        <w:kinsoku w:val="0"/>
        <w:overflowPunct w:val="0"/>
        <w:autoSpaceDE w:val="0"/>
        <w:autoSpaceDN w:val="0"/>
        <w:snapToGrid w:val="0"/>
        <w:contextualSpacing w:val="0"/>
        <w:rPr>
          <w:color w:val="000000" w:themeColor="text1"/>
        </w:rPr>
      </w:pPr>
      <w:bookmarkStart w:id="45" w:name="_Toc393800683"/>
      <w:r w:rsidRPr="00476FC9">
        <w:rPr>
          <w:color w:val="000000" w:themeColor="text1"/>
        </w:rPr>
        <w:t>Covariates</w:t>
      </w:r>
      <w:bookmarkEnd w:id="45"/>
    </w:p>
    <w:p w:rsidR="00D16662" w:rsidRPr="00476FC9" w:rsidRDefault="006B5767" w:rsidP="007D2ACE">
      <w:pPr>
        <w:keepNext w:val="0"/>
        <w:widowControl w:val="0"/>
        <w:kinsoku w:val="0"/>
        <w:overflowPunct w:val="0"/>
        <w:autoSpaceDE w:val="0"/>
        <w:autoSpaceDN w:val="0"/>
        <w:adjustRightInd w:val="0"/>
        <w:snapToGrid w:val="0"/>
        <w:spacing w:before="0" w:after="0"/>
        <w:jc w:val="both"/>
        <w:rPr>
          <w:color w:val="000000" w:themeColor="text1"/>
          <w:szCs w:val="24"/>
        </w:rPr>
      </w:pPr>
      <w:r w:rsidRPr="00476FC9">
        <w:rPr>
          <w:color w:val="000000" w:themeColor="text1"/>
        </w:rPr>
        <w:tab/>
      </w:r>
      <w:r w:rsidR="00383633" w:rsidRPr="00476FC9">
        <w:rPr>
          <w:color w:val="000000" w:themeColor="text1"/>
        </w:rPr>
        <w:t xml:space="preserve">Several potential covariates of consumer response to DTCA were identified from the </w:t>
      </w:r>
      <w:r w:rsidR="001B1ED6" w:rsidRPr="00476FC9">
        <w:rPr>
          <w:color w:val="000000" w:themeColor="text1"/>
        </w:rPr>
        <w:t xml:space="preserve">DTCA </w:t>
      </w:r>
      <w:r w:rsidR="00383633" w:rsidRPr="00476FC9">
        <w:rPr>
          <w:color w:val="000000" w:themeColor="text1"/>
        </w:rPr>
        <w:t xml:space="preserve">literature and measured to be controlled and </w:t>
      </w:r>
      <w:r w:rsidR="00997272" w:rsidRPr="00476FC9">
        <w:rPr>
          <w:color w:val="000000" w:themeColor="text1"/>
        </w:rPr>
        <w:t xml:space="preserve">to </w:t>
      </w:r>
      <w:r w:rsidR="00383633" w:rsidRPr="00476FC9">
        <w:rPr>
          <w:color w:val="000000" w:themeColor="text1"/>
        </w:rPr>
        <w:t>exclude alternative explanations of the findings. According to DTCA research and the health communication literature</w:t>
      </w:r>
      <w:r w:rsidR="001B1ED6" w:rsidRPr="00476FC9">
        <w:rPr>
          <w:color w:val="000000" w:themeColor="text1"/>
        </w:rPr>
        <w:t xml:space="preserve"> in general</w:t>
      </w:r>
      <w:r w:rsidR="00383633" w:rsidRPr="00476FC9">
        <w:rPr>
          <w:color w:val="000000" w:themeColor="text1"/>
        </w:rPr>
        <w:t xml:space="preserve">, various </w:t>
      </w:r>
      <w:r w:rsidR="00622349" w:rsidRPr="00476FC9">
        <w:rPr>
          <w:color w:val="000000" w:themeColor="text1"/>
        </w:rPr>
        <w:lastRenderedPageBreak/>
        <w:t xml:space="preserve">pre-existing </w:t>
      </w:r>
      <w:r w:rsidR="001B1ED6" w:rsidRPr="00476FC9">
        <w:rPr>
          <w:color w:val="000000" w:themeColor="text1"/>
        </w:rPr>
        <w:t>cognitive traits</w:t>
      </w:r>
      <w:r w:rsidR="00383633" w:rsidRPr="00476FC9">
        <w:rPr>
          <w:color w:val="000000" w:themeColor="text1"/>
        </w:rPr>
        <w:t xml:space="preserve"> could affect consumer response to </w:t>
      </w:r>
      <w:r w:rsidR="00622349" w:rsidRPr="00476FC9">
        <w:rPr>
          <w:color w:val="000000" w:themeColor="text1"/>
        </w:rPr>
        <w:t>DTCA</w:t>
      </w:r>
      <w:r w:rsidR="00383633" w:rsidRPr="00476FC9">
        <w:rPr>
          <w:color w:val="000000" w:themeColor="text1"/>
        </w:rPr>
        <w:t xml:space="preserve"> (e.g., An, Jin, &amp; Brown, 2009, Park et al., 20</w:t>
      </w:r>
      <w:r w:rsidR="000B2AC2" w:rsidRPr="00476FC9">
        <w:rPr>
          <w:color w:val="000000" w:themeColor="text1"/>
        </w:rPr>
        <w:t>13; Ju &amp; Park, 2013), including</w:t>
      </w:r>
      <w:r w:rsidR="00383633" w:rsidRPr="00476FC9">
        <w:rPr>
          <w:color w:val="000000" w:themeColor="text1"/>
        </w:rPr>
        <w:t xml:space="preserve"> current health</w:t>
      </w:r>
      <w:r w:rsidR="00622349" w:rsidRPr="00476FC9">
        <w:rPr>
          <w:color w:val="000000" w:themeColor="text1"/>
        </w:rPr>
        <w:t xml:space="preserve"> status</w:t>
      </w:r>
      <w:r w:rsidR="00383633" w:rsidRPr="00476FC9">
        <w:rPr>
          <w:color w:val="000000" w:themeColor="text1"/>
        </w:rPr>
        <w:t xml:space="preserve">, subjective familiarity and perceived importance of a disease, and personal experience with a disease. </w:t>
      </w:r>
      <w:r w:rsidR="00997272" w:rsidRPr="00476FC9">
        <w:rPr>
          <w:color w:val="000000" w:themeColor="text1"/>
        </w:rPr>
        <w:t xml:space="preserve">Such cognitive variables are known to increase or decrease personal involvement with health product advertising information (An et al., 2009; Park et al., 2013). </w:t>
      </w:r>
      <w:r w:rsidR="00622349" w:rsidRPr="00476FC9">
        <w:rPr>
          <w:color w:val="000000" w:themeColor="text1"/>
        </w:rPr>
        <w:t xml:space="preserve">Therefore, the current research attempted to account for the influences of such variables. </w:t>
      </w:r>
      <w:r w:rsidR="00383633" w:rsidRPr="00476FC9">
        <w:rPr>
          <w:color w:val="000000" w:themeColor="text1"/>
        </w:rPr>
        <w:t>Specifically, s</w:t>
      </w:r>
      <w:r w:rsidR="00D16662" w:rsidRPr="00476FC9">
        <w:rPr>
          <w:color w:val="000000" w:themeColor="text1"/>
          <w:szCs w:val="24"/>
        </w:rPr>
        <w:t xml:space="preserve">ubjects indicated on a four-point scale (1 = </w:t>
      </w:r>
      <w:r w:rsidR="00D16662" w:rsidRPr="00476FC9">
        <w:rPr>
          <w:i/>
          <w:color w:val="000000" w:themeColor="text1"/>
          <w:szCs w:val="24"/>
        </w:rPr>
        <w:t>poor</w:t>
      </w:r>
      <w:r w:rsidR="00D16662" w:rsidRPr="00476FC9">
        <w:rPr>
          <w:color w:val="000000" w:themeColor="text1"/>
          <w:szCs w:val="24"/>
        </w:rPr>
        <w:t xml:space="preserve">, 2 = </w:t>
      </w:r>
      <w:r w:rsidR="00D16662" w:rsidRPr="00476FC9">
        <w:rPr>
          <w:i/>
          <w:color w:val="000000" w:themeColor="text1"/>
          <w:szCs w:val="24"/>
        </w:rPr>
        <w:t>fair</w:t>
      </w:r>
      <w:r w:rsidR="00D16662" w:rsidRPr="00476FC9">
        <w:rPr>
          <w:color w:val="000000" w:themeColor="text1"/>
          <w:szCs w:val="24"/>
        </w:rPr>
        <w:t xml:space="preserve">, 3 = </w:t>
      </w:r>
      <w:r w:rsidR="00D16662" w:rsidRPr="00476FC9">
        <w:rPr>
          <w:i/>
          <w:color w:val="000000" w:themeColor="text1"/>
          <w:szCs w:val="24"/>
        </w:rPr>
        <w:t>good</w:t>
      </w:r>
      <w:r w:rsidR="00D16662" w:rsidRPr="00476FC9">
        <w:rPr>
          <w:color w:val="000000" w:themeColor="text1"/>
          <w:szCs w:val="24"/>
        </w:rPr>
        <w:t xml:space="preserve">, and 4 = </w:t>
      </w:r>
      <w:r w:rsidR="00D16662" w:rsidRPr="00476FC9">
        <w:rPr>
          <w:i/>
          <w:color w:val="000000" w:themeColor="text1"/>
          <w:szCs w:val="24"/>
        </w:rPr>
        <w:t>excellent</w:t>
      </w:r>
      <w:r w:rsidR="00D16662" w:rsidRPr="00476FC9">
        <w:rPr>
          <w:color w:val="000000" w:themeColor="text1"/>
          <w:szCs w:val="24"/>
        </w:rPr>
        <w:t>) how they rated their overall health at the present time (</w:t>
      </w:r>
      <w:r w:rsidR="00D16662" w:rsidRPr="00476FC9">
        <w:rPr>
          <w:i/>
          <w:color w:val="000000" w:themeColor="text1"/>
          <w:szCs w:val="24"/>
        </w:rPr>
        <w:t>M</w:t>
      </w:r>
      <w:r w:rsidR="00D16662" w:rsidRPr="00476FC9">
        <w:rPr>
          <w:color w:val="000000" w:themeColor="text1"/>
          <w:szCs w:val="24"/>
        </w:rPr>
        <w:t xml:space="preserve"> = </w:t>
      </w:r>
      <w:r w:rsidR="00DF20FB" w:rsidRPr="00476FC9">
        <w:rPr>
          <w:color w:val="000000" w:themeColor="text1"/>
          <w:szCs w:val="24"/>
        </w:rPr>
        <w:t>2.</w:t>
      </w:r>
      <w:r w:rsidR="00915D3F" w:rsidRPr="00476FC9">
        <w:rPr>
          <w:color w:val="000000" w:themeColor="text1"/>
          <w:szCs w:val="24"/>
        </w:rPr>
        <w:t>69</w:t>
      </w:r>
      <w:r w:rsidR="00D16662" w:rsidRPr="00476FC9">
        <w:rPr>
          <w:color w:val="000000" w:themeColor="text1"/>
          <w:szCs w:val="24"/>
        </w:rPr>
        <w:t xml:space="preserve">, </w:t>
      </w:r>
      <w:r w:rsidR="00D16662" w:rsidRPr="00476FC9">
        <w:rPr>
          <w:i/>
          <w:color w:val="000000" w:themeColor="text1"/>
          <w:szCs w:val="24"/>
        </w:rPr>
        <w:t>SD</w:t>
      </w:r>
      <w:r w:rsidR="00D16662" w:rsidRPr="00476FC9">
        <w:rPr>
          <w:color w:val="000000" w:themeColor="text1"/>
          <w:szCs w:val="24"/>
        </w:rPr>
        <w:t xml:space="preserve"> = .</w:t>
      </w:r>
      <w:r w:rsidR="00DF20FB" w:rsidRPr="00476FC9">
        <w:rPr>
          <w:color w:val="000000" w:themeColor="text1"/>
          <w:szCs w:val="24"/>
        </w:rPr>
        <w:t>7</w:t>
      </w:r>
      <w:r w:rsidR="00915D3F" w:rsidRPr="00476FC9">
        <w:rPr>
          <w:color w:val="000000" w:themeColor="text1"/>
          <w:szCs w:val="24"/>
        </w:rPr>
        <w:t>4</w:t>
      </w:r>
      <w:r w:rsidR="00D16662" w:rsidRPr="00476FC9">
        <w:rPr>
          <w:color w:val="000000" w:themeColor="text1"/>
          <w:szCs w:val="24"/>
        </w:rPr>
        <w:t>) (</w:t>
      </w:r>
      <w:r w:rsidR="00B16358" w:rsidRPr="00476FC9">
        <w:rPr>
          <w:color w:val="000000" w:themeColor="text1"/>
          <w:szCs w:val="24"/>
        </w:rPr>
        <w:t>An</w:t>
      </w:r>
      <w:r w:rsidR="00B16358" w:rsidRPr="00476FC9">
        <w:rPr>
          <w:rFonts w:eastAsiaTheme="minorEastAsia" w:hint="eastAsia"/>
          <w:color w:val="000000" w:themeColor="text1"/>
          <w:szCs w:val="24"/>
        </w:rPr>
        <w:t xml:space="preserve"> et al., </w:t>
      </w:r>
      <w:r w:rsidR="00D16662" w:rsidRPr="00476FC9">
        <w:rPr>
          <w:color w:val="000000" w:themeColor="text1"/>
          <w:szCs w:val="24"/>
        </w:rPr>
        <w:t xml:space="preserve">2009; </w:t>
      </w:r>
      <w:r w:rsidR="00BC62FF" w:rsidRPr="00476FC9">
        <w:rPr>
          <w:color w:val="000000" w:themeColor="text1"/>
          <w:szCs w:val="24"/>
        </w:rPr>
        <w:t>Park et al., 2013; Ju &amp; Park, 2013</w:t>
      </w:r>
      <w:r w:rsidR="00D16662" w:rsidRPr="00476FC9">
        <w:rPr>
          <w:color w:val="000000" w:themeColor="text1"/>
          <w:szCs w:val="24"/>
        </w:rPr>
        <w:t xml:space="preserve">). </w:t>
      </w:r>
      <w:r w:rsidR="00D16662" w:rsidRPr="00476FC9">
        <w:rPr>
          <w:iCs/>
          <w:color w:val="000000" w:themeColor="text1"/>
          <w:szCs w:val="24"/>
        </w:rPr>
        <w:t xml:space="preserve">Perceived familiarity with depression was measured on a seven-point scale (1 = </w:t>
      </w:r>
      <w:r w:rsidR="00D16662" w:rsidRPr="00476FC9">
        <w:rPr>
          <w:i/>
          <w:iCs/>
          <w:color w:val="000000" w:themeColor="text1"/>
          <w:szCs w:val="24"/>
        </w:rPr>
        <w:t>not at all familiar</w:t>
      </w:r>
      <w:r w:rsidR="00D16662" w:rsidRPr="00476FC9">
        <w:rPr>
          <w:iCs/>
          <w:color w:val="000000" w:themeColor="text1"/>
          <w:szCs w:val="24"/>
        </w:rPr>
        <w:t xml:space="preserve">, 7 = </w:t>
      </w:r>
      <w:r w:rsidR="00D16662" w:rsidRPr="00476FC9">
        <w:rPr>
          <w:i/>
          <w:iCs/>
          <w:color w:val="000000" w:themeColor="text1"/>
          <w:szCs w:val="24"/>
        </w:rPr>
        <w:t>very familiar</w:t>
      </w:r>
      <w:r w:rsidR="00D16662" w:rsidRPr="00476FC9">
        <w:rPr>
          <w:iCs/>
          <w:color w:val="000000" w:themeColor="text1"/>
          <w:szCs w:val="24"/>
        </w:rPr>
        <w:t xml:space="preserve">; </w:t>
      </w:r>
      <w:r w:rsidR="00D16662" w:rsidRPr="00476FC9">
        <w:rPr>
          <w:i/>
          <w:iCs/>
          <w:color w:val="000000" w:themeColor="text1"/>
          <w:szCs w:val="24"/>
        </w:rPr>
        <w:t>M</w:t>
      </w:r>
      <w:r w:rsidR="00D16662" w:rsidRPr="00476FC9">
        <w:rPr>
          <w:iCs/>
          <w:color w:val="000000" w:themeColor="text1"/>
          <w:szCs w:val="24"/>
        </w:rPr>
        <w:t xml:space="preserve"> =</w:t>
      </w:r>
      <w:r w:rsidR="00DF20FB" w:rsidRPr="00476FC9">
        <w:rPr>
          <w:iCs/>
          <w:color w:val="000000" w:themeColor="text1"/>
          <w:szCs w:val="24"/>
        </w:rPr>
        <w:t xml:space="preserve"> 4.</w:t>
      </w:r>
      <w:r w:rsidR="00915D3F" w:rsidRPr="00476FC9">
        <w:rPr>
          <w:iCs/>
          <w:color w:val="000000" w:themeColor="text1"/>
          <w:szCs w:val="24"/>
        </w:rPr>
        <w:t>62</w:t>
      </w:r>
      <w:r w:rsidR="00D16662" w:rsidRPr="00476FC9">
        <w:rPr>
          <w:iCs/>
          <w:color w:val="000000" w:themeColor="text1"/>
          <w:szCs w:val="24"/>
        </w:rPr>
        <w:t xml:space="preserve">, </w:t>
      </w:r>
      <w:r w:rsidR="00D16662" w:rsidRPr="00476FC9">
        <w:rPr>
          <w:i/>
          <w:iCs/>
          <w:color w:val="000000" w:themeColor="text1"/>
          <w:szCs w:val="24"/>
        </w:rPr>
        <w:t>SD</w:t>
      </w:r>
      <w:r w:rsidR="00D16662" w:rsidRPr="00476FC9">
        <w:rPr>
          <w:iCs/>
          <w:color w:val="000000" w:themeColor="text1"/>
          <w:szCs w:val="24"/>
        </w:rPr>
        <w:t xml:space="preserve"> =</w:t>
      </w:r>
      <w:r w:rsidR="00DF20FB" w:rsidRPr="00476FC9">
        <w:rPr>
          <w:iCs/>
          <w:color w:val="000000" w:themeColor="text1"/>
          <w:szCs w:val="24"/>
        </w:rPr>
        <w:t xml:space="preserve"> 1.7</w:t>
      </w:r>
      <w:r w:rsidR="00915D3F" w:rsidRPr="00476FC9">
        <w:rPr>
          <w:iCs/>
          <w:color w:val="000000" w:themeColor="text1"/>
          <w:szCs w:val="24"/>
        </w:rPr>
        <w:t>2</w:t>
      </w:r>
      <w:r w:rsidR="00D16662" w:rsidRPr="00476FC9">
        <w:rPr>
          <w:iCs/>
          <w:color w:val="000000" w:themeColor="text1"/>
          <w:szCs w:val="24"/>
        </w:rPr>
        <w:t>) (Ju &amp; Park, 2013).</w:t>
      </w:r>
      <w:r w:rsidR="006F0465" w:rsidRPr="00476FC9">
        <w:rPr>
          <w:iCs/>
          <w:color w:val="000000" w:themeColor="text1"/>
          <w:szCs w:val="24"/>
        </w:rPr>
        <w:t xml:space="preserve"> </w:t>
      </w:r>
      <w:r w:rsidR="00833DB2" w:rsidRPr="00476FC9">
        <w:rPr>
          <w:iCs/>
          <w:color w:val="000000" w:themeColor="text1"/>
          <w:szCs w:val="24"/>
        </w:rPr>
        <w:t>According to a DeLorme, Huh, and Reid’s (2009) analytical approach, t</w:t>
      </w:r>
      <w:r w:rsidR="006F0465" w:rsidRPr="00476FC9">
        <w:rPr>
          <w:iCs/>
          <w:color w:val="000000" w:themeColor="text1"/>
          <w:szCs w:val="24"/>
        </w:rPr>
        <w:t>o test whether or not this mean score was significantly different from the m</w:t>
      </w:r>
      <w:r w:rsidR="000B2AC2" w:rsidRPr="00476FC9">
        <w:rPr>
          <w:iCs/>
          <w:color w:val="000000" w:themeColor="text1"/>
          <w:szCs w:val="24"/>
        </w:rPr>
        <w:t>id-</w:t>
      </w:r>
      <w:r w:rsidR="006F0465" w:rsidRPr="00476FC9">
        <w:rPr>
          <w:iCs/>
          <w:color w:val="000000" w:themeColor="text1"/>
          <w:szCs w:val="24"/>
        </w:rPr>
        <w:t>point, a one sample t-test was conducted with the mid-point (4)</w:t>
      </w:r>
      <w:r w:rsidR="00833DB2" w:rsidRPr="00476FC9">
        <w:rPr>
          <w:iCs/>
          <w:color w:val="000000" w:themeColor="text1"/>
          <w:szCs w:val="24"/>
        </w:rPr>
        <w:t xml:space="preserve"> as a test value. The results indicated significant difference (</w:t>
      </w:r>
      <w:r w:rsidR="00833DB2" w:rsidRPr="00476FC9">
        <w:rPr>
          <w:i/>
          <w:iCs/>
          <w:color w:val="000000" w:themeColor="text1"/>
          <w:szCs w:val="24"/>
        </w:rPr>
        <w:t>t</w:t>
      </w:r>
      <w:r w:rsidR="00833DB2" w:rsidRPr="00476FC9">
        <w:rPr>
          <w:iCs/>
          <w:color w:val="000000" w:themeColor="text1"/>
          <w:szCs w:val="24"/>
        </w:rPr>
        <w:t xml:space="preserve"> = 5.83, </w:t>
      </w:r>
      <w:r w:rsidR="00833DB2" w:rsidRPr="00476FC9">
        <w:rPr>
          <w:i/>
          <w:iCs/>
          <w:color w:val="000000" w:themeColor="text1"/>
          <w:szCs w:val="24"/>
        </w:rPr>
        <w:t>df</w:t>
      </w:r>
      <w:r w:rsidR="00833DB2" w:rsidRPr="00476FC9">
        <w:rPr>
          <w:iCs/>
          <w:color w:val="000000" w:themeColor="text1"/>
          <w:szCs w:val="24"/>
        </w:rPr>
        <w:t xml:space="preserve"> = 263, </w:t>
      </w:r>
      <w:r w:rsidR="00833DB2" w:rsidRPr="00476FC9">
        <w:rPr>
          <w:i/>
          <w:iCs/>
          <w:color w:val="000000" w:themeColor="text1"/>
          <w:szCs w:val="24"/>
        </w:rPr>
        <w:t>p</w:t>
      </w:r>
      <w:r w:rsidR="00833DB2" w:rsidRPr="00476FC9">
        <w:rPr>
          <w:iCs/>
          <w:color w:val="000000" w:themeColor="text1"/>
          <w:szCs w:val="24"/>
        </w:rPr>
        <w:t xml:space="preserve"> &lt; .001). </w:t>
      </w:r>
      <w:r w:rsidR="00BC62FF" w:rsidRPr="00476FC9">
        <w:rPr>
          <w:iCs/>
          <w:color w:val="000000" w:themeColor="text1"/>
          <w:szCs w:val="24"/>
        </w:rPr>
        <w:t xml:space="preserve">Perceived importance given to </w:t>
      </w:r>
      <w:r w:rsidR="00C6492E" w:rsidRPr="00476FC9">
        <w:rPr>
          <w:iCs/>
          <w:color w:val="000000" w:themeColor="text1"/>
          <w:szCs w:val="24"/>
        </w:rPr>
        <w:t>depression</w:t>
      </w:r>
      <w:r w:rsidR="00BC62FF" w:rsidRPr="00476FC9">
        <w:rPr>
          <w:iCs/>
          <w:color w:val="000000" w:themeColor="text1"/>
          <w:szCs w:val="24"/>
        </w:rPr>
        <w:t xml:space="preserve"> was assessed on a seven-point scale (1 = </w:t>
      </w:r>
      <w:r w:rsidR="00BC62FF" w:rsidRPr="00476FC9">
        <w:rPr>
          <w:i/>
          <w:iCs/>
          <w:color w:val="000000" w:themeColor="text1"/>
          <w:szCs w:val="24"/>
        </w:rPr>
        <w:t>not at all important,</w:t>
      </w:r>
      <w:r w:rsidR="00BC62FF" w:rsidRPr="00476FC9">
        <w:rPr>
          <w:iCs/>
          <w:color w:val="000000" w:themeColor="text1"/>
          <w:szCs w:val="24"/>
        </w:rPr>
        <w:t xml:space="preserve"> 7 = </w:t>
      </w:r>
      <w:r w:rsidR="00BC62FF" w:rsidRPr="00476FC9">
        <w:rPr>
          <w:i/>
          <w:iCs/>
          <w:color w:val="000000" w:themeColor="text1"/>
          <w:szCs w:val="24"/>
        </w:rPr>
        <w:t>very important</w:t>
      </w:r>
      <w:r w:rsidR="00BC62FF" w:rsidRPr="00476FC9">
        <w:rPr>
          <w:iCs/>
          <w:color w:val="000000" w:themeColor="text1"/>
          <w:szCs w:val="24"/>
        </w:rPr>
        <w:t xml:space="preserve">; </w:t>
      </w:r>
      <w:r w:rsidR="00BC62FF" w:rsidRPr="00476FC9">
        <w:rPr>
          <w:i/>
          <w:iCs/>
          <w:color w:val="000000" w:themeColor="text1"/>
          <w:szCs w:val="24"/>
        </w:rPr>
        <w:t>M</w:t>
      </w:r>
      <w:r w:rsidR="00BC62FF" w:rsidRPr="00476FC9">
        <w:rPr>
          <w:iCs/>
          <w:color w:val="000000" w:themeColor="text1"/>
          <w:szCs w:val="24"/>
        </w:rPr>
        <w:t xml:space="preserve"> =</w:t>
      </w:r>
      <w:r w:rsidR="00DF20FB" w:rsidRPr="00476FC9">
        <w:rPr>
          <w:iCs/>
          <w:color w:val="000000" w:themeColor="text1"/>
          <w:szCs w:val="24"/>
        </w:rPr>
        <w:t xml:space="preserve"> 4.</w:t>
      </w:r>
      <w:r w:rsidR="00915D3F" w:rsidRPr="00476FC9">
        <w:rPr>
          <w:iCs/>
          <w:color w:val="000000" w:themeColor="text1"/>
          <w:szCs w:val="24"/>
        </w:rPr>
        <w:t>8</w:t>
      </w:r>
      <w:r w:rsidR="00DF20FB" w:rsidRPr="00476FC9">
        <w:rPr>
          <w:iCs/>
          <w:color w:val="000000" w:themeColor="text1"/>
          <w:szCs w:val="24"/>
        </w:rPr>
        <w:t>1</w:t>
      </w:r>
      <w:r w:rsidR="00BC62FF" w:rsidRPr="00476FC9">
        <w:rPr>
          <w:iCs/>
          <w:color w:val="000000" w:themeColor="text1"/>
          <w:szCs w:val="24"/>
        </w:rPr>
        <w:t xml:space="preserve">, </w:t>
      </w:r>
      <w:r w:rsidR="00BC62FF" w:rsidRPr="00476FC9">
        <w:rPr>
          <w:i/>
          <w:iCs/>
          <w:color w:val="000000" w:themeColor="text1"/>
          <w:szCs w:val="24"/>
        </w:rPr>
        <w:t>SD</w:t>
      </w:r>
      <w:r w:rsidR="00BC62FF" w:rsidRPr="00476FC9">
        <w:rPr>
          <w:iCs/>
          <w:color w:val="000000" w:themeColor="text1"/>
          <w:szCs w:val="24"/>
        </w:rPr>
        <w:t xml:space="preserve"> =</w:t>
      </w:r>
      <w:r w:rsidR="00915D3F" w:rsidRPr="00476FC9">
        <w:rPr>
          <w:iCs/>
          <w:color w:val="000000" w:themeColor="text1"/>
          <w:szCs w:val="24"/>
        </w:rPr>
        <w:t xml:space="preserve"> 1.78</w:t>
      </w:r>
      <w:r w:rsidR="00BC62FF" w:rsidRPr="00476FC9">
        <w:rPr>
          <w:iCs/>
          <w:color w:val="000000" w:themeColor="text1"/>
          <w:szCs w:val="24"/>
        </w:rPr>
        <w:t xml:space="preserve">) (Laffrey &amp; Isenberg, 1983; Ju &amp; Park, 2013). </w:t>
      </w:r>
      <w:r w:rsidR="00833DB2" w:rsidRPr="00476FC9">
        <w:rPr>
          <w:iCs/>
          <w:color w:val="000000" w:themeColor="text1"/>
          <w:szCs w:val="24"/>
        </w:rPr>
        <w:t>To test whether or not this mean score was significantly different from the median point, a one sample t-test was conducted with the mid-point (4) as a test value. The results indicated significant difference (</w:t>
      </w:r>
      <w:r w:rsidR="00833DB2" w:rsidRPr="00476FC9">
        <w:rPr>
          <w:i/>
          <w:iCs/>
          <w:color w:val="000000" w:themeColor="text1"/>
          <w:szCs w:val="24"/>
        </w:rPr>
        <w:t>t</w:t>
      </w:r>
      <w:r w:rsidR="00833DB2" w:rsidRPr="00476FC9">
        <w:rPr>
          <w:iCs/>
          <w:color w:val="000000" w:themeColor="text1"/>
          <w:szCs w:val="24"/>
        </w:rPr>
        <w:t xml:space="preserve"> = 7.43, </w:t>
      </w:r>
      <w:r w:rsidR="00833DB2" w:rsidRPr="00476FC9">
        <w:rPr>
          <w:i/>
          <w:iCs/>
          <w:color w:val="000000" w:themeColor="text1"/>
          <w:szCs w:val="24"/>
        </w:rPr>
        <w:t>df</w:t>
      </w:r>
      <w:r w:rsidR="00833DB2" w:rsidRPr="00476FC9">
        <w:rPr>
          <w:iCs/>
          <w:color w:val="000000" w:themeColor="text1"/>
          <w:szCs w:val="24"/>
        </w:rPr>
        <w:t xml:space="preserve"> = 263, </w:t>
      </w:r>
      <w:r w:rsidR="00833DB2" w:rsidRPr="00476FC9">
        <w:rPr>
          <w:i/>
          <w:iCs/>
          <w:color w:val="000000" w:themeColor="text1"/>
          <w:szCs w:val="24"/>
        </w:rPr>
        <w:t>p</w:t>
      </w:r>
      <w:r w:rsidR="00833DB2" w:rsidRPr="00476FC9">
        <w:rPr>
          <w:iCs/>
          <w:color w:val="000000" w:themeColor="text1"/>
          <w:szCs w:val="24"/>
        </w:rPr>
        <w:t xml:space="preserve"> &lt; .001). </w:t>
      </w:r>
      <w:r w:rsidR="00DF20FB" w:rsidRPr="00476FC9">
        <w:rPr>
          <w:color w:val="000000" w:themeColor="text1"/>
          <w:szCs w:val="24"/>
        </w:rPr>
        <w:t>Prior</w:t>
      </w:r>
      <w:r w:rsidR="00D16662" w:rsidRPr="00476FC9">
        <w:rPr>
          <w:iCs/>
          <w:color w:val="000000" w:themeColor="text1"/>
          <w:szCs w:val="24"/>
        </w:rPr>
        <w:t xml:space="preserve"> experience with </w:t>
      </w:r>
      <w:r w:rsidR="00BC62FF" w:rsidRPr="00476FC9">
        <w:rPr>
          <w:iCs/>
          <w:color w:val="000000" w:themeColor="text1"/>
          <w:szCs w:val="24"/>
        </w:rPr>
        <w:t>depression</w:t>
      </w:r>
      <w:r w:rsidR="00D16662" w:rsidRPr="00476FC9">
        <w:rPr>
          <w:iCs/>
          <w:color w:val="000000" w:themeColor="text1"/>
          <w:szCs w:val="24"/>
        </w:rPr>
        <w:t xml:space="preserve"> was measured using yes/no response options (An et al.</w:t>
      </w:r>
      <w:r w:rsidR="00BC62FF" w:rsidRPr="00476FC9">
        <w:rPr>
          <w:iCs/>
          <w:color w:val="000000" w:themeColor="text1"/>
          <w:szCs w:val="24"/>
        </w:rPr>
        <w:t>,</w:t>
      </w:r>
      <w:r w:rsidR="00D16662" w:rsidRPr="00476FC9">
        <w:rPr>
          <w:iCs/>
          <w:color w:val="000000" w:themeColor="text1"/>
          <w:szCs w:val="24"/>
        </w:rPr>
        <w:t xml:space="preserve"> 2009; </w:t>
      </w:r>
      <w:r w:rsidR="00D16662" w:rsidRPr="00476FC9">
        <w:rPr>
          <w:color w:val="000000" w:themeColor="text1"/>
          <w:szCs w:val="24"/>
        </w:rPr>
        <w:t xml:space="preserve">Park </w:t>
      </w:r>
      <w:r w:rsidR="00BC62FF" w:rsidRPr="00476FC9">
        <w:rPr>
          <w:color w:val="000000" w:themeColor="text1"/>
          <w:szCs w:val="24"/>
        </w:rPr>
        <w:t>&amp;</w:t>
      </w:r>
      <w:r w:rsidR="00D16662" w:rsidRPr="00476FC9">
        <w:rPr>
          <w:color w:val="000000" w:themeColor="text1"/>
          <w:szCs w:val="24"/>
        </w:rPr>
        <w:t xml:space="preserve"> Grow</w:t>
      </w:r>
      <w:r w:rsidR="00BC62FF" w:rsidRPr="00476FC9">
        <w:rPr>
          <w:color w:val="000000" w:themeColor="text1"/>
          <w:szCs w:val="24"/>
        </w:rPr>
        <w:t xml:space="preserve">, </w:t>
      </w:r>
      <w:r w:rsidR="00D16662" w:rsidRPr="00476FC9">
        <w:rPr>
          <w:color w:val="000000" w:themeColor="text1"/>
          <w:szCs w:val="24"/>
        </w:rPr>
        <w:t>2008</w:t>
      </w:r>
      <w:r w:rsidR="00BC62FF" w:rsidRPr="00476FC9">
        <w:rPr>
          <w:color w:val="000000" w:themeColor="text1"/>
          <w:szCs w:val="24"/>
        </w:rPr>
        <w:t>; Park et al., 2013; Ju &amp; Park, 2013</w:t>
      </w:r>
      <w:r w:rsidR="00D16662" w:rsidRPr="00476FC9">
        <w:rPr>
          <w:color w:val="000000" w:themeColor="text1"/>
          <w:szCs w:val="24"/>
        </w:rPr>
        <w:t>)</w:t>
      </w:r>
      <w:r w:rsidR="00D16662" w:rsidRPr="00476FC9">
        <w:rPr>
          <w:iCs/>
          <w:color w:val="000000" w:themeColor="text1"/>
          <w:szCs w:val="24"/>
        </w:rPr>
        <w:t xml:space="preserve">. </w:t>
      </w:r>
      <w:r w:rsidR="00383633" w:rsidRPr="00476FC9">
        <w:rPr>
          <w:iCs/>
          <w:color w:val="000000" w:themeColor="text1"/>
          <w:szCs w:val="24"/>
        </w:rPr>
        <w:t>About 30</w:t>
      </w:r>
      <w:r w:rsidR="00DF20FB" w:rsidRPr="00476FC9">
        <w:rPr>
          <w:iCs/>
          <w:color w:val="000000" w:themeColor="text1"/>
          <w:szCs w:val="24"/>
        </w:rPr>
        <w:t xml:space="preserve">% of </w:t>
      </w:r>
      <w:r w:rsidR="00383633" w:rsidRPr="00476FC9">
        <w:rPr>
          <w:iCs/>
          <w:color w:val="000000" w:themeColor="text1"/>
          <w:szCs w:val="24"/>
        </w:rPr>
        <w:t>subjects r</w:t>
      </w:r>
      <w:r w:rsidR="00DF20FB" w:rsidRPr="00476FC9">
        <w:rPr>
          <w:iCs/>
          <w:color w:val="000000" w:themeColor="text1"/>
          <w:szCs w:val="24"/>
        </w:rPr>
        <w:t>eported having been diagnosed with depression</w:t>
      </w:r>
      <w:r w:rsidR="00D16662" w:rsidRPr="00476FC9">
        <w:rPr>
          <w:iCs/>
          <w:color w:val="000000" w:themeColor="text1"/>
          <w:szCs w:val="24"/>
        </w:rPr>
        <w:t>.</w:t>
      </w:r>
      <w:r w:rsidR="003329CC" w:rsidRPr="00476FC9">
        <w:rPr>
          <w:iCs/>
          <w:color w:val="000000" w:themeColor="text1"/>
          <w:szCs w:val="24"/>
        </w:rPr>
        <w:t xml:space="preserve"> </w:t>
      </w:r>
      <w:r w:rsidR="00997272" w:rsidRPr="00476FC9">
        <w:rPr>
          <w:iCs/>
          <w:color w:val="000000" w:themeColor="text1"/>
          <w:szCs w:val="24"/>
        </w:rPr>
        <w:t xml:space="preserve">These potential </w:t>
      </w:r>
      <w:r w:rsidR="00997272" w:rsidRPr="00476FC9">
        <w:rPr>
          <w:color w:val="000000" w:themeColor="text1"/>
        </w:rPr>
        <w:t xml:space="preserve">covariates were submitted to regression analyses for their potential influence on dependent variables to be controlled (Hair, Anderson, Tathan, &amp; Black, 1998). </w:t>
      </w:r>
      <w:r w:rsidR="00833DB2" w:rsidRPr="00476FC9">
        <w:rPr>
          <w:iCs/>
          <w:color w:val="000000" w:themeColor="text1"/>
          <w:szCs w:val="24"/>
        </w:rPr>
        <w:t xml:space="preserve">In addition, to ensure how much subjects are knowledgeable about mental depression in </w:t>
      </w:r>
      <w:r w:rsidR="00833DB2" w:rsidRPr="00476FC9">
        <w:rPr>
          <w:iCs/>
          <w:color w:val="000000" w:themeColor="text1"/>
          <w:szCs w:val="24"/>
        </w:rPr>
        <w:lastRenderedPageBreak/>
        <w:t>general, their subjective (perceived) knowledge about clinical depression was measured (</w:t>
      </w:r>
      <w:r w:rsidR="00833DB2" w:rsidRPr="00476FC9">
        <w:rPr>
          <w:i/>
          <w:iCs/>
          <w:color w:val="000000" w:themeColor="text1"/>
          <w:szCs w:val="24"/>
        </w:rPr>
        <w:t>M</w:t>
      </w:r>
      <w:r w:rsidR="00833DB2" w:rsidRPr="00476FC9">
        <w:rPr>
          <w:iCs/>
          <w:color w:val="000000" w:themeColor="text1"/>
          <w:szCs w:val="24"/>
        </w:rPr>
        <w:t xml:space="preserve"> = 4.32, </w:t>
      </w:r>
      <w:r w:rsidR="00833DB2" w:rsidRPr="00476FC9">
        <w:rPr>
          <w:i/>
          <w:iCs/>
          <w:color w:val="000000" w:themeColor="text1"/>
          <w:szCs w:val="24"/>
        </w:rPr>
        <w:t>SD</w:t>
      </w:r>
      <w:r w:rsidR="00833DB2" w:rsidRPr="00476FC9">
        <w:rPr>
          <w:iCs/>
          <w:color w:val="000000" w:themeColor="text1"/>
          <w:szCs w:val="24"/>
        </w:rPr>
        <w:t xml:space="preserve"> = 1.67). A one sample t-test was conducted with the mid-point (4) as a test value. The results indicated significant difference (</w:t>
      </w:r>
      <w:r w:rsidR="00833DB2" w:rsidRPr="00476FC9">
        <w:rPr>
          <w:i/>
          <w:iCs/>
          <w:color w:val="000000" w:themeColor="text1"/>
          <w:szCs w:val="24"/>
        </w:rPr>
        <w:t>t</w:t>
      </w:r>
      <w:r w:rsidR="00833DB2" w:rsidRPr="00476FC9">
        <w:rPr>
          <w:iCs/>
          <w:color w:val="000000" w:themeColor="text1"/>
          <w:szCs w:val="24"/>
        </w:rPr>
        <w:t xml:space="preserve"> = 3.13, </w:t>
      </w:r>
      <w:r w:rsidR="00833DB2" w:rsidRPr="00476FC9">
        <w:rPr>
          <w:i/>
          <w:iCs/>
          <w:color w:val="000000" w:themeColor="text1"/>
          <w:szCs w:val="24"/>
        </w:rPr>
        <w:t>df</w:t>
      </w:r>
      <w:r w:rsidR="00833DB2" w:rsidRPr="00476FC9">
        <w:rPr>
          <w:iCs/>
          <w:color w:val="000000" w:themeColor="text1"/>
          <w:szCs w:val="24"/>
        </w:rPr>
        <w:t xml:space="preserve"> = 263, </w:t>
      </w:r>
      <w:r w:rsidR="00833DB2" w:rsidRPr="00476FC9">
        <w:rPr>
          <w:i/>
          <w:iCs/>
          <w:color w:val="000000" w:themeColor="text1"/>
          <w:szCs w:val="24"/>
        </w:rPr>
        <w:t>p</w:t>
      </w:r>
      <w:r w:rsidR="00833DB2" w:rsidRPr="00476FC9">
        <w:rPr>
          <w:iCs/>
          <w:color w:val="000000" w:themeColor="text1"/>
          <w:szCs w:val="24"/>
        </w:rPr>
        <w:t xml:space="preserve"> &lt; .01). The results from </w:t>
      </w:r>
      <w:r w:rsidR="00997272" w:rsidRPr="00476FC9">
        <w:rPr>
          <w:iCs/>
          <w:color w:val="000000" w:themeColor="text1"/>
          <w:szCs w:val="24"/>
        </w:rPr>
        <w:t>a series of t-tests</w:t>
      </w:r>
      <w:r w:rsidR="00833DB2" w:rsidRPr="00476FC9">
        <w:rPr>
          <w:iCs/>
          <w:color w:val="000000" w:themeColor="text1"/>
          <w:szCs w:val="24"/>
        </w:rPr>
        <w:t xml:space="preserve"> </w:t>
      </w:r>
      <w:r w:rsidR="00997272" w:rsidRPr="00476FC9">
        <w:rPr>
          <w:iCs/>
          <w:color w:val="000000" w:themeColor="text1"/>
          <w:szCs w:val="24"/>
        </w:rPr>
        <w:t>imply</w:t>
      </w:r>
      <w:r w:rsidR="00833DB2" w:rsidRPr="00476FC9">
        <w:rPr>
          <w:iCs/>
          <w:color w:val="000000" w:themeColor="text1"/>
          <w:szCs w:val="24"/>
        </w:rPr>
        <w:t xml:space="preserve"> that subjects</w:t>
      </w:r>
      <w:r w:rsidR="00997272" w:rsidRPr="00476FC9">
        <w:rPr>
          <w:iCs/>
          <w:color w:val="000000" w:themeColor="text1"/>
          <w:szCs w:val="24"/>
        </w:rPr>
        <w:t xml:space="preserve"> of the current research</w:t>
      </w:r>
      <w:r w:rsidR="00833DB2" w:rsidRPr="00476FC9">
        <w:rPr>
          <w:iCs/>
          <w:color w:val="000000" w:themeColor="text1"/>
          <w:szCs w:val="24"/>
        </w:rPr>
        <w:t xml:space="preserve"> have a reasonably good understanding</w:t>
      </w:r>
      <w:r w:rsidR="00AE4541" w:rsidRPr="00476FC9">
        <w:rPr>
          <w:iCs/>
          <w:color w:val="000000" w:themeColor="text1"/>
          <w:szCs w:val="24"/>
        </w:rPr>
        <w:t xml:space="preserve"> of what clinical depression is (see Appendix A for more information regarding measure items).</w:t>
      </w:r>
    </w:p>
    <w:p w:rsidR="00222367" w:rsidRPr="00476FC9" w:rsidRDefault="0022236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rPr>
      </w:pPr>
      <w:r w:rsidRPr="00476FC9">
        <w:rPr>
          <w:color w:val="000000" w:themeColor="text1"/>
        </w:rPr>
        <w:br w:type="page"/>
      </w:r>
    </w:p>
    <w:p w:rsidR="002E5D4C" w:rsidRPr="00476FC9" w:rsidRDefault="00245A59" w:rsidP="007D2ACE">
      <w:pPr>
        <w:pStyle w:val="Heading1"/>
        <w:rPr>
          <w:color w:val="000000" w:themeColor="text1"/>
        </w:rPr>
      </w:pPr>
      <w:bookmarkStart w:id="46" w:name="_Toc393800684"/>
      <w:r w:rsidRPr="00476FC9">
        <w:rPr>
          <w:color w:val="000000" w:themeColor="text1"/>
        </w:rPr>
        <w:lastRenderedPageBreak/>
        <w:t xml:space="preserve">CHAPTER 4: </w:t>
      </w:r>
      <w:r w:rsidR="00FC312C" w:rsidRPr="00476FC9">
        <w:rPr>
          <w:color w:val="000000" w:themeColor="text1"/>
        </w:rPr>
        <w:t xml:space="preserve">ANALYSIS AND </w:t>
      </w:r>
      <w:r w:rsidRPr="00476FC9">
        <w:rPr>
          <w:color w:val="000000" w:themeColor="text1"/>
        </w:rPr>
        <w:t>RESULTS</w:t>
      </w:r>
      <w:bookmarkEnd w:id="46"/>
    </w:p>
    <w:p w:rsidR="00914ACC" w:rsidRPr="00476FC9" w:rsidRDefault="00914ACC" w:rsidP="007D2ACE">
      <w:pPr>
        <w:pStyle w:val="Heading2"/>
        <w:rPr>
          <w:color w:val="000000" w:themeColor="text1"/>
        </w:rPr>
      </w:pPr>
      <w:bookmarkStart w:id="47" w:name="_Toc393800685"/>
      <w:r w:rsidRPr="00476FC9">
        <w:rPr>
          <w:color w:val="000000" w:themeColor="text1"/>
        </w:rPr>
        <w:t>Analysis Approach</w:t>
      </w:r>
      <w:bookmarkEnd w:id="47"/>
    </w:p>
    <w:p w:rsidR="00222367" w:rsidRDefault="00A133AE"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To analyze the data, descriptive and inferential statistics were utilized. </w:t>
      </w:r>
      <w:r w:rsidR="00A64365" w:rsidRPr="00476FC9">
        <w:rPr>
          <w:color w:val="000000" w:themeColor="text1"/>
        </w:rPr>
        <w:t xml:space="preserve">In terms of descriptive statistics, correlations among the major study variables are summarized </w:t>
      </w:r>
      <w:r w:rsidR="00777E8D" w:rsidRPr="00476FC9">
        <w:rPr>
          <w:color w:val="000000" w:themeColor="text1"/>
        </w:rPr>
        <w:t xml:space="preserve">along with means and standard deviations </w:t>
      </w:r>
      <w:r w:rsidR="00877BE9" w:rsidRPr="00476FC9">
        <w:rPr>
          <w:color w:val="000000" w:themeColor="text1"/>
        </w:rPr>
        <w:t xml:space="preserve">in </w:t>
      </w:r>
      <w:r w:rsidR="00A64365" w:rsidRPr="00476FC9">
        <w:rPr>
          <w:color w:val="000000" w:themeColor="text1"/>
        </w:rPr>
        <w:t>Table</w:t>
      </w:r>
      <w:r w:rsidR="00B8516E" w:rsidRPr="00476FC9">
        <w:rPr>
          <w:color w:val="000000" w:themeColor="text1"/>
        </w:rPr>
        <w:t xml:space="preserve"> </w:t>
      </w:r>
      <w:r w:rsidR="00425AF8" w:rsidRPr="00476FC9">
        <w:rPr>
          <w:color w:val="000000" w:themeColor="text1"/>
        </w:rPr>
        <w:t>8</w:t>
      </w:r>
      <w:r w:rsidR="00777E8D" w:rsidRPr="00476FC9">
        <w:rPr>
          <w:color w:val="000000" w:themeColor="text1"/>
        </w:rPr>
        <w:t xml:space="preserve">. </w:t>
      </w:r>
      <w:r w:rsidR="008D6AC1" w:rsidRPr="00476FC9">
        <w:rPr>
          <w:color w:val="000000" w:themeColor="text1"/>
        </w:rPr>
        <w:t>To test the main and interaction effect hypotheses, t</w:t>
      </w:r>
      <w:r w:rsidR="00777E8D" w:rsidRPr="00476FC9">
        <w:rPr>
          <w:color w:val="000000" w:themeColor="text1"/>
        </w:rPr>
        <w:t xml:space="preserve">he current research </w:t>
      </w:r>
      <w:r w:rsidR="00332D98" w:rsidRPr="00476FC9">
        <w:rPr>
          <w:color w:val="000000" w:themeColor="text1"/>
        </w:rPr>
        <w:t>employs</w:t>
      </w:r>
      <w:r w:rsidR="008D6AC1" w:rsidRPr="00476FC9">
        <w:rPr>
          <w:color w:val="000000" w:themeColor="text1"/>
        </w:rPr>
        <w:t xml:space="preserve"> a series of</w:t>
      </w:r>
      <w:r w:rsidR="00332D98" w:rsidRPr="00476FC9">
        <w:rPr>
          <w:color w:val="000000" w:themeColor="text1"/>
        </w:rPr>
        <w:t xml:space="preserve"> multiple regression</w:t>
      </w:r>
      <w:r w:rsidR="008D6AC1" w:rsidRPr="00476FC9">
        <w:rPr>
          <w:color w:val="000000" w:themeColor="text1"/>
        </w:rPr>
        <w:t>s</w:t>
      </w:r>
      <w:r w:rsidR="001B3E50" w:rsidRPr="00476FC9">
        <w:rPr>
          <w:color w:val="000000" w:themeColor="text1"/>
        </w:rPr>
        <w:t xml:space="preserve">. In particular, because </w:t>
      </w:r>
      <w:r w:rsidR="00EB1FEC" w:rsidRPr="00476FC9">
        <w:rPr>
          <w:color w:val="000000" w:themeColor="text1"/>
        </w:rPr>
        <w:t>DTCA regulatory knowledge</w:t>
      </w:r>
      <w:r w:rsidR="001B3E50" w:rsidRPr="00476FC9">
        <w:rPr>
          <w:color w:val="000000" w:themeColor="text1"/>
        </w:rPr>
        <w:t xml:space="preserve"> was measured using a quantitative </w:t>
      </w:r>
      <w:r w:rsidR="00EB7D5A" w:rsidRPr="00476FC9">
        <w:rPr>
          <w:color w:val="000000" w:themeColor="text1"/>
        </w:rPr>
        <w:t xml:space="preserve">composite score, regression analysis helps the researcher prevent </w:t>
      </w:r>
      <w:r w:rsidR="008D6AC1" w:rsidRPr="00476FC9">
        <w:rPr>
          <w:color w:val="000000" w:themeColor="text1"/>
        </w:rPr>
        <w:t xml:space="preserve">from </w:t>
      </w:r>
      <w:r w:rsidR="00EB7D5A" w:rsidRPr="00476FC9">
        <w:rPr>
          <w:color w:val="000000" w:themeColor="text1"/>
        </w:rPr>
        <w:t xml:space="preserve">unnecessary loss of information </w:t>
      </w:r>
      <w:r w:rsidR="008D6AC1" w:rsidRPr="00476FC9">
        <w:rPr>
          <w:color w:val="000000" w:themeColor="text1"/>
        </w:rPr>
        <w:t>and statistical power due to</w:t>
      </w:r>
      <w:r w:rsidR="00EB7D5A" w:rsidRPr="00476FC9">
        <w:rPr>
          <w:color w:val="000000" w:themeColor="text1"/>
        </w:rPr>
        <w:t xml:space="preserve"> dichotomizing the knowledge level into </w:t>
      </w:r>
      <w:r w:rsidR="00425AF8" w:rsidRPr="00476FC9">
        <w:rPr>
          <w:color w:val="000000" w:themeColor="text1"/>
        </w:rPr>
        <w:t xml:space="preserve">a few categorical </w:t>
      </w:r>
      <w:r w:rsidR="00EB7D5A" w:rsidRPr="00476FC9">
        <w:rPr>
          <w:color w:val="000000" w:themeColor="text1"/>
        </w:rPr>
        <w:t>groups</w:t>
      </w:r>
      <w:r w:rsidR="00B93655" w:rsidRPr="00476FC9">
        <w:rPr>
          <w:color w:val="000000" w:themeColor="text1"/>
        </w:rPr>
        <w:t xml:space="preserve"> </w:t>
      </w:r>
      <w:r w:rsidR="00EB7D5A" w:rsidRPr="00476FC9">
        <w:rPr>
          <w:color w:val="000000" w:themeColor="text1"/>
        </w:rPr>
        <w:t xml:space="preserve">(Fitzsimons, 2008). </w:t>
      </w:r>
      <w:r w:rsidR="008D6AC1" w:rsidRPr="00476FC9">
        <w:rPr>
          <w:color w:val="000000" w:themeColor="text1"/>
        </w:rPr>
        <w:t xml:space="preserve">In addition, to </w:t>
      </w:r>
      <w:r w:rsidR="00811E98" w:rsidRPr="00476FC9">
        <w:rPr>
          <w:color w:val="000000" w:themeColor="text1"/>
        </w:rPr>
        <w:t xml:space="preserve">further </w:t>
      </w:r>
      <w:r w:rsidR="008D6AC1" w:rsidRPr="00476FC9">
        <w:rPr>
          <w:color w:val="000000" w:themeColor="text1"/>
        </w:rPr>
        <w:t xml:space="preserve">pinpoint </w:t>
      </w:r>
      <w:r w:rsidR="00B93655" w:rsidRPr="00476FC9">
        <w:rPr>
          <w:color w:val="000000" w:themeColor="text1"/>
        </w:rPr>
        <w:t xml:space="preserve">the patterns of </w:t>
      </w:r>
      <w:r w:rsidR="00332D98" w:rsidRPr="00476FC9">
        <w:rPr>
          <w:color w:val="000000" w:themeColor="text1"/>
        </w:rPr>
        <w:t>interaction</w:t>
      </w:r>
      <w:r w:rsidR="004F402B" w:rsidRPr="00476FC9">
        <w:rPr>
          <w:color w:val="000000" w:themeColor="text1"/>
        </w:rPr>
        <w:t xml:space="preserve"> between </w:t>
      </w:r>
      <w:r w:rsidR="00811E98" w:rsidRPr="00476FC9">
        <w:rPr>
          <w:color w:val="000000" w:themeColor="text1"/>
        </w:rPr>
        <w:t xml:space="preserve">DTCA regulatory knowledge </w:t>
      </w:r>
      <w:r w:rsidR="004F402B" w:rsidRPr="00476FC9">
        <w:rPr>
          <w:color w:val="000000" w:themeColor="text1"/>
        </w:rPr>
        <w:t xml:space="preserve">and </w:t>
      </w:r>
      <w:r w:rsidR="00811E98" w:rsidRPr="00476FC9">
        <w:rPr>
          <w:color w:val="000000" w:themeColor="text1"/>
        </w:rPr>
        <w:t xml:space="preserve">prominence </w:t>
      </w:r>
      <w:r w:rsidR="008F4986" w:rsidRPr="00476FC9">
        <w:rPr>
          <w:color w:val="000000" w:themeColor="text1"/>
        </w:rPr>
        <w:t xml:space="preserve">on dependent variables, regression </w:t>
      </w:r>
      <w:r w:rsidR="00811E98" w:rsidRPr="00476FC9">
        <w:rPr>
          <w:color w:val="000000" w:themeColor="text1"/>
        </w:rPr>
        <w:t>slopes</w:t>
      </w:r>
      <w:r w:rsidR="00425A4F" w:rsidRPr="00476FC9">
        <w:rPr>
          <w:color w:val="000000" w:themeColor="text1"/>
        </w:rPr>
        <w:t xml:space="preserve"> </w:t>
      </w:r>
      <w:r w:rsidR="00811E98" w:rsidRPr="00476FC9">
        <w:rPr>
          <w:color w:val="000000" w:themeColor="text1"/>
        </w:rPr>
        <w:t xml:space="preserve">and intercepts </w:t>
      </w:r>
      <w:r w:rsidR="00425A4F" w:rsidRPr="00476FC9">
        <w:rPr>
          <w:color w:val="000000" w:themeColor="text1"/>
        </w:rPr>
        <w:t xml:space="preserve">for </w:t>
      </w:r>
      <w:r w:rsidR="00811E98" w:rsidRPr="00476FC9">
        <w:rPr>
          <w:color w:val="000000" w:themeColor="text1"/>
        </w:rPr>
        <w:t xml:space="preserve">each </w:t>
      </w:r>
      <w:r w:rsidR="00425A4F" w:rsidRPr="00476FC9">
        <w:rPr>
          <w:color w:val="000000" w:themeColor="text1"/>
        </w:rPr>
        <w:t xml:space="preserve">subgroup (high </w:t>
      </w:r>
      <w:r w:rsidR="00BC1CBF" w:rsidRPr="00476FC9">
        <w:rPr>
          <w:color w:val="000000" w:themeColor="text1"/>
        </w:rPr>
        <w:t>prominence</w:t>
      </w:r>
      <w:r w:rsidR="00425A4F" w:rsidRPr="00476FC9">
        <w:rPr>
          <w:color w:val="000000" w:themeColor="text1"/>
        </w:rPr>
        <w:t xml:space="preserve"> vs. low </w:t>
      </w:r>
      <w:r w:rsidR="00BC1CBF" w:rsidRPr="00476FC9">
        <w:rPr>
          <w:color w:val="000000" w:themeColor="text1"/>
        </w:rPr>
        <w:t>prominence</w:t>
      </w:r>
      <w:r w:rsidR="00425A4F" w:rsidRPr="00476FC9">
        <w:rPr>
          <w:color w:val="000000" w:themeColor="text1"/>
        </w:rPr>
        <w:t>)</w:t>
      </w:r>
      <w:r w:rsidR="008F4986" w:rsidRPr="00476FC9">
        <w:rPr>
          <w:color w:val="000000" w:themeColor="text1"/>
        </w:rPr>
        <w:t xml:space="preserve"> </w:t>
      </w:r>
      <w:r w:rsidR="00425A4F" w:rsidRPr="00476FC9">
        <w:rPr>
          <w:color w:val="000000" w:themeColor="text1"/>
        </w:rPr>
        <w:t>were</w:t>
      </w:r>
      <w:r w:rsidR="008F4986" w:rsidRPr="00476FC9">
        <w:rPr>
          <w:color w:val="000000" w:themeColor="text1"/>
        </w:rPr>
        <w:t xml:space="preserve"> interpreted</w:t>
      </w:r>
      <w:r w:rsidR="00332D98" w:rsidRPr="00476FC9">
        <w:rPr>
          <w:color w:val="000000" w:themeColor="text1"/>
        </w:rPr>
        <w:t>.</w:t>
      </w:r>
      <w:r w:rsidR="004F402B" w:rsidRPr="00476FC9">
        <w:rPr>
          <w:color w:val="000000" w:themeColor="text1"/>
        </w:rPr>
        <w:t xml:space="preserve"> </w:t>
      </w:r>
      <w:r w:rsidR="00F567D7" w:rsidRPr="00476FC9">
        <w:rPr>
          <w:color w:val="000000" w:themeColor="text1"/>
        </w:rPr>
        <w:t xml:space="preserve">Specifically, the </w:t>
      </w:r>
      <w:r w:rsidR="00F567D7" w:rsidRPr="00476FC9">
        <w:rPr>
          <w:i/>
          <w:color w:val="000000" w:themeColor="text1"/>
        </w:rPr>
        <w:t>John</w:t>
      </w:r>
      <w:r w:rsidR="00BC1CBF" w:rsidRPr="00476FC9">
        <w:rPr>
          <w:i/>
          <w:color w:val="000000" w:themeColor="text1"/>
        </w:rPr>
        <w:t>son</w:t>
      </w:r>
      <w:r w:rsidR="00F567D7" w:rsidRPr="00476FC9">
        <w:rPr>
          <w:i/>
          <w:color w:val="000000" w:themeColor="text1"/>
        </w:rPr>
        <w:t>-Neyman</w:t>
      </w:r>
      <w:r w:rsidR="006D3DA6" w:rsidRPr="00476FC9">
        <w:rPr>
          <w:i/>
          <w:color w:val="000000" w:themeColor="text1"/>
        </w:rPr>
        <w:t>’s significance region</w:t>
      </w:r>
      <w:r w:rsidR="00F567D7" w:rsidRPr="00476FC9">
        <w:rPr>
          <w:color w:val="000000" w:themeColor="text1"/>
        </w:rPr>
        <w:t xml:space="preserve"> </w:t>
      </w:r>
      <w:r w:rsidR="006D3DA6" w:rsidRPr="00476FC9">
        <w:rPr>
          <w:color w:val="000000" w:themeColor="text1"/>
        </w:rPr>
        <w:t>procedure</w:t>
      </w:r>
      <w:r w:rsidR="00F567D7" w:rsidRPr="00476FC9">
        <w:rPr>
          <w:color w:val="000000" w:themeColor="text1"/>
        </w:rPr>
        <w:t xml:space="preserve"> and simple slop analysis were performed to </w:t>
      </w:r>
      <w:r w:rsidR="006D3DA6" w:rsidRPr="00476FC9">
        <w:rPr>
          <w:color w:val="000000" w:themeColor="text1"/>
        </w:rPr>
        <w:t>see where the significant prominence effects exist among varying levels of DTCA knowledge.</w:t>
      </w:r>
      <w:r w:rsidR="00F567D7" w:rsidRPr="00476FC9">
        <w:rPr>
          <w:color w:val="000000" w:themeColor="text1"/>
        </w:rPr>
        <w:t xml:space="preserve"> </w:t>
      </w:r>
      <w:r w:rsidR="008F4986" w:rsidRPr="00476FC9">
        <w:rPr>
          <w:color w:val="000000" w:themeColor="text1"/>
        </w:rPr>
        <w:t xml:space="preserve">As to the mediation tests, </w:t>
      </w:r>
      <w:r w:rsidR="00224E09" w:rsidRPr="00476FC9">
        <w:rPr>
          <w:color w:val="000000" w:themeColor="text1"/>
        </w:rPr>
        <w:t>t</w:t>
      </w:r>
      <w:r w:rsidR="00A31DBB" w:rsidRPr="00476FC9">
        <w:rPr>
          <w:color w:val="000000" w:themeColor="text1"/>
        </w:rPr>
        <w:t>h</w:t>
      </w:r>
      <w:r w:rsidR="008F4986" w:rsidRPr="00476FC9">
        <w:rPr>
          <w:color w:val="000000" w:themeColor="text1"/>
        </w:rPr>
        <w:t xml:space="preserve">is </w:t>
      </w:r>
      <w:r w:rsidR="00A31DBB" w:rsidRPr="00476FC9">
        <w:rPr>
          <w:color w:val="000000" w:themeColor="text1"/>
        </w:rPr>
        <w:t xml:space="preserve">research </w:t>
      </w:r>
      <w:r w:rsidR="008F4986" w:rsidRPr="00476FC9">
        <w:rPr>
          <w:color w:val="000000" w:themeColor="text1"/>
        </w:rPr>
        <w:t xml:space="preserve">employs </w:t>
      </w:r>
      <w:r w:rsidR="00A31DBB" w:rsidRPr="00476FC9">
        <w:rPr>
          <w:color w:val="000000" w:themeColor="text1"/>
        </w:rPr>
        <w:t xml:space="preserve">the </w:t>
      </w:r>
      <w:r w:rsidR="00A31DBB" w:rsidRPr="00476FC9">
        <w:rPr>
          <w:i/>
          <w:color w:val="000000" w:themeColor="text1"/>
        </w:rPr>
        <w:t>bootstrap</w:t>
      </w:r>
      <w:r w:rsidR="00A31DBB" w:rsidRPr="00476FC9">
        <w:rPr>
          <w:color w:val="000000" w:themeColor="text1"/>
        </w:rPr>
        <w:t xml:space="preserve"> approach</w:t>
      </w:r>
      <w:r w:rsidR="00811E98" w:rsidRPr="00476FC9">
        <w:rPr>
          <w:color w:val="000000" w:themeColor="text1"/>
        </w:rPr>
        <w:t xml:space="preserve"> because the method is suggested as a superior approach to the traditional Baron and Kenny method</w:t>
      </w:r>
      <w:r w:rsidR="00F61D5A" w:rsidRPr="00476FC9">
        <w:rPr>
          <w:color w:val="000000" w:themeColor="text1"/>
        </w:rPr>
        <w:t xml:space="preserve"> (</w:t>
      </w:r>
      <w:r w:rsidR="00423E42" w:rsidRPr="00476FC9">
        <w:rPr>
          <w:color w:val="000000" w:themeColor="text1"/>
        </w:rPr>
        <w:t xml:space="preserve">Preacher &amp; Hayes, 2004, 2008; </w:t>
      </w:r>
      <w:r w:rsidR="00F61D5A" w:rsidRPr="00476FC9">
        <w:rPr>
          <w:color w:val="000000" w:themeColor="text1"/>
        </w:rPr>
        <w:t>Zhao, Lynch Jr., &amp; Chen, 2010)</w:t>
      </w:r>
      <w:r w:rsidR="008F4986" w:rsidRPr="00476FC9">
        <w:rPr>
          <w:color w:val="000000" w:themeColor="text1"/>
        </w:rPr>
        <w:t>.</w:t>
      </w:r>
    </w:p>
    <w:p w:rsidR="007D2ACE" w:rsidRDefault="007D2ACE" w:rsidP="007D2ACE">
      <w:pPr>
        <w:keepNext w:val="0"/>
        <w:widowControl w:val="0"/>
        <w:kinsoku w:val="0"/>
        <w:overflowPunct w:val="0"/>
        <w:autoSpaceDE w:val="0"/>
        <w:autoSpaceDN w:val="0"/>
        <w:adjustRightInd w:val="0"/>
        <w:snapToGrid w:val="0"/>
        <w:spacing w:before="0" w:after="0"/>
        <w:ind w:firstLine="720"/>
        <w:rPr>
          <w:color w:val="000000" w:themeColor="text1"/>
        </w:rPr>
      </w:pPr>
    </w:p>
    <w:p w:rsidR="007D2ACE" w:rsidRDefault="007D2ACE" w:rsidP="007D2ACE">
      <w:pPr>
        <w:keepNext w:val="0"/>
        <w:widowControl w:val="0"/>
        <w:kinsoku w:val="0"/>
        <w:overflowPunct w:val="0"/>
        <w:autoSpaceDE w:val="0"/>
        <w:autoSpaceDN w:val="0"/>
        <w:adjustRightInd w:val="0"/>
        <w:snapToGrid w:val="0"/>
        <w:spacing w:before="0" w:after="0"/>
        <w:ind w:firstLine="720"/>
        <w:rPr>
          <w:color w:val="000000" w:themeColor="text1"/>
        </w:rPr>
      </w:pPr>
    </w:p>
    <w:p w:rsidR="007D2ACE" w:rsidRDefault="007D2ACE" w:rsidP="007D2ACE">
      <w:pPr>
        <w:keepNext w:val="0"/>
        <w:widowControl w:val="0"/>
        <w:kinsoku w:val="0"/>
        <w:overflowPunct w:val="0"/>
        <w:autoSpaceDE w:val="0"/>
        <w:autoSpaceDN w:val="0"/>
        <w:adjustRightInd w:val="0"/>
        <w:snapToGrid w:val="0"/>
        <w:spacing w:before="0" w:after="0"/>
        <w:ind w:firstLine="720"/>
        <w:rPr>
          <w:color w:val="000000" w:themeColor="text1"/>
        </w:rPr>
      </w:pPr>
    </w:p>
    <w:p w:rsidR="007D2ACE" w:rsidRDefault="007D2ACE" w:rsidP="007D2ACE">
      <w:pPr>
        <w:keepNext w:val="0"/>
        <w:widowControl w:val="0"/>
        <w:kinsoku w:val="0"/>
        <w:overflowPunct w:val="0"/>
        <w:autoSpaceDE w:val="0"/>
        <w:autoSpaceDN w:val="0"/>
        <w:adjustRightInd w:val="0"/>
        <w:snapToGrid w:val="0"/>
        <w:spacing w:before="0" w:after="0"/>
        <w:ind w:firstLine="720"/>
        <w:rPr>
          <w:color w:val="000000" w:themeColor="text1"/>
        </w:rPr>
      </w:pPr>
    </w:p>
    <w:p w:rsidR="007D2ACE" w:rsidRPr="00476FC9" w:rsidRDefault="007D2ACE" w:rsidP="007D2ACE">
      <w:pPr>
        <w:keepNext w:val="0"/>
        <w:widowControl w:val="0"/>
        <w:kinsoku w:val="0"/>
        <w:overflowPunct w:val="0"/>
        <w:autoSpaceDE w:val="0"/>
        <w:autoSpaceDN w:val="0"/>
        <w:adjustRightInd w:val="0"/>
        <w:snapToGrid w:val="0"/>
        <w:spacing w:before="0" w:after="0"/>
        <w:ind w:firstLine="720"/>
        <w:rPr>
          <w:color w:val="000000" w:themeColor="text1"/>
        </w:rPr>
      </w:pPr>
    </w:p>
    <w:p w:rsidR="00F1629B" w:rsidRPr="00476FC9" w:rsidRDefault="00C77B30" w:rsidP="007D2ACE">
      <w:pPr>
        <w:pStyle w:val="Caption"/>
        <w:keepNext w:val="0"/>
        <w:widowControl w:val="0"/>
        <w:kinsoku w:val="0"/>
        <w:overflowPunct w:val="0"/>
        <w:autoSpaceDE w:val="0"/>
        <w:autoSpaceDN w:val="0"/>
        <w:adjustRightInd w:val="0"/>
        <w:snapToGrid w:val="0"/>
        <w:rPr>
          <w:color w:val="000000" w:themeColor="text1"/>
        </w:rPr>
      </w:pPr>
      <w:bookmarkStart w:id="48" w:name="_Toc393800640"/>
      <w:r w:rsidRPr="00476FC9">
        <w:rPr>
          <w:color w:val="000000" w:themeColor="text1"/>
        </w:rPr>
        <w:lastRenderedPageBreak/>
        <w:t xml:space="preserve">Table </w:t>
      </w:r>
      <w:r w:rsidR="00037CF4" w:rsidRPr="00476FC9">
        <w:rPr>
          <w:color w:val="000000" w:themeColor="text1"/>
        </w:rPr>
        <w:fldChar w:fldCharType="begin"/>
      </w:r>
      <w:r w:rsidR="00037CF4" w:rsidRPr="00476FC9">
        <w:rPr>
          <w:color w:val="000000" w:themeColor="text1"/>
        </w:rPr>
        <w:instrText xml:space="preserve"> SEQ Table \* ARABIC </w:instrText>
      </w:r>
      <w:r w:rsidR="00037CF4" w:rsidRPr="00476FC9">
        <w:rPr>
          <w:color w:val="000000" w:themeColor="text1"/>
        </w:rPr>
        <w:fldChar w:fldCharType="separate"/>
      </w:r>
      <w:r w:rsidR="00E02362" w:rsidRPr="00476FC9">
        <w:rPr>
          <w:noProof/>
          <w:color w:val="000000" w:themeColor="text1"/>
        </w:rPr>
        <w:t>8</w:t>
      </w:r>
      <w:r w:rsidR="00037CF4" w:rsidRPr="00476FC9">
        <w:rPr>
          <w:noProof/>
          <w:color w:val="000000" w:themeColor="text1"/>
        </w:rPr>
        <w:fldChar w:fldCharType="end"/>
      </w:r>
      <w:r w:rsidR="00F1629B" w:rsidRPr="00476FC9">
        <w:rPr>
          <w:color w:val="000000" w:themeColor="text1"/>
        </w:rPr>
        <w:t xml:space="preserve">. </w:t>
      </w:r>
      <w:r w:rsidR="00ED11E5" w:rsidRPr="00476FC9">
        <w:rPr>
          <w:color w:val="000000" w:themeColor="text1"/>
        </w:rPr>
        <w:t>Inter-C</w:t>
      </w:r>
      <w:r w:rsidR="00F1629B" w:rsidRPr="00476FC9">
        <w:rPr>
          <w:color w:val="000000" w:themeColor="text1"/>
        </w:rPr>
        <w:t>orrelations among Major Variables of Study</w:t>
      </w:r>
      <w:bookmarkEnd w:id="48"/>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1529"/>
        <w:gridCol w:w="1531"/>
        <w:gridCol w:w="1260"/>
        <w:gridCol w:w="1236"/>
        <w:gridCol w:w="1194"/>
      </w:tblGrid>
      <w:tr w:rsidR="00476FC9" w:rsidRPr="00476FC9" w:rsidTr="00E03AEB">
        <w:tc>
          <w:tcPr>
            <w:tcW w:w="1395" w:type="pct"/>
            <w:tcBorders>
              <w:top w:val="single" w:sz="4" w:space="0" w:color="auto"/>
              <w:bottom w:val="single" w:sz="4" w:space="0" w:color="auto"/>
            </w:tcBorders>
          </w:tcPr>
          <w:p w:rsidR="00C20776" w:rsidRPr="00476FC9" w:rsidRDefault="00C20776" w:rsidP="007D2ACE">
            <w:pPr>
              <w:keepNext w:val="0"/>
              <w:widowControl w:val="0"/>
              <w:kinsoku w:val="0"/>
              <w:overflowPunct w:val="0"/>
              <w:autoSpaceDE w:val="0"/>
              <w:autoSpaceDN w:val="0"/>
              <w:adjustRightInd w:val="0"/>
              <w:snapToGrid w:val="0"/>
              <w:spacing w:before="0" w:after="0" w:line="240" w:lineRule="auto"/>
              <w:ind w:left="702"/>
              <w:rPr>
                <w:b/>
                <w:color w:val="000000" w:themeColor="text1"/>
                <w:sz w:val="20"/>
                <w:szCs w:val="20"/>
              </w:rPr>
            </w:pPr>
            <w:r w:rsidRPr="00476FC9">
              <w:rPr>
                <w:b/>
                <w:color w:val="000000" w:themeColor="text1"/>
                <w:sz w:val="20"/>
                <w:szCs w:val="20"/>
              </w:rPr>
              <w:t>Major Variables</w:t>
            </w:r>
          </w:p>
        </w:tc>
        <w:tc>
          <w:tcPr>
            <w:tcW w:w="817" w:type="pct"/>
            <w:tcBorders>
              <w:top w:val="single" w:sz="4" w:space="0" w:color="auto"/>
              <w:bottom w:val="single" w:sz="4" w:space="0" w:color="auto"/>
            </w:tcBorders>
          </w:tcPr>
          <w:p w:rsidR="00C20776" w:rsidRPr="00476FC9" w:rsidRDefault="00E03AEB" w:rsidP="007D2ACE">
            <w:pPr>
              <w:keepNext w:val="0"/>
              <w:widowControl w:val="0"/>
              <w:kinsoku w:val="0"/>
              <w:overflowPunct w:val="0"/>
              <w:autoSpaceDE w:val="0"/>
              <w:autoSpaceDN w:val="0"/>
              <w:adjustRightInd w:val="0"/>
              <w:snapToGrid w:val="0"/>
              <w:spacing w:before="0" w:after="0" w:line="240" w:lineRule="auto"/>
              <w:rPr>
                <w:b/>
                <w:color w:val="000000" w:themeColor="text1"/>
                <w:sz w:val="20"/>
                <w:szCs w:val="20"/>
              </w:rPr>
            </w:pPr>
            <w:r w:rsidRPr="00476FC9">
              <w:rPr>
                <w:color w:val="000000" w:themeColor="text1"/>
                <w:sz w:val="20"/>
                <w:szCs w:val="20"/>
              </w:rPr>
              <w:t>Prominence</w:t>
            </w:r>
          </w:p>
        </w:tc>
        <w:tc>
          <w:tcPr>
            <w:tcW w:w="818" w:type="pct"/>
            <w:tcBorders>
              <w:top w:val="single" w:sz="4" w:space="0" w:color="auto"/>
              <w:bottom w:val="single" w:sz="4" w:space="0" w:color="auto"/>
            </w:tcBorders>
          </w:tcPr>
          <w:p w:rsidR="00C20776" w:rsidRPr="00476FC9" w:rsidRDefault="00E03AEB" w:rsidP="007D2ACE">
            <w:pPr>
              <w:keepNext w:val="0"/>
              <w:widowControl w:val="0"/>
              <w:kinsoku w:val="0"/>
              <w:overflowPunct w:val="0"/>
              <w:autoSpaceDE w:val="0"/>
              <w:autoSpaceDN w:val="0"/>
              <w:adjustRightInd w:val="0"/>
              <w:snapToGrid w:val="0"/>
              <w:spacing w:before="0" w:after="0" w:line="240" w:lineRule="auto"/>
              <w:rPr>
                <w:b/>
                <w:color w:val="000000" w:themeColor="text1"/>
                <w:sz w:val="20"/>
                <w:szCs w:val="20"/>
              </w:rPr>
            </w:pPr>
            <w:r w:rsidRPr="00476FC9">
              <w:rPr>
                <w:color w:val="000000" w:themeColor="text1"/>
                <w:sz w:val="20"/>
                <w:szCs w:val="20"/>
              </w:rPr>
              <w:t>DTCA Knowledge</w:t>
            </w:r>
          </w:p>
        </w:tc>
        <w:tc>
          <w:tcPr>
            <w:tcW w:w="673" w:type="pct"/>
            <w:tcBorders>
              <w:top w:val="single" w:sz="4" w:space="0" w:color="auto"/>
              <w:bottom w:val="single" w:sz="4" w:space="0" w:color="auto"/>
            </w:tcBorders>
          </w:tcPr>
          <w:p w:rsidR="00C20776" w:rsidRPr="00476FC9" w:rsidRDefault="00E03AEB" w:rsidP="007D2ACE">
            <w:pPr>
              <w:keepNext w:val="0"/>
              <w:widowControl w:val="0"/>
              <w:kinsoku w:val="0"/>
              <w:overflowPunct w:val="0"/>
              <w:autoSpaceDE w:val="0"/>
              <w:autoSpaceDN w:val="0"/>
              <w:adjustRightInd w:val="0"/>
              <w:snapToGrid w:val="0"/>
              <w:spacing w:before="0" w:after="0" w:line="240" w:lineRule="auto"/>
              <w:rPr>
                <w:b/>
                <w:color w:val="000000" w:themeColor="text1"/>
                <w:sz w:val="20"/>
                <w:szCs w:val="20"/>
              </w:rPr>
            </w:pPr>
            <w:r w:rsidRPr="00476FC9">
              <w:rPr>
                <w:color w:val="000000" w:themeColor="text1"/>
                <w:sz w:val="20"/>
                <w:szCs w:val="20"/>
              </w:rPr>
              <w:t>Perceived Attention</w:t>
            </w:r>
          </w:p>
        </w:tc>
        <w:tc>
          <w:tcPr>
            <w:tcW w:w="660" w:type="pct"/>
            <w:tcBorders>
              <w:top w:val="single" w:sz="4" w:space="0" w:color="auto"/>
              <w:bottom w:val="single" w:sz="4" w:space="0" w:color="auto"/>
            </w:tcBorders>
          </w:tcPr>
          <w:p w:rsidR="00C20776" w:rsidRPr="00476FC9" w:rsidRDefault="00E03AEB" w:rsidP="007D2ACE">
            <w:pPr>
              <w:keepNext w:val="0"/>
              <w:widowControl w:val="0"/>
              <w:kinsoku w:val="0"/>
              <w:overflowPunct w:val="0"/>
              <w:autoSpaceDE w:val="0"/>
              <w:autoSpaceDN w:val="0"/>
              <w:adjustRightInd w:val="0"/>
              <w:snapToGrid w:val="0"/>
              <w:spacing w:before="0" w:after="0" w:line="240" w:lineRule="auto"/>
              <w:rPr>
                <w:b/>
                <w:color w:val="000000" w:themeColor="text1"/>
                <w:sz w:val="20"/>
                <w:szCs w:val="20"/>
              </w:rPr>
            </w:pPr>
            <w:r w:rsidRPr="00476FC9">
              <w:rPr>
                <w:color w:val="000000" w:themeColor="text1"/>
                <w:sz w:val="20"/>
                <w:szCs w:val="20"/>
              </w:rPr>
              <w:t>Recall</w:t>
            </w:r>
          </w:p>
        </w:tc>
        <w:tc>
          <w:tcPr>
            <w:tcW w:w="638" w:type="pct"/>
            <w:tcBorders>
              <w:top w:val="single" w:sz="4" w:space="0" w:color="auto"/>
              <w:bottom w:val="single" w:sz="4" w:space="0" w:color="auto"/>
            </w:tcBorders>
          </w:tcPr>
          <w:p w:rsidR="00C20776" w:rsidRPr="00476FC9" w:rsidRDefault="00E03AEB" w:rsidP="007D2ACE">
            <w:pPr>
              <w:keepNext w:val="0"/>
              <w:widowControl w:val="0"/>
              <w:kinsoku w:val="0"/>
              <w:overflowPunct w:val="0"/>
              <w:autoSpaceDE w:val="0"/>
              <w:autoSpaceDN w:val="0"/>
              <w:adjustRightInd w:val="0"/>
              <w:snapToGrid w:val="0"/>
              <w:spacing w:before="0" w:after="0" w:line="240" w:lineRule="auto"/>
              <w:rPr>
                <w:b/>
                <w:color w:val="000000" w:themeColor="text1"/>
                <w:sz w:val="20"/>
                <w:szCs w:val="20"/>
              </w:rPr>
            </w:pPr>
            <w:r w:rsidRPr="00476FC9">
              <w:rPr>
                <w:color w:val="000000" w:themeColor="text1"/>
                <w:sz w:val="20"/>
                <w:szCs w:val="20"/>
              </w:rPr>
              <w:t>Recognition</w:t>
            </w:r>
          </w:p>
        </w:tc>
      </w:tr>
      <w:tr w:rsidR="00476FC9" w:rsidRPr="00476FC9" w:rsidTr="00E03AEB">
        <w:tc>
          <w:tcPr>
            <w:tcW w:w="1395" w:type="pct"/>
            <w:tcBorders>
              <w:top w:val="single" w:sz="4" w:space="0" w:color="auto"/>
            </w:tcBorders>
          </w:tcPr>
          <w:p w:rsidR="00C20776" w:rsidRPr="00476FC9" w:rsidRDefault="00C20776" w:rsidP="007D2ACE">
            <w:pPr>
              <w:pStyle w:val="ListParagraph"/>
              <w:keepNext w:val="0"/>
              <w:widowControl w:val="0"/>
              <w:numPr>
                <w:ilvl w:val="0"/>
                <w:numId w:val="30"/>
              </w:numPr>
              <w:kinsoku w:val="0"/>
              <w:overflowPunct w:val="0"/>
              <w:autoSpaceDE w:val="0"/>
              <w:autoSpaceDN w:val="0"/>
              <w:adjustRightInd w:val="0"/>
              <w:snapToGrid w:val="0"/>
              <w:spacing w:before="0" w:after="0" w:line="240" w:lineRule="auto"/>
              <w:contextualSpacing w:val="0"/>
              <w:rPr>
                <w:color w:val="000000" w:themeColor="text1"/>
                <w:sz w:val="20"/>
                <w:szCs w:val="20"/>
              </w:rPr>
            </w:pPr>
            <w:r w:rsidRPr="00476FC9">
              <w:rPr>
                <w:color w:val="000000" w:themeColor="text1"/>
                <w:sz w:val="20"/>
                <w:szCs w:val="20"/>
              </w:rPr>
              <w:t>Prominence</w:t>
            </w:r>
          </w:p>
        </w:tc>
        <w:tc>
          <w:tcPr>
            <w:tcW w:w="817" w:type="pct"/>
            <w:tcBorders>
              <w:top w:val="single" w:sz="4" w:space="0" w:color="auto"/>
            </w:tcBorders>
          </w:tcPr>
          <w:p w:rsidR="00C20776" w:rsidRPr="00476FC9" w:rsidRDefault="00C20776"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r w:rsidRPr="00476FC9">
              <w:rPr>
                <w:color w:val="000000" w:themeColor="text1"/>
                <w:sz w:val="20"/>
                <w:szCs w:val="20"/>
              </w:rPr>
              <w:t>1</w:t>
            </w:r>
          </w:p>
        </w:tc>
        <w:tc>
          <w:tcPr>
            <w:tcW w:w="818" w:type="pct"/>
            <w:tcBorders>
              <w:top w:val="single" w:sz="4" w:space="0" w:color="auto"/>
            </w:tcBorders>
          </w:tcPr>
          <w:p w:rsidR="00C20776" w:rsidRPr="00476FC9" w:rsidRDefault="00C20776"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p>
        </w:tc>
        <w:tc>
          <w:tcPr>
            <w:tcW w:w="673" w:type="pct"/>
            <w:tcBorders>
              <w:top w:val="single" w:sz="4" w:space="0" w:color="auto"/>
            </w:tcBorders>
          </w:tcPr>
          <w:p w:rsidR="00C20776" w:rsidRPr="00476FC9" w:rsidRDefault="00C20776"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p>
        </w:tc>
        <w:tc>
          <w:tcPr>
            <w:tcW w:w="660" w:type="pct"/>
            <w:tcBorders>
              <w:top w:val="single" w:sz="4" w:space="0" w:color="auto"/>
            </w:tcBorders>
          </w:tcPr>
          <w:p w:rsidR="00C20776" w:rsidRPr="00476FC9" w:rsidRDefault="00C20776"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p>
        </w:tc>
        <w:tc>
          <w:tcPr>
            <w:tcW w:w="638" w:type="pct"/>
            <w:tcBorders>
              <w:top w:val="single" w:sz="4" w:space="0" w:color="auto"/>
            </w:tcBorders>
          </w:tcPr>
          <w:p w:rsidR="00C20776" w:rsidRPr="00476FC9" w:rsidRDefault="00C20776"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p>
        </w:tc>
      </w:tr>
      <w:tr w:rsidR="00476FC9" w:rsidRPr="00476FC9" w:rsidTr="00E03AEB">
        <w:tc>
          <w:tcPr>
            <w:tcW w:w="1395" w:type="pct"/>
          </w:tcPr>
          <w:p w:rsidR="00C20776" w:rsidRPr="00476FC9" w:rsidRDefault="00C20776" w:rsidP="007D2ACE">
            <w:pPr>
              <w:pStyle w:val="ListParagraph"/>
              <w:keepNext w:val="0"/>
              <w:widowControl w:val="0"/>
              <w:numPr>
                <w:ilvl w:val="0"/>
                <w:numId w:val="30"/>
              </w:numPr>
              <w:kinsoku w:val="0"/>
              <w:overflowPunct w:val="0"/>
              <w:autoSpaceDE w:val="0"/>
              <w:autoSpaceDN w:val="0"/>
              <w:adjustRightInd w:val="0"/>
              <w:snapToGrid w:val="0"/>
              <w:spacing w:before="0" w:after="0" w:line="240" w:lineRule="auto"/>
              <w:contextualSpacing w:val="0"/>
              <w:rPr>
                <w:color w:val="000000" w:themeColor="text1"/>
                <w:sz w:val="20"/>
                <w:szCs w:val="20"/>
              </w:rPr>
            </w:pPr>
            <w:r w:rsidRPr="00476FC9">
              <w:rPr>
                <w:color w:val="000000" w:themeColor="text1"/>
                <w:sz w:val="20"/>
                <w:szCs w:val="20"/>
              </w:rPr>
              <w:t>DTCA Knowledge</w:t>
            </w:r>
          </w:p>
        </w:tc>
        <w:tc>
          <w:tcPr>
            <w:tcW w:w="817" w:type="pct"/>
          </w:tcPr>
          <w:p w:rsidR="00C20776" w:rsidRPr="00476FC9" w:rsidRDefault="00C20776"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r w:rsidRPr="00476FC9">
              <w:rPr>
                <w:color w:val="000000" w:themeColor="text1"/>
                <w:sz w:val="20"/>
                <w:szCs w:val="20"/>
              </w:rPr>
              <w:t>-.006</w:t>
            </w:r>
          </w:p>
        </w:tc>
        <w:tc>
          <w:tcPr>
            <w:tcW w:w="818" w:type="pct"/>
          </w:tcPr>
          <w:p w:rsidR="00C20776" w:rsidRPr="00476FC9" w:rsidRDefault="00C20776"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r w:rsidRPr="00476FC9">
              <w:rPr>
                <w:color w:val="000000" w:themeColor="text1"/>
                <w:sz w:val="20"/>
                <w:szCs w:val="20"/>
              </w:rPr>
              <w:t>1</w:t>
            </w:r>
          </w:p>
        </w:tc>
        <w:tc>
          <w:tcPr>
            <w:tcW w:w="673" w:type="pct"/>
          </w:tcPr>
          <w:p w:rsidR="00C20776" w:rsidRPr="00476FC9" w:rsidRDefault="00C20776"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p>
        </w:tc>
        <w:tc>
          <w:tcPr>
            <w:tcW w:w="660" w:type="pct"/>
          </w:tcPr>
          <w:p w:rsidR="00C20776" w:rsidRPr="00476FC9" w:rsidRDefault="00C20776"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p>
        </w:tc>
        <w:tc>
          <w:tcPr>
            <w:tcW w:w="638" w:type="pct"/>
          </w:tcPr>
          <w:p w:rsidR="00C20776" w:rsidRPr="00476FC9" w:rsidRDefault="00C20776"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p>
        </w:tc>
      </w:tr>
      <w:tr w:rsidR="00476FC9" w:rsidRPr="00476FC9" w:rsidTr="00E03AEB">
        <w:tc>
          <w:tcPr>
            <w:tcW w:w="1395" w:type="pct"/>
          </w:tcPr>
          <w:p w:rsidR="00C20776" w:rsidRPr="00476FC9" w:rsidRDefault="00C20776" w:rsidP="007D2ACE">
            <w:pPr>
              <w:pStyle w:val="ListParagraph"/>
              <w:keepNext w:val="0"/>
              <w:widowControl w:val="0"/>
              <w:numPr>
                <w:ilvl w:val="0"/>
                <w:numId w:val="30"/>
              </w:numPr>
              <w:kinsoku w:val="0"/>
              <w:overflowPunct w:val="0"/>
              <w:autoSpaceDE w:val="0"/>
              <w:autoSpaceDN w:val="0"/>
              <w:adjustRightInd w:val="0"/>
              <w:snapToGrid w:val="0"/>
              <w:spacing w:before="0" w:after="0" w:line="240" w:lineRule="auto"/>
              <w:contextualSpacing w:val="0"/>
              <w:rPr>
                <w:color w:val="000000" w:themeColor="text1"/>
                <w:sz w:val="20"/>
                <w:szCs w:val="20"/>
              </w:rPr>
            </w:pPr>
            <w:r w:rsidRPr="00476FC9">
              <w:rPr>
                <w:color w:val="000000" w:themeColor="text1"/>
                <w:sz w:val="20"/>
                <w:szCs w:val="20"/>
              </w:rPr>
              <w:t>Perceived Attention</w:t>
            </w:r>
          </w:p>
        </w:tc>
        <w:tc>
          <w:tcPr>
            <w:tcW w:w="817" w:type="pct"/>
          </w:tcPr>
          <w:p w:rsidR="00C20776" w:rsidRPr="00476FC9" w:rsidRDefault="00C20776"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r w:rsidRPr="00476FC9">
              <w:rPr>
                <w:color w:val="000000" w:themeColor="text1"/>
                <w:sz w:val="20"/>
                <w:szCs w:val="20"/>
              </w:rPr>
              <w:t>.186**</w:t>
            </w:r>
          </w:p>
        </w:tc>
        <w:tc>
          <w:tcPr>
            <w:tcW w:w="818" w:type="pct"/>
          </w:tcPr>
          <w:p w:rsidR="00C20776" w:rsidRPr="00476FC9" w:rsidRDefault="00C20776"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r w:rsidRPr="00476FC9">
              <w:rPr>
                <w:color w:val="000000" w:themeColor="text1"/>
                <w:sz w:val="20"/>
                <w:szCs w:val="20"/>
              </w:rPr>
              <w:t>.207**</w:t>
            </w:r>
          </w:p>
        </w:tc>
        <w:tc>
          <w:tcPr>
            <w:tcW w:w="673" w:type="pct"/>
          </w:tcPr>
          <w:p w:rsidR="00C20776" w:rsidRPr="00476FC9" w:rsidRDefault="00C20776"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r w:rsidRPr="00476FC9">
              <w:rPr>
                <w:color w:val="000000" w:themeColor="text1"/>
                <w:sz w:val="20"/>
                <w:szCs w:val="20"/>
              </w:rPr>
              <w:t>1</w:t>
            </w:r>
          </w:p>
        </w:tc>
        <w:tc>
          <w:tcPr>
            <w:tcW w:w="660" w:type="pct"/>
          </w:tcPr>
          <w:p w:rsidR="00C20776" w:rsidRPr="00476FC9" w:rsidRDefault="00C20776"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p>
        </w:tc>
        <w:tc>
          <w:tcPr>
            <w:tcW w:w="638" w:type="pct"/>
          </w:tcPr>
          <w:p w:rsidR="00C20776" w:rsidRPr="00476FC9" w:rsidRDefault="00C20776"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p>
        </w:tc>
      </w:tr>
      <w:tr w:rsidR="00476FC9" w:rsidRPr="00476FC9" w:rsidTr="00E03AEB">
        <w:tc>
          <w:tcPr>
            <w:tcW w:w="1395" w:type="pct"/>
          </w:tcPr>
          <w:p w:rsidR="00C20776" w:rsidRPr="00476FC9" w:rsidRDefault="00C20776" w:rsidP="007D2ACE">
            <w:pPr>
              <w:pStyle w:val="ListParagraph"/>
              <w:keepNext w:val="0"/>
              <w:widowControl w:val="0"/>
              <w:numPr>
                <w:ilvl w:val="0"/>
                <w:numId w:val="30"/>
              </w:numPr>
              <w:kinsoku w:val="0"/>
              <w:overflowPunct w:val="0"/>
              <w:autoSpaceDE w:val="0"/>
              <w:autoSpaceDN w:val="0"/>
              <w:adjustRightInd w:val="0"/>
              <w:snapToGrid w:val="0"/>
              <w:spacing w:before="0" w:after="0" w:line="240" w:lineRule="auto"/>
              <w:contextualSpacing w:val="0"/>
              <w:rPr>
                <w:color w:val="000000" w:themeColor="text1"/>
                <w:sz w:val="20"/>
                <w:szCs w:val="20"/>
              </w:rPr>
            </w:pPr>
            <w:r w:rsidRPr="00476FC9">
              <w:rPr>
                <w:color w:val="000000" w:themeColor="text1"/>
                <w:sz w:val="20"/>
                <w:szCs w:val="20"/>
              </w:rPr>
              <w:t>Recall</w:t>
            </w:r>
          </w:p>
        </w:tc>
        <w:tc>
          <w:tcPr>
            <w:tcW w:w="817" w:type="pct"/>
          </w:tcPr>
          <w:p w:rsidR="00C20776" w:rsidRPr="00476FC9" w:rsidRDefault="00C20776"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r w:rsidRPr="00476FC9">
              <w:rPr>
                <w:color w:val="000000" w:themeColor="text1"/>
                <w:sz w:val="20"/>
                <w:szCs w:val="20"/>
              </w:rPr>
              <w:t>.167**</w:t>
            </w:r>
          </w:p>
        </w:tc>
        <w:tc>
          <w:tcPr>
            <w:tcW w:w="818" w:type="pct"/>
          </w:tcPr>
          <w:p w:rsidR="00C20776" w:rsidRPr="00476FC9" w:rsidRDefault="00C20776"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r w:rsidRPr="00476FC9">
              <w:rPr>
                <w:color w:val="000000" w:themeColor="text1"/>
                <w:sz w:val="20"/>
                <w:szCs w:val="20"/>
              </w:rPr>
              <w:t>.027</w:t>
            </w:r>
          </w:p>
        </w:tc>
        <w:tc>
          <w:tcPr>
            <w:tcW w:w="673" w:type="pct"/>
          </w:tcPr>
          <w:p w:rsidR="00C20776" w:rsidRPr="00476FC9" w:rsidRDefault="00C20776"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r w:rsidRPr="00476FC9">
              <w:rPr>
                <w:color w:val="000000" w:themeColor="text1"/>
                <w:sz w:val="20"/>
                <w:szCs w:val="20"/>
              </w:rPr>
              <w:t>.267**</w:t>
            </w:r>
          </w:p>
        </w:tc>
        <w:tc>
          <w:tcPr>
            <w:tcW w:w="660" w:type="pct"/>
          </w:tcPr>
          <w:p w:rsidR="00C20776" w:rsidRPr="00476FC9" w:rsidRDefault="00C20776"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r w:rsidRPr="00476FC9">
              <w:rPr>
                <w:color w:val="000000" w:themeColor="text1"/>
                <w:sz w:val="20"/>
                <w:szCs w:val="20"/>
              </w:rPr>
              <w:t>1</w:t>
            </w:r>
          </w:p>
        </w:tc>
        <w:tc>
          <w:tcPr>
            <w:tcW w:w="638" w:type="pct"/>
          </w:tcPr>
          <w:p w:rsidR="00C20776" w:rsidRPr="00476FC9" w:rsidRDefault="00C20776"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p>
        </w:tc>
      </w:tr>
      <w:tr w:rsidR="00476FC9" w:rsidRPr="00476FC9" w:rsidTr="00E03AEB">
        <w:tc>
          <w:tcPr>
            <w:tcW w:w="1395" w:type="pct"/>
            <w:tcBorders>
              <w:bottom w:val="single" w:sz="4" w:space="0" w:color="auto"/>
            </w:tcBorders>
          </w:tcPr>
          <w:p w:rsidR="00C20776" w:rsidRPr="00476FC9" w:rsidRDefault="00C20776" w:rsidP="007D2ACE">
            <w:pPr>
              <w:pStyle w:val="ListParagraph"/>
              <w:keepNext w:val="0"/>
              <w:widowControl w:val="0"/>
              <w:numPr>
                <w:ilvl w:val="0"/>
                <w:numId w:val="30"/>
              </w:numPr>
              <w:kinsoku w:val="0"/>
              <w:overflowPunct w:val="0"/>
              <w:autoSpaceDE w:val="0"/>
              <w:autoSpaceDN w:val="0"/>
              <w:adjustRightInd w:val="0"/>
              <w:snapToGrid w:val="0"/>
              <w:spacing w:before="0" w:after="0" w:line="240" w:lineRule="auto"/>
              <w:contextualSpacing w:val="0"/>
              <w:rPr>
                <w:color w:val="000000" w:themeColor="text1"/>
                <w:sz w:val="20"/>
                <w:szCs w:val="20"/>
              </w:rPr>
            </w:pPr>
            <w:r w:rsidRPr="00476FC9">
              <w:rPr>
                <w:color w:val="000000" w:themeColor="text1"/>
                <w:sz w:val="20"/>
                <w:szCs w:val="20"/>
              </w:rPr>
              <w:t>Recognition</w:t>
            </w:r>
          </w:p>
        </w:tc>
        <w:tc>
          <w:tcPr>
            <w:tcW w:w="817" w:type="pct"/>
            <w:tcBorders>
              <w:bottom w:val="single" w:sz="4" w:space="0" w:color="auto"/>
            </w:tcBorders>
          </w:tcPr>
          <w:p w:rsidR="00C20776" w:rsidRPr="00476FC9" w:rsidRDefault="00C20776"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r w:rsidRPr="00476FC9">
              <w:rPr>
                <w:color w:val="000000" w:themeColor="text1"/>
                <w:sz w:val="20"/>
                <w:szCs w:val="20"/>
              </w:rPr>
              <w:t>.220**</w:t>
            </w:r>
          </w:p>
        </w:tc>
        <w:tc>
          <w:tcPr>
            <w:tcW w:w="818" w:type="pct"/>
            <w:tcBorders>
              <w:bottom w:val="single" w:sz="4" w:space="0" w:color="auto"/>
            </w:tcBorders>
          </w:tcPr>
          <w:p w:rsidR="00C20776" w:rsidRPr="00476FC9" w:rsidRDefault="00C20776"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r w:rsidRPr="00476FC9">
              <w:rPr>
                <w:color w:val="000000" w:themeColor="text1"/>
                <w:sz w:val="20"/>
                <w:szCs w:val="20"/>
              </w:rPr>
              <w:t>.083</w:t>
            </w:r>
          </w:p>
        </w:tc>
        <w:tc>
          <w:tcPr>
            <w:tcW w:w="673" w:type="pct"/>
            <w:tcBorders>
              <w:bottom w:val="single" w:sz="4" w:space="0" w:color="auto"/>
            </w:tcBorders>
          </w:tcPr>
          <w:p w:rsidR="00C20776" w:rsidRPr="00476FC9" w:rsidRDefault="00C20776"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r w:rsidRPr="00476FC9">
              <w:rPr>
                <w:color w:val="000000" w:themeColor="text1"/>
                <w:sz w:val="20"/>
                <w:szCs w:val="20"/>
              </w:rPr>
              <w:t>.379**</w:t>
            </w:r>
          </w:p>
        </w:tc>
        <w:tc>
          <w:tcPr>
            <w:tcW w:w="660" w:type="pct"/>
            <w:tcBorders>
              <w:bottom w:val="single" w:sz="4" w:space="0" w:color="auto"/>
            </w:tcBorders>
          </w:tcPr>
          <w:p w:rsidR="00C20776" w:rsidRPr="00476FC9" w:rsidRDefault="00C20776"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r w:rsidRPr="00476FC9">
              <w:rPr>
                <w:color w:val="000000" w:themeColor="text1"/>
                <w:sz w:val="20"/>
                <w:szCs w:val="20"/>
              </w:rPr>
              <w:t>.437**</w:t>
            </w:r>
          </w:p>
        </w:tc>
        <w:tc>
          <w:tcPr>
            <w:tcW w:w="638" w:type="pct"/>
            <w:tcBorders>
              <w:bottom w:val="single" w:sz="4" w:space="0" w:color="auto"/>
            </w:tcBorders>
          </w:tcPr>
          <w:p w:rsidR="00C20776" w:rsidRPr="00476FC9" w:rsidRDefault="00C20776"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r w:rsidRPr="00476FC9">
              <w:rPr>
                <w:color w:val="000000" w:themeColor="text1"/>
                <w:sz w:val="20"/>
                <w:szCs w:val="20"/>
              </w:rPr>
              <w:t>1</w:t>
            </w:r>
          </w:p>
        </w:tc>
      </w:tr>
    </w:tbl>
    <w:p w:rsidR="00222367" w:rsidRPr="00476FC9" w:rsidRDefault="00F1629B" w:rsidP="007D2ACE">
      <w:pPr>
        <w:keepNext w:val="0"/>
        <w:widowControl w:val="0"/>
        <w:kinsoku w:val="0"/>
        <w:overflowPunct w:val="0"/>
        <w:autoSpaceDE w:val="0"/>
        <w:autoSpaceDN w:val="0"/>
        <w:adjustRightInd w:val="0"/>
        <w:snapToGrid w:val="0"/>
        <w:spacing w:before="0" w:after="0" w:line="240" w:lineRule="auto"/>
        <w:rPr>
          <w:color w:val="000000" w:themeColor="text1"/>
          <w:sz w:val="20"/>
          <w:szCs w:val="20"/>
        </w:rPr>
      </w:pPr>
      <w:r w:rsidRPr="00476FC9">
        <w:rPr>
          <w:i/>
          <w:color w:val="000000" w:themeColor="text1"/>
          <w:sz w:val="20"/>
          <w:szCs w:val="20"/>
        </w:rPr>
        <w:t>Note:</w:t>
      </w:r>
      <w:r w:rsidRPr="00476FC9">
        <w:rPr>
          <w:color w:val="000000" w:themeColor="text1"/>
          <w:sz w:val="20"/>
          <w:szCs w:val="20"/>
        </w:rPr>
        <w:t xml:space="preserve"> ** Significant at .01 </w:t>
      </w:r>
    </w:p>
    <w:p w:rsidR="007D2ACE" w:rsidRDefault="007D2ACE" w:rsidP="007D2ACE">
      <w:pPr>
        <w:pStyle w:val="Heading2"/>
        <w:rPr>
          <w:color w:val="000000" w:themeColor="text1"/>
        </w:rPr>
      </w:pPr>
    </w:p>
    <w:p w:rsidR="008023A5" w:rsidRPr="00476FC9" w:rsidRDefault="008023A5" w:rsidP="007D2ACE">
      <w:pPr>
        <w:pStyle w:val="Heading2"/>
        <w:rPr>
          <w:color w:val="000000" w:themeColor="text1"/>
        </w:rPr>
      </w:pPr>
      <w:bookmarkStart w:id="49" w:name="_Toc393800686"/>
      <w:r w:rsidRPr="00476FC9">
        <w:rPr>
          <w:color w:val="000000" w:themeColor="text1"/>
        </w:rPr>
        <w:t>The Results of Hypothesis Tests</w:t>
      </w:r>
      <w:bookmarkEnd w:id="49"/>
    </w:p>
    <w:p w:rsidR="008662BD" w:rsidRPr="00476FC9" w:rsidRDefault="008662BD" w:rsidP="007D2ACE">
      <w:pPr>
        <w:pStyle w:val="Heading3"/>
        <w:widowControl w:val="0"/>
        <w:kinsoku w:val="0"/>
        <w:overflowPunct w:val="0"/>
        <w:autoSpaceDE w:val="0"/>
        <w:autoSpaceDN w:val="0"/>
        <w:snapToGrid w:val="0"/>
        <w:contextualSpacing w:val="0"/>
        <w:rPr>
          <w:color w:val="000000" w:themeColor="text1"/>
        </w:rPr>
      </w:pPr>
      <w:bookmarkStart w:id="50" w:name="_Toc393800687"/>
      <w:r w:rsidRPr="00476FC9">
        <w:rPr>
          <w:color w:val="000000" w:themeColor="text1"/>
        </w:rPr>
        <w:t xml:space="preserve">Hypotheses 1 through </w:t>
      </w:r>
      <w:r w:rsidR="004C2F59" w:rsidRPr="00476FC9">
        <w:rPr>
          <w:color w:val="000000" w:themeColor="text1"/>
        </w:rPr>
        <w:t>6</w:t>
      </w:r>
      <w:r w:rsidR="005256FF" w:rsidRPr="00476FC9">
        <w:rPr>
          <w:color w:val="000000" w:themeColor="text1"/>
        </w:rPr>
        <w:t>:</w:t>
      </w:r>
      <w:r w:rsidRPr="00476FC9">
        <w:rPr>
          <w:color w:val="000000" w:themeColor="text1"/>
        </w:rPr>
        <w:t xml:space="preserve"> Prominence</w:t>
      </w:r>
      <w:r w:rsidR="007E7FE6" w:rsidRPr="00476FC9">
        <w:rPr>
          <w:color w:val="000000" w:themeColor="text1"/>
        </w:rPr>
        <w:t xml:space="preserve"> and DTCA Knowledge</w:t>
      </w:r>
      <w:r w:rsidRPr="00476FC9">
        <w:rPr>
          <w:color w:val="000000" w:themeColor="text1"/>
        </w:rPr>
        <w:t xml:space="preserve"> Main Effects</w:t>
      </w:r>
      <w:bookmarkEnd w:id="50"/>
    </w:p>
    <w:p w:rsidR="005256FF" w:rsidRPr="00476FC9" w:rsidRDefault="008662BD"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t xml:space="preserve">To examine the </w:t>
      </w:r>
      <w:r w:rsidR="00E82BB6" w:rsidRPr="00476FC9">
        <w:rPr>
          <w:color w:val="000000" w:themeColor="text1"/>
        </w:rPr>
        <w:t>hypotheses 1-</w:t>
      </w:r>
      <w:r w:rsidR="004C2F59" w:rsidRPr="00476FC9">
        <w:rPr>
          <w:color w:val="000000" w:themeColor="text1"/>
        </w:rPr>
        <w:t>6</w:t>
      </w:r>
      <w:r w:rsidRPr="00476FC9">
        <w:rPr>
          <w:color w:val="000000" w:themeColor="text1"/>
        </w:rPr>
        <w:t xml:space="preserve">, </w:t>
      </w:r>
      <w:r w:rsidR="00E82BB6" w:rsidRPr="00476FC9">
        <w:rPr>
          <w:color w:val="000000" w:themeColor="text1"/>
        </w:rPr>
        <w:t>moderated hierarchical analys</w:t>
      </w:r>
      <w:r w:rsidR="004C2F59" w:rsidRPr="00476FC9">
        <w:rPr>
          <w:color w:val="000000" w:themeColor="text1"/>
        </w:rPr>
        <w:t>e</w:t>
      </w:r>
      <w:r w:rsidR="00E82BB6" w:rsidRPr="00476FC9">
        <w:rPr>
          <w:color w:val="000000" w:themeColor="text1"/>
        </w:rPr>
        <w:t>s w</w:t>
      </w:r>
      <w:r w:rsidR="004C2F59" w:rsidRPr="00476FC9">
        <w:rPr>
          <w:color w:val="000000" w:themeColor="text1"/>
        </w:rPr>
        <w:t xml:space="preserve">ere </w:t>
      </w:r>
      <w:r w:rsidR="00E82BB6" w:rsidRPr="00476FC9">
        <w:rPr>
          <w:color w:val="000000" w:themeColor="text1"/>
        </w:rPr>
        <w:t>used.</w:t>
      </w:r>
      <w:r w:rsidR="005256FF" w:rsidRPr="00476FC9">
        <w:rPr>
          <w:color w:val="000000" w:themeColor="text1"/>
        </w:rPr>
        <w:t xml:space="preserve"> </w:t>
      </w:r>
      <w:r w:rsidR="000F6CFF" w:rsidRPr="00476FC9">
        <w:rPr>
          <w:color w:val="000000" w:themeColor="text1"/>
        </w:rPr>
        <w:t xml:space="preserve">As a check for multicollinearity, the researcher calculated variance inflation factor (VIF) scores for all variables in each regression model. As shown in Table </w:t>
      </w:r>
      <w:r w:rsidR="001C7B2D" w:rsidRPr="00476FC9">
        <w:rPr>
          <w:color w:val="000000" w:themeColor="text1"/>
        </w:rPr>
        <w:t>9</w:t>
      </w:r>
      <w:r w:rsidR="000F6CFF" w:rsidRPr="00476FC9">
        <w:rPr>
          <w:color w:val="000000" w:themeColor="text1"/>
        </w:rPr>
        <w:t xml:space="preserve">, </w:t>
      </w:r>
      <w:r w:rsidR="001C7B2D" w:rsidRPr="00476FC9">
        <w:rPr>
          <w:color w:val="000000" w:themeColor="text1"/>
        </w:rPr>
        <w:t>10</w:t>
      </w:r>
      <w:r w:rsidR="000F6CFF" w:rsidRPr="00476FC9">
        <w:rPr>
          <w:color w:val="000000" w:themeColor="text1"/>
        </w:rPr>
        <w:t xml:space="preserve">, and </w:t>
      </w:r>
      <w:r w:rsidR="001C7B2D" w:rsidRPr="00476FC9">
        <w:rPr>
          <w:color w:val="000000" w:themeColor="text1"/>
        </w:rPr>
        <w:t>11</w:t>
      </w:r>
      <w:r w:rsidR="000F6CFF" w:rsidRPr="00476FC9">
        <w:rPr>
          <w:color w:val="000000" w:themeColor="text1"/>
        </w:rPr>
        <w:t xml:space="preserve">, all VIF scores were </w:t>
      </w:r>
      <w:r w:rsidR="002F0A9F" w:rsidRPr="00476FC9">
        <w:rPr>
          <w:color w:val="000000" w:themeColor="text1"/>
        </w:rPr>
        <w:t xml:space="preserve">less than </w:t>
      </w:r>
      <w:r w:rsidR="000F6CFF" w:rsidRPr="00476FC9">
        <w:rPr>
          <w:color w:val="000000" w:themeColor="text1"/>
        </w:rPr>
        <w:t xml:space="preserve">2, suggesting that muticollinearity was not a serious problem in the analysis (Oke, Walumbwa, &amp; Meyers, 2012). </w:t>
      </w:r>
      <w:r w:rsidR="005256FF" w:rsidRPr="00476FC9">
        <w:rPr>
          <w:color w:val="000000" w:themeColor="text1"/>
        </w:rPr>
        <w:t>To control potential correlates, gender, age, education, and household income were entered as general demographic control variables</w:t>
      </w:r>
      <w:r w:rsidR="00E82BB6" w:rsidRPr="00476FC9">
        <w:rPr>
          <w:color w:val="000000" w:themeColor="text1"/>
        </w:rPr>
        <w:t xml:space="preserve"> at Step 1</w:t>
      </w:r>
      <w:r w:rsidR="005256FF" w:rsidRPr="00476FC9">
        <w:rPr>
          <w:color w:val="000000" w:themeColor="text1"/>
        </w:rPr>
        <w:t>. Then, the correlates of consumer response to the DTC ad identified in the literature</w:t>
      </w:r>
      <w:r w:rsidR="00200138" w:rsidRPr="00476FC9">
        <w:rPr>
          <w:color w:val="000000" w:themeColor="text1"/>
        </w:rPr>
        <w:t xml:space="preserve"> were submitted</w:t>
      </w:r>
      <w:r w:rsidR="00E82BB6" w:rsidRPr="00476FC9">
        <w:rPr>
          <w:color w:val="000000" w:themeColor="text1"/>
        </w:rPr>
        <w:t xml:space="preserve"> at Step 2</w:t>
      </w:r>
      <w:r w:rsidR="005256FF" w:rsidRPr="00476FC9">
        <w:rPr>
          <w:color w:val="000000" w:themeColor="text1"/>
        </w:rPr>
        <w:t>, including overall health status, perceived familiarity, perceiv</w:t>
      </w:r>
      <w:r w:rsidR="00200138" w:rsidRPr="00476FC9">
        <w:rPr>
          <w:color w:val="000000" w:themeColor="text1"/>
        </w:rPr>
        <w:t xml:space="preserve">ed importance, </w:t>
      </w:r>
      <w:r w:rsidR="002F0A9F" w:rsidRPr="00476FC9">
        <w:rPr>
          <w:color w:val="000000" w:themeColor="text1"/>
        </w:rPr>
        <w:t xml:space="preserve">and </w:t>
      </w:r>
      <w:r w:rsidR="00200138" w:rsidRPr="00476FC9">
        <w:rPr>
          <w:color w:val="000000" w:themeColor="text1"/>
        </w:rPr>
        <w:t xml:space="preserve">prior experience. </w:t>
      </w:r>
      <w:r w:rsidR="00E82BB6" w:rsidRPr="00476FC9">
        <w:rPr>
          <w:color w:val="000000" w:themeColor="text1"/>
        </w:rPr>
        <w:t>At Step 3, p</w:t>
      </w:r>
      <w:r w:rsidR="00200138" w:rsidRPr="00476FC9">
        <w:rPr>
          <w:color w:val="000000" w:themeColor="text1"/>
        </w:rPr>
        <w:t>rominence</w:t>
      </w:r>
      <w:r w:rsidR="00E82BB6" w:rsidRPr="00476FC9">
        <w:rPr>
          <w:color w:val="000000" w:themeColor="text1"/>
        </w:rPr>
        <w:t xml:space="preserve"> and</w:t>
      </w:r>
      <w:r w:rsidR="00200138" w:rsidRPr="00476FC9">
        <w:rPr>
          <w:color w:val="000000" w:themeColor="text1"/>
        </w:rPr>
        <w:t xml:space="preserve"> DTCA </w:t>
      </w:r>
      <w:r w:rsidR="002F0A9F" w:rsidRPr="00476FC9">
        <w:rPr>
          <w:color w:val="000000" w:themeColor="text1"/>
        </w:rPr>
        <w:t>regulatory</w:t>
      </w:r>
      <w:r w:rsidR="00200138" w:rsidRPr="00476FC9">
        <w:rPr>
          <w:color w:val="000000" w:themeColor="text1"/>
        </w:rPr>
        <w:t xml:space="preserve"> knowledge</w:t>
      </w:r>
      <w:r w:rsidR="00E82BB6" w:rsidRPr="00476FC9">
        <w:rPr>
          <w:color w:val="000000" w:themeColor="text1"/>
        </w:rPr>
        <w:t xml:space="preserve"> were entered. Finally</w:t>
      </w:r>
      <w:r w:rsidR="00200138" w:rsidRPr="00476FC9">
        <w:rPr>
          <w:color w:val="000000" w:themeColor="text1"/>
        </w:rPr>
        <w:t xml:space="preserve">, the prominence </w:t>
      </w:r>
      <w:r w:rsidR="00200138" w:rsidRPr="00476FC9">
        <w:rPr>
          <w:rFonts w:ascii="MTSYN" w:eastAsia="MTSYN" w:cs="MTSYN" w:hint="eastAsia"/>
          <w:bCs w:val="0"/>
          <w:color w:val="000000" w:themeColor="text1"/>
          <w:sz w:val="20"/>
          <w:szCs w:val="20"/>
        </w:rPr>
        <w:t xml:space="preserve">× </w:t>
      </w:r>
      <w:r w:rsidR="00200138" w:rsidRPr="00476FC9">
        <w:rPr>
          <w:rFonts w:hint="eastAsia"/>
          <w:color w:val="000000" w:themeColor="text1"/>
        </w:rPr>
        <w:t xml:space="preserve">DTCA </w:t>
      </w:r>
      <w:r w:rsidR="00BC1CBF" w:rsidRPr="00476FC9">
        <w:rPr>
          <w:color w:val="000000" w:themeColor="text1"/>
        </w:rPr>
        <w:t xml:space="preserve">regulatory </w:t>
      </w:r>
      <w:r w:rsidR="00200138" w:rsidRPr="00476FC9">
        <w:rPr>
          <w:rFonts w:hint="eastAsia"/>
          <w:color w:val="000000" w:themeColor="text1"/>
        </w:rPr>
        <w:t>knowledge</w:t>
      </w:r>
      <w:r w:rsidR="00200138" w:rsidRPr="00476FC9">
        <w:rPr>
          <w:color w:val="000000" w:themeColor="text1"/>
        </w:rPr>
        <w:t xml:space="preserve"> interaction w</w:t>
      </w:r>
      <w:r w:rsidR="00E82BB6" w:rsidRPr="00476FC9">
        <w:rPr>
          <w:color w:val="000000" w:themeColor="text1"/>
        </w:rPr>
        <w:t xml:space="preserve">as </w:t>
      </w:r>
      <w:r w:rsidR="00200138" w:rsidRPr="00476FC9">
        <w:rPr>
          <w:color w:val="000000" w:themeColor="text1"/>
        </w:rPr>
        <w:t>entered</w:t>
      </w:r>
      <w:r w:rsidR="00E82BB6" w:rsidRPr="00476FC9">
        <w:rPr>
          <w:color w:val="000000" w:themeColor="text1"/>
        </w:rPr>
        <w:t xml:space="preserve"> at Step 4</w:t>
      </w:r>
      <w:r w:rsidR="00200138" w:rsidRPr="00476FC9">
        <w:rPr>
          <w:color w:val="000000" w:themeColor="text1"/>
        </w:rPr>
        <w:t>. List-wise deletions accounted for missing values.</w:t>
      </w:r>
    </w:p>
    <w:p w:rsidR="00200138" w:rsidRPr="00476FC9" w:rsidRDefault="00200138"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t xml:space="preserve">Table </w:t>
      </w:r>
      <w:r w:rsidR="00AF1F07" w:rsidRPr="00476FC9">
        <w:rPr>
          <w:color w:val="000000" w:themeColor="text1"/>
        </w:rPr>
        <w:t>9</w:t>
      </w:r>
      <w:r w:rsidRPr="00476FC9">
        <w:rPr>
          <w:color w:val="000000" w:themeColor="text1"/>
        </w:rPr>
        <w:t xml:space="preserve"> summarizes the results of the regression on the extent of perceived attention. </w:t>
      </w:r>
      <w:r w:rsidR="0010393A" w:rsidRPr="00476FC9">
        <w:rPr>
          <w:color w:val="000000" w:themeColor="text1"/>
        </w:rPr>
        <w:t>The results show</w:t>
      </w:r>
      <w:r w:rsidR="00E327B7" w:rsidRPr="00476FC9">
        <w:rPr>
          <w:color w:val="000000" w:themeColor="text1"/>
        </w:rPr>
        <w:t>ed</w:t>
      </w:r>
      <w:r w:rsidR="0010393A" w:rsidRPr="00476FC9">
        <w:rPr>
          <w:color w:val="000000" w:themeColor="text1"/>
        </w:rPr>
        <w:t xml:space="preserve"> that risk disclosure prominence </w:t>
      </w:r>
      <w:r w:rsidR="00C111B8" w:rsidRPr="00476FC9">
        <w:rPr>
          <w:color w:val="000000" w:themeColor="text1"/>
        </w:rPr>
        <w:t>had</w:t>
      </w:r>
      <w:r w:rsidR="0010393A" w:rsidRPr="00476FC9">
        <w:rPr>
          <w:color w:val="000000" w:themeColor="text1"/>
        </w:rPr>
        <w:t xml:space="preserve"> significant effects on perceived attention (</w:t>
      </w:r>
      <w:r w:rsidR="0010393A" w:rsidRPr="00476FC9">
        <w:rPr>
          <w:i/>
          <w:color w:val="000000" w:themeColor="text1"/>
        </w:rPr>
        <w:t>b</w:t>
      </w:r>
      <w:r w:rsidR="0010393A" w:rsidRPr="00476FC9">
        <w:rPr>
          <w:color w:val="000000" w:themeColor="text1"/>
        </w:rPr>
        <w:t xml:space="preserve"> = .589, </w:t>
      </w:r>
      <w:r w:rsidR="0010393A" w:rsidRPr="00476FC9">
        <w:rPr>
          <w:i/>
          <w:color w:val="000000" w:themeColor="text1"/>
        </w:rPr>
        <w:t>SE</w:t>
      </w:r>
      <w:r w:rsidR="0010393A" w:rsidRPr="00476FC9">
        <w:rPr>
          <w:color w:val="000000" w:themeColor="text1"/>
        </w:rPr>
        <w:t xml:space="preserve"> = .186, </w:t>
      </w:r>
      <w:r w:rsidR="0010393A" w:rsidRPr="00476FC9">
        <w:rPr>
          <w:i/>
          <w:color w:val="000000" w:themeColor="text1"/>
        </w:rPr>
        <w:t>p</w:t>
      </w:r>
      <w:r w:rsidR="0010393A" w:rsidRPr="00476FC9">
        <w:rPr>
          <w:color w:val="000000" w:themeColor="text1"/>
        </w:rPr>
        <w:t xml:space="preserve"> &lt; .01, supporting H1.</w:t>
      </w:r>
      <w:r w:rsidR="004C2F59" w:rsidRPr="00476FC9">
        <w:rPr>
          <w:color w:val="000000" w:themeColor="text1"/>
        </w:rPr>
        <w:t xml:space="preserve"> In addition, DTCA </w:t>
      </w:r>
      <w:r w:rsidR="00BC1CBF" w:rsidRPr="00476FC9">
        <w:rPr>
          <w:color w:val="000000" w:themeColor="text1"/>
        </w:rPr>
        <w:t xml:space="preserve">regulatory </w:t>
      </w:r>
      <w:r w:rsidR="004C2F59" w:rsidRPr="00476FC9">
        <w:rPr>
          <w:color w:val="000000" w:themeColor="text1"/>
        </w:rPr>
        <w:t xml:space="preserve">knowledge had significant </w:t>
      </w:r>
      <w:r w:rsidR="004C2F59" w:rsidRPr="00476FC9">
        <w:rPr>
          <w:color w:val="000000" w:themeColor="text1"/>
        </w:rPr>
        <w:lastRenderedPageBreak/>
        <w:t>effects on perceived attention (</w:t>
      </w:r>
      <w:r w:rsidR="004C2F59" w:rsidRPr="00476FC9">
        <w:rPr>
          <w:i/>
          <w:color w:val="000000" w:themeColor="text1"/>
        </w:rPr>
        <w:t>b</w:t>
      </w:r>
      <w:r w:rsidR="004C2F59" w:rsidRPr="00476FC9">
        <w:rPr>
          <w:color w:val="000000" w:themeColor="text1"/>
        </w:rPr>
        <w:t xml:space="preserve"> = .281, </w:t>
      </w:r>
      <w:r w:rsidR="004C2F59" w:rsidRPr="00476FC9">
        <w:rPr>
          <w:i/>
          <w:color w:val="000000" w:themeColor="text1"/>
        </w:rPr>
        <w:t>SE</w:t>
      </w:r>
      <w:r w:rsidR="004C2F59" w:rsidRPr="00476FC9">
        <w:rPr>
          <w:color w:val="000000" w:themeColor="text1"/>
        </w:rPr>
        <w:t xml:space="preserve"> = .072, </w:t>
      </w:r>
      <w:r w:rsidR="004C2F59" w:rsidRPr="00476FC9">
        <w:rPr>
          <w:i/>
          <w:color w:val="000000" w:themeColor="text1"/>
        </w:rPr>
        <w:t>p</w:t>
      </w:r>
      <w:r w:rsidR="004C2F59" w:rsidRPr="00476FC9">
        <w:rPr>
          <w:color w:val="000000" w:themeColor="text1"/>
        </w:rPr>
        <w:t xml:space="preserve"> &lt; .001</w:t>
      </w:r>
      <w:r w:rsidR="000F6CFF" w:rsidRPr="00476FC9">
        <w:rPr>
          <w:color w:val="000000" w:themeColor="text1"/>
        </w:rPr>
        <w:t>)</w:t>
      </w:r>
      <w:r w:rsidR="004C2F59" w:rsidRPr="00476FC9">
        <w:rPr>
          <w:color w:val="000000" w:themeColor="text1"/>
        </w:rPr>
        <w:t>, supporting H4.</w:t>
      </w:r>
    </w:p>
    <w:p w:rsidR="000F6CFF" w:rsidRPr="00476FC9" w:rsidRDefault="000F6CFF"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The same procedure was used to examine the prominence main effects on recall. To control potential correlates, gender, age, education, and household income were entered as general demographic control variables at Step 1. Then, the correlates of consumer response to the DTC ad identified in the literature were submitted at Step 2, including overall health status, perceived familiarity, perceived importance, prior experience. At Step 3, prominence and DTCA </w:t>
      </w:r>
      <w:r w:rsidR="004356C2" w:rsidRPr="00476FC9">
        <w:rPr>
          <w:color w:val="000000" w:themeColor="text1"/>
        </w:rPr>
        <w:t>regulatory</w:t>
      </w:r>
      <w:r w:rsidRPr="00476FC9">
        <w:rPr>
          <w:color w:val="000000" w:themeColor="text1"/>
        </w:rPr>
        <w:t xml:space="preserve"> knowledge were entered. Finally, the prominence </w:t>
      </w:r>
      <w:r w:rsidRPr="00476FC9">
        <w:rPr>
          <w:rFonts w:ascii="MTSYN" w:eastAsia="MTSYN" w:cs="MTSYN" w:hint="eastAsia"/>
          <w:bCs w:val="0"/>
          <w:color w:val="000000" w:themeColor="text1"/>
          <w:sz w:val="20"/>
          <w:szCs w:val="20"/>
        </w:rPr>
        <w:t xml:space="preserve">× </w:t>
      </w:r>
      <w:r w:rsidRPr="00476FC9">
        <w:rPr>
          <w:rFonts w:hint="eastAsia"/>
          <w:color w:val="000000" w:themeColor="text1"/>
        </w:rPr>
        <w:t xml:space="preserve">DTCA </w:t>
      </w:r>
      <w:r w:rsidR="00BC1CBF" w:rsidRPr="00476FC9">
        <w:rPr>
          <w:color w:val="000000" w:themeColor="text1"/>
        </w:rPr>
        <w:t xml:space="preserve">regulatory </w:t>
      </w:r>
      <w:r w:rsidRPr="00476FC9">
        <w:rPr>
          <w:rFonts w:hint="eastAsia"/>
          <w:color w:val="000000" w:themeColor="text1"/>
        </w:rPr>
        <w:t>knowledge</w:t>
      </w:r>
      <w:r w:rsidRPr="00476FC9">
        <w:rPr>
          <w:color w:val="000000" w:themeColor="text1"/>
        </w:rPr>
        <w:t xml:space="preserve"> interaction was entered at Step 4. List-wise deletions accounted for missing values.</w:t>
      </w:r>
    </w:p>
    <w:p w:rsidR="000F6CFF" w:rsidRPr="00476FC9" w:rsidRDefault="000F6CFF" w:rsidP="007D2ACE">
      <w:pPr>
        <w:keepNext w:val="0"/>
        <w:widowControl w:val="0"/>
        <w:kinsoku w:val="0"/>
        <w:overflowPunct w:val="0"/>
        <w:autoSpaceDE w:val="0"/>
        <w:autoSpaceDN w:val="0"/>
        <w:adjustRightInd w:val="0"/>
        <w:snapToGrid w:val="0"/>
        <w:spacing w:before="0" w:after="0"/>
        <w:rPr>
          <w:color w:val="000000" w:themeColor="text1"/>
        </w:rPr>
      </w:pPr>
    </w:p>
    <w:p w:rsidR="002D141D" w:rsidRPr="00476FC9" w:rsidRDefault="00C77B30" w:rsidP="007D2ACE">
      <w:pPr>
        <w:pStyle w:val="Caption"/>
        <w:keepNext w:val="0"/>
        <w:widowControl w:val="0"/>
        <w:kinsoku w:val="0"/>
        <w:overflowPunct w:val="0"/>
        <w:autoSpaceDE w:val="0"/>
        <w:autoSpaceDN w:val="0"/>
        <w:adjustRightInd w:val="0"/>
        <w:snapToGrid w:val="0"/>
        <w:rPr>
          <w:color w:val="000000" w:themeColor="text1"/>
        </w:rPr>
      </w:pPr>
      <w:bookmarkStart w:id="51" w:name="_Toc393800641"/>
      <w:r w:rsidRPr="00476FC9">
        <w:rPr>
          <w:color w:val="000000" w:themeColor="text1"/>
        </w:rPr>
        <w:t xml:space="preserve">Table </w:t>
      </w:r>
      <w:r w:rsidR="00037CF4" w:rsidRPr="00476FC9">
        <w:rPr>
          <w:color w:val="000000" w:themeColor="text1"/>
        </w:rPr>
        <w:fldChar w:fldCharType="begin"/>
      </w:r>
      <w:r w:rsidR="00037CF4" w:rsidRPr="00476FC9">
        <w:rPr>
          <w:color w:val="000000" w:themeColor="text1"/>
        </w:rPr>
        <w:instrText xml:space="preserve"> SEQ Table \* ARABIC </w:instrText>
      </w:r>
      <w:r w:rsidR="00037CF4" w:rsidRPr="00476FC9">
        <w:rPr>
          <w:color w:val="000000" w:themeColor="text1"/>
        </w:rPr>
        <w:fldChar w:fldCharType="separate"/>
      </w:r>
      <w:r w:rsidR="00E02362" w:rsidRPr="00476FC9">
        <w:rPr>
          <w:noProof/>
          <w:color w:val="000000" w:themeColor="text1"/>
        </w:rPr>
        <w:t>9</w:t>
      </w:r>
      <w:r w:rsidR="00037CF4" w:rsidRPr="00476FC9">
        <w:rPr>
          <w:noProof/>
          <w:color w:val="000000" w:themeColor="text1"/>
        </w:rPr>
        <w:fldChar w:fldCharType="end"/>
      </w:r>
      <w:r w:rsidR="0069592D" w:rsidRPr="00476FC9">
        <w:rPr>
          <w:color w:val="000000" w:themeColor="text1"/>
        </w:rPr>
        <w:t xml:space="preserve">. </w:t>
      </w:r>
      <w:r w:rsidR="00C111B8" w:rsidRPr="00476FC9">
        <w:rPr>
          <w:color w:val="000000" w:themeColor="text1"/>
        </w:rPr>
        <w:t xml:space="preserve">Moderated </w:t>
      </w:r>
      <w:r w:rsidR="002D141D" w:rsidRPr="00476FC9">
        <w:rPr>
          <w:color w:val="000000" w:themeColor="text1"/>
        </w:rPr>
        <w:t>Hierarchical Regression on Perceived Attention</w:t>
      </w:r>
      <w:r w:rsidR="00B3214A" w:rsidRPr="00476FC9">
        <w:rPr>
          <w:color w:val="000000" w:themeColor="text1"/>
        </w:rPr>
        <w:t xml:space="preserve"> (</w:t>
      </w:r>
      <w:r w:rsidR="00AA51F5" w:rsidRPr="00476FC9">
        <w:rPr>
          <w:i/>
          <w:color w:val="000000" w:themeColor="text1"/>
        </w:rPr>
        <w:t>N</w:t>
      </w:r>
      <w:r w:rsidR="00B3214A" w:rsidRPr="00476FC9">
        <w:rPr>
          <w:color w:val="000000" w:themeColor="text1"/>
        </w:rPr>
        <w:t xml:space="preserve"> = 264)</w:t>
      </w:r>
      <w:bookmarkEnd w:id="51"/>
    </w:p>
    <w:tbl>
      <w:tblPr>
        <w:tblStyle w:val="TableGrid"/>
        <w:tblW w:w="0" w:type="auto"/>
        <w:tblLook w:val="04A0" w:firstRow="1" w:lastRow="0" w:firstColumn="1" w:lastColumn="0" w:noHBand="0" w:noVBand="1"/>
      </w:tblPr>
      <w:tblGrid>
        <w:gridCol w:w="3557"/>
        <w:gridCol w:w="1350"/>
        <w:gridCol w:w="1033"/>
        <w:gridCol w:w="990"/>
        <w:gridCol w:w="2430"/>
      </w:tblGrid>
      <w:tr w:rsidR="00476FC9" w:rsidRPr="00476FC9" w:rsidTr="00A2660F">
        <w:tc>
          <w:tcPr>
            <w:tcW w:w="3557" w:type="dxa"/>
            <w:tcBorders>
              <w:left w:val="nil"/>
              <w:bottom w:val="nil"/>
              <w:right w:val="nil"/>
            </w:tcBorders>
            <w:vAlign w:val="bottom"/>
          </w:tcPr>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i/>
                <w:color w:val="000000" w:themeColor="text1"/>
                <w:sz w:val="20"/>
                <w:szCs w:val="20"/>
              </w:rPr>
            </w:pPr>
          </w:p>
        </w:tc>
        <w:tc>
          <w:tcPr>
            <w:tcW w:w="5803" w:type="dxa"/>
            <w:gridSpan w:val="4"/>
            <w:tcBorders>
              <w:left w:val="nil"/>
              <w:bottom w:val="single" w:sz="4" w:space="0" w:color="auto"/>
              <w:right w:val="nil"/>
            </w:tcBorders>
          </w:tcPr>
          <w:p w:rsidR="004E6D17" w:rsidRPr="00476FC9" w:rsidRDefault="004E6D17" w:rsidP="007D2ACE">
            <w:pPr>
              <w:keepNext w:val="0"/>
              <w:widowControl w:val="0"/>
              <w:kinsoku w:val="0"/>
              <w:overflowPunct w:val="0"/>
              <w:autoSpaceDE w:val="0"/>
              <w:autoSpaceDN w:val="0"/>
              <w:adjustRightInd w:val="0"/>
              <w:snapToGrid w:val="0"/>
              <w:spacing w:before="0" w:after="0" w:line="240" w:lineRule="auto"/>
              <w:jc w:val="center"/>
              <w:outlineLvl w:val="9"/>
              <w:rPr>
                <w:i/>
                <w:color w:val="000000" w:themeColor="text1"/>
                <w:sz w:val="20"/>
                <w:szCs w:val="20"/>
              </w:rPr>
            </w:pPr>
            <w:r w:rsidRPr="00476FC9">
              <w:rPr>
                <w:i/>
                <w:color w:val="000000" w:themeColor="text1"/>
                <w:sz w:val="20"/>
                <w:szCs w:val="20"/>
              </w:rPr>
              <w:t>Statistics</w:t>
            </w:r>
          </w:p>
        </w:tc>
      </w:tr>
      <w:tr w:rsidR="00476FC9" w:rsidRPr="00476FC9" w:rsidTr="004E6D17">
        <w:tc>
          <w:tcPr>
            <w:tcW w:w="3557" w:type="dxa"/>
            <w:tcBorders>
              <w:top w:val="nil"/>
              <w:left w:val="nil"/>
              <w:right w:val="nil"/>
            </w:tcBorders>
          </w:tcPr>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i/>
                <w:color w:val="000000" w:themeColor="text1"/>
                <w:sz w:val="20"/>
                <w:szCs w:val="20"/>
              </w:rPr>
              <w:t>Predictors</w:t>
            </w:r>
          </w:p>
        </w:tc>
        <w:tc>
          <w:tcPr>
            <w:tcW w:w="1350" w:type="dxa"/>
            <w:tcBorders>
              <w:left w:val="nil"/>
              <w:bottom w:val="single" w:sz="4" w:space="0" w:color="auto"/>
              <w:right w:val="nil"/>
            </w:tcBorders>
          </w:tcPr>
          <w:p w:rsidR="004E6D17" w:rsidRPr="00476FC9" w:rsidRDefault="006D3DA6" w:rsidP="007D2ACE">
            <w:pPr>
              <w:keepNext w:val="0"/>
              <w:widowControl w:val="0"/>
              <w:kinsoku w:val="0"/>
              <w:overflowPunct w:val="0"/>
              <w:autoSpaceDE w:val="0"/>
              <w:autoSpaceDN w:val="0"/>
              <w:adjustRightInd w:val="0"/>
              <w:snapToGrid w:val="0"/>
              <w:spacing w:before="0" w:after="0" w:line="240" w:lineRule="auto"/>
              <w:jc w:val="center"/>
              <w:outlineLvl w:val="9"/>
              <w:rPr>
                <w:b/>
                <w:color w:val="000000" w:themeColor="text1"/>
                <w:sz w:val="20"/>
                <w:szCs w:val="20"/>
              </w:rPr>
            </w:pPr>
            <w:r w:rsidRPr="00476FC9">
              <w:rPr>
                <w:rFonts w:ascii="바탕" w:eastAsia="바탕" w:hAnsi="바탕" w:cs="RMTMI" w:hint="eastAsia"/>
                <w:b/>
                <w:bCs w:val="0"/>
                <w:i/>
                <w:iCs/>
                <w:color w:val="000000" w:themeColor="text1"/>
                <w:sz w:val="20"/>
                <w:szCs w:val="20"/>
              </w:rPr>
              <w:t>b</w:t>
            </w:r>
            <w:r w:rsidR="004E6D17" w:rsidRPr="00476FC9">
              <w:rPr>
                <w:rFonts w:ascii="바탕" w:eastAsia="바탕" w:hAnsi="바탕" w:cs="RMTMI" w:hint="eastAsia"/>
                <w:b/>
                <w:bCs w:val="0"/>
                <w:i/>
                <w:iCs/>
                <w:color w:val="000000" w:themeColor="text1"/>
                <w:sz w:val="20"/>
                <w:szCs w:val="20"/>
              </w:rPr>
              <w:t xml:space="preserve"> (SE)</w:t>
            </w:r>
          </w:p>
        </w:tc>
        <w:tc>
          <w:tcPr>
            <w:tcW w:w="1033" w:type="dxa"/>
            <w:tcBorders>
              <w:left w:val="nil"/>
              <w:bottom w:val="single" w:sz="4" w:space="0" w:color="auto"/>
              <w:right w:val="nil"/>
            </w:tcBorders>
          </w:tcPr>
          <w:p w:rsidR="004E6D17" w:rsidRPr="00476FC9" w:rsidRDefault="004E6D17" w:rsidP="007D2ACE">
            <w:pPr>
              <w:keepNext w:val="0"/>
              <w:widowControl w:val="0"/>
              <w:kinsoku w:val="0"/>
              <w:overflowPunct w:val="0"/>
              <w:autoSpaceDE w:val="0"/>
              <w:autoSpaceDN w:val="0"/>
              <w:adjustRightInd w:val="0"/>
              <w:snapToGrid w:val="0"/>
              <w:spacing w:before="0" w:after="0" w:line="240" w:lineRule="auto"/>
              <w:jc w:val="center"/>
              <w:outlineLvl w:val="9"/>
              <w:rPr>
                <w:i/>
                <w:color w:val="000000" w:themeColor="text1"/>
                <w:sz w:val="20"/>
                <w:szCs w:val="20"/>
              </w:rPr>
            </w:pPr>
            <w:r w:rsidRPr="00476FC9">
              <w:rPr>
                <w:i/>
                <w:color w:val="000000" w:themeColor="text1"/>
                <w:sz w:val="20"/>
                <w:szCs w:val="20"/>
              </w:rPr>
              <w:t>Block ∆R</w:t>
            </w:r>
            <w:r w:rsidRPr="00476FC9">
              <w:rPr>
                <w:i/>
                <w:color w:val="000000" w:themeColor="text1"/>
                <w:sz w:val="20"/>
                <w:szCs w:val="20"/>
                <w:vertAlign w:val="superscript"/>
              </w:rPr>
              <w:t>2</w:t>
            </w:r>
          </w:p>
        </w:tc>
        <w:tc>
          <w:tcPr>
            <w:tcW w:w="990" w:type="dxa"/>
            <w:tcBorders>
              <w:left w:val="nil"/>
              <w:bottom w:val="single" w:sz="4" w:space="0" w:color="auto"/>
              <w:right w:val="nil"/>
            </w:tcBorders>
          </w:tcPr>
          <w:p w:rsidR="004E6D17" w:rsidRPr="00476FC9" w:rsidRDefault="004E6D17" w:rsidP="007D2ACE">
            <w:pPr>
              <w:keepNext w:val="0"/>
              <w:widowControl w:val="0"/>
              <w:kinsoku w:val="0"/>
              <w:overflowPunct w:val="0"/>
              <w:autoSpaceDE w:val="0"/>
              <w:autoSpaceDN w:val="0"/>
              <w:adjustRightInd w:val="0"/>
              <w:snapToGrid w:val="0"/>
              <w:spacing w:before="0" w:after="0" w:line="240" w:lineRule="auto"/>
              <w:jc w:val="center"/>
              <w:outlineLvl w:val="9"/>
              <w:rPr>
                <w:i/>
                <w:color w:val="000000" w:themeColor="text1"/>
                <w:sz w:val="20"/>
                <w:szCs w:val="20"/>
              </w:rPr>
            </w:pPr>
            <w:r w:rsidRPr="00476FC9">
              <w:rPr>
                <w:i/>
                <w:color w:val="000000" w:themeColor="text1"/>
                <w:sz w:val="20"/>
                <w:szCs w:val="20"/>
              </w:rPr>
              <w:t>Block ∆F</w:t>
            </w:r>
          </w:p>
        </w:tc>
        <w:tc>
          <w:tcPr>
            <w:tcW w:w="2430" w:type="dxa"/>
            <w:tcBorders>
              <w:left w:val="nil"/>
              <w:bottom w:val="single" w:sz="4" w:space="0" w:color="auto"/>
              <w:right w:val="nil"/>
            </w:tcBorders>
          </w:tcPr>
          <w:p w:rsidR="004E6D17" w:rsidRPr="00476FC9" w:rsidRDefault="004E6D17" w:rsidP="007D2ACE">
            <w:pPr>
              <w:keepNext w:val="0"/>
              <w:widowControl w:val="0"/>
              <w:kinsoku w:val="0"/>
              <w:overflowPunct w:val="0"/>
              <w:autoSpaceDE w:val="0"/>
              <w:autoSpaceDN w:val="0"/>
              <w:adjustRightInd w:val="0"/>
              <w:snapToGrid w:val="0"/>
              <w:spacing w:before="0" w:after="0" w:line="240" w:lineRule="auto"/>
              <w:jc w:val="center"/>
              <w:outlineLvl w:val="9"/>
              <w:rPr>
                <w:i/>
                <w:color w:val="000000" w:themeColor="text1"/>
                <w:sz w:val="20"/>
                <w:szCs w:val="20"/>
              </w:rPr>
            </w:pPr>
            <w:r w:rsidRPr="00476FC9">
              <w:rPr>
                <w:i/>
                <w:color w:val="000000" w:themeColor="text1"/>
                <w:sz w:val="20"/>
                <w:szCs w:val="20"/>
              </w:rPr>
              <w:t xml:space="preserve">Variance Inflation Factor (VIF) </w:t>
            </w:r>
          </w:p>
        </w:tc>
      </w:tr>
      <w:tr w:rsidR="00476FC9" w:rsidRPr="00476FC9" w:rsidTr="004E6D17">
        <w:tc>
          <w:tcPr>
            <w:tcW w:w="3557" w:type="dxa"/>
            <w:tcBorders>
              <w:left w:val="nil"/>
              <w:bottom w:val="single" w:sz="4" w:space="0" w:color="auto"/>
              <w:right w:val="nil"/>
            </w:tcBorders>
          </w:tcPr>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Step 1</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20"/>
                <w:szCs w:val="20"/>
              </w:rPr>
            </w:pPr>
            <w:r w:rsidRPr="00476FC9">
              <w:rPr>
                <w:color w:val="000000" w:themeColor="text1"/>
                <w:sz w:val="20"/>
                <w:szCs w:val="20"/>
              </w:rPr>
              <w:t>Gender</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20"/>
                <w:szCs w:val="20"/>
              </w:rPr>
            </w:pPr>
            <w:r w:rsidRPr="00476FC9">
              <w:rPr>
                <w:color w:val="000000" w:themeColor="text1"/>
                <w:sz w:val="20"/>
                <w:szCs w:val="20"/>
              </w:rPr>
              <w:t>Age</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20"/>
                <w:szCs w:val="20"/>
              </w:rPr>
            </w:pPr>
            <w:r w:rsidRPr="00476FC9">
              <w:rPr>
                <w:color w:val="000000" w:themeColor="text1"/>
                <w:sz w:val="20"/>
                <w:szCs w:val="20"/>
              </w:rPr>
              <w:t>Education</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20"/>
                <w:szCs w:val="20"/>
              </w:rPr>
            </w:pPr>
            <w:r w:rsidRPr="00476FC9">
              <w:rPr>
                <w:color w:val="000000" w:themeColor="text1"/>
                <w:sz w:val="20"/>
                <w:szCs w:val="20"/>
              </w:rPr>
              <w:t>Annual household income</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Step 2</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20"/>
                <w:szCs w:val="20"/>
              </w:rPr>
            </w:pPr>
            <w:r w:rsidRPr="00476FC9">
              <w:rPr>
                <w:color w:val="000000" w:themeColor="text1"/>
                <w:sz w:val="20"/>
                <w:szCs w:val="20"/>
              </w:rPr>
              <w:t>Overall health</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20"/>
                <w:szCs w:val="20"/>
              </w:rPr>
            </w:pPr>
            <w:r w:rsidRPr="00476FC9">
              <w:rPr>
                <w:color w:val="000000" w:themeColor="text1"/>
                <w:sz w:val="20"/>
                <w:szCs w:val="20"/>
              </w:rPr>
              <w:t>Perceived familiarity</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20"/>
                <w:szCs w:val="20"/>
              </w:rPr>
            </w:pPr>
            <w:r w:rsidRPr="00476FC9">
              <w:rPr>
                <w:color w:val="000000" w:themeColor="text1"/>
                <w:sz w:val="20"/>
                <w:szCs w:val="20"/>
              </w:rPr>
              <w:t>Perceived importance</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20"/>
                <w:szCs w:val="20"/>
              </w:rPr>
            </w:pPr>
            <w:r w:rsidRPr="00476FC9">
              <w:rPr>
                <w:color w:val="000000" w:themeColor="text1"/>
                <w:sz w:val="20"/>
                <w:szCs w:val="20"/>
              </w:rPr>
              <w:t>Personal experience</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Step 3</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20"/>
                <w:szCs w:val="20"/>
              </w:rPr>
            </w:pPr>
            <w:r w:rsidRPr="00476FC9">
              <w:rPr>
                <w:color w:val="000000" w:themeColor="text1"/>
                <w:sz w:val="20"/>
                <w:szCs w:val="20"/>
              </w:rPr>
              <w:t>Risk disclosure prominence</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20"/>
                <w:szCs w:val="20"/>
              </w:rPr>
            </w:pPr>
            <w:r w:rsidRPr="00476FC9">
              <w:rPr>
                <w:color w:val="000000" w:themeColor="text1"/>
                <w:sz w:val="20"/>
                <w:szCs w:val="20"/>
              </w:rPr>
              <w:t xml:space="preserve">DTCA </w:t>
            </w:r>
            <w:r w:rsidR="00BC1CBF" w:rsidRPr="00476FC9">
              <w:rPr>
                <w:color w:val="000000" w:themeColor="text1"/>
                <w:sz w:val="20"/>
                <w:szCs w:val="20"/>
              </w:rPr>
              <w:t>regulatory</w:t>
            </w:r>
            <w:r w:rsidRPr="00476FC9">
              <w:rPr>
                <w:color w:val="000000" w:themeColor="text1"/>
                <w:sz w:val="20"/>
                <w:szCs w:val="20"/>
              </w:rPr>
              <w:t xml:space="preserve"> knowledge</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Step 4</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18"/>
                <w:szCs w:val="18"/>
              </w:rPr>
            </w:pPr>
            <w:r w:rsidRPr="00476FC9">
              <w:rPr>
                <w:color w:val="000000" w:themeColor="text1"/>
                <w:sz w:val="18"/>
                <w:szCs w:val="18"/>
              </w:rPr>
              <w:t xml:space="preserve">Prominence </w:t>
            </w:r>
            <w:r w:rsidRPr="00476FC9">
              <w:rPr>
                <w:rFonts w:ascii="MTSYN" w:eastAsia="MTSYN" w:cs="MTSYN" w:hint="eastAsia"/>
                <w:bCs w:val="0"/>
                <w:color w:val="000000" w:themeColor="text1"/>
                <w:sz w:val="18"/>
                <w:szCs w:val="18"/>
              </w:rPr>
              <w:t xml:space="preserve">× </w:t>
            </w:r>
            <w:r w:rsidRPr="00476FC9">
              <w:rPr>
                <w:rFonts w:hint="eastAsia"/>
                <w:color w:val="000000" w:themeColor="text1"/>
                <w:sz w:val="18"/>
                <w:szCs w:val="18"/>
              </w:rPr>
              <w:t>DTCA knowledge</w:t>
            </w:r>
          </w:p>
        </w:tc>
        <w:tc>
          <w:tcPr>
            <w:tcW w:w="1350" w:type="dxa"/>
            <w:tcBorders>
              <w:left w:val="nil"/>
              <w:bottom w:val="single" w:sz="4" w:space="0" w:color="auto"/>
              <w:right w:val="nil"/>
            </w:tcBorders>
          </w:tcPr>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-.021 (.165)</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.004 (.006)</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-.054 (.048)</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.064 (.065)</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.020 (.110)</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.087 (.063)</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.116 (.059)</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-.071 (.196)</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 xml:space="preserve">.589 (.186)** </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.281(.072)***</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-.606 (.274)*</w:t>
            </w:r>
          </w:p>
        </w:tc>
        <w:tc>
          <w:tcPr>
            <w:tcW w:w="1033" w:type="dxa"/>
            <w:tcBorders>
              <w:left w:val="nil"/>
              <w:bottom w:val="single" w:sz="4" w:space="0" w:color="auto"/>
              <w:right w:val="nil"/>
            </w:tcBorders>
          </w:tcPr>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.007</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.076</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.053</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.016</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tc>
        <w:tc>
          <w:tcPr>
            <w:tcW w:w="990" w:type="dxa"/>
            <w:tcBorders>
              <w:left w:val="nil"/>
              <w:bottom w:val="single" w:sz="4" w:space="0" w:color="auto"/>
              <w:right w:val="nil"/>
            </w:tcBorders>
          </w:tcPr>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.450</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5.308***</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7.833**</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4.896*</w:t>
            </w:r>
          </w:p>
        </w:tc>
        <w:tc>
          <w:tcPr>
            <w:tcW w:w="2430" w:type="dxa"/>
            <w:tcBorders>
              <w:left w:val="nil"/>
              <w:bottom w:val="single" w:sz="4" w:space="0" w:color="auto"/>
              <w:right w:val="nil"/>
            </w:tcBorders>
          </w:tcPr>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1.14</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1.12</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1.28</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1.36</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1.18</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2.09</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2.01</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1.45</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p>
          <w:p w:rsidR="004E6D17" w:rsidRPr="00476FC9" w:rsidRDefault="000F6CFF"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1.56</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1.56</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p>
          <w:p w:rsidR="004E6D17" w:rsidRPr="00476FC9" w:rsidRDefault="000F6CFF"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1.91</w:t>
            </w:r>
          </w:p>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tc>
      </w:tr>
      <w:tr w:rsidR="004E6D17" w:rsidRPr="00476FC9" w:rsidTr="004E6D17">
        <w:tc>
          <w:tcPr>
            <w:tcW w:w="6930" w:type="dxa"/>
            <w:gridSpan w:val="4"/>
            <w:tcBorders>
              <w:left w:val="nil"/>
              <w:bottom w:val="nil"/>
              <w:right w:val="nil"/>
            </w:tcBorders>
          </w:tcPr>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i/>
                <w:color w:val="000000" w:themeColor="text1"/>
                <w:sz w:val="20"/>
                <w:szCs w:val="20"/>
              </w:rPr>
              <w:t>Note.</w:t>
            </w:r>
            <w:r w:rsidRPr="00476FC9">
              <w:rPr>
                <w:color w:val="000000" w:themeColor="text1"/>
                <w:sz w:val="20"/>
                <w:szCs w:val="20"/>
              </w:rPr>
              <w:t xml:space="preserve"> Adjusted R</w:t>
            </w:r>
            <w:r w:rsidRPr="00476FC9">
              <w:rPr>
                <w:color w:val="000000" w:themeColor="text1"/>
                <w:sz w:val="20"/>
                <w:szCs w:val="20"/>
                <w:vertAlign w:val="superscript"/>
              </w:rPr>
              <w:t xml:space="preserve">2 </w:t>
            </w:r>
            <w:r w:rsidRPr="00476FC9">
              <w:rPr>
                <w:color w:val="000000" w:themeColor="text1"/>
                <w:sz w:val="20"/>
                <w:szCs w:val="20"/>
              </w:rPr>
              <w:t>= .116, *</w:t>
            </w:r>
            <w:r w:rsidRPr="00476FC9">
              <w:rPr>
                <w:i/>
                <w:color w:val="000000" w:themeColor="text1"/>
                <w:sz w:val="20"/>
                <w:szCs w:val="20"/>
              </w:rPr>
              <w:t>p</w:t>
            </w:r>
            <w:r w:rsidRPr="00476FC9">
              <w:rPr>
                <w:color w:val="000000" w:themeColor="text1"/>
                <w:sz w:val="20"/>
                <w:szCs w:val="20"/>
              </w:rPr>
              <w:t xml:space="preserve"> &lt; .05, **</w:t>
            </w:r>
            <w:r w:rsidRPr="00476FC9">
              <w:rPr>
                <w:i/>
                <w:color w:val="000000" w:themeColor="text1"/>
                <w:sz w:val="20"/>
                <w:szCs w:val="20"/>
              </w:rPr>
              <w:t xml:space="preserve">p </w:t>
            </w:r>
            <w:r w:rsidRPr="00476FC9">
              <w:rPr>
                <w:color w:val="000000" w:themeColor="text1"/>
                <w:sz w:val="20"/>
                <w:szCs w:val="20"/>
              </w:rPr>
              <w:t>&lt; .01, ***</w:t>
            </w:r>
            <w:r w:rsidRPr="00476FC9">
              <w:rPr>
                <w:i/>
                <w:color w:val="000000" w:themeColor="text1"/>
                <w:sz w:val="20"/>
                <w:szCs w:val="20"/>
              </w:rPr>
              <w:t xml:space="preserve">p </w:t>
            </w:r>
            <w:r w:rsidRPr="00476FC9">
              <w:rPr>
                <w:color w:val="000000" w:themeColor="text1"/>
                <w:sz w:val="20"/>
                <w:szCs w:val="20"/>
              </w:rPr>
              <w:t>&lt; .001</w:t>
            </w:r>
          </w:p>
        </w:tc>
        <w:tc>
          <w:tcPr>
            <w:tcW w:w="2430" w:type="dxa"/>
            <w:tcBorders>
              <w:left w:val="nil"/>
              <w:bottom w:val="nil"/>
              <w:right w:val="nil"/>
            </w:tcBorders>
          </w:tcPr>
          <w:p w:rsidR="004E6D17" w:rsidRPr="00476FC9" w:rsidRDefault="004E6D17" w:rsidP="007D2ACE">
            <w:pPr>
              <w:keepNext w:val="0"/>
              <w:widowControl w:val="0"/>
              <w:kinsoku w:val="0"/>
              <w:overflowPunct w:val="0"/>
              <w:autoSpaceDE w:val="0"/>
              <w:autoSpaceDN w:val="0"/>
              <w:adjustRightInd w:val="0"/>
              <w:snapToGrid w:val="0"/>
              <w:spacing w:before="0" w:after="0" w:line="240" w:lineRule="auto"/>
              <w:outlineLvl w:val="9"/>
              <w:rPr>
                <w:i/>
                <w:color w:val="000000" w:themeColor="text1"/>
                <w:sz w:val="20"/>
                <w:szCs w:val="20"/>
              </w:rPr>
            </w:pPr>
          </w:p>
        </w:tc>
      </w:tr>
    </w:tbl>
    <w:p w:rsidR="00E327B7" w:rsidRPr="00476FC9" w:rsidRDefault="00E327B7" w:rsidP="007D2ACE">
      <w:pPr>
        <w:keepNext w:val="0"/>
        <w:widowControl w:val="0"/>
        <w:kinsoku w:val="0"/>
        <w:overflowPunct w:val="0"/>
        <w:autoSpaceDE w:val="0"/>
        <w:autoSpaceDN w:val="0"/>
        <w:adjustRightInd w:val="0"/>
        <w:snapToGrid w:val="0"/>
        <w:spacing w:before="0" w:after="0" w:line="240" w:lineRule="auto"/>
        <w:outlineLvl w:val="9"/>
        <w:rPr>
          <w:color w:val="000000" w:themeColor="text1"/>
        </w:rPr>
      </w:pPr>
    </w:p>
    <w:p w:rsidR="00E327B7" w:rsidRPr="00476FC9" w:rsidRDefault="00E327B7"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p>
    <w:p w:rsidR="00E327B7" w:rsidRPr="00476FC9" w:rsidRDefault="00E327B7"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Table </w:t>
      </w:r>
      <w:r w:rsidR="00AF1F07" w:rsidRPr="00476FC9">
        <w:rPr>
          <w:color w:val="000000" w:themeColor="text1"/>
        </w:rPr>
        <w:t>10</w:t>
      </w:r>
      <w:r w:rsidRPr="00476FC9">
        <w:rPr>
          <w:color w:val="000000" w:themeColor="text1"/>
        </w:rPr>
        <w:t xml:space="preserve"> summarizes the results of the regression on the extent of risk information recall. The results showed that risk disclosure prominence </w:t>
      </w:r>
      <w:r w:rsidR="00C111B8" w:rsidRPr="00476FC9">
        <w:rPr>
          <w:color w:val="000000" w:themeColor="text1"/>
        </w:rPr>
        <w:t xml:space="preserve">did not have </w:t>
      </w:r>
      <w:r w:rsidRPr="00476FC9">
        <w:rPr>
          <w:color w:val="000000" w:themeColor="text1"/>
        </w:rPr>
        <w:t xml:space="preserve">significant effects on </w:t>
      </w:r>
      <w:r w:rsidR="00C111B8" w:rsidRPr="00476FC9">
        <w:rPr>
          <w:color w:val="000000" w:themeColor="text1"/>
        </w:rPr>
        <w:t xml:space="preserve">risk </w:t>
      </w:r>
      <w:r w:rsidR="00C111B8" w:rsidRPr="00476FC9">
        <w:rPr>
          <w:color w:val="000000" w:themeColor="text1"/>
        </w:rPr>
        <w:lastRenderedPageBreak/>
        <w:t>disclosure recall</w:t>
      </w:r>
      <w:r w:rsidRPr="00476FC9">
        <w:rPr>
          <w:color w:val="000000" w:themeColor="text1"/>
        </w:rPr>
        <w:t xml:space="preserve"> (</w:t>
      </w:r>
      <w:r w:rsidRPr="00476FC9">
        <w:rPr>
          <w:i/>
          <w:color w:val="000000" w:themeColor="text1"/>
        </w:rPr>
        <w:t>b</w:t>
      </w:r>
      <w:r w:rsidRPr="00476FC9">
        <w:rPr>
          <w:color w:val="000000" w:themeColor="text1"/>
        </w:rPr>
        <w:t xml:space="preserve"> = .</w:t>
      </w:r>
      <w:r w:rsidR="00C111B8" w:rsidRPr="00476FC9">
        <w:rPr>
          <w:color w:val="000000" w:themeColor="text1"/>
        </w:rPr>
        <w:t>161</w:t>
      </w:r>
      <w:r w:rsidRPr="00476FC9">
        <w:rPr>
          <w:color w:val="000000" w:themeColor="text1"/>
        </w:rPr>
        <w:t xml:space="preserve">, </w:t>
      </w:r>
      <w:r w:rsidRPr="00476FC9">
        <w:rPr>
          <w:i/>
          <w:color w:val="000000" w:themeColor="text1"/>
        </w:rPr>
        <w:t>SE</w:t>
      </w:r>
      <w:r w:rsidRPr="00476FC9">
        <w:rPr>
          <w:color w:val="000000" w:themeColor="text1"/>
        </w:rPr>
        <w:t xml:space="preserve"> = .</w:t>
      </w:r>
      <w:r w:rsidR="00C111B8" w:rsidRPr="00476FC9">
        <w:rPr>
          <w:color w:val="000000" w:themeColor="text1"/>
        </w:rPr>
        <w:t>166</w:t>
      </w:r>
      <w:r w:rsidRPr="00476FC9">
        <w:rPr>
          <w:color w:val="000000" w:themeColor="text1"/>
        </w:rPr>
        <w:t xml:space="preserve">, </w:t>
      </w:r>
      <w:r w:rsidRPr="00476FC9">
        <w:rPr>
          <w:i/>
          <w:color w:val="000000" w:themeColor="text1"/>
        </w:rPr>
        <w:t>p</w:t>
      </w:r>
      <w:r w:rsidRPr="00476FC9">
        <w:rPr>
          <w:color w:val="000000" w:themeColor="text1"/>
        </w:rPr>
        <w:t xml:space="preserve"> </w:t>
      </w:r>
      <w:r w:rsidR="00C111B8" w:rsidRPr="00476FC9">
        <w:rPr>
          <w:color w:val="000000" w:themeColor="text1"/>
        </w:rPr>
        <w:t>&gt;</w:t>
      </w:r>
      <w:r w:rsidRPr="00476FC9">
        <w:rPr>
          <w:color w:val="000000" w:themeColor="text1"/>
        </w:rPr>
        <w:t xml:space="preserve"> .0</w:t>
      </w:r>
      <w:r w:rsidR="00C111B8" w:rsidRPr="00476FC9">
        <w:rPr>
          <w:color w:val="000000" w:themeColor="text1"/>
        </w:rPr>
        <w:t>5</w:t>
      </w:r>
      <w:r w:rsidRPr="00476FC9">
        <w:rPr>
          <w:color w:val="000000" w:themeColor="text1"/>
        </w:rPr>
        <w:t>.</w:t>
      </w:r>
      <w:r w:rsidR="00C111B8" w:rsidRPr="00476FC9">
        <w:rPr>
          <w:color w:val="000000" w:themeColor="text1"/>
        </w:rPr>
        <w:t xml:space="preserve"> The results did not support H2.</w:t>
      </w:r>
      <w:r w:rsidR="004C2F59" w:rsidRPr="00476FC9">
        <w:rPr>
          <w:color w:val="000000" w:themeColor="text1"/>
        </w:rPr>
        <w:t xml:space="preserve"> In the same vein, DTCA knowledge did not have significant effects on risk disclosure recall (</w:t>
      </w:r>
      <w:r w:rsidR="004C2F59" w:rsidRPr="00476FC9">
        <w:rPr>
          <w:i/>
          <w:color w:val="000000" w:themeColor="text1"/>
        </w:rPr>
        <w:t>b</w:t>
      </w:r>
      <w:r w:rsidR="004C2F59" w:rsidRPr="00476FC9">
        <w:rPr>
          <w:color w:val="000000" w:themeColor="text1"/>
        </w:rPr>
        <w:t xml:space="preserve"> = -.011, </w:t>
      </w:r>
      <w:r w:rsidR="004C2F59" w:rsidRPr="00476FC9">
        <w:rPr>
          <w:i/>
          <w:color w:val="000000" w:themeColor="text1"/>
        </w:rPr>
        <w:t>SE</w:t>
      </w:r>
      <w:r w:rsidR="004C2F59" w:rsidRPr="00476FC9">
        <w:rPr>
          <w:color w:val="000000" w:themeColor="text1"/>
        </w:rPr>
        <w:t xml:space="preserve"> = .064, </w:t>
      </w:r>
      <w:r w:rsidR="004C2F59" w:rsidRPr="00476FC9">
        <w:rPr>
          <w:i/>
          <w:color w:val="000000" w:themeColor="text1"/>
        </w:rPr>
        <w:t>p</w:t>
      </w:r>
      <w:r w:rsidR="004C2F59" w:rsidRPr="00476FC9">
        <w:rPr>
          <w:color w:val="000000" w:themeColor="text1"/>
        </w:rPr>
        <w:t xml:space="preserve"> &gt; .05). H5 was not supported.</w:t>
      </w:r>
    </w:p>
    <w:p w:rsidR="000F6CFF" w:rsidRPr="00476FC9" w:rsidRDefault="000F6CFF" w:rsidP="007D2ACE">
      <w:pPr>
        <w:keepNext w:val="0"/>
        <w:widowControl w:val="0"/>
        <w:kinsoku w:val="0"/>
        <w:overflowPunct w:val="0"/>
        <w:autoSpaceDE w:val="0"/>
        <w:autoSpaceDN w:val="0"/>
        <w:adjustRightInd w:val="0"/>
        <w:snapToGrid w:val="0"/>
        <w:spacing w:before="0" w:after="0"/>
        <w:ind w:firstLine="720"/>
        <w:rPr>
          <w:color w:val="000000" w:themeColor="text1"/>
        </w:rPr>
      </w:pPr>
    </w:p>
    <w:p w:rsidR="00E327B7" w:rsidRPr="00476FC9" w:rsidRDefault="00C77B30" w:rsidP="007D2ACE">
      <w:pPr>
        <w:pStyle w:val="Caption"/>
        <w:keepNext w:val="0"/>
        <w:widowControl w:val="0"/>
        <w:kinsoku w:val="0"/>
        <w:overflowPunct w:val="0"/>
        <w:autoSpaceDE w:val="0"/>
        <w:autoSpaceDN w:val="0"/>
        <w:adjustRightInd w:val="0"/>
        <w:snapToGrid w:val="0"/>
        <w:rPr>
          <w:color w:val="000000" w:themeColor="text1"/>
        </w:rPr>
      </w:pPr>
      <w:bookmarkStart w:id="52" w:name="_Toc393800642"/>
      <w:r w:rsidRPr="00476FC9">
        <w:rPr>
          <w:color w:val="000000" w:themeColor="text1"/>
        </w:rPr>
        <w:t xml:space="preserve">Table </w:t>
      </w:r>
      <w:r w:rsidR="00037CF4" w:rsidRPr="00476FC9">
        <w:rPr>
          <w:color w:val="000000" w:themeColor="text1"/>
        </w:rPr>
        <w:fldChar w:fldCharType="begin"/>
      </w:r>
      <w:r w:rsidR="00037CF4" w:rsidRPr="00476FC9">
        <w:rPr>
          <w:color w:val="000000" w:themeColor="text1"/>
        </w:rPr>
        <w:instrText xml:space="preserve"> SEQ Table \* ARABIC </w:instrText>
      </w:r>
      <w:r w:rsidR="00037CF4" w:rsidRPr="00476FC9">
        <w:rPr>
          <w:color w:val="000000" w:themeColor="text1"/>
        </w:rPr>
        <w:fldChar w:fldCharType="separate"/>
      </w:r>
      <w:r w:rsidR="00E02362" w:rsidRPr="00476FC9">
        <w:rPr>
          <w:noProof/>
          <w:color w:val="000000" w:themeColor="text1"/>
        </w:rPr>
        <w:t>10</w:t>
      </w:r>
      <w:r w:rsidR="00037CF4" w:rsidRPr="00476FC9">
        <w:rPr>
          <w:noProof/>
          <w:color w:val="000000" w:themeColor="text1"/>
        </w:rPr>
        <w:fldChar w:fldCharType="end"/>
      </w:r>
      <w:r w:rsidR="00E327B7" w:rsidRPr="00476FC9">
        <w:rPr>
          <w:color w:val="000000" w:themeColor="text1"/>
        </w:rPr>
        <w:t xml:space="preserve">. </w:t>
      </w:r>
      <w:r w:rsidR="00C111B8" w:rsidRPr="00476FC9">
        <w:rPr>
          <w:color w:val="000000" w:themeColor="text1"/>
        </w:rPr>
        <w:t xml:space="preserve">Moderated </w:t>
      </w:r>
      <w:r w:rsidR="00E327B7" w:rsidRPr="00476FC9">
        <w:rPr>
          <w:color w:val="000000" w:themeColor="text1"/>
        </w:rPr>
        <w:t>Hierarchical Regression on Recall</w:t>
      </w:r>
      <w:r w:rsidR="00B3214A" w:rsidRPr="00476FC9">
        <w:rPr>
          <w:color w:val="000000" w:themeColor="text1"/>
        </w:rPr>
        <w:t xml:space="preserve"> (</w:t>
      </w:r>
      <w:r w:rsidR="00AA51F5" w:rsidRPr="00476FC9">
        <w:rPr>
          <w:i/>
          <w:color w:val="000000" w:themeColor="text1"/>
        </w:rPr>
        <w:t>N</w:t>
      </w:r>
      <w:r w:rsidR="00AA51F5" w:rsidRPr="00476FC9">
        <w:rPr>
          <w:color w:val="000000" w:themeColor="text1"/>
        </w:rPr>
        <w:t xml:space="preserve"> </w:t>
      </w:r>
      <w:r w:rsidR="00B3214A" w:rsidRPr="00476FC9">
        <w:rPr>
          <w:color w:val="000000" w:themeColor="text1"/>
        </w:rPr>
        <w:t>= 264)</w:t>
      </w:r>
      <w:bookmarkEnd w:id="52"/>
    </w:p>
    <w:tbl>
      <w:tblPr>
        <w:tblStyle w:val="TableGrid"/>
        <w:tblW w:w="0" w:type="auto"/>
        <w:tblLook w:val="04A0" w:firstRow="1" w:lastRow="0" w:firstColumn="1" w:lastColumn="0" w:noHBand="0" w:noVBand="1"/>
      </w:tblPr>
      <w:tblGrid>
        <w:gridCol w:w="3592"/>
        <w:gridCol w:w="1178"/>
        <w:gridCol w:w="1080"/>
        <w:gridCol w:w="990"/>
        <w:gridCol w:w="2520"/>
      </w:tblGrid>
      <w:tr w:rsidR="00476FC9" w:rsidRPr="00476FC9" w:rsidTr="00A2660F">
        <w:tc>
          <w:tcPr>
            <w:tcW w:w="3592" w:type="dxa"/>
            <w:tcBorders>
              <w:left w:val="nil"/>
              <w:bottom w:val="nil"/>
              <w:right w:val="nil"/>
            </w:tcBorders>
            <w:vAlign w:val="bottom"/>
          </w:tcPr>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i/>
                <w:color w:val="000000" w:themeColor="text1"/>
                <w:sz w:val="20"/>
                <w:szCs w:val="20"/>
              </w:rPr>
            </w:pPr>
          </w:p>
        </w:tc>
        <w:tc>
          <w:tcPr>
            <w:tcW w:w="5768" w:type="dxa"/>
            <w:gridSpan w:val="4"/>
            <w:tcBorders>
              <w:left w:val="nil"/>
              <w:bottom w:val="single" w:sz="4" w:space="0" w:color="auto"/>
              <w:right w:val="nil"/>
            </w:tcBorders>
          </w:tcPr>
          <w:p w:rsidR="000F6CFF" w:rsidRPr="00476FC9" w:rsidRDefault="000F6CFF" w:rsidP="007D2ACE">
            <w:pPr>
              <w:keepNext w:val="0"/>
              <w:widowControl w:val="0"/>
              <w:kinsoku w:val="0"/>
              <w:overflowPunct w:val="0"/>
              <w:autoSpaceDE w:val="0"/>
              <w:autoSpaceDN w:val="0"/>
              <w:adjustRightInd w:val="0"/>
              <w:snapToGrid w:val="0"/>
              <w:spacing w:before="0" w:after="0" w:line="240" w:lineRule="auto"/>
              <w:jc w:val="center"/>
              <w:outlineLvl w:val="9"/>
              <w:rPr>
                <w:i/>
                <w:color w:val="000000" w:themeColor="text1"/>
                <w:sz w:val="20"/>
                <w:szCs w:val="20"/>
              </w:rPr>
            </w:pPr>
            <w:r w:rsidRPr="00476FC9">
              <w:rPr>
                <w:i/>
                <w:color w:val="000000" w:themeColor="text1"/>
                <w:sz w:val="20"/>
                <w:szCs w:val="20"/>
              </w:rPr>
              <w:t>Statistics</w:t>
            </w:r>
          </w:p>
        </w:tc>
      </w:tr>
      <w:tr w:rsidR="00476FC9" w:rsidRPr="00476FC9" w:rsidTr="000F6CFF">
        <w:tc>
          <w:tcPr>
            <w:tcW w:w="3592" w:type="dxa"/>
            <w:tcBorders>
              <w:top w:val="nil"/>
              <w:left w:val="nil"/>
              <w:right w:val="nil"/>
            </w:tcBorders>
          </w:tcPr>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i/>
                <w:color w:val="000000" w:themeColor="text1"/>
                <w:sz w:val="20"/>
                <w:szCs w:val="20"/>
              </w:rPr>
              <w:t>Predictors</w:t>
            </w:r>
          </w:p>
        </w:tc>
        <w:tc>
          <w:tcPr>
            <w:tcW w:w="1178" w:type="dxa"/>
            <w:tcBorders>
              <w:left w:val="nil"/>
              <w:bottom w:val="single" w:sz="4" w:space="0" w:color="auto"/>
              <w:right w:val="nil"/>
            </w:tcBorders>
          </w:tcPr>
          <w:p w:rsidR="000F6CFF" w:rsidRPr="00476FC9" w:rsidRDefault="006D3DA6" w:rsidP="007D2ACE">
            <w:pPr>
              <w:keepNext w:val="0"/>
              <w:widowControl w:val="0"/>
              <w:kinsoku w:val="0"/>
              <w:overflowPunct w:val="0"/>
              <w:autoSpaceDE w:val="0"/>
              <w:autoSpaceDN w:val="0"/>
              <w:adjustRightInd w:val="0"/>
              <w:snapToGrid w:val="0"/>
              <w:spacing w:before="0" w:after="0" w:line="240" w:lineRule="auto"/>
              <w:jc w:val="center"/>
              <w:outlineLvl w:val="9"/>
              <w:rPr>
                <w:b/>
                <w:color w:val="000000" w:themeColor="text1"/>
                <w:sz w:val="16"/>
                <w:szCs w:val="16"/>
              </w:rPr>
            </w:pPr>
            <w:r w:rsidRPr="00476FC9">
              <w:rPr>
                <w:rFonts w:ascii="바탕" w:eastAsia="바탕" w:hAnsi="바탕" w:cs="RMTMI" w:hint="eastAsia"/>
                <w:b/>
                <w:bCs w:val="0"/>
                <w:i/>
                <w:iCs/>
                <w:color w:val="000000" w:themeColor="text1"/>
                <w:sz w:val="16"/>
                <w:szCs w:val="16"/>
              </w:rPr>
              <w:t>b</w:t>
            </w:r>
            <w:r w:rsidR="000F6CFF" w:rsidRPr="00476FC9">
              <w:rPr>
                <w:rFonts w:ascii="바탕" w:eastAsia="바탕" w:hAnsi="바탕" w:cs="RMTMI" w:hint="eastAsia"/>
                <w:b/>
                <w:bCs w:val="0"/>
                <w:i/>
                <w:iCs/>
                <w:color w:val="000000" w:themeColor="text1"/>
                <w:sz w:val="16"/>
                <w:szCs w:val="16"/>
              </w:rPr>
              <w:t xml:space="preserve"> (SE)</w:t>
            </w:r>
          </w:p>
        </w:tc>
        <w:tc>
          <w:tcPr>
            <w:tcW w:w="1080" w:type="dxa"/>
            <w:tcBorders>
              <w:left w:val="nil"/>
              <w:bottom w:val="single" w:sz="4" w:space="0" w:color="auto"/>
              <w:right w:val="nil"/>
            </w:tcBorders>
          </w:tcPr>
          <w:p w:rsidR="000F6CFF" w:rsidRPr="00476FC9" w:rsidRDefault="000F6CFF" w:rsidP="007D2ACE">
            <w:pPr>
              <w:keepNext w:val="0"/>
              <w:widowControl w:val="0"/>
              <w:kinsoku w:val="0"/>
              <w:overflowPunct w:val="0"/>
              <w:autoSpaceDE w:val="0"/>
              <w:autoSpaceDN w:val="0"/>
              <w:adjustRightInd w:val="0"/>
              <w:snapToGrid w:val="0"/>
              <w:spacing w:before="0" w:after="0" w:line="240" w:lineRule="auto"/>
              <w:jc w:val="center"/>
              <w:outlineLvl w:val="9"/>
              <w:rPr>
                <w:i/>
                <w:color w:val="000000" w:themeColor="text1"/>
                <w:sz w:val="16"/>
                <w:szCs w:val="16"/>
              </w:rPr>
            </w:pPr>
            <w:r w:rsidRPr="00476FC9">
              <w:rPr>
                <w:i/>
                <w:color w:val="000000" w:themeColor="text1"/>
                <w:sz w:val="16"/>
                <w:szCs w:val="16"/>
              </w:rPr>
              <w:t>Block ∆R</w:t>
            </w:r>
            <w:r w:rsidRPr="00476FC9">
              <w:rPr>
                <w:i/>
                <w:color w:val="000000" w:themeColor="text1"/>
                <w:sz w:val="16"/>
                <w:szCs w:val="16"/>
                <w:vertAlign w:val="superscript"/>
              </w:rPr>
              <w:t>2</w:t>
            </w:r>
          </w:p>
        </w:tc>
        <w:tc>
          <w:tcPr>
            <w:tcW w:w="990" w:type="dxa"/>
            <w:tcBorders>
              <w:left w:val="nil"/>
              <w:bottom w:val="single" w:sz="4" w:space="0" w:color="auto"/>
              <w:right w:val="nil"/>
            </w:tcBorders>
          </w:tcPr>
          <w:p w:rsidR="000F6CFF" w:rsidRPr="00476FC9" w:rsidRDefault="000F6CFF" w:rsidP="007D2ACE">
            <w:pPr>
              <w:keepNext w:val="0"/>
              <w:widowControl w:val="0"/>
              <w:kinsoku w:val="0"/>
              <w:overflowPunct w:val="0"/>
              <w:autoSpaceDE w:val="0"/>
              <w:autoSpaceDN w:val="0"/>
              <w:adjustRightInd w:val="0"/>
              <w:snapToGrid w:val="0"/>
              <w:spacing w:before="0" w:after="0" w:line="240" w:lineRule="auto"/>
              <w:jc w:val="center"/>
              <w:outlineLvl w:val="9"/>
              <w:rPr>
                <w:i/>
                <w:color w:val="000000" w:themeColor="text1"/>
                <w:sz w:val="16"/>
                <w:szCs w:val="16"/>
              </w:rPr>
            </w:pPr>
            <w:r w:rsidRPr="00476FC9">
              <w:rPr>
                <w:i/>
                <w:color w:val="000000" w:themeColor="text1"/>
                <w:sz w:val="16"/>
                <w:szCs w:val="16"/>
              </w:rPr>
              <w:t>Block ∆F</w:t>
            </w:r>
          </w:p>
        </w:tc>
        <w:tc>
          <w:tcPr>
            <w:tcW w:w="2520" w:type="dxa"/>
            <w:tcBorders>
              <w:left w:val="nil"/>
              <w:bottom w:val="single" w:sz="4" w:space="0" w:color="auto"/>
              <w:right w:val="nil"/>
            </w:tcBorders>
          </w:tcPr>
          <w:p w:rsidR="000F6CFF" w:rsidRPr="00476FC9" w:rsidRDefault="000F6CFF" w:rsidP="007D2ACE">
            <w:pPr>
              <w:keepNext w:val="0"/>
              <w:widowControl w:val="0"/>
              <w:kinsoku w:val="0"/>
              <w:overflowPunct w:val="0"/>
              <w:autoSpaceDE w:val="0"/>
              <w:autoSpaceDN w:val="0"/>
              <w:adjustRightInd w:val="0"/>
              <w:snapToGrid w:val="0"/>
              <w:spacing w:before="0" w:after="0" w:line="240" w:lineRule="auto"/>
              <w:jc w:val="center"/>
              <w:outlineLvl w:val="9"/>
              <w:rPr>
                <w:i/>
                <w:color w:val="000000" w:themeColor="text1"/>
                <w:sz w:val="16"/>
                <w:szCs w:val="16"/>
              </w:rPr>
            </w:pPr>
            <w:r w:rsidRPr="00476FC9">
              <w:rPr>
                <w:i/>
                <w:color w:val="000000" w:themeColor="text1"/>
                <w:sz w:val="16"/>
                <w:szCs w:val="16"/>
              </w:rPr>
              <w:t>Variance Inflation Factor (VIF)</w:t>
            </w:r>
          </w:p>
        </w:tc>
      </w:tr>
      <w:tr w:rsidR="00476FC9" w:rsidRPr="00476FC9" w:rsidTr="000F6CFF">
        <w:tc>
          <w:tcPr>
            <w:tcW w:w="3592" w:type="dxa"/>
            <w:tcBorders>
              <w:left w:val="nil"/>
              <w:bottom w:val="single" w:sz="4" w:space="0" w:color="auto"/>
              <w:right w:val="nil"/>
            </w:tcBorders>
          </w:tcPr>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Step 1</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20"/>
                <w:szCs w:val="20"/>
              </w:rPr>
            </w:pPr>
            <w:r w:rsidRPr="00476FC9">
              <w:rPr>
                <w:color w:val="000000" w:themeColor="text1"/>
                <w:sz w:val="20"/>
                <w:szCs w:val="20"/>
              </w:rPr>
              <w:t>Gender</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20"/>
                <w:szCs w:val="20"/>
              </w:rPr>
            </w:pPr>
            <w:r w:rsidRPr="00476FC9">
              <w:rPr>
                <w:color w:val="000000" w:themeColor="text1"/>
                <w:sz w:val="20"/>
                <w:szCs w:val="20"/>
              </w:rPr>
              <w:t>Age</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20"/>
                <w:szCs w:val="20"/>
              </w:rPr>
            </w:pPr>
            <w:r w:rsidRPr="00476FC9">
              <w:rPr>
                <w:color w:val="000000" w:themeColor="text1"/>
                <w:sz w:val="20"/>
                <w:szCs w:val="20"/>
              </w:rPr>
              <w:t>Education</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20"/>
                <w:szCs w:val="20"/>
              </w:rPr>
            </w:pPr>
            <w:r w:rsidRPr="00476FC9">
              <w:rPr>
                <w:color w:val="000000" w:themeColor="text1"/>
                <w:sz w:val="20"/>
                <w:szCs w:val="20"/>
              </w:rPr>
              <w:t>Annual household income</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Step 2</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20"/>
                <w:szCs w:val="20"/>
              </w:rPr>
            </w:pPr>
            <w:r w:rsidRPr="00476FC9">
              <w:rPr>
                <w:color w:val="000000" w:themeColor="text1"/>
                <w:sz w:val="20"/>
                <w:szCs w:val="20"/>
              </w:rPr>
              <w:t>Overall health</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20"/>
                <w:szCs w:val="20"/>
              </w:rPr>
            </w:pPr>
            <w:r w:rsidRPr="00476FC9">
              <w:rPr>
                <w:color w:val="000000" w:themeColor="text1"/>
                <w:sz w:val="20"/>
                <w:szCs w:val="20"/>
              </w:rPr>
              <w:t>Perceived familiarity</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20"/>
                <w:szCs w:val="20"/>
              </w:rPr>
            </w:pPr>
            <w:r w:rsidRPr="00476FC9">
              <w:rPr>
                <w:color w:val="000000" w:themeColor="text1"/>
                <w:sz w:val="20"/>
                <w:szCs w:val="20"/>
              </w:rPr>
              <w:t>Perceived importance</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20"/>
                <w:szCs w:val="20"/>
              </w:rPr>
            </w:pPr>
            <w:r w:rsidRPr="00476FC9">
              <w:rPr>
                <w:color w:val="000000" w:themeColor="text1"/>
                <w:sz w:val="20"/>
                <w:szCs w:val="20"/>
              </w:rPr>
              <w:t>Personal experience</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Step 3</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20"/>
                <w:szCs w:val="20"/>
              </w:rPr>
            </w:pPr>
            <w:r w:rsidRPr="00476FC9">
              <w:rPr>
                <w:color w:val="000000" w:themeColor="text1"/>
                <w:sz w:val="20"/>
                <w:szCs w:val="20"/>
              </w:rPr>
              <w:t>Risk disclosure prominence</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20"/>
                <w:szCs w:val="20"/>
              </w:rPr>
            </w:pPr>
            <w:r w:rsidRPr="00476FC9">
              <w:rPr>
                <w:color w:val="000000" w:themeColor="text1"/>
                <w:sz w:val="20"/>
                <w:szCs w:val="20"/>
              </w:rPr>
              <w:t xml:space="preserve">DTCA </w:t>
            </w:r>
            <w:r w:rsidR="00BC1CBF" w:rsidRPr="00476FC9">
              <w:rPr>
                <w:color w:val="000000" w:themeColor="text1"/>
                <w:sz w:val="20"/>
                <w:szCs w:val="20"/>
              </w:rPr>
              <w:t>regulatory</w:t>
            </w:r>
            <w:r w:rsidRPr="00476FC9">
              <w:rPr>
                <w:color w:val="000000" w:themeColor="text1"/>
                <w:sz w:val="20"/>
                <w:szCs w:val="20"/>
              </w:rPr>
              <w:t xml:space="preserve"> knowledge</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Step 4</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18"/>
                <w:szCs w:val="18"/>
              </w:rPr>
            </w:pPr>
            <w:r w:rsidRPr="00476FC9">
              <w:rPr>
                <w:color w:val="000000" w:themeColor="text1"/>
                <w:sz w:val="18"/>
                <w:szCs w:val="18"/>
              </w:rPr>
              <w:t xml:space="preserve">Prominence </w:t>
            </w:r>
            <w:r w:rsidRPr="00476FC9">
              <w:rPr>
                <w:rFonts w:ascii="MTSYN" w:eastAsia="MTSYN" w:cs="MTSYN" w:hint="eastAsia"/>
                <w:bCs w:val="0"/>
                <w:color w:val="000000" w:themeColor="text1"/>
                <w:sz w:val="18"/>
                <w:szCs w:val="18"/>
              </w:rPr>
              <w:t xml:space="preserve">× </w:t>
            </w:r>
            <w:r w:rsidRPr="00476FC9">
              <w:rPr>
                <w:rFonts w:hint="eastAsia"/>
                <w:color w:val="000000" w:themeColor="text1"/>
                <w:sz w:val="18"/>
                <w:szCs w:val="18"/>
              </w:rPr>
              <w:t>DTCA knowledge</w:t>
            </w:r>
          </w:p>
        </w:tc>
        <w:tc>
          <w:tcPr>
            <w:tcW w:w="1178" w:type="dxa"/>
            <w:tcBorders>
              <w:left w:val="nil"/>
              <w:bottom w:val="single" w:sz="4" w:space="0" w:color="auto"/>
              <w:right w:val="nil"/>
            </w:tcBorders>
          </w:tcPr>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.241 (.147)</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-.009 (.005)</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.041 (.043)</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.103 (.058)</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-.102 (.098)</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.024 (.056)</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.028 (.053)</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.215 (.174)</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 xml:space="preserve">.161 (.166) </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-.011(.064)</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.166 (.244)</w:t>
            </w:r>
          </w:p>
        </w:tc>
        <w:tc>
          <w:tcPr>
            <w:tcW w:w="1080" w:type="dxa"/>
            <w:tcBorders>
              <w:left w:val="nil"/>
              <w:bottom w:val="single" w:sz="4" w:space="0" w:color="auto"/>
              <w:right w:val="nil"/>
            </w:tcBorders>
          </w:tcPr>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.064</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.032</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.009</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.002</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tc>
        <w:tc>
          <w:tcPr>
            <w:tcW w:w="990" w:type="dxa"/>
            <w:tcBorders>
              <w:left w:val="nil"/>
              <w:bottom w:val="single" w:sz="4" w:space="0" w:color="auto"/>
              <w:right w:val="nil"/>
            </w:tcBorders>
          </w:tcPr>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4.463**</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2.246</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1.203</w:t>
            </w: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.461</w:t>
            </w:r>
          </w:p>
        </w:tc>
        <w:tc>
          <w:tcPr>
            <w:tcW w:w="2520" w:type="dxa"/>
            <w:tcBorders>
              <w:left w:val="nil"/>
              <w:bottom w:val="single" w:sz="4" w:space="0" w:color="auto"/>
              <w:right w:val="nil"/>
            </w:tcBorders>
          </w:tcPr>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1.14</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1.12</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1.28</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136</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1.18</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2.09</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2.01</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1.15</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1.56</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1.56</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1.91</w:t>
            </w:r>
          </w:p>
        </w:tc>
      </w:tr>
      <w:tr w:rsidR="000F6CFF" w:rsidRPr="00476FC9" w:rsidTr="000F6CFF">
        <w:tc>
          <w:tcPr>
            <w:tcW w:w="6840" w:type="dxa"/>
            <w:gridSpan w:val="4"/>
            <w:tcBorders>
              <w:left w:val="nil"/>
              <w:bottom w:val="nil"/>
              <w:right w:val="nil"/>
            </w:tcBorders>
          </w:tcPr>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i/>
                <w:color w:val="000000" w:themeColor="text1"/>
                <w:sz w:val="20"/>
                <w:szCs w:val="20"/>
              </w:rPr>
              <w:t>Note.</w:t>
            </w:r>
            <w:r w:rsidRPr="00476FC9">
              <w:rPr>
                <w:color w:val="000000" w:themeColor="text1"/>
                <w:sz w:val="20"/>
                <w:szCs w:val="20"/>
              </w:rPr>
              <w:t xml:space="preserve"> Adjusted R</w:t>
            </w:r>
            <w:r w:rsidRPr="00476FC9">
              <w:rPr>
                <w:color w:val="000000" w:themeColor="text1"/>
                <w:sz w:val="20"/>
                <w:szCs w:val="20"/>
                <w:vertAlign w:val="superscript"/>
              </w:rPr>
              <w:t xml:space="preserve">2 </w:t>
            </w:r>
            <w:r w:rsidRPr="00476FC9">
              <w:rPr>
                <w:color w:val="000000" w:themeColor="text1"/>
                <w:sz w:val="20"/>
                <w:szCs w:val="20"/>
              </w:rPr>
              <w:t>= .067, **</w:t>
            </w:r>
            <w:r w:rsidRPr="00476FC9">
              <w:rPr>
                <w:i/>
                <w:color w:val="000000" w:themeColor="text1"/>
                <w:sz w:val="20"/>
                <w:szCs w:val="20"/>
              </w:rPr>
              <w:t xml:space="preserve">p </w:t>
            </w:r>
            <w:r w:rsidRPr="00476FC9">
              <w:rPr>
                <w:color w:val="000000" w:themeColor="text1"/>
                <w:sz w:val="20"/>
                <w:szCs w:val="20"/>
              </w:rPr>
              <w:t>&lt; .01</w:t>
            </w:r>
          </w:p>
        </w:tc>
        <w:tc>
          <w:tcPr>
            <w:tcW w:w="2520" w:type="dxa"/>
            <w:tcBorders>
              <w:left w:val="nil"/>
              <w:bottom w:val="nil"/>
              <w:right w:val="nil"/>
            </w:tcBorders>
          </w:tcPr>
          <w:p w:rsidR="000F6CFF" w:rsidRPr="00476FC9" w:rsidRDefault="000F6CFF" w:rsidP="007D2ACE">
            <w:pPr>
              <w:keepNext w:val="0"/>
              <w:widowControl w:val="0"/>
              <w:kinsoku w:val="0"/>
              <w:overflowPunct w:val="0"/>
              <w:autoSpaceDE w:val="0"/>
              <w:autoSpaceDN w:val="0"/>
              <w:adjustRightInd w:val="0"/>
              <w:snapToGrid w:val="0"/>
              <w:spacing w:before="0" w:after="0" w:line="240" w:lineRule="auto"/>
              <w:outlineLvl w:val="9"/>
              <w:rPr>
                <w:i/>
                <w:color w:val="000000" w:themeColor="text1"/>
                <w:sz w:val="20"/>
                <w:szCs w:val="20"/>
              </w:rPr>
            </w:pPr>
          </w:p>
        </w:tc>
      </w:tr>
    </w:tbl>
    <w:p w:rsidR="000F6CFF" w:rsidRPr="00476FC9" w:rsidRDefault="000F6CFF" w:rsidP="007D2ACE">
      <w:pPr>
        <w:keepNext w:val="0"/>
        <w:widowControl w:val="0"/>
        <w:kinsoku w:val="0"/>
        <w:overflowPunct w:val="0"/>
        <w:autoSpaceDE w:val="0"/>
        <w:autoSpaceDN w:val="0"/>
        <w:adjustRightInd w:val="0"/>
        <w:snapToGrid w:val="0"/>
        <w:spacing w:before="0" w:after="0"/>
        <w:ind w:firstLine="720"/>
        <w:rPr>
          <w:color w:val="000000" w:themeColor="text1"/>
        </w:rPr>
      </w:pPr>
    </w:p>
    <w:p w:rsidR="00C75A23" w:rsidRPr="00476FC9" w:rsidRDefault="00C75A23"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The same procedure was used to examine the prominence main effects on recognition. To control potential correlates, gender, age, education, and household income were entered as general demographic control variables at Step 1. Then, the correlates of consumer response to the DTC ad identified in the literature were submitted at Step 2, including overall health status, perceived familiarity, perceived importance, prior experience. At Step 3, prominence and DTCA regulatory knowledge were entered. Finally, the prominence </w:t>
      </w:r>
      <w:r w:rsidRPr="00476FC9">
        <w:rPr>
          <w:rFonts w:ascii="MTSYN" w:eastAsia="MTSYN" w:cs="MTSYN" w:hint="eastAsia"/>
          <w:bCs w:val="0"/>
          <w:color w:val="000000" w:themeColor="text1"/>
          <w:sz w:val="20"/>
          <w:szCs w:val="20"/>
        </w:rPr>
        <w:t xml:space="preserve">× </w:t>
      </w:r>
      <w:r w:rsidRPr="00476FC9">
        <w:rPr>
          <w:rFonts w:hint="eastAsia"/>
          <w:color w:val="000000" w:themeColor="text1"/>
        </w:rPr>
        <w:t xml:space="preserve">DTCA </w:t>
      </w:r>
      <w:r w:rsidRPr="00476FC9">
        <w:rPr>
          <w:color w:val="000000" w:themeColor="text1"/>
        </w:rPr>
        <w:t xml:space="preserve">regulatory </w:t>
      </w:r>
      <w:r w:rsidRPr="00476FC9">
        <w:rPr>
          <w:rFonts w:hint="eastAsia"/>
          <w:color w:val="000000" w:themeColor="text1"/>
        </w:rPr>
        <w:t>knowledge</w:t>
      </w:r>
      <w:r w:rsidRPr="00476FC9">
        <w:rPr>
          <w:color w:val="000000" w:themeColor="text1"/>
        </w:rPr>
        <w:t xml:space="preserve"> interaction was entered at Step 4. List-wise deletions accounted for missing values.</w:t>
      </w:r>
    </w:p>
    <w:p w:rsidR="00C13CE8" w:rsidRPr="00476FC9" w:rsidRDefault="00C111B8"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Table </w:t>
      </w:r>
      <w:r w:rsidR="00AF1F07" w:rsidRPr="00476FC9">
        <w:rPr>
          <w:color w:val="000000" w:themeColor="text1"/>
        </w:rPr>
        <w:t>11</w:t>
      </w:r>
      <w:r w:rsidRPr="00476FC9">
        <w:rPr>
          <w:color w:val="000000" w:themeColor="text1"/>
        </w:rPr>
        <w:t xml:space="preserve"> summarizes the results of the regression on the extent of risk information </w:t>
      </w:r>
      <w:r w:rsidR="00A2350B" w:rsidRPr="00476FC9">
        <w:rPr>
          <w:color w:val="000000" w:themeColor="text1"/>
        </w:rPr>
        <w:lastRenderedPageBreak/>
        <w:t>recognition</w:t>
      </w:r>
      <w:r w:rsidRPr="00476FC9">
        <w:rPr>
          <w:color w:val="000000" w:themeColor="text1"/>
        </w:rPr>
        <w:t>. The results showed that risk disclosure prominence ha</w:t>
      </w:r>
      <w:r w:rsidR="00A2350B" w:rsidRPr="00476FC9">
        <w:rPr>
          <w:color w:val="000000" w:themeColor="text1"/>
        </w:rPr>
        <w:t>d</w:t>
      </w:r>
      <w:r w:rsidRPr="00476FC9">
        <w:rPr>
          <w:color w:val="000000" w:themeColor="text1"/>
        </w:rPr>
        <w:t xml:space="preserve"> significant effects on risk disclosure </w:t>
      </w:r>
      <w:r w:rsidR="00A2350B" w:rsidRPr="00476FC9">
        <w:rPr>
          <w:color w:val="000000" w:themeColor="text1"/>
        </w:rPr>
        <w:t>recognition</w:t>
      </w:r>
      <w:r w:rsidRPr="00476FC9">
        <w:rPr>
          <w:color w:val="000000" w:themeColor="text1"/>
        </w:rPr>
        <w:t xml:space="preserve"> (</w:t>
      </w:r>
      <w:r w:rsidRPr="00476FC9">
        <w:rPr>
          <w:i/>
          <w:color w:val="000000" w:themeColor="text1"/>
        </w:rPr>
        <w:t>b</w:t>
      </w:r>
      <w:r w:rsidRPr="00476FC9">
        <w:rPr>
          <w:color w:val="000000" w:themeColor="text1"/>
        </w:rPr>
        <w:t xml:space="preserve"> = </w:t>
      </w:r>
      <w:r w:rsidR="00A2350B" w:rsidRPr="00476FC9">
        <w:rPr>
          <w:color w:val="000000" w:themeColor="text1"/>
        </w:rPr>
        <w:t>1.374</w:t>
      </w:r>
      <w:r w:rsidRPr="00476FC9">
        <w:rPr>
          <w:color w:val="000000" w:themeColor="text1"/>
        </w:rPr>
        <w:t xml:space="preserve">, </w:t>
      </w:r>
      <w:r w:rsidRPr="00476FC9">
        <w:rPr>
          <w:i/>
          <w:color w:val="000000" w:themeColor="text1"/>
        </w:rPr>
        <w:t>SE</w:t>
      </w:r>
      <w:r w:rsidRPr="00476FC9">
        <w:rPr>
          <w:color w:val="000000" w:themeColor="text1"/>
        </w:rPr>
        <w:t xml:space="preserve"> = .</w:t>
      </w:r>
      <w:r w:rsidR="00A2350B" w:rsidRPr="00476FC9">
        <w:rPr>
          <w:color w:val="000000" w:themeColor="text1"/>
        </w:rPr>
        <w:t>432</w:t>
      </w:r>
      <w:r w:rsidRPr="00476FC9">
        <w:rPr>
          <w:color w:val="000000" w:themeColor="text1"/>
        </w:rPr>
        <w:t xml:space="preserve">, </w:t>
      </w:r>
      <w:r w:rsidRPr="00476FC9">
        <w:rPr>
          <w:i/>
          <w:color w:val="000000" w:themeColor="text1"/>
        </w:rPr>
        <w:t>p</w:t>
      </w:r>
      <w:r w:rsidR="00A2350B" w:rsidRPr="00476FC9">
        <w:rPr>
          <w:i/>
          <w:color w:val="000000" w:themeColor="text1"/>
        </w:rPr>
        <w:t xml:space="preserve"> &lt;</w:t>
      </w:r>
      <w:r w:rsidRPr="00476FC9">
        <w:rPr>
          <w:color w:val="000000" w:themeColor="text1"/>
        </w:rPr>
        <w:t xml:space="preserve"> .0</w:t>
      </w:r>
      <w:r w:rsidR="00A2350B" w:rsidRPr="00476FC9">
        <w:rPr>
          <w:color w:val="000000" w:themeColor="text1"/>
        </w:rPr>
        <w:t>1, supporting H3</w:t>
      </w:r>
      <w:r w:rsidRPr="00476FC9">
        <w:rPr>
          <w:color w:val="000000" w:themeColor="text1"/>
        </w:rPr>
        <w:t>.</w:t>
      </w:r>
      <w:r w:rsidR="004C2F59" w:rsidRPr="00476FC9">
        <w:rPr>
          <w:color w:val="000000" w:themeColor="text1"/>
        </w:rPr>
        <w:t xml:space="preserve"> In the same token, DTCA </w:t>
      </w:r>
      <w:r w:rsidR="00BC1CBF" w:rsidRPr="00476FC9">
        <w:rPr>
          <w:color w:val="000000" w:themeColor="text1"/>
        </w:rPr>
        <w:t xml:space="preserve">regulatory </w:t>
      </w:r>
      <w:r w:rsidR="004C2F59" w:rsidRPr="00476FC9">
        <w:rPr>
          <w:color w:val="000000" w:themeColor="text1"/>
        </w:rPr>
        <w:t>knowledge had significant effects on risk disclosure recognition, supporting H</w:t>
      </w:r>
      <w:r w:rsidR="00CE2404" w:rsidRPr="00476FC9">
        <w:rPr>
          <w:color w:val="000000" w:themeColor="text1"/>
        </w:rPr>
        <w:t>6</w:t>
      </w:r>
      <w:r w:rsidR="004C2F59" w:rsidRPr="00476FC9">
        <w:rPr>
          <w:color w:val="000000" w:themeColor="text1"/>
        </w:rPr>
        <w:t>.</w:t>
      </w:r>
    </w:p>
    <w:p w:rsidR="000F6CFF" w:rsidRPr="00476FC9" w:rsidRDefault="000F6CFF" w:rsidP="007D2ACE">
      <w:pPr>
        <w:keepNext w:val="0"/>
        <w:widowControl w:val="0"/>
        <w:kinsoku w:val="0"/>
        <w:overflowPunct w:val="0"/>
        <w:autoSpaceDE w:val="0"/>
        <w:autoSpaceDN w:val="0"/>
        <w:adjustRightInd w:val="0"/>
        <w:snapToGrid w:val="0"/>
        <w:spacing w:before="0" w:after="0"/>
        <w:ind w:firstLine="720"/>
        <w:rPr>
          <w:color w:val="000000" w:themeColor="text1"/>
        </w:rPr>
      </w:pPr>
    </w:p>
    <w:p w:rsidR="00E327B7" w:rsidRPr="00476FC9" w:rsidRDefault="00C77B30" w:rsidP="007D2ACE">
      <w:pPr>
        <w:pStyle w:val="Caption"/>
        <w:keepNext w:val="0"/>
        <w:widowControl w:val="0"/>
        <w:kinsoku w:val="0"/>
        <w:overflowPunct w:val="0"/>
        <w:autoSpaceDE w:val="0"/>
        <w:autoSpaceDN w:val="0"/>
        <w:adjustRightInd w:val="0"/>
        <w:snapToGrid w:val="0"/>
        <w:rPr>
          <w:color w:val="000000" w:themeColor="text1"/>
        </w:rPr>
      </w:pPr>
      <w:bookmarkStart w:id="53" w:name="_Toc393800643"/>
      <w:r w:rsidRPr="00476FC9">
        <w:rPr>
          <w:color w:val="000000" w:themeColor="text1"/>
        </w:rPr>
        <w:t xml:space="preserve">Table </w:t>
      </w:r>
      <w:r w:rsidR="00037CF4" w:rsidRPr="00476FC9">
        <w:rPr>
          <w:color w:val="000000" w:themeColor="text1"/>
        </w:rPr>
        <w:fldChar w:fldCharType="begin"/>
      </w:r>
      <w:r w:rsidR="00037CF4" w:rsidRPr="00476FC9">
        <w:rPr>
          <w:color w:val="000000" w:themeColor="text1"/>
        </w:rPr>
        <w:instrText xml:space="preserve"> SEQ Table \* ARABIC </w:instrText>
      </w:r>
      <w:r w:rsidR="00037CF4" w:rsidRPr="00476FC9">
        <w:rPr>
          <w:color w:val="000000" w:themeColor="text1"/>
        </w:rPr>
        <w:fldChar w:fldCharType="separate"/>
      </w:r>
      <w:r w:rsidR="00E02362" w:rsidRPr="00476FC9">
        <w:rPr>
          <w:noProof/>
          <w:color w:val="000000" w:themeColor="text1"/>
        </w:rPr>
        <w:t>11</w:t>
      </w:r>
      <w:r w:rsidR="00037CF4" w:rsidRPr="00476FC9">
        <w:rPr>
          <w:noProof/>
          <w:color w:val="000000" w:themeColor="text1"/>
        </w:rPr>
        <w:fldChar w:fldCharType="end"/>
      </w:r>
      <w:r w:rsidR="00C111B8" w:rsidRPr="00476FC9">
        <w:rPr>
          <w:color w:val="000000" w:themeColor="text1"/>
        </w:rPr>
        <w:t>. Moderated Hierarchical Regression on Recognition</w:t>
      </w:r>
      <w:r w:rsidR="00B3214A" w:rsidRPr="00476FC9">
        <w:rPr>
          <w:color w:val="000000" w:themeColor="text1"/>
        </w:rPr>
        <w:t xml:space="preserve"> (</w:t>
      </w:r>
      <w:r w:rsidR="00AA51F5" w:rsidRPr="00476FC9">
        <w:rPr>
          <w:i/>
          <w:color w:val="000000" w:themeColor="text1"/>
        </w:rPr>
        <w:t>N</w:t>
      </w:r>
      <w:r w:rsidR="00AA51F5" w:rsidRPr="00476FC9">
        <w:rPr>
          <w:color w:val="000000" w:themeColor="text1"/>
        </w:rPr>
        <w:t xml:space="preserve"> </w:t>
      </w:r>
      <w:r w:rsidR="00B3214A" w:rsidRPr="00476FC9">
        <w:rPr>
          <w:color w:val="000000" w:themeColor="text1"/>
        </w:rPr>
        <w:t>= 264)</w:t>
      </w:r>
      <w:bookmarkEnd w:id="53"/>
    </w:p>
    <w:tbl>
      <w:tblPr>
        <w:tblStyle w:val="TableGrid"/>
        <w:tblW w:w="0" w:type="auto"/>
        <w:tblLook w:val="04A0" w:firstRow="1" w:lastRow="0" w:firstColumn="1" w:lastColumn="0" w:noHBand="0" w:noVBand="1"/>
      </w:tblPr>
      <w:tblGrid>
        <w:gridCol w:w="3613"/>
        <w:gridCol w:w="1427"/>
        <w:gridCol w:w="900"/>
        <w:gridCol w:w="990"/>
        <w:gridCol w:w="2430"/>
      </w:tblGrid>
      <w:tr w:rsidR="00476FC9" w:rsidRPr="00476FC9" w:rsidTr="00A2660F">
        <w:tc>
          <w:tcPr>
            <w:tcW w:w="3613" w:type="dxa"/>
            <w:tcBorders>
              <w:left w:val="nil"/>
              <w:bottom w:val="nil"/>
              <w:right w:val="nil"/>
            </w:tcBorders>
            <w:vAlign w:val="bottom"/>
          </w:tcPr>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i/>
                <w:color w:val="000000" w:themeColor="text1"/>
                <w:sz w:val="20"/>
                <w:szCs w:val="20"/>
              </w:rPr>
            </w:pPr>
          </w:p>
        </w:tc>
        <w:tc>
          <w:tcPr>
            <w:tcW w:w="5747" w:type="dxa"/>
            <w:gridSpan w:val="4"/>
            <w:tcBorders>
              <w:left w:val="nil"/>
              <w:bottom w:val="single" w:sz="4" w:space="0" w:color="auto"/>
              <w:right w:val="nil"/>
            </w:tcBorders>
          </w:tcPr>
          <w:p w:rsidR="00147B15" w:rsidRPr="00476FC9" w:rsidRDefault="00147B15" w:rsidP="007D2ACE">
            <w:pPr>
              <w:keepNext w:val="0"/>
              <w:widowControl w:val="0"/>
              <w:kinsoku w:val="0"/>
              <w:overflowPunct w:val="0"/>
              <w:autoSpaceDE w:val="0"/>
              <w:autoSpaceDN w:val="0"/>
              <w:adjustRightInd w:val="0"/>
              <w:snapToGrid w:val="0"/>
              <w:spacing w:before="0" w:after="0" w:line="240" w:lineRule="auto"/>
              <w:jc w:val="center"/>
              <w:outlineLvl w:val="9"/>
              <w:rPr>
                <w:i/>
                <w:color w:val="000000" w:themeColor="text1"/>
                <w:sz w:val="20"/>
                <w:szCs w:val="20"/>
              </w:rPr>
            </w:pPr>
            <w:r w:rsidRPr="00476FC9">
              <w:rPr>
                <w:i/>
                <w:color w:val="000000" w:themeColor="text1"/>
                <w:sz w:val="20"/>
                <w:szCs w:val="20"/>
              </w:rPr>
              <w:t>Statistics</w:t>
            </w:r>
          </w:p>
        </w:tc>
      </w:tr>
      <w:tr w:rsidR="00476FC9" w:rsidRPr="00476FC9" w:rsidTr="0055194D">
        <w:tc>
          <w:tcPr>
            <w:tcW w:w="3613" w:type="dxa"/>
            <w:tcBorders>
              <w:top w:val="nil"/>
              <w:left w:val="nil"/>
              <w:right w:val="nil"/>
            </w:tcBorders>
          </w:tcPr>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i/>
                <w:color w:val="000000" w:themeColor="text1"/>
                <w:sz w:val="20"/>
                <w:szCs w:val="20"/>
              </w:rPr>
              <w:t>Predictors</w:t>
            </w:r>
          </w:p>
        </w:tc>
        <w:tc>
          <w:tcPr>
            <w:tcW w:w="1427" w:type="dxa"/>
            <w:tcBorders>
              <w:left w:val="nil"/>
              <w:bottom w:val="single" w:sz="4" w:space="0" w:color="auto"/>
              <w:right w:val="nil"/>
            </w:tcBorders>
          </w:tcPr>
          <w:p w:rsidR="00147B15" w:rsidRPr="00476FC9" w:rsidRDefault="006D3DA6" w:rsidP="007D2ACE">
            <w:pPr>
              <w:keepNext w:val="0"/>
              <w:widowControl w:val="0"/>
              <w:kinsoku w:val="0"/>
              <w:overflowPunct w:val="0"/>
              <w:autoSpaceDE w:val="0"/>
              <w:autoSpaceDN w:val="0"/>
              <w:adjustRightInd w:val="0"/>
              <w:snapToGrid w:val="0"/>
              <w:spacing w:before="0" w:after="0" w:line="240" w:lineRule="auto"/>
              <w:jc w:val="center"/>
              <w:outlineLvl w:val="9"/>
              <w:rPr>
                <w:b/>
                <w:color w:val="000000" w:themeColor="text1"/>
                <w:sz w:val="16"/>
                <w:szCs w:val="16"/>
              </w:rPr>
            </w:pPr>
            <w:r w:rsidRPr="00476FC9">
              <w:rPr>
                <w:rFonts w:ascii="바탕" w:eastAsia="바탕" w:hAnsi="바탕" w:cs="RMTMI" w:hint="eastAsia"/>
                <w:b/>
                <w:bCs w:val="0"/>
                <w:i/>
                <w:iCs/>
                <w:color w:val="000000" w:themeColor="text1"/>
                <w:sz w:val="16"/>
                <w:szCs w:val="16"/>
              </w:rPr>
              <w:t>b</w:t>
            </w:r>
            <w:r w:rsidR="00147B15" w:rsidRPr="00476FC9">
              <w:rPr>
                <w:rFonts w:ascii="바탕" w:eastAsia="바탕" w:hAnsi="바탕" w:cs="RMTMI" w:hint="eastAsia"/>
                <w:b/>
                <w:bCs w:val="0"/>
                <w:i/>
                <w:iCs/>
                <w:color w:val="000000" w:themeColor="text1"/>
                <w:sz w:val="16"/>
                <w:szCs w:val="16"/>
              </w:rPr>
              <w:t xml:space="preserve"> (SE)</w:t>
            </w:r>
          </w:p>
        </w:tc>
        <w:tc>
          <w:tcPr>
            <w:tcW w:w="900" w:type="dxa"/>
            <w:tcBorders>
              <w:left w:val="nil"/>
              <w:bottom w:val="single" w:sz="4" w:space="0" w:color="auto"/>
              <w:right w:val="nil"/>
            </w:tcBorders>
          </w:tcPr>
          <w:p w:rsidR="00147B15" w:rsidRPr="00476FC9" w:rsidRDefault="00147B15" w:rsidP="007D2ACE">
            <w:pPr>
              <w:keepNext w:val="0"/>
              <w:widowControl w:val="0"/>
              <w:kinsoku w:val="0"/>
              <w:overflowPunct w:val="0"/>
              <w:autoSpaceDE w:val="0"/>
              <w:autoSpaceDN w:val="0"/>
              <w:adjustRightInd w:val="0"/>
              <w:snapToGrid w:val="0"/>
              <w:spacing w:before="0" w:after="0" w:line="240" w:lineRule="auto"/>
              <w:jc w:val="center"/>
              <w:outlineLvl w:val="9"/>
              <w:rPr>
                <w:i/>
                <w:color w:val="000000" w:themeColor="text1"/>
                <w:sz w:val="16"/>
                <w:szCs w:val="16"/>
              </w:rPr>
            </w:pPr>
            <w:r w:rsidRPr="00476FC9">
              <w:rPr>
                <w:i/>
                <w:color w:val="000000" w:themeColor="text1"/>
                <w:sz w:val="16"/>
                <w:szCs w:val="16"/>
              </w:rPr>
              <w:t>Block ∆R</w:t>
            </w:r>
            <w:r w:rsidRPr="00476FC9">
              <w:rPr>
                <w:i/>
                <w:color w:val="000000" w:themeColor="text1"/>
                <w:sz w:val="16"/>
                <w:szCs w:val="16"/>
                <w:vertAlign w:val="superscript"/>
              </w:rPr>
              <w:t>2</w:t>
            </w:r>
          </w:p>
        </w:tc>
        <w:tc>
          <w:tcPr>
            <w:tcW w:w="990" w:type="dxa"/>
            <w:tcBorders>
              <w:left w:val="nil"/>
              <w:bottom w:val="single" w:sz="4" w:space="0" w:color="auto"/>
              <w:right w:val="nil"/>
            </w:tcBorders>
          </w:tcPr>
          <w:p w:rsidR="00147B15" w:rsidRPr="00476FC9" w:rsidRDefault="00147B15" w:rsidP="007D2ACE">
            <w:pPr>
              <w:keepNext w:val="0"/>
              <w:widowControl w:val="0"/>
              <w:kinsoku w:val="0"/>
              <w:overflowPunct w:val="0"/>
              <w:autoSpaceDE w:val="0"/>
              <w:autoSpaceDN w:val="0"/>
              <w:adjustRightInd w:val="0"/>
              <w:snapToGrid w:val="0"/>
              <w:spacing w:before="0" w:after="0" w:line="240" w:lineRule="auto"/>
              <w:jc w:val="center"/>
              <w:outlineLvl w:val="9"/>
              <w:rPr>
                <w:i/>
                <w:color w:val="000000" w:themeColor="text1"/>
                <w:sz w:val="16"/>
                <w:szCs w:val="16"/>
              </w:rPr>
            </w:pPr>
            <w:r w:rsidRPr="00476FC9">
              <w:rPr>
                <w:i/>
                <w:color w:val="000000" w:themeColor="text1"/>
                <w:sz w:val="16"/>
                <w:szCs w:val="16"/>
              </w:rPr>
              <w:t>Block ∆F</w:t>
            </w:r>
          </w:p>
        </w:tc>
        <w:tc>
          <w:tcPr>
            <w:tcW w:w="2430" w:type="dxa"/>
            <w:tcBorders>
              <w:left w:val="nil"/>
              <w:bottom w:val="single" w:sz="4" w:space="0" w:color="auto"/>
              <w:right w:val="nil"/>
            </w:tcBorders>
          </w:tcPr>
          <w:p w:rsidR="00147B15" w:rsidRPr="00476FC9" w:rsidRDefault="00147B15" w:rsidP="007D2ACE">
            <w:pPr>
              <w:keepNext w:val="0"/>
              <w:widowControl w:val="0"/>
              <w:kinsoku w:val="0"/>
              <w:overflowPunct w:val="0"/>
              <w:autoSpaceDE w:val="0"/>
              <w:autoSpaceDN w:val="0"/>
              <w:adjustRightInd w:val="0"/>
              <w:snapToGrid w:val="0"/>
              <w:spacing w:before="0" w:after="0" w:line="240" w:lineRule="auto"/>
              <w:jc w:val="center"/>
              <w:outlineLvl w:val="9"/>
              <w:rPr>
                <w:i/>
                <w:color w:val="000000" w:themeColor="text1"/>
                <w:sz w:val="16"/>
                <w:szCs w:val="16"/>
              </w:rPr>
            </w:pPr>
            <w:r w:rsidRPr="00476FC9">
              <w:rPr>
                <w:i/>
                <w:color w:val="000000" w:themeColor="text1"/>
                <w:sz w:val="16"/>
                <w:szCs w:val="16"/>
              </w:rPr>
              <w:t>Variance Inflation Factor (VIF)</w:t>
            </w:r>
          </w:p>
        </w:tc>
      </w:tr>
      <w:tr w:rsidR="00476FC9" w:rsidRPr="00476FC9" w:rsidTr="0055194D">
        <w:tc>
          <w:tcPr>
            <w:tcW w:w="3613" w:type="dxa"/>
            <w:tcBorders>
              <w:left w:val="nil"/>
              <w:bottom w:val="single" w:sz="4" w:space="0" w:color="auto"/>
              <w:right w:val="nil"/>
            </w:tcBorders>
          </w:tcPr>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Step 1</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20"/>
                <w:szCs w:val="20"/>
              </w:rPr>
            </w:pPr>
            <w:r w:rsidRPr="00476FC9">
              <w:rPr>
                <w:color w:val="000000" w:themeColor="text1"/>
                <w:sz w:val="20"/>
                <w:szCs w:val="20"/>
              </w:rPr>
              <w:t>Gender</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20"/>
                <w:szCs w:val="20"/>
              </w:rPr>
            </w:pPr>
            <w:r w:rsidRPr="00476FC9">
              <w:rPr>
                <w:color w:val="000000" w:themeColor="text1"/>
                <w:sz w:val="20"/>
                <w:szCs w:val="20"/>
              </w:rPr>
              <w:t>Age</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20"/>
                <w:szCs w:val="20"/>
              </w:rPr>
            </w:pPr>
            <w:r w:rsidRPr="00476FC9">
              <w:rPr>
                <w:color w:val="000000" w:themeColor="text1"/>
                <w:sz w:val="20"/>
                <w:szCs w:val="20"/>
              </w:rPr>
              <w:t>Education</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20"/>
                <w:szCs w:val="20"/>
              </w:rPr>
            </w:pPr>
            <w:r w:rsidRPr="00476FC9">
              <w:rPr>
                <w:color w:val="000000" w:themeColor="text1"/>
                <w:sz w:val="20"/>
                <w:szCs w:val="20"/>
              </w:rPr>
              <w:t>Annual household income</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Step 2</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20"/>
                <w:szCs w:val="20"/>
              </w:rPr>
            </w:pPr>
            <w:r w:rsidRPr="00476FC9">
              <w:rPr>
                <w:color w:val="000000" w:themeColor="text1"/>
                <w:sz w:val="20"/>
                <w:szCs w:val="20"/>
              </w:rPr>
              <w:t>Overall health</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20"/>
                <w:szCs w:val="20"/>
              </w:rPr>
            </w:pPr>
            <w:r w:rsidRPr="00476FC9">
              <w:rPr>
                <w:color w:val="000000" w:themeColor="text1"/>
                <w:sz w:val="20"/>
                <w:szCs w:val="20"/>
              </w:rPr>
              <w:t>Perceived familiarity</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20"/>
                <w:szCs w:val="20"/>
              </w:rPr>
            </w:pPr>
            <w:r w:rsidRPr="00476FC9">
              <w:rPr>
                <w:color w:val="000000" w:themeColor="text1"/>
                <w:sz w:val="20"/>
                <w:szCs w:val="20"/>
              </w:rPr>
              <w:t>Perceived importance</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20"/>
                <w:szCs w:val="20"/>
              </w:rPr>
            </w:pPr>
            <w:r w:rsidRPr="00476FC9">
              <w:rPr>
                <w:color w:val="000000" w:themeColor="text1"/>
                <w:sz w:val="20"/>
                <w:szCs w:val="20"/>
              </w:rPr>
              <w:t>Personal experience</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Step 3</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20"/>
                <w:szCs w:val="20"/>
              </w:rPr>
            </w:pPr>
            <w:r w:rsidRPr="00476FC9">
              <w:rPr>
                <w:color w:val="000000" w:themeColor="text1"/>
                <w:sz w:val="20"/>
                <w:szCs w:val="20"/>
              </w:rPr>
              <w:t>Risk disclosure prominence</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20"/>
                <w:szCs w:val="20"/>
              </w:rPr>
            </w:pPr>
            <w:r w:rsidRPr="00476FC9">
              <w:rPr>
                <w:color w:val="000000" w:themeColor="text1"/>
                <w:sz w:val="20"/>
                <w:szCs w:val="20"/>
              </w:rPr>
              <w:t xml:space="preserve">DTCA </w:t>
            </w:r>
            <w:r w:rsidR="00BC1CBF" w:rsidRPr="00476FC9">
              <w:rPr>
                <w:color w:val="000000" w:themeColor="text1"/>
                <w:sz w:val="20"/>
                <w:szCs w:val="20"/>
              </w:rPr>
              <w:t>regualtory</w:t>
            </w:r>
            <w:r w:rsidRPr="00476FC9">
              <w:rPr>
                <w:color w:val="000000" w:themeColor="text1"/>
                <w:sz w:val="20"/>
                <w:szCs w:val="20"/>
              </w:rPr>
              <w:t xml:space="preserve"> knowledge</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Step 4</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ind w:left="697"/>
              <w:outlineLvl w:val="9"/>
              <w:rPr>
                <w:color w:val="000000" w:themeColor="text1"/>
                <w:sz w:val="18"/>
                <w:szCs w:val="18"/>
              </w:rPr>
            </w:pPr>
            <w:r w:rsidRPr="00476FC9">
              <w:rPr>
                <w:color w:val="000000" w:themeColor="text1"/>
                <w:sz w:val="18"/>
                <w:szCs w:val="18"/>
              </w:rPr>
              <w:t xml:space="preserve">Prominence </w:t>
            </w:r>
            <w:r w:rsidRPr="00476FC9">
              <w:rPr>
                <w:rFonts w:ascii="MTSYN" w:eastAsia="MTSYN" w:cs="MTSYN" w:hint="eastAsia"/>
                <w:bCs w:val="0"/>
                <w:color w:val="000000" w:themeColor="text1"/>
                <w:sz w:val="18"/>
                <w:szCs w:val="18"/>
              </w:rPr>
              <w:t xml:space="preserve">× </w:t>
            </w:r>
            <w:r w:rsidRPr="00476FC9">
              <w:rPr>
                <w:rFonts w:hint="eastAsia"/>
                <w:color w:val="000000" w:themeColor="text1"/>
                <w:sz w:val="18"/>
                <w:szCs w:val="18"/>
              </w:rPr>
              <w:t>DTCA knowledge</w:t>
            </w:r>
          </w:p>
        </w:tc>
        <w:tc>
          <w:tcPr>
            <w:tcW w:w="1427" w:type="dxa"/>
            <w:tcBorders>
              <w:left w:val="nil"/>
              <w:bottom w:val="single" w:sz="4" w:space="0" w:color="auto"/>
              <w:right w:val="nil"/>
            </w:tcBorders>
          </w:tcPr>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.089 (.384)</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-.008 (.013)</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-.006 (.111)</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.047 (.151)</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-.326 (.256)</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-.052 (.146)</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.114 (.138)</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.561 (.454)</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 xml:space="preserve">1.374 (.432)** </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.338 (.168)*</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-.951 (.636)</w:t>
            </w:r>
          </w:p>
        </w:tc>
        <w:tc>
          <w:tcPr>
            <w:tcW w:w="900" w:type="dxa"/>
            <w:tcBorders>
              <w:left w:val="nil"/>
              <w:bottom w:val="single" w:sz="4" w:space="0" w:color="auto"/>
              <w:right w:val="nil"/>
            </w:tcBorders>
          </w:tcPr>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.011</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.033</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.036</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.008</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tc>
        <w:tc>
          <w:tcPr>
            <w:tcW w:w="990" w:type="dxa"/>
            <w:tcBorders>
              <w:left w:val="nil"/>
              <w:bottom w:val="single" w:sz="4" w:space="0" w:color="auto"/>
              <w:right w:val="nil"/>
            </w:tcBorders>
          </w:tcPr>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.726</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2.206</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4.961**</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color w:val="000000" w:themeColor="text1"/>
                <w:sz w:val="20"/>
                <w:szCs w:val="20"/>
              </w:rPr>
              <w:t>2.235</w:t>
            </w:r>
          </w:p>
        </w:tc>
        <w:tc>
          <w:tcPr>
            <w:tcW w:w="2430" w:type="dxa"/>
            <w:tcBorders>
              <w:left w:val="nil"/>
              <w:bottom w:val="single" w:sz="4" w:space="0" w:color="auto"/>
              <w:right w:val="nil"/>
            </w:tcBorders>
          </w:tcPr>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1.14</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1.12</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1.28</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1.36</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1.18</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2.09</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2.01</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1.15</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1.56</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1.56</w:t>
            </w: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p>
          <w:p w:rsidR="00147B15" w:rsidRPr="00476FC9" w:rsidRDefault="00147B15"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 w:val="20"/>
                <w:szCs w:val="20"/>
              </w:rPr>
            </w:pPr>
            <w:r w:rsidRPr="00476FC9">
              <w:rPr>
                <w:color w:val="000000" w:themeColor="text1"/>
                <w:sz w:val="20"/>
                <w:szCs w:val="20"/>
              </w:rPr>
              <w:t>1.91</w:t>
            </w:r>
          </w:p>
        </w:tc>
      </w:tr>
      <w:tr w:rsidR="00147B15" w:rsidRPr="00476FC9" w:rsidTr="00147B15">
        <w:tc>
          <w:tcPr>
            <w:tcW w:w="6930" w:type="dxa"/>
            <w:gridSpan w:val="4"/>
            <w:tcBorders>
              <w:left w:val="nil"/>
              <w:bottom w:val="nil"/>
              <w:right w:val="nil"/>
            </w:tcBorders>
          </w:tcPr>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rPr>
            </w:pPr>
            <w:r w:rsidRPr="00476FC9">
              <w:rPr>
                <w:i/>
                <w:color w:val="000000" w:themeColor="text1"/>
                <w:sz w:val="20"/>
                <w:szCs w:val="20"/>
              </w:rPr>
              <w:t>Note.</w:t>
            </w:r>
            <w:r w:rsidRPr="00476FC9">
              <w:rPr>
                <w:color w:val="000000" w:themeColor="text1"/>
                <w:sz w:val="20"/>
                <w:szCs w:val="20"/>
              </w:rPr>
              <w:t xml:space="preserve"> Adjusted R</w:t>
            </w:r>
            <w:r w:rsidRPr="00476FC9">
              <w:rPr>
                <w:color w:val="000000" w:themeColor="text1"/>
                <w:sz w:val="20"/>
                <w:szCs w:val="20"/>
                <w:vertAlign w:val="superscript"/>
              </w:rPr>
              <w:t xml:space="preserve">2 </w:t>
            </w:r>
            <w:r w:rsidRPr="00476FC9">
              <w:rPr>
                <w:color w:val="000000" w:themeColor="text1"/>
                <w:sz w:val="20"/>
                <w:szCs w:val="20"/>
              </w:rPr>
              <w:t>= .067, **</w:t>
            </w:r>
            <w:r w:rsidRPr="00476FC9">
              <w:rPr>
                <w:i/>
                <w:color w:val="000000" w:themeColor="text1"/>
                <w:sz w:val="20"/>
                <w:szCs w:val="20"/>
              </w:rPr>
              <w:t xml:space="preserve">p </w:t>
            </w:r>
            <w:r w:rsidRPr="00476FC9">
              <w:rPr>
                <w:color w:val="000000" w:themeColor="text1"/>
                <w:sz w:val="20"/>
                <w:szCs w:val="20"/>
              </w:rPr>
              <w:t>&lt; .01</w:t>
            </w:r>
          </w:p>
        </w:tc>
        <w:tc>
          <w:tcPr>
            <w:tcW w:w="2430" w:type="dxa"/>
            <w:tcBorders>
              <w:left w:val="nil"/>
              <w:bottom w:val="nil"/>
              <w:right w:val="nil"/>
            </w:tcBorders>
          </w:tcPr>
          <w:p w:rsidR="00147B15" w:rsidRPr="00476FC9" w:rsidRDefault="00147B15" w:rsidP="007D2ACE">
            <w:pPr>
              <w:keepNext w:val="0"/>
              <w:widowControl w:val="0"/>
              <w:kinsoku w:val="0"/>
              <w:overflowPunct w:val="0"/>
              <w:autoSpaceDE w:val="0"/>
              <w:autoSpaceDN w:val="0"/>
              <w:adjustRightInd w:val="0"/>
              <w:snapToGrid w:val="0"/>
              <w:spacing w:before="0" w:after="0" w:line="240" w:lineRule="auto"/>
              <w:outlineLvl w:val="9"/>
              <w:rPr>
                <w:i/>
                <w:color w:val="000000" w:themeColor="text1"/>
                <w:sz w:val="20"/>
                <w:szCs w:val="20"/>
              </w:rPr>
            </w:pPr>
          </w:p>
        </w:tc>
      </w:tr>
    </w:tbl>
    <w:p w:rsidR="00A2350B" w:rsidRPr="00476FC9" w:rsidRDefault="00A2350B" w:rsidP="007D2ACE">
      <w:pPr>
        <w:pStyle w:val="Heading3"/>
        <w:widowControl w:val="0"/>
        <w:kinsoku w:val="0"/>
        <w:overflowPunct w:val="0"/>
        <w:autoSpaceDE w:val="0"/>
        <w:autoSpaceDN w:val="0"/>
        <w:snapToGrid w:val="0"/>
        <w:contextualSpacing w:val="0"/>
        <w:rPr>
          <w:color w:val="000000" w:themeColor="text1"/>
        </w:rPr>
      </w:pPr>
    </w:p>
    <w:p w:rsidR="00C75A23" w:rsidRPr="00476FC9" w:rsidRDefault="00C75A23" w:rsidP="007D2ACE">
      <w:pPr>
        <w:pStyle w:val="Heading3"/>
        <w:widowControl w:val="0"/>
        <w:kinsoku w:val="0"/>
        <w:overflowPunct w:val="0"/>
        <w:autoSpaceDE w:val="0"/>
        <w:autoSpaceDN w:val="0"/>
        <w:snapToGrid w:val="0"/>
        <w:contextualSpacing w:val="0"/>
        <w:rPr>
          <w:color w:val="000000" w:themeColor="text1"/>
        </w:rPr>
      </w:pPr>
      <w:bookmarkStart w:id="54" w:name="_Toc393800688"/>
      <w:r w:rsidRPr="00476FC9">
        <w:rPr>
          <w:color w:val="000000" w:themeColor="text1"/>
        </w:rPr>
        <w:t>Hypotheses 7a, 7b, and 7c: Moderating Effects of DTCA Regulatory Knowledge</w:t>
      </w:r>
      <w:bookmarkEnd w:id="54"/>
    </w:p>
    <w:p w:rsidR="00C75A23" w:rsidRPr="00476FC9" w:rsidRDefault="00C75A23"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t xml:space="preserve">As shown, in the previous sections, moderated hierarchical regressions on perceived attention (see Table 4), recall (see Table 5) and recognition (see Table 6) were performed. Among the three criterion variables, DTCA regulatory knowledge was found to positively moderate the effects of risk disclosure prominence on perceived attention. The block including the prominence </w:t>
      </w:r>
      <w:r w:rsidRPr="00476FC9">
        <w:rPr>
          <w:rFonts w:ascii="MTSYN" w:eastAsia="MTSYN" w:cs="MTSYN" w:hint="eastAsia"/>
          <w:bCs w:val="0"/>
          <w:color w:val="000000" w:themeColor="text1"/>
          <w:sz w:val="20"/>
          <w:szCs w:val="20"/>
        </w:rPr>
        <w:t xml:space="preserve">× </w:t>
      </w:r>
      <w:r w:rsidRPr="00476FC9">
        <w:rPr>
          <w:color w:val="000000" w:themeColor="text1"/>
        </w:rPr>
        <w:t>DTCA regulatory knowledge was associated with a significant increase in explained variance in perceived attention (∆</w:t>
      </w:r>
      <w:r w:rsidRPr="00476FC9">
        <w:rPr>
          <w:i/>
          <w:color w:val="000000" w:themeColor="text1"/>
        </w:rPr>
        <w:t>R</w:t>
      </w:r>
      <w:r w:rsidRPr="00476FC9">
        <w:rPr>
          <w:i/>
          <w:color w:val="000000" w:themeColor="text1"/>
          <w:vertAlign w:val="superscript"/>
        </w:rPr>
        <w:t>2</w:t>
      </w:r>
      <w:r w:rsidRPr="00476FC9">
        <w:rPr>
          <w:i/>
          <w:color w:val="000000" w:themeColor="text1"/>
        </w:rPr>
        <w:t xml:space="preserve"> </w:t>
      </w:r>
      <w:r w:rsidRPr="00476FC9">
        <w:rPr>
          <w:color w:val="000000" w:themeColor="text1"/>
        </w:rPr>
        <w:t xml:space="preserve">= .016, </w:t>
      </w:r>
      <w:r w:rsidRPr="00476FC9">
        <w:rPr>
          <w:i/>
          <w:color w:val="000000" w:themeColor="text1"/>
        </w:rPr>
        <w:t xml:space="preserve">p </w:t>
      </w:r>
      <w:r w:rsidRPr="00476FC9">
        <w:rPr>
          <w:color w:val="000000" w:themeColor="text1"/>
        </w:rPr>
        <w:t xml:space="preserve">&lt; .05), supporting H7a. However, the interaction was not significant on recall and recognition and therefore H7b and H7c were not </w:t>
      </w:r>
      <w:r w:rsidRPr="00476FC9">
        <w:rPr>
          <w:color w:val="000000" w:themeColor="text1"/>
        </w:rPr>
        <w:lastRenderedPageBreak/>
        <w:t xml:space="preserve">supported. </w:t>
      </w:r>
    </w:p>
    <w:p w:rsidR="000A2A95" w:rsidRPr="00476FC9" w:rsidRDefault="000A2A95"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Specifically, </w:t>
      </w:r>
      <w:r w:rsidR="0055194D" w:rsidRPr="00476FC9">
        <w:rPr>
          <w:color w:val="000000" w:themeColor="text1"/>
        </w:rPr>
        <w:t xml:space="preserve">according to Aiken and West (1991), </w:t>
      </w:r>
      <w:r w:rsidRPr="00476FC9">
        <w:rPr>
          <w:color w:val="000000" w:themeColor="text1"/>
        </w:rPr>
        <w:t xml:space="preserve">to assess possible prominence differences in both the intercept and slope for prediction of the extent of perceived attention, the moderated hierarchical regression was performed to predict perceived attention from prominence (dummy coded 1 = high, 0 = low), DTCA </w:t>
      </w:r>
      <w:r w:rsidR="004356C2" w:rsidRPr="00476FC9">
        <w:rPr>
          <w:color w:val="000000" w:themeColor="text1"/>
        </w:rPr>
        <w:t>regulatory</w:t>
      </w:r>
      <w:r w:rsidRPr="00476FC9">
        <w:rPr>
          <w:color w:val="000000" w:themeColor="text1"/>
        </w:rPr>
        <w:t xml:space="preserve"> knowledge, and a product term to represent a prominence-by-DTCA </w:t>
      </w:r>
      <w:r w:rsidR="00BC1CBF" w:rsidRPr="00476FC9">
        <w:rPr>
          <w:color w:val="000000" w:themeColor="text1"/>
        </w:rPr>
        <w:t xml:space="preserve">regulatory </w:t>
      </w:r>
      <w:r w:rsidRPr="00476FC9">
        <w:rPr>
          <w:color w:val="000000" w:themeColor="text1"/>
        </w:rPr>
        <w:t xml:space="preserve">knowledge interaction. The overall regression was statistically significant, and explained a fair </w:t>
      </w:r>
      <w:r w:rsidR="00E42BD2" w:rsidRPr="00476FC9">
        <w:rPr>
          <w:color w:val="000000" w:themeColor="text1"/>
        </w:rPr>
        <w:t xml:space="preserve">proportion of the variance in perceived attention, </w:t>
      </w:r>
      <w:r w:rsidR="00E42BD2" w:rsidRPr="00476FC9">
        <w:rPr>
          <w:i/>
          <w:color w:val="000000" w:themeColor="text1"/>
        </w:rPr>
        <w:t>R</w:t>
      </w:r>
      <w:r w:rsidR="00E42BD2" w:rsidRPr="00476FC9">
        <w:rPr>
          <w:color w:val="000000" w:themeColor="text1"/>
        </w:rPr>
        <w:t xml:space="preserve"> = .391, adjusted </w:t>
      </w:r>
      <w:r w:rsidR="00E42BD2" w:rsidRPr="00476FC9">
        <w:rPr>
          <w:i/>
          <w:color w:val="000000" w:themeColor="text1"/>
        </w:rPr>
        <w:t>R</w:t>
      </w:r>
      <w:r w:rsidR="00E42BD2" w:rsidRPr="00476FC9">
        <w:rPr>
          <w:i/>
          <w:color w:val="000000" w:themeColor="text1"/>
          <w:vertAlign w:val="superscript"/>
        </w:rPr>
        <w:t>2</w:t>
      </w:r>
      <w:r w:rsidR="00E42BD2" w:rsidRPr="00476FC9">
        <w:rPr>
          <w:color w:val="000000" w:themeColor="text1"/>
        </w:rPr>
        <w:t xml:space="preserve"> = .116, </w:t>
      </w:r>
      <w:r w:rsidR="00E42BD2" w:rsidRPr="00476FC9">
        <w:rPr>
          <w:i/>
          <w:color w:val="000000" w:themeColor="text1"/>
        </w:rPr>
        <w:t xml:space="preserve">F </w:t>
      </w:r>
      <w:r w:rsidR="00E42BD2" w:rsidRPr="00476FC9">
        <w:rPr>
          <w:color w:val="000000" w:themeColor="text1"/>
        </w:rPr>
        <w:t xml:space="preserve">(11, 252) = 4.143, p &lt; .001. </w:t>
      </w:r>
      <w:r w:rsidR="00CE2404" w:rsidRPr="00476FC9">
        <w:rPr>
          <w:color w:val="000000" w:themeColor="text1"/>
        </w:rPr>
        <w:t>Further, t</w:t>
      </w:r>
      <w:r w:rsidR="00E42BD2" w:rsidRPr="00476FC9">
        <w:rPr>
          <w:color w:val="000000" w:themeColor="text1"/>
        </w:rPr>
        <w:t xml:space="preserve">he interaction between prominence and DTCA knowledge was statistically significant, with </w:t>
      </w:r>
      <w:r w:rsidR="00E42BD2" w:rsidRPr="00476FC9">
        <w:rPr>
          <w:i/>
          <w:color w:val="000000" w:themeColor="text1"/>
        </w:rPr>
        <w:t>b</w:t>
      </w:r>
      <w:r w:rsidR="00E42BD2" w:rsidRPr="00476FC9">
        <w:rPr>
          <w:color w:val="000000" w:themeColor="text1"/>
        </w:rPr>
        <w:t xml:space="preserve"> = -.606, </w:t>
      </w:r>
      <w:r w:rsidR="00E42BD2" w:rsidRPr="00476FC9">
        <w:rPr>
          <w:i/>
          <w:color w:val="000000" w:themeColor="text1"/>
        </w:rPr>
        <w:t>t</w:t>
      </w:r>
      <w:r w:rsidR="00396555" w:rsidRPr="00476FC9">
        <w:rPr>
          <w:i/>
          <w:color w:val="000000" w:themeColor="text1"/>
        </w:rPr>
        <w:t xml:space="preserve"> </w:t>
      </w:r>
      <w:r w:rsidR="00E42BD2" w:rsidRPr="00476FC9">
        <w:rPr>
          <w:color w:val="000000" w:themeColor="text1"/>
        </w:rPr>
        <w:t xml:space="preserve">(252) = -2.213, </w:t>
      </w:r>
      <w:r w:rsidR="00E42BD2" w:rsidRPr="00476FC9">
        <w:rPr>
          <w:i/>
          <w:color w:val="000000" w:themeColor="text1"/>
        </w:rPr>
        <w:t>p</w:t>
      </w:r>
      <w:r w:rsidR="00E42BD2" w:rsidRPr="00476FC9">
        <w:rPr>
          <w:color w:val="000000" w:themeColor="text1"/>
        </w:rPr>
        <w:t xml:space="preserve"> &lt; .05. The regression equations to predict perceived attention from DTCA </w:t>
      </w:r>
      <w:r w:rsidR="004356C2" w:rsidRPr="00476FC9">
        <w:rPr>
          <w:color w:val="000000" w:themeColor="text1"/>
        </w:rPr>
        <w:t>regulatory</w:t>
      </w:r>
      <w:r w:rsidR="00E42BD2" w:rsidRPr="00476FC9">
        <w:rPr>
          <w:color w:val="000000" w:themeColor="text1"/>
        </w:rPr>
        <w:t xml:space="preserve"> knowledge were as follows:</w:t>
      </w:r>
    </w:p>
    <w:p w:rsidR="00E42BD2" w:rsidRPr="00476FC9" w:rsidRDefault="00E42BD2" w:rsidP="007D2ACE">
      <w:pPr>
        <w:keepNext w:val="0"/>
        <w:widowControl w:val="0"/>
        <w:kinsoku w:val="0"/>
        <w:overflowPunct w:val="0"/>
        <w:autoSpaceDE w:val="0"/>
        <w:autoSpaceDN w:val="0"/>
        <w:adjustRightInd w:val="0"/>
        <w:snapToGrid w:val="0"/>
        <w:spacing w:before="0" w:after="0" w:line="240" w:lineRule="auto"/>
        <w:ind w:left="720"/>
        <w:rPr>
          <w:color w:val="000000" w:themeColor="text1"/>
        </w:rPr>
      </w:pPr>
      <w:r w:rsidRPr="00476FC9">
        <w:rPr>
          <w:color w:val="000000" w:themeColor="text1"/>
        </w:rPr>
        <w:t xml:space="preserve">High prominence subgroup: 5.83 + .09 </w:t>
      </w:r>
      <w:r w:rsidRPr="00476FC9">
        <w:rPr>
          <w:rFonts w:ascii="MTSYN" w:eastAsia="MTSYN" w:cs="MTSYN" w:hint="eastAsia"/>
          <w:bCs w:val="0"/>
          <w:color w:val="000000" w:themeColor="text1"/>
          <w:sz w:val="20"/>
          <w:szCs w:val="20"/>
        </w:rPr>
        <w:t xml:space="preserve">× </w:t>
      </w:r>
      <w:r w:rsidRPr="00476FC9">
        <w:rPr>
          <w:rFonts w:hint="eastAsia"/>
          <w:color w:val="000000" w:themeColor="text1"/>
        </w:rPr>
        <w:t>DTCA</w:t>
      </w:r>
      <w:r w:rsidRPr="00476FC9">
        <w:rPr>
          <w:rFonts w:ascii="MTSYN" w:eastAsia="MTSYN" w:cs="MTSYN" w:hint="eastAsia"/>
          <w:bCs w:val="0"/>
          <w:color w:val="000000" w:themeColor="text1"/>
          <w:sz w:val="20"/>
          <w:szCs w:val="20"/>
        </w:rPr>
        <w:t xml:space="preserve"> </w:t>
      </w:r>
      <w:r w:rsidR="004356C2" w:rsidRPr="00476FC9">
        <w:rPr>
          <w:color w:val="000000" w:themeColor="text1"/>
        </w:rPr>
        <w:t>Regulatory</w:t>
      </w:r>
      <w:r w:rsidRPr="00476FC9">
        <w:rPr>
          <w:color w:val="000000" w:themeColor="text1"/>
        </w:rPr>
        <w:t xml:space="preserve"> Knowledge</w:t>
      </w:r>
    </w:p>
    <w:p w:rsidR="00E42BD2" w:rsidRPr="00476FC9" w:rsidRDefault="00E42BD2" w:rsidP="007D2ACE">
      <w:pPr>
        <w:keepNext w:val="0"/>
        <w:widowControl w:val="0"/>
        <w:kinsoku w:val="0"/>
        <w:overflowPunct w:val="0"/>
        <w:autoSpaceDE w:val="0"/>
        <w:autoSpaceDN w:val="0"/>
        <w:adjustRightInd w:val="0"/>
        <w:snapToGrid w:val="0"/>
        <w:spacing w:before="0" w:after="0" w:line="240" w:lineRule="auto"/>
        <w:ind w:left="720"/>
        <w:rPr>
          <w:color w:val="000000" w:themeColor="text1"/>
        </w:rPr>
      </w:pPr>
      <w:r w:rsidRPr="00476FC9">
        <w:rPr>
          <w:color w:val="000000" w:themeColor="text1"/>
        </w:rPr>
        <w:t xml:space="preserve">Low prominence subgroup: 4.85 + .33 </w:t>
      </w:r>
      <w:r w:rsidRPr="00476FC9">
        <w:rPr>
          <w:rFonts w:ascii="MTSYN" w:eastAsia="MTSYN" w:cs="MTSYN" w:hint="eastAsia"/>
          <w:bCs w:val="0"/>
          <w:color w:val="000000" w:themeColor="text1"/>
          <w:sz w:val="20"/>
          <w:szCs w:val="20"/>
        </w:rPr>
        <w:t xml:space="preserve">× </w:t>
      </w:r>
      <w:r w:rsidRPr="00476FC9">
        <w:rPr>
          <w:rFonts w:hint="eastAsia"/>
          <w:color w:val="000000" w:themeColor="text1"/>
        </w:rPr>
        <w:t>DTCA</w:t>
      </w:r>
      <w:r w:rsidRPr="00476FC9">
        <w:rPr>
          <w:rFonts w:ascii="MTSYN" w:eastAsia="MTSYN" w:cs="MTSYN" w:hint="eastAsia"/>
          <w:bCs w:val="0"/>
          <w:color w:val="000000" w:themeColor="text1"/>
          <w:sz w:val="20"/>
          <w:szCs w:val="20"/>
        </w:rPr>
        <w:t xml:space="preserve"> </w:t>
      </w:r>
      <w:r w:rsidR="004356C2" w:rsidRPr="00476FC9">
        <w:rPr>
          <w:color w:val="000000" w:themeColor="text1"/>
        </w:rPr>
        <w:t>Regulatory</w:t>
      </w:r>
      <w:r w:rsidRPr="00476FC9">
        <w:rPr>
          <w:color w:val="000000" w:themeColor="text1"/>
        </w:rPr>
        <w:t xml:space="preserve"> Knowledge</w:t>
      </w:r>
    </w:p>
    <w:p w:rsidR="00E42BD2" w:rsidRPr="00476FC9" w:rsidRDefault="00E42BD2" w:rsidP="007D2ACE">
      <w:pPr>
        <w:keepNext w:val="0"/>
        <w:widowControl w:val="0"/>
        <w:kinsoku w:val="0"/>
        <w:overflowPunct w:val="0"/>
        <w:autoSpaceDE w:val="0"/>
        <w:autoSpaceDN w:val="0"/>
        <w:adjustRightInd w:val="0"/>
        <w:snapToGrid w:val="0"/>
        <w:spacing w:before="0" w:after="0" w:line="240" w:lineRule="auto"/>
        <w:rPr>
          <w:color w:val="000000" w:themeColor="text1"/>
        </w:rPr>
      </w:pPr>
    </w:p>
    <w:p w:rsidR="00787201" w:rsidRPr="00476FC9" w:rsidRDefault="00160A55"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t xml:space="preserve">These two regressions are graphed in Figure 2. High and low prominence risk disclosures did not </w:t>
      </w:r>
      <w:r w:rsidR="0065371E" w:rsidRPr="00476FC9">
        <w:rPr>
          <w:color w:val="000000" w:themeColor="text1"/>
        </w:rPr>
        <w:t>considerably</w:t>
      </w:r>
      <w:r w:rsidR="00CE2404" w:rsidRPr="00476FC9">
        <w:rPr>
          <w:color w:val="000000" w:themeColor="text1"/>
        </w:rPr>
        <w:t xml:space="preserve"> </w:t>
      </w:r>
      <w:r w:rsidRPr="00476FC9">
        <w:rPr>
          <w:color w:val="000000" w:themeColor="text1"/>
        </w:rPr>
        <w:t xml:space="preserve">differ among high DTCA </w:t>
      </w:r>
      <w:r w:rsidR="004356C2" w:rsidRPr="00476FC9">
        <w:rPr>
          <w:color w:val="000000" w:themeColor="text1"/>
        </w:rPr>
        <w:t xml:space="preserve">regulatory </w:t>
      </w:r>
      <w:r w:rsidRPr="00476FC9">
        <w:rPr>
          <w:color w:val="000000" w:themeColor="text1"/>
        </w:rPr>
        <w:t xml:space="preserve">knowledge consumers, whereas among low DTCA </w:t>
      </w:r>
      <w:r w:rsidR="004356C2" w:rsidRPr="00476FC9">
        <w:rPr>
          <w:color w:val="000000" w:themeColor="text1"/>
        </w:rPr>
        <w:t xml:space="preserve">regulatory </w:t>
      </w:r>
      <w:r w:rsidRPr="00476FC9">
        <w:rPr>
          <w:color w:val="000000" w:themeColor="text1"/>
        </w:rPr>
        <w:t>knowledge consumers</w:t>
      </w:r>
      <w:r w:rsidR="004356C2" w:rsidRPr="00476FC9">
        <w:rPr>
          <w:color w:val="000000" w:themeColor="text1"/>
        </w:rPr>
        <w:t>’</w:t>
      </w:r>
      <w:r w:rsidRPr="00476FC9">
        <w:rPr>
          <w:color w:val="000000" w:themeColor="text1"/>
        </w:rPr>
        <w:t xml:space="preserve"> perceived attention was </w:t>
      </w:r>
      <w:r w:rsidR="0065371E" w:rsidRPr="00476FC9">
        <w:rPr>
          <w:color w:val="000000" w:themeColor="text1"/>
        </w:rPr>
        <w:t xml:space="preserve">considerably </w:t>
      </w:r>
      <w:r w:rsidRPr="00476FC9">
        <w:rPr>
          <w:color w:val="000000" w:themeColor="text1"/>
        </w:rPr>
        <w:t>higher in response to high prominence risk disclosure. In addition, the predicted perceived attention increase for low prominence (.33) was higher than the predicted perceived attention increase for high prominence</w:t>
      </w:r>
      <w:r w:rsidR="00CE2404" w:rsidRPr="00476FC9">
        <w:rPr>
          <w:color w:val="000000" w:themeColor="text1"/>
        </w:rPr>
        <w:t xml:space="preserve"> (.09)</w:t>
      </w:r>
      <w:r w:rsidR="00396555" w:rsidRPr="00476FC9">
        <w:rPr>
          <w:color w:val="000000" w:themeColor="text1"/>
        </w:rPr>
        <w:t>.</w:t>
      </w:r>
      <w:r w:rsidR="00360B69" w:rsidRPr="00476FC9">
        <w:rPr>
          <w:color w:val="000000" w:themeColor="text1"/>
        </w:rPr>
        <w:t xml:space="preserve"> This shows that as knowledge increases, the difference in </w:t>
      </w:r>
      <w:r w:rsidR="00C6492E" w:rsidRPr="00476FC9">
        <w:rPr>
          <w:color w:val="000000" w:themeColor="text1"/>
        </w:rPr>
        <w:t xml:space="preserve">the level of </w:t>
      </w:r>
      <w:r w:rsidR="00360B69" w:rsidRPr="00476FC9">
        <w:rPr>
          <w:color w:val="000000" w:themeColor="text1"/>
        </w:rPr>
        <w:t xml:space="preserve">attention between low knowledge and high knowledge groups will </w:t>
      </w:r>
      <w:r w:rsidR="00390C29" w:rsidRPr="00476FC9">
        <w:rPr>
          <w:color w:val="000000" w:themeColor="text1"/>
        </w:rPr>
        <w:t>decrease</w:t>
      </w:r>
      <w:r w:rsidR="00360B69" w:rsidRPr="00476FC9">
        <w:rPr>
          <w:color w:val="000000" w:themeColor="text1"/>
        </w:rPr>
        <w:t>.</w:t>
      </w:r>
      <w:r w:rsidR="00396555" w:rsidRPr="00476FC9">
        <w:rPr>
          <w:color w:val="000000" w:themeColor="text1"/>
        </w:rPr>
        <w:t xml:space="preserve"> The predicted perceived attention increase per DTCA</w:t>
      </w:r>
      <w:r w:rsidR="00BC1CBF" w:rsidRPr="00476FC9">
        <w:rPr>
          <w:color w:val="000000" w:themeColor="text1"/>
        </w:rPr>
        <w:t xml:space="preserve"> regulatory</w:t>
      </w:r>
      <w:r w:rsidR="00396555" w:rsidRPr="00476FC9">
        <w:rPr>
          <w:color w:val="000000" w:themeColor="text1"/>
        </w:rPr>
        <w:t xml:space="preserve"> knowledge was 0.24 higher for low prominence</w:t>
      </w:r>
      <w:r w:rsidR="00360B69" w:rsidRPr="00476FC9">
        <w:rPr>
          <w:color w:val="000000" w:themeColor="text1"/>
        </w:rPr>
        <w:t xml:space="preserve"> individuals</w:t>
      </w:r>
      <w:r w:rsidR="00396555" w:rsidRPr="00476FC9">
        <w:rPr>
          <w:color w:val="000000" w:themeColor="text1"/>
        </w:rPr>
        <w:t xml:space="preserve"> than for high prominence</w:t>
      </w:r>
      <w:r w:rsidR="00360B69" w:rsidRPr="00476FC9">
        <w:rPr>
          <w:color w:val="000000" w:themeColor="text1"/>
        </w:rPr>
        <w:t xml:space="preserve"> individuals</w:t>
      </w:r>
      <w:r w:rsidR="00396555" w:rsidRPr="00476FC9">
        <w:rPr>
          <w:color w:val="000000" w:themeColor="text1"/>
        </w:rPr>
        <w:t xml:space="preserve">. </w:t>
      </w:r>
    </w:p>
    <w:p w:rsidR="00C13CE8" w:rsidRPr="00476FC9" w:rsidRDefault="00C6492E"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lastRenderedPageBreak/>
        <w:t>A simple slopes analysis confirms this pattern. When knowledge was low (corresponding to one standard deviation lower than the mean), and medium (corresponding to the mean), the high prominence condition led to a higher level of attention (</w:t>
      </w:r>
      <w:r w:rsidRPr="00476FC9">
        <w:rPr>
          <w:i/>
          <w:color w:val="000000" w:themeColor="text1"/>
        </w:rPr>
        <w:t>p</w:t>
      </w:r>
      <w:r w:rsidRPr="00476FC9">
        <w:rPr>
          <w:color w:val="000000" w:themeColor="text1"/>
        </w:rPr>
        <w:t xml:space="preserve"> &lt; .05), whereas it did not when knowledge was high (</w:t>
      </w:r>
      <w:r w:rsidRPr="00476FC9">
        <w:rPr>
          <w:i/>
          <w:color w:val="000000" w:themeColor="text1"/>
        </w:rPr>
        <w:t>p</w:t>
      </w:r>
      <w:r w:rsidRPr="00476FC9">
        <w:rPr>
          <w:color w:val="000000" w:themeColor="text1"/>
        </w:rPr>
        <w:t xml:space="preserve"> &gt; .05).</w:t>
      </w:r>
      <w:r w:rsidR="00787201" w:rsidRPr="00476FC9">
        <w:rPr>
          <w:color w:val="000000" w:themeColor="text1"/>
        </w:rPr>
        <w:t xml:space="preserve"> Application of the </w:t>
      </w:r>
      <w:r w:rsidR="00787201" w:rsidRPr="00476FC9">
        <w:rPr>
          <w:i/>
          <w:color w:val="000000" w:themeColor="text1"/>
        </w:rPr>
        <w:t>John</w:t>
      </w:r>
      <w:r w:rsidR="00BC1CBF" w:rsidRPr="00476FC9">
        <w:rPr>
          <w:i/>
          <w:color w:val="000000" w:themeColor="text1"/>
        </w:rPr>
        <w:t>son</w:t>
      </w:r>
      <w:r w:rsidR="00787201" w:rsidRPr="00476FC9">
        <w:rPr>
          <w:i/>
          <w:color w:val="000000" w:themeColor="text1"/>
        </w:rPr>
        <w:t>-Neyman</w:t>
      </w:r>
      <w:r w:rsidR="00787201" w:rsidRPr="00476FC9">
        <w:rPr>
          <w:color w:val="000000" w:themeColor="text1"/>
        </w:rPr>
        <w:t xml:space="preserve"> technique shows that the difference </w:t>
      </w:r>
      <w:r w:rsidR="004356C2" w:rsidRPr="00476FC9">
        <w:rPr>
          <w:color w:val="000000" w:themeColor="text1"/>
        </w:rPr>
        <w:t xml:space="preserve">between </w:t>
      </w:r>
      <w:r w:rsidR="00787201" w:rsidRPr="00476FC9">
        <w:rPr>
          <w:color w:val="000000" w:themeColor="text1"/>
        </w:rPr>
        <w:t xml:space="preserve">high and low prominence conditions </w:t>
      </w:r>
      <w:r w:rsidR="007E3D83" w:rsidRPr="00476FC9">
        <w:rPr>
          <w:color w:val="000000" w:themeColor="text1"/>
        </w:rPr>
        <w:t>would be</w:t>
      </w:r>
      <w:r w:rsidR="00787201" w:rsidRPr="00476FC9">
        <w:rPr>
          <w:color w:val="000000" w:themeColor="text1"/>
        </w:rPr>
        <w:t xml:space="preserve"> significant when DTCA knowledge was 2.50 or lower on the five-point scale. </w:t>
      </w:r>
      <w:r w:rsidR="00396555" w:rsidRPr="00476FC9">
        <w:rPr>
          <w:color w:val="000000" w:themeColor="text1"/>
        </w:rPr>
        <w:t>These pattern</w:t>
      </w:r>
      <w:r w:rsidR="009D45F5" w:rsidRPr="00476FC9">
        <w:rPr>
          <w:color w:val="000000" w:themeColor="text1"/>
        </w:rPr>
        <w:t>s</w:t>
      </w:r>
      <w:r w:rsidR="002F6C0E" w:rsidRPr="00476FC9">
        <w:rPr>
          <w:color w:val="000000" w:themeColor="text1"/>
        </w:rPr>
        <w:t xml:space="preserve"> of slopes</w:t>
      </w:r>
      <w:r w:rsidR="0065371E" w:rsidRPr="00476FC9">
        <w:rPr>
          <w:color w:val="000000" w:themeColor="text1"/>
        </w:rPr>
        <w:t xml:space="preserve"> and intercepts</w:t>
      </w:r>
      <w:r w:rsidR="002F6C0E" w:rsidRPr="00476FC9">
        <w:rPr>
          <w:color w:val="000000" w:themeColor="text1"/>
        </w:rPr>
        <w:t xml:space="preserve"> </w:t>
      </w:r>
      <w:r w:rsidR="00396555" w:rsidRPr="00476FC9">
        <w:rPr>
          <w:color w:val="000000" w:themeColor="text1"/>
        </w:rPr>
        <w:t>support the</w:t>
      </w:r>
      <w:r w:rsidR="002F6C0E" w:rsidRPr="00476FC9">
        <w:rPr>
          <w:color w:val="000000" w:themeColor="text1"/>
        </w:rPr>
        <w:t xml:space="preserve"> hypothesized </w:t>
      </w:r>
      <w:r w:rsidR="0065371E" w:rsidRPr="00476FC9">
        <w:rPr>
          <w:color w:val="000000" w:themeColor="text1"/>
        </w:rPr>
        <w:t xml:space="preserve">main effects of prominence and </w:t>
      </w:r>
      <w:r w:rsidR="002F6C0E" w:rsidRPr="00476FC9">
        <w:rPr>
          <w:color w:val="000000" w:themeColor="text1"/>
        </w:rPr>
        <w:t>moderating role of DTCA knowledge</w:t>
      </w:r>
      <w:r w:rsidR="00396555" w:rsidRPr="00476FC9">
        <w:rPr>
          <w:color w:val="000000" w:themeColor="text1"/>
        </w:rPr>
        <w:t xml:space="preserve"> on perceived attention to risk </w:t>
      </w:r>
      <w:r w:rsidR="0065371E" w:rsidRPr="00476FC9">
        <w:rPr>
          <w:color w:val="000000" w:themeColor="text1"/>
        </w:rPr>
        <w:t>disclosure (Aiken &amp; West, 1991). Therefore, H7a was supported</w:t>
      </w:r>
      <w:r w:rsidR="00396555" w:rsidRPr="00476FC9">
        <w:rPr>
          <w:color w:val="000000" w:themeColor="text1"/>
        </w:rPr>
        <w:t>.</w:t>
      </w:r>
      <w:r w:rsidR="00C13CE8" w:rsidRPr="00476FC9">
        <w:rPr>
          <w:color w:val="000000" w:themeColor="text1"/>
        </w:rPr>
        <w:t xml:space="preserve"> The main and moderating effect hypotheses are summarized in Table </w:t>
      </w:r>
      <w:r w:rsidR="00AF1F07" w:rsidRPr="00476FC9">
        <w:rPr>
          <w:color w:val="000000" w:themeColor="text1"/>
        </w:rPr>
        <w:t>12</w:t>
      </w:r>
      <w:r w:rsidR="00C13CE8" w:rsidRPr="00476FC9">
        <w:rPr>
          <w:color w:val="000000" w:themeColor="text1"/>
        </w:rPr>
        <w:t>.</w:t>
      </w:r>
    </w:p>
    <w:p w:rsidR="00147B15" w:rsidRPr="00476FC9" w:rsidRDefault="00147B15" w:rsidP="007D2ACE">
      <w:pPr>
        <w:pStyle w:val="Heading3"/>
        <w:widowControl w:val="0"/>
        <w:kinsoku w:val="0"/>
        <w:overflowPunct w:val="0"/>
        <w:autoSpaceDE w:val="0"/>
        <w:autoSpaceDN w:val="0"/>
        <w:snapToGrid w:val="0"/>
        <w:contextualSpacing w:val="0"/>
        <w:rPr>
          <w:color w:val="000000" w:themeColor="text1"/>
        </w:rPr>
      </w:pPr>
      <w:bookmarkStart w:id="55" w:name="_Toc393800689"/>
      <w:r w:rsidRPr="00476FC9">
        <w:rPr>
          <w:color w:val="000000" w:themeColor="text1"/>
        </w:rPr>
        <w:t>Hypotheses 8, 9, and 10: Mediating Effects of Perceived Attention</w:t>
      </w:r>
      <w:bookmarkEnd w:id="55"/>
    </w:p>
    <w:p w:rsidR="00147B15" w:rsidRPr="00476FC9" w:rsidRDefault="00147B15"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t xml:space="preserve">Hypotheses </w:t>
      </w:r>
      <w:r w:rsidR="004904D2" w:rsidRPr="00476FC9">
        <w:rPr>
          <w:color w:val="000000" w:themeColor="text1"/>
        </w:rPr>
        <w:t xml:space="preserve">8, 9, and 10 </w:t>
      </w:r>
      <w:r w:rsidRPr="00476FC9">
        <w:rPr>
          <w:color w:val="000000" w:themeColor="text1"/>
        </w:rPr>
        <w:t>suggested that perceived attention would mediate the</w:t>
      </w:r>
      <w:r w:rsidR="004904D2" w:rsidRPr="00476FC9">
        <w:rPr>
          <w:color w:val="000000" w:themeColor="text1"/>
        </w:rPr>
        <w:t xml:space="preserve"> effects of prominence, DTCA knowledge, and their interaction o</w:t>
      </w:r>
      <w:r w:rsidRPr="00476FC9">
        <w:rPr>
          <w:color w:val="000000" w:themeColor="text1"/>
        </w:rPr>
        <w:t xml:space="preserve">n consumer memory of risk information, including recall and recognition. </w:t>
      </w:r>
      <w:r w:rsidR="004904D2" w:rsidRPr="00476FC9">
        <w:rPr>
          <w:color w:val="000000" w:themeColor="text1"/>
        </w:rPr>
        <w:t xml:space="preserve">In particular, H10 </w:t>
      </w:r>
      <w:r w:rsidRPr="00476FC9">
        <w:rPr>
          <w:color w:val="000000" w:themeColor="text1"/>
        </w:rPr>
        <w:t>represent</w:t>
      </w:r>
      <w:r w:rsidR="004904D2" w:rsidRPr="00476FC9">
        <w:rPr>
          <w:color w:val="000000" w:themeColor="text1"/>
        </w:rPr>
        <w:t>s</w:t>
      </w:r>
      <w:r w:rsidRPr="00476FC9">
        <w:rPr>
          <w:color w:val="000000" w:themeColor="text1"/>
        </w:rPr>
        <w:t xml:space="preserve"> </w:t>
      </w:r>
      <w:r w:rsidR="004904D2" w:rsidRPr="00476FC9">
        <w:rPr>
          <w:color w:val="000000" w:themeColor="text1"/>
        </w:rPr>
        <w:t xml:space="preserve">a </w:t>
      </w:r>
      <w:r w:rsidRPr="00476FC9">
        <w:rPr>
          <w:i/>
          <w:color w:val="000000" w:themeColor="text1"/>
        </w:rPr>
        <w:t>mediated moderation relationship</w:t>
      </w:r>
      <w:r w:rsidRPr="00476FC9">
        <w:rPr>
          <w:color w:val="000000" w:themeColor="text1"/>
        </w:rPr>
        <w:t>. A mediated moderation refers to the extent to which an intervening variable mediates the effect of a more distal independent variable at different levels of the moderator (Baron &amp; Kenny, 1986).</w:t>
      </w:r>
    </w:p>
    <w:p w:rsidR="00222367" w:rsidRPr="00476FC9" w:rsidRDefault="00222367" w:rsidP="007D2ACE">
      <w:pPr>
        <w:keepNext w:val="0"/>
        <w:widowControl w:val="0"/>
        <w:kinsoku w:val="0"/>
        <w:overflowPunct w:val="0"/>
        <w:autoSpaceDE w:val="0"/>
        <w:autoSpaceDN w:val="0"/>
        <w:adjustRightInd w:val="0"/>
        <w:snapToGrid w:val="0"/>
        <w:spacing w:before="0" w:after="0"/>
        <w:rPr>
          <w:color w:val="000000" w:themeColor="text1"/>
        </w:rPr>
      </w:pPr>
    </w:p>
    <w:p w:rsidR="000F73E6" w:rsidRPr="00476FC9" w:rsidRDefault="006A337D" w:rsidP="007D2ACE">
      <w:pPr>
        <w:keepNext w:val="0"/>
        <w:widowControl w:val="0"/>
        <w:kinsoku w:val="0"/>
        <w:overflowPunct w:val="0"/>
        <w:autoSpaceDE w:val="0"/>
        <w:autoSpaceDN w:val="0"/>
        <w:adjustRightInd w:val="0"/>
        <w:snapToGrid w:val="0"/>
        <w:spacing w:before="0" w:after="0"/>
        <w:jc w:val="center"/>
        <w:rPr>
          <w:color w:val="000000" w:themeColor="text1"/>
        </w:rPr>
      </w:pPr>
      <w:r w:rsidRPr="00476FC9">
        <w:rPr>
          <w:noProof/>
          <w:color w:val="000000" w:themeColor="text1"/>
        </w:rPr>
        <w:lastRenderedPageBreak/>
        <w:drawing>
          <wp:inline distT="0" distB="0" distL="0" distR="0" wp14:anchorId="429B36F7" wp14:editId="57988ADB">
            <wp:extent cx="4330700" cy="3463172"/>
            <wp:effectExtent l="0" t="0" r="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48007" cy="3477012"/>
                    </a:xfrm>
                    <a:prstGeom prst="rect">
                      <a:avLst/>
                    </a:prstGeom>
                    <a:noFill/>
                    <a:ln>
                      <a:noFill/>
                    </a:ln>
                  </pic:spPr>
                </pic:pic>
              </a:graphicData>
            </a:graphic>
          </wp:inline>
        </w:drawing>
      </w:r>
    </w:p>
    <w:p w:rsidR="000F73E6" w:rsidRPr="00476FC9" w:rsidRDefault="00C77B30" w:rsidP="007D2ACE">
      <w:pPr>
        <w:pStyle w:val="Caption"/>
        <w:keepNext w:val="0"/>
        <w:widowControl w:val="0"/>
        <w:kinsoku w:val="0"/>
        <w:overflowPunct w:val="0"/>
        <w:autoSpaceDE w:val="0"/>
        <w:autoSpaceDN w:val="0"/>
        <w:adjustRightInd w:val="0"/>
        <w:snapToGrid w:val="0"/>
        <w:rPr>
          <w:color w:val="000000" w:themeColor="text1"/>
        </w:rPr>
      </w:pPr>
      <w:bookmarkStart w:id="56" w:name="_Toc393800647"/>
      <w:r w:rsidRPr="00476FC9">
        <w:rPr>
          <w:color w:val="000000" w:themeColor="text1"/>
        </w:rPr>
        <w:t xml:space="preserve">Figure </w:t>
      </w:r>
      <w:r w:rsidR="00037CF4" w:rsidRPr="00476FC9">
        <w:rPr>
          <w:color w:val="000000" w:themeColor="text1"/>
        </w:rPr>
        <w:fldChar w:fldCharType="begin"/>
      </w:r>
      <w:r w:rsidR="00037CF4" w:rsidRPr="00476FC9">
        <w:rPr>
          <w:color w:val="000000" w:themeColor="text1"/>
        </w:rPr>
        <w:instrText xml:space="preserve"> SEQ Figure \* ARABIC </w:instrText>
      </w:r>
      <w:r w:rsidR="00037CF4" w:rsidRPr="00476FC9">
        <w:rPr>
          <w:color w:val="000000" w:themeColor="text1"/>
        </w:rPr>
        <w:fldChar w:fldCharType="separate"/>
      </w:r>
      <w:r w:rsidRPr="00476FC9">
        <w:rPr>
          <w:noProof/>
          <w:color w:val="000000" w:themeColor="text1"/>
        </w:rPr>
        <w:t>2</w:t>
      </w:r>
      <w:r w:rsidR="00037CF4" w:rsidRPr="00476FC9">
        <w:rPr>
          <w:noProof/>
          <w:color w:val="000000" w:themeColor="text1"/>
        </w:rPr>
        <w:fldChar w:fldCharType="end"/>
      </w:r>
      <w:r w:rsidR="00CD11FA" w:rsidRPr="00476FC9">
        <w:rPr>
          <w:color w:val="000000" w:themeColor="text1"/>
        </w:rPr>
        <w:t xml:space="preserve">. Prominence </w:t>
      </w:r>
      <w:r w:rsidR="00CD11FA" w:rsidRPr="00476FC9">
        <w:rPr>
          <w:rFonts w:ascii="MTSYN" w:eastAsia="MTSYN" w:cs="MTSYN" w:hint="eastAsia"/>
          <w:color w:val="000000" w:themeColor="text1"/>
          <w:sz w:val="20"/>
        </w:rPr>
        <w:t xml:space="preserve">× </w:t>
      </w:r>
      <w:r w:rsidR="00CD11FA" w:rsidRPr="00476FC9">
        <w:rPr>
          <w:color w:val="000000" w:themeColor="text1"/>
        </w:rPr>
        <w:t xml:space="preserve">DTCA </w:t>
      </w:r>
      <w:r w:rsidR="00EB1FEC" w:rsidRPr="00476FC9">
        <w:rPr>
          <w:color w:val="000000" w:themeColor="text1"/>
        </w:rPr>
        <w:t>Regulatory</w:t>
      </w:r>
      <w:r w:rsidR="00CD11FA" w:rsidRPr="00476FC9">
        <w:rPr>
          <w:color w:val="000000" w:themeColor="text1"/>
        </w:rPr>
        <w:t xml:space="preserve"> Knowledge on Perceived Attention</w:t>
      </w:r>
      <w:bookmarkEnd w:id="56"/>
    </w:p>
    <w:p w:rsidR="002F6C0E" w:rsidRPr="00476FC9" w:rsidRDefault="002F6C0E" w:rsidP="007D2ACE">
      <w:pPr>
        <w:pStyle w:val="Heading3"/>
        <w:widowControl w:val="0"/>
        <w:kinsoku w:val="0"/>
        <w:overflowPunct w:val="0"/>
        <w:autoSpaceDE w:val="0"/>
        <w:autoSpaceDN w:val="0"/>
        <w:snapToGrid w:val="0"/>
        <w:contextualSpacing w:val="0"/>
        <w:rPr>
          <w:color w:val="000000" w:themeColor="text1"/>
        </w:rPr>
      </w:pPr>
    </w:p>
    <w:p w:rsidR="002F12A4" w:rsidRPr="00476FC9" w:rsidRDefault="002F12A4"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4904D2" w:rsidRPr="00476FC9">
        <w:rPr>
          <w:color w:val="000000" w:themeColor="text1"/>
        </w:rPr>
        <w:t>To examine the hypothesized mediations, t</w:t>
      </w:r>
      <w:r w:rsidRPr="00476FC9">
        <w:rPr>
          <w:color w:val="000000" w:themeColor="text1"/>
        </w:rPr>
        <w:t xml:space="preserve">he researcher adopted the </w:t>
      </w:r>
      <w:r w:rsidR="004904D2" w:rsidRPr="00476FC9">
        <w:rPr>
          <w:i/>
          <w:color w:val="000000" w:themeColor="text1"/>
        </w:rPr>
        <w:t xml:space="preserve">bootstrap approach </w:t>
      </w:r>
      <w:r w:rsidRPr="00476FC9">
        <w:rPr>
          <w:color w:val="000000" w:themeColor="text1"/>
        </w:rPr>
        <w:t>outlin</w:t>
      </w:r>
      <w:r w:rsidR="004904D2" w:rsidRPr="00476FC9">
        <w:rPr>
          <w:color w:val="000000" w:themeColor="text1"/>
        </w:rPr>
        <w:t>ed by Preacher and Hayes (2004)</w:t>
      </w:r>
      <w:r w:rsidRPr="00476FC9">
        <w:rPr>
          <w:i/>
          <w:color w:val="000000" w:themeColor="text1"/>
        </w:rPr>
        <w:t xml:space="preserve">. </w:t>
      </w:r>
      <w:r w:rsidR="00EC2C37" w:rsidRPr="00476FC9">
        <w:rPr>
          <w:color w:val="000000" w:themeColor="text1"/>
        </w:rPr>
        <w:t>The bootstrapping method is similar to the Sobel (1982) test</w:t>
      </w:r>
      <w:r w:rsidR="004904D2" w:rsidRPr="00476FC9">
        <w:rPr>
          <w:color w:val="000000" w:themeColor="text1"/>
        </w:rPr>
        <w:t>,</w:t>
      </w:r>
      <w:r w:rsidR="00EC2C37" w:rsidRPr="00476FC9">
        <w:rPr>
          <w:color w:val="000000" w:themeColor="text1"/>
        </w:rPr>
        <w:t xml:space="preserve"> but is suggested as a superior alternative if raw data are available (Homburg, Wieseke, &amp; Bornemann, 2009). </w:t>
      </w:r>
      <w:r w:rsidR="00AC3575" w:rsidRPr="00476FC9">
        <w:rPr>
          <w:color w:val="000000" w:themeColor="text1"/>
        </w:rPr>
        <w:t xml:space="preserve">Further, Zhao, Lynch, and Chen (2010) note that in testing the significance of an indirect effect between predictors and criterion variables, the bootstrap approach is more rigorous and powerful than Sobel. </w:t>
      </w:r>
      <w:r w:rsidR="00EC2C37" w:rsidRPr="00476FC9">
        <w:rPr>
          <w:color w:val="000000" w:themeColor="text1"/>
        </w:rPr>
        <w:t>The researcher estimated the</w:t>
      </w:r>
      <w:r w:rsidR="00EC2C37" w:rsidRPr="00476FC9">
        <w:rPr>
          <w:i/>
          <w:color w:val="000000" w:themeColor="text1"/>
        </w:rPr>
        <w:t xml:space="preserve"> indirect effects </w:t>
      </w:r>
      <w:r w:rsidR="00EC2C37" w:rsidRPr="00476FC9">
        <w:rPr>
          <w:color w:val="000000" w:themeColor="text1"/>
        </w:rPr>
        <w:t>of the predictors through the mediator variable on the dependent variables and repeated</w:t>
      </w:r>
      <w:r w:rsidR="006D3DA6" w:rsidRPr="00476FC9">
        <w:rPr>
          <w:color w:val="000000" w:themeColor="text1"/>
        </w:rPr>
        <w:t xml:space="preserve"> the sampling 5000 times (Zhao et al., </w:t>
      </w:r>
      <w:r w:rsidR="00EC2C37" w:rsidRPr="00476FC9">
        <w:rPr>
          <w:color w:val="000000" w:themeColor="text1"/>
        </w:rPr>
        <w:t>2010).</w:t>
      </w:r>
      <w:r w:rsidR="00426EEA" w:rsidRPr="00476FC9">
        <w:rPr>
          <w:color w:val="000000" w:themeColor="text1"/>
        </w:rPr>
        <w:t xml:space="preserve"> To secure consistency between the main effect and mediation tests, the same control variables were entered in the bootstrap macro.</w:t>
      </w:r>
    </w:p>
    <w:p w:rsidR="00222367" w:rsidRPr="00476FC9" w:rsidRDefault="00222367" w:rsidP="007D2ACE">
      <w:pPr>
        <w:keepNext w:val="0"/>
        <w:widowControl w:val="0"/>
        <w:kinsoku w:val="0"/>
        <w:overflowPunct w:val="0"/>
        <w:autoSpaceDE w:val="0"/>
        <w:autoSpaceDN w:val="0"/>
        <w:adjustRightInd w:val="0"/>
        <w:snapToGrid w:val="0"/>
        <w:spacing w:before="0" w:after="0"/>
        <w:rPr>
          <w:color w:val="000000" w:themeColor="text1"/>
        </w:rPr>
      </w:pPr>
    </w:p>
    <w:p w:rsidR="00C13CE8" w:rsidRPr="00476FC9" w:rsidRDefault="00C13CE8" w:rsidP="007D2ACE">
      <w:pPr>
        <w:pStyle w:val="Caption"/>
        <w:keepNext w:val="0"/>
        <w:widowControl w:val="0"/>
        <w:kinsoku w:val="0"/>
        <w:overflowPunct w:val="0"/>
        <w:autoSpaceDE w:val="0"/>
        <w:autoSpaceDN w:val="0"/>
        <w:adjustRightInd w:val="0"/>
        <w:snapToGrid w:val="0"/>
        <w:rPr>
          <w:color w:val="000000" w:themeColor="text1"/>
        </w:rPr>
      </w:pPr>
      <w:bookmarkStart w:id="57" w:name="_Toc393800644"/>
      <w:r w:rsidRPr="00476FC9">
        <w:rPr>
          <w:color w:val="000000" w:themeColor="text1"/>
        </w:rPr>
        <w:t xml:space="preserve">Table </w:t>
      </w:r>
      <w:r w:rsidR="00037CF4" w:rsidRPr="00476FC9">
        <w:rPr>
          <w:color w:val="000000" w:themeColor="text1"/>
        </w:rPr>
        <w:fldChar w:fldCharType="begin"/>
      </w:r>
      <w:r w:rsidR="00037CF4" w:rsidRPr="00476FC9">
        <w:rPr>
          <w:color w:val="000000" w:themeColor="text1"/>
        </w:rPr>
        <w:instrText xml:space="preserve"> SEQ Table \* ARABIC </w:instrText>
      </w:r>
      <w:r w:rsidR="00037CF4" w:rsidRPr="00476FC9">
        <w:rPr>
          <w:color w:val="000000" w:themeColor="text1"/>
        </w:rPr>
        <w:fldChar w:fldCharType="separate"/>
      </w:r>
      <w:r w:rsidR="00E02362" w:rsidRPr="00476FC9">
        <w:rPr>
          <w:noProof/>
          <w:color w:val="000000" w:themeColor="text1"/>
        </w:rPr>
        <w:t>12</w:t>
      </w:r>
      <w:r w:rsidR="00037CF4" w:rsidRPr="00476FC9">
        <w:rPr>
          <w:noProof/>
          <w:color w:val="000000" w:themeColor="text1"/>
        </w:rPr>
        <w:fldChar w:fldCharType="end"/>
      </w:r>
      <w:r w:rsidRPr="00476FC9">
        <w:rPr>
          <w:color w:val="000000" w:themeColor="text1"/>
        </w:rPr>
        <w:t>. Summary of the Main and Moderating Effect Hypotheses</w:t>
      </w:r>
      <w:bookmarkEnd w:id="57"/>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8"/>
        <w:gridCol w:w="3312"/>
        <w:gridCol w:w="2971"/>
        <w:gridCol w:w="1979"/>
      </w:tblGrid>
      <w:tr w:rsidR="00476FC9" w:rsidRPr="00476FC9" w:rsidTr="00D83DFE">
        <w:tc>
          <w:tcPr>
            <w:tcW w:w="587" w:type="pct"/>
            <w:tcBorders>
              <w:top w:val="single" w:sz="4" w:space="0" w:color="auto"/>
              <w:bottom w:val="single" w:sz="4" w:space="0" w:color="auto"/>
            </w:tcBorders>
          </w:tcPr>
          <w:p w:rsidR="00710274" w:rsidRPr="00476FC9" w:rsidRDefault="00DE2914" w:rsidP="007D2ACE">
            <w:pPr>
              <w:keepNext w:val="0"/>
              <w:widowControl w:val="0"/>
              <w:kinsoku w:val="0"/>
              <w:overflowPunct w:val="0"/>
              <w:autoSpaceDE w:val="0"/>
              <w:autoSpaceDN w:val="0"/>
              <w:adjustRightInd w:val="0"/>
              <w:snapToGrid w:val="0"/>
              <w:spacing w:before="0" w:after="0" w:line="240" w:lineRule="auto"/>
              <w:rPr>
                <w:b/>
                <w:color w:val="000000" w:themeColor="text1"/>
                <w:sz w:val="18"/>
                <w:szCs w:val="18"/>
              </w:rPr>
            </w:pPr>
            <w:r w:rsidRPr="00476FC9">
              <w:rPr>
                <w:b/>
                <w:color w:val="000000" w:themeColor="text1"/>
                <w:sz w:val="18"/>
                <w:szCs w:val="18"/>
              </w:rPr>
              <w:t>Hypotheses</w:t>
            </w:r>
          </w:p>
          <w:p w:rsidR="00710274" w:rsidRPr="00476FC9" w:rsidRDefault="00710274" w:rsidP="007D2ACE">
            <w:pPr>
              <w:keepNext w:val="0"/>
              <w:widowControl w:val="0"/>
              <w:kinsoku w:val="0"/>
              <w:overflowPunct w:val="0"/>
              <w:autoSpaceDE w:val="0"/>
              <w:autoSpaceDN w:val="0"/>
              <w:adjustRightInd w:val="0"/>
              <w:snapToGrid w:val="0"/>
              <w:spacing w:before="0" w:after="0" w:line="240" w:lineRule="auto"/>
              <w:rPr>
                <w:b/>
                <w:color w:val="000000" w:themeColor="text1"/>
                <w:sz w:val="18"/>
                <w:szCs w:val="18"/>
              </w:rPr>
            </w:pPr>
          </w:p>
        </w:tc>
        <w:tc>
          <w:tcPr>
            <w:tcW w:w="1769" w:type="pct"/>
            <w:tcBorders>
              <w:top w:val="single" w:sz="4" w:space="0" w:color="auto"/>
              <w:bottom w:val="single" w:sz="4" w:space="0" w:color="auto"/>
            </w:tcBorders>
          </w:tcPr>
          <w:p w:rsidR="00DE2914" w:rsidRPr="00476FC9" w:rsidRDefault="00DD5A93" w:rsidP="007D2ACE">
            <w:pPr>
              <w:keepNext w:val="0"/>
              <w:widowControl w:val="0"/>
              <w:kinsoku w:val="0"/>
              <w:overflowPunct w:val="0"/>
              <w:autoSpaceDE w:val="0"/>
              <w:autoSpaceDN w:val="0"/>
              <w:adjustRightInd w:val="0"/>
              <w:snapToGrid w:val="0"/>
              <w:spacing w:before="0" w:after="0" w:line="240" w:lineRule="auto"/>
              <w:rPr>
                <w:b/>
                <w:color w:val="000000" w:themeColor="text1"/>
                <w:sz w:val="18"/>
                <w:szCs w:val="18"/>
              </w:rPr>
            </w:pPr>
            <w:r w:rsidRPr="00476FC9">
              <w:rPr>
                <w:b/>
                <w:color w:val="000000" w:themeColor="text1"/>
                <w:sz w:val="18"/>
                <w:szCs w:val="18"/>
              </w:rPr>
              <w:t>Predictors</w:t>
            </w:r>
          </w:p>
        </w:tc>
        <w:tc>
          <w:tcPr>
            <w:tcW w:w="1587" w:type="pct"/>
            <w:tcBorders>
              <w:top w:val="single" w:sz="4" w:space="0" w:color="auto"/>
              <w:bottom w:val="single" w:sz="4" w:space="0" w:color="auto"/>
            </w:tcBorders>
          </w:tcPr>
          <w:p w:rsidR="00DE2914" w:rsidRPr="00476FC9" w:rsidRDefault="00DD5A93" w:rsidP="007D2ACE">
            <w:pPr>
              <w:keepNext w:val="0"/>
              <w:widowControl w:val="0"/>
              <w:kinsoku w:val="0"/>
              <w:overflowPunct w:val="0"/>
              <w:autoSpaceDE w:val="0"/>
              <w:autoSpaceDN w:val="0"/>
              <w:adjustRightInd w:val="0"/>
              <w:snapToGrid w:val="0"/>
              <w:spacing w:before="0" w:after="0" w:line="240" w:lineRule="auto"/>
              <w:rPr>
                <w:b/>
                <w:color w:val="000000" w:themeColor="text1"/>
                <w:sz w:val="18"/>
                <w:szCs w:val="18"/>
              </w:rPr>
            </w:pPr>
            <w:r w:rsidRPr="00476FC9">
              <w:rPr>
                <w:b/>
                <w:color w:val="000000" w:themeColor="text1"/>
                <w:sz w:val="18"/>
                <w:szCs w:val="18"/>
              </w:rPr>
              <w:t>Outcomes</w:t>
            </w:r>
          </w:p>
        </w:tc>
        <w:tc>
          <w:tcPr>
            <w:tcW w:w="1057" w:type="pct"/>
            <w:tcBorders>
              <w:top w:val="single" w:sz="4" w:space="0" w:color="auto"/>
              <w:bottom w:val="single" w:sz="4" w:space="0" w:color="auto"/>
            </w:tcBorders>
          </w:tcPr>
          <w:p w:rsidR="00DE2914" w:rsidRPr="00476FC9" w:rsidRDefault="00DE2914" w:rsidP="007D2ACE">
            <w:pPr>
              <w:keepNext w:val="0"/>
              <w:widowControl w:val="0"/>
              <w:kinsoku w:val="0"/>
              <w:overflowPunct w:val="0"/>
              <w:autoSpaceDE w:val="0"/>
              <w:autoSpaceDN w:val="0"/>
              <w:adjustRightInd w:val="0"/>
              <w:snapToGrid w:val="0"/>
              <w:spacing w:before="0" w:after="0" w:line="240" w:lineRule="auto"/>
              <w:rPr>
                <w:b/>
                <w:color w:val="000000" w:themeColor="text1"/>
                <w:sz w:val="18"/>
                <w:szCs w:val="18"/>
              </w:rPr>
            </w:pPr>
            <w:r w:rsidRPr="00476FC9">
              <w:rPr>
                <w:b/>
                <w:color w:val="000000" w:themeColor="text1"/>
                <w:sz w:val="18"/>
                <w:szCs w:val="18"/>
              </w:rPr>
              <w:t>Results</w:t>
            </w:r>
          </w:p>
        </w:tc>
      </w:tr>
      <w:tr w:rsidR="00476FC9" w:rsidRPr="00476FC9" w:rsidTr="00D83DFE">
        <w:tc>
          <w:tcPr>
            <w:tcW w:w="587" w:type="pct"/>
            <w:tcBorders>
              <w:top w:val="single" w:sz="4" w:space="0" w:color="auto"/>
            </w:tcBorders>
          </w:tcPr>
          <w:p w:rsidR="00710274" w:rsidRPr="00476FC9" w:rsidRDefault="00DE291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H1</w:t>
            </w:r>
          </w:p>
        </w:tc>
        <w:tc>
          <w:tcPr>
            <w:tcW w:w="1769" w:type="pct"/>
            <w:tcBorders>
              <w:top w:val="single" w:sz="4" w:space="0" w:color="auto"/>
            </w:tcBorders>
          </w:tcPr>
          <w:p w:rsidR="00DE2914" w:rsidRPr="00476FC9" w:rsidRDefault="00DE291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Prominence</w:t>
            </w:r>
          </w:p>
        </w:tc>
        <w:tc>
          <w:tcPr>
            <w:tcW w:w="1587" w:type="pct"/>
            <w:tcBorders>
              <w:top w:val="single" w:sz="4" w:space="0" w:color="auto"/>
            </w:tcBorders>
          </w:tcPr>
          <w:p w:rsidR="00DE2914" w:rsidRPr="00476FC9" w:rsidRDefault="00DE291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Perceived Attention</w:t>
            </w:r>
          </w:p>
        </w:tc>
        <w:tc>
          <w:tcPr>
            <w:tcW w:w="1057" w:type="pct"/>
            <w:tcBorders>
              <w:top w:val="single" w:sz="4" w:space="0" w:color="auto"/>
            </w:tcBorders>
          </w:tcPr>
          <w:p w:rsidR="00DE2914" w:rsidRPr="00476FC9" w:rsidRDefault="00DE2914" w:rsidP="007D2ACE">
            <w:pPr>
              <w:keepNext w:val="0"/>
              <w:widowControl w:val="0"/>
              <w:kinsoku w:val="0"/>
              <w:overflowPunct w:val="0"/>
              <w:autoSpaceDE w:val="0"/>
              <w:autoSpaceDN w:val="0"/>
              <w:adjustRightInd w:val="0"/>
              <w:snapToGrid w:val="0"/>
              <w:spacing w:before="0" w:after="0" w:line="240" w:lineRule="auto"/>
              <w:rPr>
                <w:b/>
                <w:color w:val="000000" w:themeColor="text1"/>
                <w:sz w:val="18"/>
                <w:szCs w:val="18"/>
              </w:rPr>
            </w:pPr>
            <w:r w:rsidRPr="00476FC9">
              <w:rPr>
                <w:b/>
                <w:color w:val="000000" w:themeColor="text1"/>
                <w:sz w:val="18"/>
                <w:szCs w:val="18"/>
              </w:rPr>
              <w:t>Supported</w:t>
            </w:r>
          </w:p>
        </w:tc>
      </w:tr>
      <w:tr w:rsidR="00476FC9" w:rsidRPr="00476FC9" w:rsidTr="00D83DFE">
        <w:tc>
          <w:tcPr>
            <w:tcW w:w="587" w:type="pct"/>
          </w:tcPr>
          <w:p w:rsidR="00DE2914" w:rsidRPr="00476FC9" w:rsidRDefault="00DE291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H2</w:t>
            </w:r>
          </w:p>
          <w:p w:rsidR="00710274" w:rsidRPr="00476FC9" w:rsidRDefault="0071027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H3</w:t>
            </w:r>
          </w:p>
          <w:p w:rsidR="00710274" w:rsidRPr="00476FC9" w:rsidRDefault="0071027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p>
        </w:tc>
        <w:tc>
          <w:tcPr>
            <w:tcW w:w="1769" w:type="pct"/>
          </w:tcPr>
          <w:p w:rsidR="00DE2914" w:rsidRPr="00476FC9" w:rsidRDefault="00DE291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Prominence</w:t>
            </w:r>
          </w:p>
          <w:p w:rsidR="00710274" w:rsidRPr="00476FC9" w:rsidRDefault="0071027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Prominence</w:t>
            </w:r>
          </w:p>
        </w:tc>
        <w:tc>
          <w:tcPr>
            <w:tcW w:w="1587" w:type="pct"/>
          </w:tcPr>
          <w:p w:rsidR="00DE2914" w:rsidRPr="00476FC9" w:rsidRDefault="0071027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Recall</w:t>
            </w:r>
          </w:p>
          <w:p w:rsidR="00710274" w:rsidRPr="00476FC9" w:rsidRDefault="0071027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Recognition</w:t>
            </w:r>
          </w:p>
        </w:tc>
        <w:tc>
          <w:tcPr>
            <w:tcW w:w="1057" w:type="pct"/>
          </w:tcPr>
          <w:p w:rsidR="00DE2914" w:rsidRPr="00476FC9" w:rsidRDefault="00DE291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Not supported</w:t>
            </w:r>
          </w:p>
          <w:p w:rsidR="00710274" w:rsidRPr="00476FC9" w:rsidRDefault="0071027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b/>
                <w:color w:val="000000" w:themeColor="text1"/>
                <w:sz w:val="18"/>
                <w:szCs w:val="18"/>
              </w:rPr>
              <w:t>Supported</w:t>
            </w:r>
          </w:p>
        </w:tc>
      </w:tr>
      <w:tr w:rsidR="00476FC9" w:rsidRPr="00476FC9" w:rsidTr="00D83DFE">
        <w:tc>
          <w:tcPr>
            <w:tcW w:w="587" w:type="pct"/>
          </w:tcPr>
          <w:p w:rsidR="00DE2914" w:rsidRPr="00476FC9" w:rsidRDefault="0071027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H4</w:t>
            </w:r>
          </w:p>
          <w:p w:rsidR="00DE2914" w:rsidRPr="00476FC9" w:rsidRDefault="0071027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H5</w:t>
            </w:r>
          </w:p>
          <w:p w:rsidR="00710274" w:rsidRPr="00476FC9" w:rsidRDefault="0071027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H6</w:t>
            </w:r>
          </w:p>
          <w:p w:rsidR="00710274" w:rsidRPr="00476FC9" w:rsidRDefault="0071027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p>
        </w:tc>
        <w:tc>
          <w:tcPr>
            <w:tcW w:w="1769" w:type="pct"/>
          </w:tcPr>
          <w:p w:rsidR="00DE2914" w:rsidRPr="00476FC9" w:rsidRDefault="0071027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DTCA Knowledge</w:t>
            </w:r>
          </w:p>
          <w:p w:rsidR="00710274" w:rsidRPr="00476FC9" w:rsidRDefault="0071027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DTCA Knowledge</w:t>
            </w:r>
          </w:p>
          <w:p w:rsidR="00710274" w:rsidRPr="00476FC9" w:rsidRDefault="0071027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DTCA Knowledge</w:t>
            </w:r>
          </w:p>
          <w:p w:rsidR="00710274" w:rsidRPr="00476FC9" w:rsidRDefault="0071027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p>
        </w:tc>
        <w:tc>
          <w:tcPr>
            <w:tcW w:w="1587" w:type="pct"/>
          </w:tcPr>
          <w:p w:rsidR="00710274" w:rsidRPr="00476FC9" w:rsidRDefault="0071027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 xml:space="preserve">Perceived Attention </w:t>
            </w:r>
          </w:p>
          <w:p w:rsidR="00710274" w:rsidRPr="00476FC9" w:rsidRDefault="0071027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Recall</w:t>
            </w:r>
          </w:p>
          <w:p w:rsidR="00710274" w:rsidRPr="00476FC9" w:rsidRDefault="0071027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Recognition</w:t>
            </w:r>
          </w:p>
          <w:p w:rsidR="00DE2914" w:rsidRPr="00476FC9" w:rsidRDefault="00DE291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p>
        </w:tc>
        <w:tc>
          <w:tcPr>
            <w:tcW w:w="1057" w:type="pct"/>
          </w:tcPr>
          <w:p w:rsidR="00DE2914" w:rsidRPr="00476FC9" w:rsidRDefault="00DE2914" w:rsidP="007D2ACE">
            <w:pPr>
              <w:keepNext w:val="0"/>
              <w:widowControl w:val="0"/>
              <w:kinsoku w:val="0"/>
              <w:overflowPunct w:val="0"/>
              <w:autoSpaceDE w:val="0"/>
              <w:autoSpaceDN w:val="0"/>
              <w:adjustRightInd w:val="0"/>
              <w:snapToGrid w:val="0"/>
              <w:spacing w:before="0" w:after="0" w:line="240" w:lineRule="auto"/>
              <w:rPr>
                <w:b/>
                <w:color w:val="000000" w:themeColor="text1"/>
                <w:sz w:val="18"/>
                <w:szCs w:val="18"/>
              </w:rPr>
            </w:pPr>
            <w:r w:rsidRPr="00476FC9">
              <w:rPr>
                <w:b/>
                <w:color w:val="000000" w:themeColor="text1"/>
                <w:sz w:val="18"/>
                <w:szCs w:val="18"/>
              </w:rPr>
              <w:t>Supported</w:t>
            </w:r>
          </w:p>
          <w:p w:rsidR="00DE2914" w:rsidRPr="00476FC9" w:rsidRDefault="00DE291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Not supported</w:t>
            </w:r>
          </w:p>
          <w:p w:rsidR="00710274" w:rsidRPr="00476FC9" w:rsidRDefault="0071027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b/>
                <w:color w:val="000000" w:themeColor="text1"/>
                <w:sz w:val="18"/>
                <w:szCs w:val="18"/>
              </w:rPr>
              <w:t>Supported</w:t>
            </w:r>
          </w:p>
          <w:p w:rsidR="00710274" w:rsidRPr="00476FC9" w:rsidRDefault="00710274" w:rsidP="007D2ACE">
            <w:pPr>
              <w:keepNext w:val="0"/>
              <w:widowControl w:val="0"/>
              <w:kinsoku w:val="0"/>
              <w:overflowPunct w:val="0"/>
              <w:autoSpaceDE w:val="0"/>
              <w:autoSpaceDN w:val="0"/>
              <w:adjustRightInd w:val="0"/>
              <w:snapToGrid w:val="0"/>
              <w:spacing w:before="0" w:after="0" w:line="240" w:lineRule="auto"/>
              <w:rPr>
                <w:b/>
                <w:color w:val="000000" w:themeColor="text1"/>
                <w:sz w:val="18"/>
                <w:szCs w:val="18"/>
              </w:rPr>
            </w:pPr>
          </w:p>
        </w:tc>
      </w:tr>
      <w:tr w:rsidR="00DE2914" w:rsidRPr="00476FC9" w:rsidTr="00D83DFE">
        <w:tc>
          <w:tcPr>
            <w:tcW w:w="587" w:type="pct"/>
            <w:tcBorders>
              <w:bottom w:val="single" w:sz="4" w:space="0" w:color="auto"/>
            </w:tcBorders>
          </w:tcPr>
          <w:p w:rsidR="00DE2914" w:rsidRPr="00476FC9" w:rsidRDefault="0071027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H7a</w:t>
            </w:r>
          </w:p>
          <w:p w:rsidR="00710274" w:rsidRPr="00476FC9" w:rsidRDefault="0071027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H7b</w:t>
            </w:r>
          </w:p>
          <w:p w:rsidR="00710274" w:rsidRPr="00476FC9" w:rsidRDefault="0071027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H7c</w:t>
            </w:r>
          </w:p>
        </w:tc>
        <w:tc>
          <w:tcPr>
            <w:tcW w:w="1769" w:type="pct"/>
            <w:tcBorders>
              <w:bottom w:val="single" w:sz="4" w:space="0" w:color="auto"/>
            </w:tcBorders>
          </w:tcPr>
          <w:p w:rsidR="00DE2914" w:rsidRPr="00476FC9" w:rsidRDefault="0071027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Prominence</w:t>
            </w:r>
            <w:r w:rsidRPr="00476FC9">
              <w:rPr>
                <w:rFonts w:ascii="MTSYN" w:eastAsia="MTSYN" w:cs="MTSYN" w:hint="eastAsia"/>
                <w:bCs w:val="0"/>
                <w:color w:val="000000" w:themeColor="text1"/>
                <w:sz w:val="18"/>
                <w:szCs w:val="18"/>
              </w:rPr>
              <w:t xml:space="preserve"> × </w:t>
            </w:r>
            <w:r w:rsidRPr="00476FC9">
              <w:rPr>
                <w:color w:val="000000" w:themeColor="text1"/>
                <w:sz w:val="18"/>
                <w:szCs w:val="18"/>
              </w:rPr>
              <w:t>DTCA Knowledge</w:t>
            </w:r>
          </w:p>
          <w:p w:rsidR="00710274" w:rsidRPr="00476FC9" w:rsidRDefault="0071027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Prominence</w:t>
            </w:r>
            <w:r w:rsidRPr="00476FC9">
              <w:rPr>
                <w:rFonts w:ascii="MTSYN" w:eastAsia="MTSYN" w:cs="MTSYN" w:hint="eastAsia"/>
                <w:bCs w:val="0"/>
                <w:color w:val="000000" w:themeColor="text1"/>
                <w:sz w:val="18"/>
                <w:szCs w:val="18"/>
              </w:rPr>
              <w:t xml:space="preserve"> × </w:t>
            </w:r>
            <w:r w:rsidRPr="00476FC9">
              <w:rPr>
                <w:color w:val="000000" w:themeColor="text1"/>
                <w:sz w:val="18"/>
                <w:szCs w:val="18"/>
              </w:rPr>
              <w:t>DTCA Knowledge</w:t>
            </w:r>
          </w:p>
          <w:p w:rsidR="00710274" w:rsidRPr="00476FC9" w:rsidRDefault="00710274" w:rsidP="007D2ACE">
            <w:pPr>
              <w:keepNext w:val="0"/>
              <w:widowControl w:val="0"/>
              <w:kinsoku w:val="0"/>
              <w:overflowPunct w:val="0"/>
              <w:autoSpaceDE w:val="0"/>
              <w:autoSpaceDN w:val="0"/>
              <w:adjustRightInd w:val="0"/>
              <w:snapToGrid w:val="0"/>
              <w:spacing w:before="0" w:after="0" w:line="240" w:lineRule="auto"/>
              <w:rPr>
                <w:b/>
                <w:color w:val="000000" w:themeColor="text1"/>
                <w:sz w:val="18"/>
                <w:szCs w:val="18"/>
              </w:rPr>
            </w:pPr>
            <w:r w:rsidRPr="00476FC9">
              <w:rPr>
                <w:color w:val="000000" w:themeColor="text1"/>
                <w:sz w:val="18"/>
                <w:szCs w:val="18"/>
              </w:rPr>
              <w:t>Prominence</w:t>
            </w:r>
            <w:r w:rsidRPr="00476FC9">
              <w:rPr>
                <w:rFonts w:ascii="MTSYN" w:eastAsia="MTSYN" w:cs="MTSYN" w:hint="eastAsia"/>
                <w:bCs w:val="0"/>
                <w:color w:val="000000" w:themeColor="text1"/>
                <w:sz w:val="18"/>
                <w:szCs w:val="18"/>
              </w:rPr>
              <w:t xml:space="preserve"> × </w:t>
            </w:r>
            <w:r w:rsidRPr="00476FC9">
              <w:rPr>
                <w:color w:val="000000" w:themeColor="text1"/>
                <w:sz w:val="18"/>
                <w:szCs w:val="18"/>
              </w:rPr>
              <w:t>DTCA Knowledge</w:t>
            </w:r>
          </w:p>
        </w:tc>
        <w:tc>
          <w:tcPr>
            <w:tcW w:w="1587" w:type="pct"/>
            <w:tcBorders>
              <w:bottom w:val="single" w:sz="4" w:space="0" w:color="auto"/>
            </w:tcBorders>
          </w:tcPr>
          <w:p w:rsidR="00710274" w:rsidRPr="00476FC9" w:rsidRDefault="0071027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 xml:space="preserve">Perceived Attention </w:t>
            </w:r>
          </w:p>
          <w:p w:rsidR="00710274" w:rsidRPr="00476FC9" w:rsidRDefault="0071027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Recall</w:t>
            </w:r>
          </w:p>
          <w:p w:rsidR="00710274" w:rsidRPr="00476FC9" w:rsidRDefault="0071027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Recognition</w:t>
            </w:r>
          </w:p>
          <w:p w:rsidR="00DE2914" w:rsidRPr="00476FC9" w:rsidRDefault="00DE2914" w:rsidP="007D2ACE">
            <w:pPr>
              <w:keepNext w:val="0"/>
              <w:widowControl w:val="0"/>
              <w:kinsoku w:val="0"/>
              <w:overflowPunct w:val="0"/>
              <w:autoSpaceDE w:val="0"/>
              <w:autoSpaceDN w:val="0"/>
              <w:adjustRightInd w:val="0"/>
              <w:snapToGrid w:val="0"/>
              <w:spacing w:before="0" w:after="0" w:line="240" w:lineRule="auto"/>
              <w:rPr>
                <w:b/>
                <w:color w:val="000000" w:themeColor="text1"/>
                <w:sz w:val="18"/>
                <w:szCs w:val="18"/>
              </w:rPr>
            </w:pPr>
          </w:p>
        </w:tc>
        <w:tc>
          <w:tcPr>
            <w:tcW w:w="1057" w:type="pct"/>
            <w:tcBorders>
              <w:bottom w:val="single" w:sz="4" w:space="0" w:color="auto"/>
            </w:tcBorders>
          </w:tcPr>
          <w:p w:rsidR="00710274" w:rsidRPr="00476FC9" w:rsidRDefault="00710274" w:rsidP="007D2ACE">
            <w:pPr>
              <w:keepNext w:val="0"/>
              <w:widowControl w:val="0"/>
              <w:kinsoku w:val="0"/>
              <w:overflowPunct w:val="0"/>
              <w:autoSpaceDE w:val="0"/>
              <w:autoSpaceDN w:val="0"/>
              <w:adjustRightInd w:val="0"/>
              <w:snapToGrid w:val="0"/>
              <w:spacing w:before="0" w:after="0" w:line="240" w:lineRule="auto"/>
              <w:rPr>
                <w:b/>
                <w:color w:val="000000" w:themeColor="text1"/>
                <w:sz w:val="18"/>
                <w:szCs w:val="18"/>
              </w:rPr>
            </w:pPr>
            <w:r w:rsidRPr="00476FC9">
              <w:rPr>
                <w:b/>
                <w:color w:val="000000" w:themeColor="text1"/>
                <w:sz w:val="18"/>
                <w:szCs w:val="18"/>
              </w:rPr>
              <w:t>Supported</w:t>
            </w:r>
          </w:p>
          <w:p w:rsidR="00710274" w:rsidRPr="00476FC9" w:rsidRDefault="0071027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Not supported</w:t>
            </w:r>
          </w:p>
          <w:p w:rsidR="00710274" w:rsidRPr="00476FC9" w:rsidRDefault="00710274"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Not supported</w:t>
            </w:r>
          </w:p>
        </w:tc>
      </w:tr>
    </w:tbl>
    <w:p w:rsidR="00710274" w:rsidRPr="00476FC9" w:rsidRDefault="00710274" w:rsidP="007D2ACE">
      <w:pPr>
        <w:keepNext w:val="0"/>
        <w:widowControl w:val="0"/>
        <w:kinsoku w:val="0"/>
        <w:overflowPunct w:val="0"/>
        <w:autoSpaceDE w:val="0"/>
        <w:autoSpaceDN w:val="0"/>
        <w:adjustRightInd w:val="0"/>
        <w:snapToGrid w:val="0"/>
        <w:spacing w:before="0" w:after="0"/>
        <w:rPr>
          <w:color w:val="000000" w:themeColor="text1"/>
        </w:rPr>
      </w:pPr>
    </w:p>
    <w:p w:rsidR="00B04844" w:rsidRPr="00476FC9" w:rsidRDefault="00B04844"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t xml:space="preserve">According to the suggested steps by Zhao et al. (2010) for mediation analysis, the mediating role of perceived attention was denoted as (a </w:t>
      </w:r>
      <w:r w:rsidR="00EA4F9C" w:rsidRPr="00476FC9">
        <w:rPr>
          <w:rFonts w:ascii="MTSYN" w:eastAsia="MTSYN" w:cs="MTSYN" w:hint="eastAsia"/>
          <w:bCs w:val="0"/>
          <w:color w:val="000000" w:themeColor="text1"/>
          <w:sz w:val="20"/>
          <w:szCs w:val="20"/>
        </w:rPr>
        <w:t xml:space="preserve">× </w:t>
      </w:r>
      <w:r w:rsidRPr="00476FC9">
        <w:rPr>
          <w:color w:val="000000" w:themeColor="text1"/>
        </w:rPr>
        <w:t>b) and the direct effects of independent variables on dependent variables were denoted as (c) with a 95% confidence interval (CI), along with 5000 bootstrap samples.</w:t>
      </w:r>
    </w:p>
    <w:p w:rsidR="00B04844" w:rsidRPr="00476FC9" w:rsidRDefault="00B04844"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t>First, to examine the mediating role of perceived attention</w:t>
      </w:r>
      <w:r w:rsidR="00165127" w:rsidRPr="00476FC9">
        <w:rPr>
          <w:color w:val="000000" w:themeColor="text1"/>
        </w:rPr>
        <w:t xml:space="preserve"> between prominence and recall</w:t>
      </w:r>
      <w:r w:rsidRPr="00476FC9">
        <w:rPr>
          <w:color w:val="000000" w:themeColor="text1"/>
        </w:rPr>
        <w:t xml:space="preserve">, variables were submitted to the Preacher-Hayes </w:t>
      </w:r>
      <w:r w:rsidR="00AC3575" w:rsidRPr="00476FC9">
        <w:rPr>
          <w:color w:val="000000" w:themeColor="text1"/>
        </w:rPr>
        <w:t xml:space="preserve">(2008) </w:t>
      </w:r>
      <w:r w:rsidRPr="00476FC9">
        <w:rPr>
          <w:color w:val="000000" w:themeColor="text1"/>
        </w:rPr>
        <w:t xml:space="preserve">bootstrap macro in SPSS 21. In the first analysis, the IV was prominence and the mediating variable (M) was perceived attention. The DV was recall score. The results showed that perceived attention had </w:t>
      </w:r>
      <w:r w:rsidRPr="00476FC9">
        <w:rPr>
          <w:i/>
          <w:color w:val="000000" w:themeColor="text1"/>
        </w:rPr>
        <w:t>indirect-only</w:t>
      </w:r>
      <w:r w:rsidRPr="00476FC9">
        <w:rPr>
          <w:color w:val="000000" w:themeColor="text1"/>
        </w:rPr>
        <w:t xml:space="preserve"> mediation effects (a </w:t>
      </w:r>
      <w:r w:rsidR="00EA4F9C" w:rsidRPr="00476FC9">
        <w:rPr>
          <w:rFonts w:ascii="MTSYN" w:eastAsia="MTSYN" w:cs="MTSYN" w:hint="eastAsia"/>
          <w:bCs w:val="0"/>
          <w:color w:val="000000" w:themeColor="text1"/>
          <w:sz w:val="20"/>
          <w:szCs w:val="20"/>
        </w:rPr>
        <w:t xml:space="preserve">× </w:t>
      </w:r>
      <w:r w:rsidRPr="00476FC9">
        <w:rPr>
          <w:color w:val="000000" w:themeColor="text1"/>
        </w:rPr>
        <w:t>b = .</w:t>
      </w:r>
      <w:r w:rsidR="00EA4F9C" w:rsidRPr="00476FC9">
        <w:rPr>
          <w:color w:val="000000" w:themeColor="text1"/>
        </w:rPr>
        <w:t>0</w:t>
      </w:r>
      <w:r w:rsidR="00AC3575" w:rsidRPr="00476FC9">
        <w:rPr>
          <w:color w:val="000000" w:themeColor="text1"/>
        </w:rPr>
        <w:t>8</w:t>
      </w:r>
      <w:r w:rsidRPr="00476FC9">
        <w:rPr>
          <w:color w:val="000000" w:themeColor="text1"/>
        </w:rPr>
        <w:t>) between prominence and recall, with a 95% CI excluding zero (.01</w:t>
      </w:r>
      <w:r w:rsidR="00EA4F9C" w:rsidRPr="00476FC9">
        <w:rPr>
          <w:color w:val="000000" w:themeColor="text1"/>
        </w:rPr>
        <w:t>4</w:t>
      </w:r>
      <w:r w:rsidR="00AC3575" w:rsidRPr="00476FC9">
        <w:rPr>
          <w:color w:val="000000" w:themeColor="text1"/>
        </w:rPr>
        <w:t>4</w:t>
      </w:r>
      <w:r w:rsidRPr="00476FC9">
        <w:rPr>
          <w:color w:val="000000" w:themeColor="text1"/>
        </w:rPr>
        <w:t xml:space="preserve"> to .</w:t>
      </w:r>
      <w:r w:rsidR="00EA4F9C" w:rsidRPr="00476FC9">
        <w:rPr>
          <w:color w:val="000000" w:themeColor="text1"/>
        </w:rPr>
        <w:t>1</w:t>
      </w:r>
      <w:r w:rsidR="00AC3575" w:rsidRPr="00476FC9">
        <w:rPr>
          <w:color w:val="000000" w:themeColor="text1"/>
        </w:rPr>
        <w:t>704</w:t>
      </w:r>
      <w:r w:rsidRPr="00476FC9">
        <w:rPr>
          <w:color w:val="000000" w:themeColor="text1"/>
        </w:rPr>
        <w:t xml:space="preserve">). The direct effect c </w:t>
      </w:r>
      <w:r w:rsidR="00EA4F9C" w:rsidRPr="00476FC9">
        <w:rPr>
          <w:color w:val="000000" w:themeColor="text1"/>
        </w:rPr>
        <w:t xml:space="preserve">(.14) </w:t>
      </w:r>
      <w:r w:rsidRPr="00476FC9">
        <w:rPr>
          <w:color w:val="000000" w:themeColor="text1"/>
        </w:rPr>
        <w:t>was not significant (</w:t>
      </w:r>
      <w:r w:rsidRPr="00476FC9">
        <w:rPr>
          <w:i/>
          <w:color w:val="000000" w:themeColor="text1"/>
        </w:rPr>
        <w:t>p</w:t>
      </w:r>
      <w:r w:rsidRPr="00476FC9">
        <w:rPr>
          <w:color w:val="000000" w:themeColor="text1"/>
        </w:rPr>
        <w:t xml:space="preserve"> &gt; .05). </w:t>
      </w:r>
      <w:r w:rsidR="00AC3575" w:rsidRPr="00476FC9">
        <w:rPr>
          <w:color w:val="000000" w:themeColor="text1"/>
        </w:rPr>
        <w:t xml:space="preserve">This indirect-only mediation overlaps with Baron and Kenny’s (1986) </w:t>
      </w:r>
      <w:r w:rsidR="00AC3575" w:rsidRPr="00476FC9">
        <w:rPr>
          <w:i/>
          <w:color w:val="000000" w:themeColor="text1"/>
        </w:rPr>
        <w:t>full mediation</w:t>
      </w:r>
      <w:r w:rsidR="00AC3575" w:rsidRPr="00476FC9">
        <w:rPr>
          <w:color w:val="000000" w:themeColor="text1"/>
        </w:rPr>
        <w:t xml:space="preserve"> (Zhao et al., 2010). </w:t>
      </w:r>
      <w:r w:rsidRPr="00476FC9">
        <w:rPr>
          <w:color w:val="000000" w:themeColor="text1"/>
        </w:rPr>
        <w:t>The results support H</w:t>
      </w:r>
      <w:r w:rsidR="00EA4F9C" w:rsidRPr="00476FC9">
        <w:rPr>
          <w:color w:val="000000" w:themeColor="text1"/>
        </w:rPr>
        <w:t>8a</w:t>
      </w:r>
      <w:r w:rsidRPr="00476FC9">
        <w:rPr>
          <w:color w:val="000000" w:themeColor="text1"/>
        </w:rPr>
        <w:t xml:space="preserve">. </w:t>
      </w:r>
    </w:p>
    <w:p w:rsidR="00EA4F9C" w:rsidRPr="00476FC9" w:rsidRDefault="00EA4F9C"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The same procedure was performed on recognition. The results showed that perceived </w:t>
      </w:r>
      <w:r w:rsidRPr="00476FC9">
        <w:rPr>
          <w:color w:val="000000" w:themeColor="text1"/>
        </w:rPr>
        <w:lastRenderedPageBreak/>
        <w:t xml:space="preserve">attention had </w:t>
      </w:r>
      <w:r w:rsidR="00AC3575" w:rsidRPr="00476FC9">
        <w:rPr>
          <w:i/>
          <w:color w:val="000000" w:themeColor="text1"/>
        </w:rPr>
        <w:t>complementary mediation</w:t>
      </w:r>
      <w:r w:rsidRPr="00476FC9">
        <w:rPr>
          <w:color w:val="000000" w:themeColor="text1"/>
        </w:rPr>
        <w:t xml:space="preserve"> effects (a </w:t>
      </w:r>
      <w:r w:rsidRPr="00476FC9">
        <w:rPr>
          <w:rFonts w:ascii="MTSYN" w:eastAsia="MTSYN" w:cs="MTSYN" w:hint="eastAsia"/>
          <w:bCs w:val="0"/>
          <w:color w:val="000000" w:themeColor="text1"/>
          <w:sz w:val="20"/>
          <w:szCs w:val="20"/>
        </w:rPr>
        <w:t xml:space="preserve">× </w:t>
      </w:r>
      <w:r w:rsidRPr="00476FC9">
        <w:rPr>
          <w:color w:val="000000" w:themeColor="text1"/>
        </w:rPr>
        <w:t xml:space="preserve">b = .31) between prominence and </w:t>
      </w:r>
      <w:r w:rsidR="005A70F4" w:rsidRPr="00476FC9">
        <w:rPr>
          <w:color w:val="000000" w:themeColor="text1"/>
        </w:rPr>
        <w:t>recognition</w:t>
      </w:r>
      <w:r w:rsidRPr="00476FC9">
        <w:rPr>
          <w:color w:val="000000" w:themeColor="text1"/>
        </w:rPr>
        <w:t>, with a 95% CI excluding zero (.</w:t>
      </w:r>
      <w:r w:rsidR="005A70F4" w:rsidRPr="00476FC9">
        <w:rPr>
          <w:color w:val="000000" w:themeColor="text1"/>
        </w:rPr>
        <w:t>0483</w:t>
      </w:r>
      <w:r w:rsidRPr="00476FC9">
        <w:rPr>
          <w:color w:val="000000" w:themeColor="text1"/>
        </w:rPr>
        <w:t xml:space="preserve"> to .6</w:t>
      </w:r>
      <w:r w:rsidR="005A70F4" w:rsidRPr="00476FC9">
        <w:rPr>
          <w:color w:val="000000" w:themeColor="text1"/>
        </w:rPr>
        <w:t>374</w:t>
      </w:r>
      <w:r w:rsidRPr="00476FC9">
        <w:rPr>
          <w:color w:val="000000" w:themeColor="text1"/>
        </w:rPr>
        <w:t>). The direct effect c (.75) was significant (</w:t>
      </w:r>
      <w:r w:rsidRPr="00476FC9">
        <w:rPr>
          <w:i/>
          <w:color w:val="000000" w:themeColor="text1"/>
        </w:rPr>
        <w:t>p</w:t>
      </w:r>
      <w:r w:rsidRPr="00476FC9">
        <w:rPr>
          <w:color w:val="000000" w:themeColor="text1"/>
        </w:rPr>
        <w:t xml:space="preserve"> &lt; .05). </w:t>
      </w:r>
      <w:r w:rsidR="005A70F4" w:rsidRPr="00476FC9">
        <w:rPr>
          <w:color w:val="000000" w:themeColor="text1"/>
        </w:rPr>
        <w:t xml:space="preserve">Specifically, </w:t>
      </w:r>
      <w:r w:rsidRPr="00476FC9">
        <w:rPr>
          <w:color w:val="000000" w:themeColor="text1"/>
        </w:rPr>
        <w:t xml:space="preserve">a </w:t>
      </w:r>
      <w:r w:rsidRPr="00476FC9">
        <w:rPr>
          <w:rFonts w:ascii="MTSYN" w:eastAsia="MTSYN" w:cs="MTSYN" w:hint="eastAsia"/>
          <w:bCs w:val="0"/>
          <w:color w:val="000000" w:themeColor="text1"/>
          <w:sz w:val="20"/>
          <w:szCs w:val="20"/>
        </w:rPr>
        <w:t xml:space="preserve">× </w:t>
      </w:r>
      <w:r w:rsidRPr="00476FC9">
        <w:rPr>
          <w:color w:val="000000" w:themeColor="text1"/>
        </w:rPr>
        <w:t xml:space="preserve">b </w:t>
      </w:r>
      <w:r w:rsidRPr="00476FC9">
        <w:rPr>
          <w:rFonts w:ascii="MTSYN" w:eastAsia="MTSYN" w:cs="MTSYN" w:hint="eastAsia"/>
          <w:bCs w:val="0"/>
          <w:color w:val="000000" w:themeColor="text1"/>
          <w:sz w:val="20"/>
          <w:szCs w:val="20"/>
        </w:rPr>
        <w:t xml:space="preserve">× </w:t>
      </w:r>
      <w:r w:rsidRPr="00476FC9">
        <w:rPr>
          <w:color w:val="000000" w:themeColor="text1"/>
        </w:rPr>
        <w:t>c (.23) was positive</w:t>
      </w:r>
      <w:r w:rsidR="005A70F4" w:rsidRPr="00476FC9">
        <w:rPr>
          <w:color w:val="000000" w:themeColor="text1"/>
        </w:rPr>
        <w:t xml:space="preserve">, suggesting </w:t>
      </w:r>
      <w:r w:rsidRPr="00476FC9">
        <w:rPr>
          <w:color w:val="000000" w:themeColor="text1"/>
        </w:rPr>
        <w:t xml:space="preserve">a </w:t>
      </w:r>
      <w:r w:rsidRPr="00476FC9">
        <w:rPr>
          <w:i/>
          <w:color w:val="000000" w:themeColor="text1"/>
        </w:rPr>
        <w:t>complementary mediation</w:t>
      </w:r>
      <w:r w:rsidR="005A70F4" w:rsidRPr="00476FC9">
        <w:rPr>
          <w:color w:val="000000" w:themeColor="text1"/>
        </w:rPr>
        <w:t xml:space="preserve"> (Zhao et al., 2010). The complementary mediation indicate</w:t>
      </w:r>
      <w:r w:rsidR="00426EEA" w:rsidRPr="00476FC9">
        <w:rPr>
          <w:color w:val="000000" w:themeColor="text1"/>
        </w:rPr>
        <w:t>s</w:t>
      </w:r>
      <w:r w:rsidR="005A70F4" w:rsidRPr="00476FC9">
        <w:rPr>
          <w:color w:val="000000" w:themeColor="text1"/>
        </w:rPr>
        <w:t xml:space="preserve"> that researchers need to consider the likelihood of an omitted mediator in the direct path, even </w:t>
      </w:r>
      <w:r w:rsidRPr="00476FC9">
        <w:rPr>
          <w:color w:val="000000" w:themeColor="text1"/>
        </w:rPr>
        <w:t xml:space="preserve">though </w:t>
      </w:r>
      <w:r w:rsidR="000176F2" w:rsidRPr="00476FC9">
        <w:rPr>
          <w:color w:val="000000" w:themeColor="text1"/>
        </w:rPr>
        <w:t xml:space="preserve">the </w:t>
      </w:r>
      <w:r w:rsidR="005A70F4" w:rsidRPr="00476FC9">
        <w:rPr>
          <w:color w:val="000000" w:themeColor="text1"/>
        </w:rPr>
        <w:t xml:space="preserve">hypothesized </w:t>
      </w:r>
      <w:r w:rsidR="000176F2" w:rsidRPr="00476FC9">
        <w:rPr>
          <w:color w:val="000000" w:themeColor="text1"/>
        </w:rPr>
        <w:t xml:space="preserve">mediator was identified consistent with </w:t>
      </w:r>
      <w:r w:rsidR="005A70F4" w:rsidRPr="00476FC9">
        <w:rPr>
          <w:color w:val="000000" w:themeColor="text1"/>
        </w:rPr>
        <w:t>the researcher’s</w:t>
      </w:r>
      <w:r w:rsidR="000176F2" w:rsidRPr="00476FC9">
        <w:rPr>
          <w:color w:val="000000" w:themeColor="text1"/>
        </w:rPr>
        <w:t xml:space="preserve"> theoretical framework</w:t>
      </w:r>
      <w:r w:rsidR="005A70F4" w:rsidRPr="00476FC9">
        <w:rPr>
          <w:color w:val="000000" w:themeColor="text1"/>
        </w:rPr>
        <w:t>. The complementary mediation overlaps with Baron and Kenny’s partial mediation (Zaho et al., 2010). Further, complementary mediations have been referred to as “consistent” models or “positive confounding” (Shrout &amp; Bogler, 2002), From the bootstrap perspective, t</w:t>
      </w:r>
      <w:r w:rsidRPr="00476FC9">
        <w:rPr>
          <w:color w:val="000000" w:themeColor="text1"/>
        </w:rPr>
        <w:t xml:space="preserve">he results </w:t>
      </w:r>
      <w:r w:rsidR="005A70F4" w:rsidRPr="00476FC9">
        <w:rPr>
          <w:color w:val="000000" w:themeColor="text1"/>
        </w:rPr>
        <w:t xml:space="preserve">of this study </w:t>
      </w:r>
      <w:r w:rsidRPr="00476FC9">
        <w:rPr>
          <w:color w:val="000000" w:themeColor="text1"/>
        </w:rPr>
        <w:t>support H8b</w:t>
      </w:r>
      <w:r w:rsidR="005A70F4" w:rsidRPr="00476FC9">
        <w:rPr>
          <w:color w:val="000000" w:themeColor="text1"/>
        </w:rPr>
        <w:t xml:space="preserve">, while suggesting consideration of </w:t>
      </w:r>
      <w:r w:rsidR="00426EEA" w:rsidRPr="00476FC9">
        <w:rPr>
          <w:color w:val="000000" w:themeColor="text1"/>
        </w:rPr>
        <w:t>a possibly omitted mediator in the direct path between prominence and recognition</w:t>
      </w:r>
      <w:r w:rsidRPr="00476FC9">
        <w:rPr>
          <w:color w:val="000000" w:themeColor="text1"/>
        </w:rPr>
        <w:t>.</w:t>
      </w:r>
    </w:p>
    <w:p w:rsidR="00426EEA" w:rsidRPr="00476FC9" w:rsidRDefault="00426EEA"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To test H9a and H9b, the same approach was employed on recall and recognition. The independent variable was DTCA knowledge, perceived attention was a mediator, and recall and recognition were dependent variables. The results showed that perceived attention had </w:t>
      </w:r>
      <w:r w:rsidRPr="00476FC9">
        <w:rPr>
          <w:i/>
          <w:color w:val="000000" w:themeColor="text1"/>
        </w:rPr>
        <w:t xml:space="preserve">indirect-only </w:t>
      </w:r>
      <w:r w:rsidRPr="00476FC9">
        <w:rPr>
          <w:color w:val="000000" w:themeColor="text1"/>
        </w:rPr>
        <w:t xml:space="preserve">effects (a </w:t>
      </w:r>
      <w:r w:rsidRPr="00476FC9">
        <w:rPr>
          <w:rFonts w:ascii="MTSYN" w:eastAsia="MTSYN" w:cs="MTSYN" w:hint="eastAsia"/>
          <w:bCs w:val="0"/>
          <w:color w:val="000000" w:themeColor="text1"/>
          <w:sz w:val="20"/>
          <w:szCs w:val="20"/>
        </w:rPr>
        <w:t xml:space="preserve">× </w:t>
      </w:r>
      <w:r w:rsidRPr="00476FC9">
        <w:rPr>
          <w:color w:val="000000" w:themeColor="text1"/>
        </w:rPr>
        <w:t xml:space="preserve">b = .04) between DTCA knowledge and </w:t>
      </w:r>
      <w:r w:rsidR="00793565" w:rsidRPr="00476FC9">
        <w:rPr>
          <w:color w:val="000000" w:themeColor="text1"/>
        </w:rPr>
        <w:t>recall</w:t>
      </w:r>
      <w:r w:rsidRPr="00476FC9">
        <w:rPr>
          <w:color w:val="000000" w:themeColor="text1"/>
        </w:rPr>
        <w:t>, with a 95% CI excluding zero (.0135 to .0786). The direct effect c (-.03) was not significant (</w:t>
      </w:r>
      <w:r w:rsidRPr="00476FC9">
        <w:rPr>
          <w:i/>
          <w:color w:val="000000" w:themeColor="text1"/>
        </w:rPr>
        <w:t>p</w:t>
      </w:r>
      <w:r w:rsidRPr="00476FC9">
        <w:rPr>
          <w:color w:val="000000" w:themeColor="text1"/>
        </w:rPr>
        <w:t xml:space="preserve"> &gt;</w:t>
      </w:r>
      <w:r w:rsidR="00793565" w:rsidRPr="00476FC9">
        <w:rPr>
          <w:color w:val="000000" w:themeColor="text1"/>
        </w:rPr>
        <w:t xml:space="preserve"> .05). H9a was supported.</w:t>
      </w:r>
    </w:p>
    <w:p w:rsidR="00793565" w:rsidRPr="00476FC9" w:rsidRDefault="00793565"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As to recognition, the results showed that perceived attention had </w:t>
      </w:r>
      <w:r w:rsidRPr="00476FC9">
        <w:rPr>
          <w:i/>
          <w:color w:val="000000" w:themeColor="text1"/>
        </w:rPr>
        <w:t xml:space="preserve">indirect-only </w:t>
      </w:r>
      <w:r w:rsidRPr="00476FC9">
        <w:rPr>
          <w:color w:val="000000" w:themeColor="text1"/>
        </w:rPr>
        <w:t xml:space="preserve">effects (a </w:t>
      </w:r>
      <w:r w:rsidRPr="00476FC9">
        <w:rPr>
          <w:rFonts w:ascii="MTSYN" w:eastAsia="MTSYN" w:cs="MTSYN" w:hint="eastAsia"/>
          <w:bCs w:val="0"/>
          <w:color w:val="000000" w:themeColor="text1"/>
          <w:sz w:val="20"/>
          <w:szCs w:val="20"/>
        </w:rPr>
        <w:t xml:space="preserve">× </w:t>
      </w:r>
      <w:r w:rsidRPr="00476FC9">
        <w:rPr>
          <w:color w:val="000000" w:themeColor="text1"/>
        </w:rPr>
        <w:t>b = .19) between DTCA knowledge and recognition, with a 95% CI excluding zero (.0545 to .2911). The direct effect c (.04) was not significant (</w:t>
      </w:r>
      <w:r w:rsidRPr="00476FC9">
        <w:rPr>
          <w:i/>
          <w:color w:val="000000" w:themeColor="text1"/>
        </w:rPr>
        <w:t>p</w:t>
      </w:r>
      <w:r w:rsidRPr="00476FC9">
        <w:rPr>
          <w:color w:val="000000" w:themeColor="text1"/>
        </w:rPr>
        <w:t xml:space="preserve"> &gt; .05). H9b was supported.</w:t>
      </w:r>
    </w:p>
    <w:p w:rsidR="00793565" w:rsidRPr="00476FC9" w:rsidRDefault="00793565"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Finally, to test H10a and H10b, the interaction term of prominence and DTCA knowledge (IV) was entered in the bootstrap macro with perceived attention (M) and recall and recognition (DVs). The results showed that perceived attention had </w:t>
      </w:r>
      <w:r w:rsidR="005E103D" w:rsidRPr="00476FC9">
        <w:rPr>
          <w:color w:val="000000" w:themeColor="text1"/>
        </w:rPr>
        <w:t>indirect</w:t>
      </w:r>
      <w:r w:rsidRPr="00476FC9">
        <w:rPr>
          <w:i/>
          <w:color w:val="000000" w:themeColor="text1"/>
        </w:rPr>
        <w:t xml:space="preserve"> </w:t>
      </w:r>
      <w:r w:rsidRPr="00476FC9">
        <w:rPr>
          <w:color w:val="000000" w:themeColor="text1"/>
        </w:rPr>
        <w:t xml:space="preserve">effects  (a </w:t>
      </w:r>
      <w:r w:rsidRPr="00476FC9">
        <w:rPr>
          <w:rFonts w:ascii="MTSYN" w:eastAsia="MTSYN" w:cs="MTSYN" w:hint="eastAsia"/>
          <w:bCs w:val="0"/>
          <w:color w:val="000000" w:themeColor="text1"/>
          <w:sz w:val="20"/>
          <w:szCs w:val="20"/>
        </w:rPr>
        <w:t xml:space="preserve">× </w:t>
      </w:r>
      <w:r w:rsidRPr="00476FC9">
        <w:rPr>
          <w:color w:val="000000" w:themeColor="text1"/>
        </w:rPr>
        <w:t xml:space="preserve">b = </w:t>
      </w:r>
      <w:r w:rsidR="005E103D" w:rsidRPr="00476FC9">
        <w:rPr>
          <w:color w:val="000000" w:themeColor="text1"/>
        </w:rPr>
        <w:t>-</w:t>
      </w:r>
      <w:r w:rsidRPr="00476FC9">
        <w:rPr>
          <w:color w:val="000000" w:themeColor="text1"/>
        </w:rPr>
        <w:lastRenderedPageBreak/>
        <w:t>.</w:t>
      </w:r>
      <w:r w:rsidR="005E103D" w:rsidRPr="00476FC9">
        <w:rPr>
          <w:color w:val="000000" w:themeColor="text1"/>
        </w:rPr>
        <w:t>13</w:t>
      </w:r>
      <w:r w:rsidRPr="00476FC9">
        <w:rPr>
          <w:color w:val="000000" w:themeColor="text1"/>
        </w:rPr>
        <w:t xml:space="preserve">) between </w:t>
      </w:r>
      <w:r w:rsidR="001418B3" w:rsidRPr="00476FC9">
        <w:rPr>
          <w:color w:val="000000" w:themeColor="text1"/>
        </w:rPr>
        <w:t xml:space="preserve">the interaction of prominence and DTCA </w:t>
      </w:r>
      <w:r w:rsidR="005E103D" w:rsidRPr="00476FC9">
        <w:rPr>
          <w:color w:val="000000" w:themeColor="text1"/>
        </w:rPr>
        <w:t xml:space="preserve">regulatory </w:t>
      </w:r>
      <w:r w:rsidR="001418B3" w:rsidRPr="00476FC9">
        <w:rPr>
          <w:color w:val="000000" w:themeColor="text1"/>
        </w:rPr>
        <w:t>knowledge</w:t>
      </w:r>
      <w:r w:rsidR="00A860C0" w:rsidRPr="00476FC9">
        <w:rPr>
          <w:color w:val="000000" w:themeColor="text1"/>
        </w:rPr>
        <w:t>,</w:t>
      </w:r>
      <w:r w:rsidR="005E103D" w:rsidRPr="00476FC9">
        <w:rPr>
          <w:color w:val="000000" w:themeColor="text1"/>
        </w:rPr>
        <w:t xml:space="preserve"> </w:t>
      </w:r>
      <w:r w:rsidRPr="00476FC9">
        <w:rPr>
          <w:color w:val="000000" w:themeColor="text1"/>
        </w:rPr>
        <w:t xml:space="preserve">and recall, with a 95% CI </w:t>
      </w:r>
      <w:r w:rsidR="00A860C0" w:rsidRPr="00476FC9">
        <w:rPr>
          <w:color w:val="000000" w:themeColor="text1"/>
        </w:rPr>
        <w:t>excluding</w:t>
      </w:r>
      <w:r w:rsidRPr="00476FC9">
        <w:rPr>
          <w:color w:val="000000" w:themeColor="text1"/>
        </w:rPr>
        <w:t xml:space="preserve"> zero (</w:t>
      </w:r>
      <w:r w:rsidR="001418B3" w:rsidRPr="00476FC9">
        <w:rPr>
          <w:color w:val="000000" w:themeColor="text1"/>
        </w:rPr>
        <w:t>-</w:t>
      </w:r>
      <w:r w:rsidRPr="00476FC9">
        <w:rPr>
          <w:color w:val="000000" w:themeColor="text1"/>
        </w:rPr>
        <w:t>.</w:t>
      </w:r>
      <w:r w:rsidR="005E103D" w:rsidRPr="00476FC9">
        <w:rPr>
          <w:color w:val="000000" w:themeColor="text1"/>
        </w:rPr>
        <w:t xml:space="preserve">2941 </w:t>
      </w:r>
      <w:r w:rsidRPr="00476FC9">
        <w:rPr>
          <w:color w:val="000000" w:themeColor="text1"/>
        </w:rPr>
        <w:t xml:space="preserve">to </w:t>
      </w:r>
      <w:r w:rsidR="005E103D" w:rsidRPr="00476FC9">
        <w:rPr>
          <w:color w:val="000000" w:themeColor="text1"/>
        </w:rPr>
        <w:t>-</w:t>
      </w:r>
      <w:r w:rsidRPr="00476FC9">
        <w:rPr>
          <w:color w:val="000000" w:themeColor="text1"/>
        </w:rPr>
        <w:t>.</w:t>
      </w:r>
      <w:r w:rsidR="005E103D" w:rsidRPr="00476FC9">
        <w:rPr>
          <w:color w:val="000000" w:themeColor="text1"/>
        </w:rPr>
        <w:t>0194</w:t>
      </w:r>
      <w:r w:rsidRPr="00476FC9">
        <w:rPr>
          <w:color w:val="000000" w:themeColor="text1"/>
        </w:rPr>
        <w:t>). The direct effect c (</w:t>
      </w:r>
      <w:r w:rsidR="001418B3" w:rsidRPr="00476FC9">
        <w:rPr>
          <w:color w:val="000000" w:themeColor="text1"/>
        </w:rPr>
        <w:t>.</w:t>
      </w:r>
      <w:r w:rsidR="005E103D" w:rsidRPr="00476FC9">
        <w:rPr>
          <w:color w:val="000000" w:themeColor="text1"/>
        </w:rPr>
        <w:t>29</w:t>
      </w:r>
      <w:r w:rsidRPr="00476FC9">
        <w:rPr>
          <w:color w:val="000000" w:themeColor="text1"/>
        </w:rPr>
        <w:t>) was not significant (</w:t>
      </w:r>
      <w:r w:rsidRPr="00476FC9">
        <w:rPr>
          <w:i/>
          <w:color w:val="000000" w:themeColor="text1"/>
        </w:rPr>
        <w:t>p</w:t>
      </w:r>
      <w:r w:rsidRPr="00476FC9">
        <w:rPr>
          <w:color w:val="000000" w:themeColor="text1"/>
        </w:rPr>
        <w:t xml:space="preserve"> &gt; .05).</w:t>
      </w:r>
      <w:r w:rsidR="001418B3" w:rsidRPr="00476FC9">
        <w:rPr>
          <w:color w:val="000000" w:themeColor="text1"/>
        </w:rPr>
        <w:t xml:space="preserve"> </w:t>
      </w:r>
      <w:r w:rsidR="0046741B" w:rsidRPr="00476FC9">
        <w:rPr>
          <w:color w:val="000000" w:themeColor="text1"/>
        </w:rPr>
        <w:t>T</w:t>
      </w:r>
      <w:r w:rsidR="001418B3" w:rsidRPr="00476FC9">
        <w:rPr>
          <w:color w:val="000000" w:themeColor="text1"/>
        </w:rPr>
        <w:t xml:space="preserve">hese results indicate that the interaction of prominence and DTCA </w:t>
      </w:r>
      <w:r w:rsidR="005E103D" w:rsidRPr="00476FC9">
        <w:rPr>
          <w:color w:val="000000" w:themeColor="text1"/>
        </w:rPr>
        <w:t xml:space="preserve">regulatory </w:t>
      </w:r>
      <w:r w:rsidR="001418B3" w:rsidRPr="00476FC9">
        <w:rPr>
          <w:color w:val="000000" w:themeColor="text1"/>
        </w:rPr>
        <w:t>knowledge ha</w:t>
      </w:r>
      <w:r w:rsidR="005E103D" w:rsidRPr="00476FC9">
        <w:rPr>
          <w:color w:val="000000" w:themeColor="text1"/>
        </w:rPr>
        <w:t xml:space="preserve">d </w:t>
      </w:r>
      <w:r w:rsidR="001418B3" w:rsidRPr="00476FC9">
        <w:rPr>
          <w:color w:val="000000" w:themeColor="text1"/>
        </w:rPr>
        <w:t xml:space="preserve">significant </w:t>
      </w:r>
      <w:r w:rsidR="005E103D" w:rsidRPr="00476FC9">
        <w:rPr>
          <w:color w:val="000000" w:themeColor="text1"/>
        </w:rPr>
        <w:t>i</w:t>
      </w:r>
      <w:r w:rsidR="00D935FE" w:rsidRPr="00476FC9">
        <w:rPr>
          <w:color w:val="000000" w:themeColor="text1"/>
        </w:rPr>
        <w:t xml:space="preserve">nteraction </w:t>
      </w:r>
      <w:r w:rsidR="001418B3" w:rsidRPr="00476FC9">
        <w:rPr>
          <w:color w:val="000000" w:themeColor="text1"/>
        </w:rPr>
        <w:t>effects</w:t>
      </w:r>
      <w:r w:rsidR="005E103D" w:rsidRPr="00476FC9">
        <w:rPr>
          <w:color w:val="000000" w:themeColor="text1"/>
        </w:rPr>
        <w:t xml:space="preserve"> through perceived attention</w:t>
      </w:r>
      <w:r w:rsidR="001418B3" w:rsidRPr="00476FC9">
        <w:rPr>
          <w:color w:val="000000" w:themeColor="text1"/>
        </w:rPr>
        <w:t xml:space="preserve"> on recall.</w:t>
      </w:r>
      <w:r w:rsidR="005E103D" w:rsidRPr="00476FC9">
        <w:rPr>
          <w:color w:val="000000" w:themeColor="text1"/>
        </w:rPr>
        <w:t xml:space="preserve"> To pinpoint the moderated mediation pattern, the </w:t>
      </w:r>
      <w:r w:rsidR="005E103D" w:rsidRPr="00476FC9">
        <w:rPr>
          <w:i/>
          <w:color w:val="000000" w:themeColor="text1"/>
        </w:rPr>
        <w:t>Johnson-</w:t>
      </w:r>
      <w:r w:rsidR="004724BE" w:rsidRPr="00476FC9">
        <w:rPr>
          <w:i/>
          <w:color w:val="000000" w:themeColor="text1"/>
        </w:rPr>
        <w:t>Neyman method</w:t>
      </w:r>
      <w:r w:rsidR="004724BE" w:rsidRPr="00476FC9">
        <w:rPr>
          <w:color w:val="000000" w:themeColor="text1"/>
        </w:rPr>
        <w:t xml:space="preserve"> was employed. The </w:t>
      </w:r>
      <w:r w:rsidR="00A860C0" w:rsidRPr="00476FC9">
        <w:rPr>
          <w:color w:val="000000" w:themeColor="text1"/>
        </w:rPr>
        <w:t>r</w:t>
      </w:r>
      <w:r w:rsidR="004724BE" w:rsidRPr="00476FC9">
        <w:rPr>
          <w:color w:val="000000" w:themeColor="text1"/>
        </w:rPr>
        <w:t xml:space="preserve">esults showed that when DTCA regulatory knowledge was one standard deviation (SD) below the mean (.0409 to .2675) and </w:t>
      </w:r>
      <w:r w:rsidR="00A860C0" w:rsidRPr="00476FC9">
        <w:rPr>
          <w:color w:val="000000" w:themeColor="text1"/>
        </w:rPr>
        <w:t>was</w:t>
      </w:r>
      <w:r w:rsidR="004724BE" w:rsidRPr="00476FC9">
        <w:rPr>
          <w:color w:val="000000" w:themeColor="text1"/>
        </w:rPr>
        <w:t xml:space="preserve"> the mean (.0165 to .1630), perceived attention mediated the prominence effects</w:t>
      </w:r>
      <w:r w:rsidR="001418B3" w:rsidRPr="00476FC9">
        <w:rPr>
          <w:color w:val="000000" w:themeColor="text1"/>
        </w:rPr>
        <w:t xml:space="preserve"> </w:t>
      </w:r>
      <w:r w:rsidR="004724BE" w:rsidRPr="00476FC9">
        <w:rPr>
          <w:color w:val="000000" w:themeColor="text1"/>
        </w:rPr>
        <w:t xml:space="preserve">on recall, with a 95% CI </w:t>
      </w:r>
      <w:r w:rsidR="00A860C0" w:rsidRPr="00476FC9">
        <w:rPr>
          <w:color w:val="000000" w:themeColor="text1"/>
        </w:rPr>
        <w:t>excluding</w:t>
      </w:r>
      <w:r w:rsidR="004724BE" w:rsidRPr="00476FC9">
        <w:rPr>
          <w:color w:val="000000" w:themeColor="text1"/>
        </w:rPr>
        <w:t xml:space="preserve"> zero. However, when DTCA regulatory knowledge was plus one SD from mean, the mediating effects of perceived attention was not significant, with a 95% CI </w:t>
      </w:r>
      <w:r w:rsidR="00A860C0" w:rsidRPr="00476FC9">
        <w:rPr>
          <w:color w:val="000000" w:themeColor="text1"/>
        </w:rPr>
        <w:t>including</w:t>
      </w:r>
      <w:r w:rsidR="004724BE" w:rsidRPr="00476FC9">
        <w:rPr>
          <w:color w:val="000000" w:themeColor="text1"/>
        </w:rPr>
        <w:t xml:space="preserve"> zero (-.0673 to .0989). These results supported </w:t>
      </w:r>
      <w:r w:rsidRPr="00476FC9">
        <w:rPr>
          <w:color w:val="000000" w:themeColor="text1"/>
        </w:rPr>
        <w:t>H</w:t>
      </w:r>
      <w:r w:rsidR="001418B3" w:rsidRPr="00476FC9">
        <w:rPr>
          <w:color w:val="000000" w:themeColor="text1"/>
        </w:rPr>
        <w:t>10</w:t>
      </w:r>
      <w:r w:rsidRPr="00476FC9">
        <w:rPr>
          <w:color w:val="000000" w:themeColor="text1"/>
        </w:rPr>
        <w:t>a</w:t>
      </w:r>
      <w:r w:rsidR="004724BE" w:rsidRPr="00476FC9">
        <w:rPr>
          <w:color w:val="000000" w:themeColor="text1"/>
        </w:rPr>
        <w:t xml:space="preserve"> (moderated mediation)</w:t>
      </w:r>
      <w:r w:rsidRPr="00476FC9">
        <w:rPr>
          <w:color w:val="000000" w:themeColor="text1"/>
        </w:rPr>
        <w:t>.</w:t>
      </w:r>
    </w:p>
    <w:p w:rsidR="00DF104A" w:rsidRPr="00476FC9" w:rsidRDefault="0038011B" w:rsidP="007D2ACE">
      <w:pPr>
        <w:keepNext w:val="0"/>
        <w:widowControl w:val="0"/>
        <w:kinsoku w:val="0"/>
        <w:overflowPunct w:val="0"/>
        <w:autoSpaceDE w:val="0"/>
        <w:autoSpaceDN w:val="0"/>
        <w:adjustRightInd w:val="0"/>
        <w:snapToGrid w:val="0"/>
        <w:spacing w:before="0" w:after="0"/>
        <w:ind w:firstLine="720"/>
        <w:rPr>
          <w:rFonts w:eastAsiaTheme="minorEastAsia"/>
          <w:color w:val="000000" w:themeColor="text1"/>
        </w:rPr>
      </w:pPr>
      <w:r w:rsidRPr="00476FC9">
        <w:rPr>
          <w:color w:val="000000" w:themeColor="text1"/>
        </w:rPr>
        <w:t xml:space="preserve">The same procedure was performed on recognition. </w:t>
      </w:r>
      <w:r w:rsidR="004724BE" w:rsidRPr="00476FC9">
        <w:rPr>
          <w:color w:val="000000" w:themeColor="text1"/>
        </w:rPr>
        <w:t xml:space="preserve">To test H10b, the interaction term of prominence and DTCA </w:t>
      </w:r>
      <w:r w:rsidR="00A860C0" w:rsidRPr="00476FC9">
        <w:rPr>
          <w:color w:val="000000" w:themeColor="text1"/>
        </w:rPr>
        <w:t xml:space="preserve">regulatory </w:t>
      </w:r>
      <w:r w:rsidR="004724BE" w:rsidRPr="00476FC9">
        <w:rPr>
          <w:color w:val="000000" w:themeColor="text1"/>
        </w:rPr>
        <w:t>knowledge (IV) was entered in the bootstrap macro with perceived attention (M) and recognition (DV). The results showed that perceived attention had indirect</w:t>
      </w:r>
      <w:r w:rsidR="004724BE" w:rsidRPr="00476FC9">
        <w:rPr>
          <w:i/>
          <w:color w:val="000000" w:themeColor="text1"/>
        </w:rPr>
        <w:t xml:space="preserve"> </w:t>
      </w:r>
      <w:r w:rsidR="004724BE" w:rsidRPr="00476FC9">
        <w:rPr>
          <w:color w:val="000000" w:themeColor="text1"/>
        </w:rPr>
        <w:t xml:space="preserve">effects  (a </w:t>
      </w:r>
      <w:r w:rsidR="004724BE" w:rsidRPr="00476FC9">
        <w:rPr>
          <w:rFonts w:ascii="MTSYN" w:eastAsia="MTSYN" w:cs="MTSYN" w:hint="eastAsia"/>
          <w:bCs w:val="0"/>
          <w:color w:val="000000" w:themeColor="text1"/>
          <w:sz w:val="20"/>
          <w:szCs w:val="20"/>
        </w:rPr>
        <w:t xml:space="preserve">× </w:t>
      </w:r>
      <w:r w:rsidR="004724BE" w:rsidRPr="00476FC9">
        <w:rPr>
          <w:color w:val="000000" w:themeColor="text1"/>
        </w:rPr>
        <w:t>b = -.</w:t>
      </w:r>
      <w:r w:rsidR="00A860C0" w:rsidRPr="00476FC9">
        <w:rPr>
          <w:color w:val="000000" w:themeColor="text1"/>
        </w:rPr>
        <w:t>47</w:t>
      </w:r>
      <w:r w:rsidR="004724BE" w:rsidRPr="00476FC9">
        <w:rPr>
          <w:color w:val="000000" w:themeColor="text1"/>
        </w:rPr>
        <w:t>) between the interaction of prominence and DTCA regulatory knowledge</w:t>
      </w:r>
      <w:r w:rsidR="00A860C0" w:rsidRPr="00476FC9">
        <w:rPr>
          <w:color w:val="000000" w:themeColor="text1"/>
        </w:rPr>
        <w:t>,</w:t>
      </w:r>
      <w:r w:rsidR="004724BE" w:rsidRPr="00476FC9">
        <w:rPr>
          <w:color w:val="000000" w:themeColor="text1"/>
        </w:rPr>
        <w:t xml:space="preserve"> and </w:t>
      </w:r>
      <w:r w:rsidR="00A860C0" w:rsidRPr="00476FC9">
        <w:rPr>
          <w:color w:val="000000" w:themeColor="text1"/>
        </w:rPr>
        <w:t>recognition</w:t>
      </w:r>
      <w:r w:rsidR="004724BE" w:rsidRPr="00476FC9">
        <w:rPr>
          <w:color w:val="000000" w:themeColor="text1"/>
        </w:rPr>
        <w:t xml:space="preserve">, with a 95% CI </w:t>
      </w:r>
      <w:r w:rsidR="00A860C0" w:rsidRPr="00476FC9">
        <w:rPr>
          <w:color w:val="000000" w:themeColor="text1"/>
        </w:rPr>
        <w:t>excluding</w:t>
      </w:r>
      <w:r w:rsidR="004724BE" w:rsidRPr="00476FC9">
        <w:rPr>
          <w:color w:val="000000" w:themeColor="text1"/>
        </w:rPr>
        <w:t xml:space="preserve"> zero (-.</w:t>
      </w:r>
      <w:r w:rsidR="00A860C0" w:rsidRPr="00476FC9">
        <w:rPr>
          <w:color w:val="000000" w:themeColor="text1"/>
        </w:rPr>
        <w:t>9906</w:t>
      </w:r>
      <w:r w:rsidR="004724BE" w:rsidRPr="00476FC9">
        <w:rPr>
          <w:color w:val="000000" w:themeColor="text1"/>
        </w:rPr>
        <w:t xml:space="preserve"> to -.</w:t>
      </w:r>
      <w:r w:rsidR="00A860C0" w:rsidRPr="00476FC9">
        <w:rPr>
          <w:color w:val="000000" w:themeColor="text1"/>
        </w:rPr>
        <w:t>0759</w:t>
      </w:r>
      <w:r w:rsidR="004724BE" w:rsidRPr="00476FC9">
        <w:rPr>
          <w:color w:val="000000" w:themeColor="text1"/>
        </w:rPr>
        <w:t>). The direct effect c (</w:t>
      </w:r>
      <w:r w:rsidR="00A860C0" w:rsidRPr="00476FC9">
        <w:rPr>
          <w:color w:val="000000" w:themeColor="text1"/>
        </w:rPr>
        <w:t>-</w:t>
      </w:r>
      <w:r w:rsidR="004724BE" w:rsidRPr="00476FC9">
        <w:rPr>
          <w:color w:val="000000" w:themeColor="text1"/>
        </w:rPr>
        <w:t>.</w:t>
      </w:r>
      <w:r w:rsidR="00A860C0" w:rsidRPr="00476FC9">
        <w:rPr>
          <w:color w:val="000000" w:themeColor="text1"/>
        </w:rPr>
        <w:t>48</w:t>
      </w:r>
      <w:r w:rsidR="004724BE" w:rsidRPr="00476FC9">
        <w:rPr>
          <w:color w:val="000000" w:themeColor="text1"/>
        </w:rPr>
        <w:t>) was not significant (</w:t>
      </w:r>
      <w:r w:rsidR="004724BE" w:rsidRPr="00476FC9">
        <w:rPr>
          <w:i/>
          <w:color w:val="000000" w:themeColor="text1"/>
        </w:rPr>
        <w:t>p</w:t>
      </w:r>
      <w:r w:rsidR="004724BE" w:rsidRPr="00476FC9">
        <w:rPr>
          <w:color w:val="000000" w:themeColor="text1"/>
        </w:rPr>
        <w:t xml:space="preserve"> &gt; .05). These results indicate that the interaction of prominence and DTCA regulatory knowledge had significant interaction effects through perceived attention on </w:t>
      </w:r>
      <w:r w:rsidR="00A860C0" w:rsidRPr="00476FC9">
        <w:rPr>
          <w:color w:val="000000" w:themeColor="text1"/>
        </w:rPr>
        <w:t>recognition</w:t>
      </w:r>
      <w:r w:rsidR="004724BE" w:rsidRPr="00476FC9">
        <w:rPr>
          <w:color w:val="000000" w:themeColor="text1"/>
        </w:rPr>
        <w:t xml:space="preserve">. To pinpoint the moderated mediation pattern, the </w:t>
      </w:r>
      <w:r w:rsidR="004724BE" w:rsidRPr="00476FC9">
        <w:rPr>
          <w:i/>
          <w:color w:val="000000" w:themeColor="text1"/>
        </w:rPr>
        <w:t>Johnson-Neyman method</w:t>
      </w:r>
      <w:r w:rsidR="004724BE" w:rsidRPr="00476FC9">
        <w:rPr>
          <w:color w:val="000000" w:themeColor="text1"/>
        </w:rPr>
        <w:t xml:space="preserve"> was employed. The </w:t>
      </w:r>
      <w:r w:rsidR="00A860C0" w:rsidRPr="00476FC9">
        <w:rPr>
          <w:color w:val="000000" w:themeColor="text1"/>
        </w:rPr>
        <w:t>r</w:t>
      </w:r>
      <w:r w:rsidR="004724BE" w:rsidRPr="00476FC9">
        <w:rPr>
          <w:color w:val="000000" w:themeColor="text1"/>
        </w:rPr>
        <w:t>esults showed that when DTCA regulatory knowledge was one standard deviation (SD) below the mean (.</w:t>
      </w:r>
      <w:r w:rsidR="00A860C0" w:rsidRPr="00476FC9">
        <w:rPr>
          <w:color w:val="000000" w:themeColor="text1"/>
        </w:rPr>
        <w:t>1554</w:t>
      </w:r>
      <w:r w:rsidR="004724BE" w:rsidRPr="00476FC9">
        <w:rPr>
          <w:color w:val="000000" w:themeColor="text1"/>
        </w:rPr>
        <w:t xml:space="preserve"> to </w:t>
      </w:r>
      <w:r w:rsidR="00A860C0" w:rsidRPr="00476FC9">
        <w:rPr>
          <w:color w:val="000000" w:themeColor="text1"/>
        </w:rPr>
        <w:t>1</w:t>
      </w:r>
      <w:r w:rsidR="00BC1CBF" w:rsidRPr="00476FC9">
        <w:rPr>
          <w:color w:val="000000" w:themeColor="text1"/>
        </w:rPr>
        <w:t>.</w:t>
      </w:r>
      <w:r w:rsidR="00A860C0" w:rsidRPr="00476FC9">
        <w:rPr>
          <w:color w:val="000000" w:themeColor="text1"/>
        </w:rPr>
        <w:t>0272</w:t>
      </w:r>
      <w:r w:rsidR="004724BE" w:rsidRPr="00476FC9">
        <w:rPr>
          <w:color w:val="000000" w:themeColor="text1"/>
        </w:rPr>
        <w:t>) and is the mean (.</w:t>
      </w:r>
      <w:r w:rsidR="00A860C0" w:rsidRPr="00476FC9">
        <w:rPr>
          <w:color w:val="000000" w:themeColor="text1"/>
        </w:rPr>
        <w:t>0554</w:t>
      </w:r>
      <w:r w:rsidR="004724BE" w:rsidRPr="00476FC9">
        <w:rPr>
          <w:color w:val="000000" w:themeColor="text1"/>
        </w:rPr>
        <w:t xml:space="preserve"> to .</w:t>
      </w:r>
      <w:r w:rsidR="00A860C0" w:rsidRPr="00476FC9">
        <w:rPr>
          <w:color w:val="000000" w:themeColor="text1"/>
        </w:rPr>
        <w:t>6201</w:t>
      </w:r>
      <w:r w:rsidR="004724BE" w:rsidRPr="00476FC9">
        <w:rPr>
          <w:color w:val="000000" w:themeColor="text1"/>
        </w:rPr>
        <w:t>), perceived attention mediated the prominence effects on re</w:t>
      </w:r>
      <w:r w:rsidR="00A860C0" w:rsidRPr="00476FC9">
        <w:rPr>
          <w:color w:val="000000" w:themeColor="text1"/>
        </w:rPr>
        <w:t>cognition</w:t>
      </w:r>
      <w:r w:rsidR="004724BE" w:rsidRPr="00476FC9">
        <w:rPr>
          <w:color w:val="000000" w:themeColor="text1"/>
        </w:rPr>
        <w:t>, with a 95% CI</w:t>
      </w:r>
      <w:r w:rsidR="00A860C0" w:rsidRPr="00476FC9">
        <w:rPr>
          <w:color w:val="000000" w:themeColor="text1"/>
        </w:rPr>
        <w:t xml:space="preserve"> excluding </w:t>
      </w:r>
      <w:r w:rsidR="004724BE" w:rsidRPr="00476FC9">
        <w:rPr>
          <w:color w:val="000000" w:themeColor="text1"/>
        </w:rPr>
        <w:t xml:space="preserve">zero. However, when DTCA regulatory knowledge was plus one SD from mean, the mediating effects </w:t>
      </w:r>
      <w:r w:rsidR="004724BE" w:rsidRPr="00476FC9">
        <w:rPr>
          <w:color w:val="000000" w:themeColor="text1"/>
        </w:rPr>
        <w:lastRenderedPageBreak/>
        <w:t xml:space="preserve">of perceived attention </w:t>
      </w:r>
      <w:r w:rsidR="00BC1CBF" w:rsidRPr="00476FC9">
        <w:rPr>
          <w:color w:val="000000" w:themeColor="text1"/>
        </w:rPr>
        <w:t>were</w:t>
      </w:r>
      <w:r w:rsidR="004724BE" w:rsidRPr="00476FC9">
        <w:rPr>
          <w:color w:val="000000" w:themeColor="text1"/>
        </w:rPr>
        <w:t xml:space="preserve"> not significant, with a 95% CI </w:t>
      </w:r>
      <w:r w:rsidR="00A860C0" w:rsidRPr="00476FC9">
        <w:rPr>
          <w:color w:val="000000" w:themeColor="text1"/>
        </w:rPr>
        <w:t>including</w:t>
      </w:r>
      <w:r w:rsidR="004724BE" w:rsidRPr="00476FC9">
        <w:rPr>
          <w:color w:val="000000" w:themeColor="text1"/>
        </w:rPr>
        <w:t xml:space="preserve"> zero (-.</w:t>
      </w:r>
      <w:r w:rsidR="00A860C0" w:rsidRPr="00476FC9">
        <w:rPr>
          <w:color w:val="000000" w:themeColor="text1"/>
        </w:rPr>
        <w:t>2712</w:t>
      </w:r>
      <w:r w:rsidR="004724BE" w:rsidRPr="00476FC9">
        <w:rPr>
          <w:color w:val="000000" w:themeColor="text1"/>
        </w:rPr>
        <w:t xml:space="preserve"> to .</w:t>
      </w:r>
      <w:r w:rsidR="00A860C0" w:rsidRPr="00476FC9">
        <w:rPr>
          <w:color w:val="000000" w:themeColor="text1"/>
        </w:rPr>
        <w:t>3793</w:t>
      </w:r>
      <w:r w:rsidR="004724BE" w:rsidRPr="00476FC9">
        <w:rPr>
          <w:color w:val="000000" w:themeColor="text1"/>
        </w:rPr>
        <w:t>). These results supported H10</w:t>
      </w:r>
      <w:r w:rsidR="00A860C0" w:rsidRPr="00476FC9">
        <w:rPr>
          <w:color w:val="000000" w:themeColor="text1"/>
        </w:rPr>
        <w:t>b</w:t>
      </w:r>
      <w:r w:rsidR="004724BE" w:rsidRPr="00476FC9">
        <w:rPr>
          <w:color w:val="000000" w:themeColor="text1"/>
        </w:rPr>
        <w:t xml:space="preserve"> (moderated mediation).</w:t>
      </w:r>
      <w:r w:rsidRPr="00476FC9">
        <w:rPr>
          <w:color w:val="000000" w:themeColor="text1"/>
        </w:rPr>
        <w:t xml:space="preserve"> The mediation test results are summarized in Table </w:t>
      </w:r>
      <w:r w:rsidR="00AF1F07" w:rsidRPr="00476FC9">
        <w:rPr>
          <w:color w:val="000000" w:themeColor="text1"/>
        </w:rPr>
        <w:t>13</w:t>
      </w:r>
      <w:r w:rsidR="00DF104A" w:rsidRPr="00476FC9">
        <w:rPr>
          <w:rFonts w:eastAsiaTheme="minorEastAsia" w:hint="eastAsia"/>
          <w:color w:val="000000" w:themeColor="text1"/>
        </w:rPr>
        <w:t>.</w:t>
      </w:r>
    </w:p>
    <w:p w:rsidR="00222367" w:rsidRPr="00476FC9" w:rsidRDefault="00222367" w:rsidP="007D2ACE">
      <w:pPr>
        <w:keepNext w:val="0"/>
        <w:widowControl w:val="0"/>
        <w:kinsoku w:val="0"/>
        <w:overflowPunct w:val="0"/>
        <w:autoSpaceDE w:val="0"/>
        <w:autoSpaceDN w:val="0"/>
        <w:adjustRightInd w:val="0"/>
        <w:snapToGrid w:val="0"/>
        <w:spacing w:before="0" w:after="0"/>
        <w:ind w:firstLine="720"/>
        <w:rPr>
          <w:rFonts w:eastAsiaTheme="minorEastAsia"/>
          <w:color w:val="000000" w:themeColor="text1"/>
        </w:rPr>
      </w:pPr>
    </w:p>
    <w:p w:rsidR="00DF104A" w:rsidRPr="00476FC9" w:rsidRDefault="00DF104A" w:rsidP="007D2ACE">
      <w:pPr>
        <w:pStyle w:val="Caption"/>
        <w:keepNext w:val="0"/>
        <w:widowControl w:val="0"/>
        <w:kinsoku w:val="0"/>
        <w:overflowPunct w:val="0"/>
        <w:autoSpaceDE w:val="0"/>
        <w:autoSpaceDN w:val="0"/>
        <w:adjustRightInd w:val="0"/>
        <w:snapToGrid w:val="0"/>
        <w:rPr>
          <w:color w:val="000000" w:themeColor="text1"/>
        </w:rPr>
      </w:pPr>
      <w:bookmarkStart w:id="58" w:name="_Toc393800645"/>
      <w:r w:rsidRPr="00476FC9">
        <w:rPr>
          <w:color w:val="000000" w:themeColor="text1"/>
        </w:rPr>
        <w:t xml:space="preserve">Table </w:t>
      </w:r>
      <w:r w:rsidR="00037CF4" w:rsidRPr="00476FC9">
        <w:rPr>
          <w:color w:val="000000" w:themeColor="text1"/>
        </w:rPr>
        <w:fldChar w:fldCharType="begin"/>
      </w:r>
      <w:r w:rsidR="00037CF4" w:rsidRPr="00476FC9">
        <w:rPr>
          <w:color w:val="000000" w:themeColor="text1"/>
        </w:rPr>
        <w:instrText xml:space="preserve"> SEQ Table \* ARABIC </w:instrText>
      </w:r>
      <w:r w:rsidR="00037CF4" w:rsidRPr="00476FC9">
        <w:rPr>
          <w:color w:val="000000" w:themeColor="text1"/>
        </w:rPr>
        <w:fldChar w:fldCharType="separate"/>
      </w:r>
      <w:r w:rsidRPr="00476FC9">
        <w:rPr>
          <w:noProof/>
          <w:color w:val="000000" w:themeColor="text1"/>
        </w:rPr>
        <w:t>13</w:t>
      </w:r>
      <w:r w:rsidR="00037CF4" w:rsidRPr="00476FC9">
        <w:rPr>
          <w:noProof/>
          <w:color w:val="000000" w:themeColor="text1"/>
        </w:rPr>
        <w:fldChar w:fldCharType="end"/>
      </w:r>
      <w:r w:rsidRPr="00476FC9">
        <w:rPr>
          <w:color w:val="000000" w:themeColor="text1"/>
        </w:rPr>
        <w:t>. Summary of the Bootstrap Mediation Test Results</w:t>
      </w:r>
      <w:bookmarkEnd w:id="58"/>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6"/>
        <w:gridCol w:w="3098"/>
        <w:gridCol w:w="1891"/>
        <w:gridCol w:w="1696"/>
        <w:gridCol w:w="1419"/>
      </w:tblGrid>
      <w:tr w:rsidR="00476FC9" w:rsidRPr="00476FC9" w:rsidTr="0001599B">
        <w:tc>
          <w:tcPr>
            <w:tcW w:w="671" w:type="pct"/>
            <w:tcBorders>
              <w:top w:val="single" w:sz="4" w:space="0" w:color="auto"/>
              <w:bottom w:val="single" w:sz="4" w:space="0" w:color="auto"/>
            </w:tcBorders>
          </w:tcPr>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b/>
                <w:color w:val="000000" w:themeColor="text1"/>
                <w:sz w:val="18"/>
                <w:szCs w:val="18"/>
              </w:rPr>
            </w:pPr>
            <w:r w:rsidRPr="00476FC9">
              <w:rPr>
                <w:b/>
                <w:color w:val="000000" w:themeColor="text1"/>
                <w:sz w:val="18"/>
                <w:szCs w:val="18"/>
              </w:rPr>
              <w:t>Hypotheses</w:t>
            </w:r>
          </w:p>
        </w:tc>
        <w:tc>
          <w:tcPr>
            <w:tcW w:w="1655" w:type="pct"/>
            <w:tcBorders>
              <w:top w:val="single" w:sz="4" w:space="0" w:color="auto"/>
              <w:bottom w:val="single" w:sz="4" w:space="0" w:color="auto"/>
            </w:tcBorders>
          </w:tcPr>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b/>
                <w:color w:val="000000" w:themeColor="text1"/>
                <w:sz w:val="18"/>
                <w:szCs w:val="18"/>
              </w:rPr>
            </w:pPr>
            <w:r w:rsidRPr="00476FC9">
              <w:rPr>
                <w:b/>
                <w:color w:val="000000" w:themeColor="text1"/>
                <w:sz w:val="18"/>
                <w:szCs w:val="18"/>
              </w:rPr>
              <w:t>Predictors (IVs)</w:t>
            </w:r>
          </w:p>
        </w:tc>
        <w:tc>
          <w:tcPr>
            <w:tcW w:w="1010" w:type="pct"/>
            <w:tcBorders>
              <w:top w:val="single" w:sz="4" w:space="0" w:color="auto"/>
              <w:bottom w:val="single" w:sz="4" w:space="0" w:color="auto"/>
            </w:tcBorders>
          </w:tcPr>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b/>
                <w:color w:val="000000" w:themeColor="text1"/>
                <w:sz w:val="18"/>
                <w:szCs w:val="18"/>
              </w:rPr>
            </w:pPr>
            <w:r w:rsidRPr="00476FC9">
              <w:rPr>
                <w:b/>
                <w:color w:val="000000" w:themeColor="text1"/>
                <w:sz w:val="18"/>
                <w:szCs w:val="18"/>
              </w:rPr>
              <w:t>Mediators (M)</w:t>
            </w:r>
          </w:p>
        </w:tc>
        <w:tc>
          <w:tcPr>
            <w:tcW w:w="906" w:type="pct"/>
            <w:tcBorders>
              <w:top w:val="single" w:sz="4" w:space="0" w:color="auto"/>
              <w:bottom w:val="single" w:sz="4" w:space="0" w:color="auto"/>
            </w:tcBorders>
          </w:tcPr>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b/>
                <w:color w:val="000000" w:themeColor="text1"/>
                <w:sz w:val="18"/>
                <w:szCs w:val="18"/>
              </w:rPr>
            </w:pPr>
            <w:r w:rsidRPr="00476FC9">
              <w:rPr>
                <w:b/>
                <w:color w:val="000000" w:themeColor="text1"/>
                <w:sz w:val="18"/>
                <w:szCs w:val="18"/>
              </w:rPr>
              <w:t>Outcomes (DVs)</w:t>
            </w:r>
          </w:p>
        </w:tc>
        <w:tc>
          <w:tcPr>
            <w:tcW w:w="758" w:type="pct"/>
            <w:tcBorders>
              <w:top w:val="single" w:sz="4" w:space="0" w:color="auto"/>
              <w:bottom w:val="single" w:sz="4" w:space="0" w:color="auto"/>
            </w:tcBorders>
          </w:tcPr>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b/>
                <w:color w:val="000000" w:themeColor="text1"/>
                <w:sz w:val="18"/>
                <w:szCs w:val="18"/>
              </w:rPr>
            </w:pPr>
            <w:r w:rsidRPr="00476FC9">
              <w:rPr>
                <w:b/>
                <w:color w:val="000000" w:themeColor="text1"/>
                <w:sz w:val="18"/>
                <w:szCs w:val="18"/>
              </w:rPr>
              <w:t>Results</w:t>
            </w:r>
          </w:p>
        </w:tc>
      </w:tr>
      <w:tr w:rsidR="00DF104A" w:rsidRPr="00476FC9" w:rsidTr="0001599B">
        <w:tc>
          <w:tcPr>
            <w:tcW w:w="671" w:type="pct"/>
            <w:tcBorders>
              <w:top w:val="single" w:sz="4" w:space="0" w:color="auto"/>
              <w:bottom w:val="single" w:sz="4" w:space="0" w:color="auto"/>
            </w:tcBorders>
          </w:tcPr>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H8a</w:t>
            </w:r>
          </w:p>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H8b</w:t>
            </w:r>
          </w:p>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H9a</w:t>
            </w:r>
          </w:p>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H9b</w:t>
            </w:r>
          </w:p>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H10a</w:t>
            </w:r>
          </w:p>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H10b</w:t>
            </w:r>
          </w:p>
        </w:tc>
        <w:tc>
          <w:tcPr>
            <w:tcW w:w="1655" w:type="pct"/>
            <w:tcBorders>
              <w:top w:val="single" w:sz="4" w:space="0" w:color="auto"/>
              <w:bottom w:val="single" w:sz="4" w:space="0" w:color="auto"/>
            </w:tcBorders>
          </w:tcPr>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Prominence</w:t>
            </w:r>
          </w:p>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Prominence</w:t>
            </w:r>
          </w:p>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DTCA Knowledge</w:t>
            </w:r>
          </w:p>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DTCA Knowledge</w:t>
            </w:r>
          </w:p>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Prominence</w:t>
            </w:r>
            <w:r w:rsidRPr="00476FC9">
              <w:rPr>
                <w:rFonts w:ascii="MTSYN" w:eastAsia="MTSYN" w:cs="MTSYN" w:hint="eastAsia"/>
                <w:bCs w:val="0"/>
                <w:color w:val="000000" w:themeColor="text1"/>
                <w:sz w:val="18"/>
                <w:szCs w:val="18"/>
              </w:rPr>
              <w:t xml:space="preserve"> × </w:t>
            </w:r>
            <w:r w:rsidRPr="00476FC9">
              <w:rPr>
                <w:color w:val="000000" w:themeColor="text1"/>
                <w:sz w:val="18"/>
                <w:szCs w:val="18"/>
              </w:rPr>
              <w:t>DTCA Knowledge</w:t>
            </w:r>
          </w:p>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Prominence</w:t>
            </w:r>
            <w:r w:rsidRPr="00476FC9">
              <w:rPr>
                <w:rFonts w:ascii="MTSYN" w:eastAsia="MTSYN" w:cs="MTSYN" w:hint="eastAsia"/>
                <w:bCs w:val="0"/>
                <w:color w:val="000000" w:themeColor="text1"/>
                <w:sz w:val="18"/>
                <w:szCs w:val="18"/>
              </w:rPr>
              <w:t xml:space="preserve"> × </w:t>
            </w:r>
            <w:r w:rsidRPr="00476FC9">
              <w:rPr>
                <w:color w:val="000000" w:themeColor="text1"/>
                <w:sz w:val="18"/>
                <w:szCs w:val="18"/>
              </w:rPr>
              <w:t>DTCA Knowledge</w:t>
            </w:r>
          </w:p>
        </w:tc>
        <w:tc>
          <w:tcPr>
            <w:tcW w:w="1010" w:type="pct"/>
            <w:tcBorders>
              <w:top w:val="single" w:sz="4" w:space="0" w:color="auto"/>
              <w:bottom w:val="single" w:sz="4" w:space="0" w:color="auto"/>
            </w:tcBorders>
          </w:tcPr>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Perceived Attention</w:t>
            </w:r>
          </w:p>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Perceived Attention</w:t>
            </w:r>
          </w:p>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Perceived Attention</w:t>
            </w:r>
          </w:p>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Perceived Attention</w:t>
            </w:r>
          </w:p>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Perceived Attention</w:t>
            </w:r>
          </w:p>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Perceived Attention</w:t>
            </w:r>
          </w:p>
        </w:tc>
        <w:tc>
          <w:tcPr>
            <w:tcW w:w="906" w:type="pct"/>
            <w:tcBorders>
              <w:top w:val="single" w:sz="4" w:space="0" w:color="auto"/>
              <w:bottom w:val="single" w:sz="4" w:space="0" w:color="auto"/>
            </w:tcBorders>
          </w:tcPr>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Recall</w:t>
            </w:r>
          </w:p>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Recognition</w:t>
            </w:r>
          </w:p>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Recall</w:t>
            </w:r>
          </w:p>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Recognition</w:t>
            </w:r>
          </w:p>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Recall</w:t>
            </w:r>
          </w:p>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color w:val="000000" w:themeColor="text1"/>
                <w:sz w:val="18"/>
                <w:szCs w:val="18"/>
              </w:rPr>
              <w:t>Recognition</w:t>
            </w:r>
          </w:p>
        </w:tc>
        <w:tc>
          <w:tcPr>
            <w:tcW w:w="758" w:type="pct"/>
            <w:tcBorders>
              <w:top w:val="single" w:sz="4" w:space="0" w:color="auto"/>
              <w:bottom w:val="single" w:sz="4" w:space="0" w:color="auto"/>
            </w:tcBorders>
          </w:tcPr>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b/>
                <w:color w:val="000000" w:themeColor="text1"/>
                <w:sz w:val="18"/>
                <w:szCs w:val="18"/>
              </w:rPr>
            </w:pPr>
            <w:r w:rsidRPr="00476FC9">
              <w:rPr>
                <w:b/>
                <w:color w:val="000000" w:themeColor="text1"/>
                <w:sz w:val="18"/>
                <w:szCs w:val="18"/>
              </w:rPr>
              <w:t>Supported</w:t>
            </w:r>
          </w:p>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b/>
                <w:color w:val="000000" w:themeColor="text1"/>
                <w:sz w:val="18"/>
                <w:szCs w:val="18"/>
              </w:rPr>
            </w:pPr>
            <w:r w:rsidRPr="00476FC9">
              <w:rPr>
                <w:b/>
                <w:color w:val="000000" w:themeColor="text1"/>
                <w:sz w:val="18"/>
                <w:szCs w:val="18"/>
              </w:rPr>
              <w:t>Supported</w:t>
            </w:r>
          </w:p>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b/>
                <w:color w:val="000000" w:themeColor="text1"/>
                <w:sz w:val="18"/>
                <w:szCs w:val="18"/>
              </w:rPr>
            </w:pPr>
            <w:r w:rsidRPr="00476FC9">
              <w:rPr>
                <w:b/>
                <w:color w:val="000000" w:themeColor="text1"/>
                <w:sz w:val="18"/>
                <w:szCs w:val="18"/>
              </w:rPr>
              <w:t>Supported</w:t>
            </w:r>
          </w:p>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b/>
                <w:color w:val="000000" w:themeColor="text1"/>
                <w:sz w:val="18"/>
                <w:szCs w:val="18"/>
              </w:rPr>
            </w:pPr>
            <w:r w:rsidRPr="00476FC9">
              <w:rPr>
                <w:b/>
                <w:color w:val="000000" w:themeColor="text1"/>
                <w:sz w:val="18"/>
                <w:szCs w:val="18"/>
              </w:rPr>
              <w:t>Supported</w:t>
            </w:r>
          </w:p>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b/>
                <w:color w:val="000000" w:themeColor="text1"/>
                <w:sz w:val="18"/>
                <w:szCs w:val="18"/>
              </w:rPr>
            </w:pPr>
            <w:r w:rsidRPr="00476FC9">
              <w:rPr>
                <w:b/>
                <w:color w:val="000000" w:themeColor="text1"/>
                <w:sz w:val="18"/>
                <w:szCs w:val="18"/>
              </w:rPr>
              <w:t>Supported</w:t>
            </w:r>
          </w:p>
          <w:p w:rsidR="00DF104A" w:rsidRPr="00476FC9" w:rsidRDefault="00DF104A" w:rsidP="007D2ACE">
            <w:pPr>
              <w:keepNext w:val="0"/>
              <w:widowControl w:val="0"/>
              <w:kinsoku w:val="0"/>
              <w:overflowPunct w:val="0"/>
              <w:autoSpaceDE w:val="0"/>
              <w:autoSpaceDN w:val="0"/>
              <w:adjustRightInd w:val="0"/>
              <w:snapToGrid w:val="0"/>
              <w:spacing w:before="0" w:after="0" w:line="240" w:lineRule="auto"/>
              <w:rPr>
                <w:color w:val="000000" w:themeColor="text1"/>
                <w:sz w:val="18"/>
                <w:szCs w:val="18"/>
              </w:rPr>
            </w:pPr>
            <w:r w:rsidRPr="00476FC9">
              <w:rPr>
                <w:b/>
                <w:color w:val="000000" w:themeColor="text1"/>
                <w:sz w:val="18"/>
                <w:szCs w:val="18"/>
              </w:rPr>
              <w:t>Supported</w:t>
            </w:r>
          </w:p>
        </w:tc>
      </w:tr>
    </w:tbl>
    <w:p w:rsidR="0038011B" w:rsidRPr="00476FC9" w:rsidRDefault="0038011B" w:rsidP="007D2ACE">
      <w:pPr>
        <w:keepNext w:val="0"/>
        <w:widowControl w:val="0"/>
        <w:kinsoku w:val="0"/>
        <w:overflowPunct w:val="0"/>
        <w:autoSpaceDE w:val="0"/>
        <w:autoSpaceDN w:val="0"/>
        <w:adjustRightInd w:val="0"/>
        <w:snapToGrid w:val="0"/>
        <w:spacing w:before="0" w:after="0"/>
        <w:ind w:firstLine="720"/>
        <w:rPr>
          <w:color w:val="000000" w:themeColor="text1"/>
        </w:rPr>
      </w:pPr>
    </w:p>
    <w:p w:rsidR="008023A5" w:rsidRPr="00476FC9" w:rsidRDefault="008023A5" w:rsidP="007D2ACE">
      <w:pPr>
        <w:keepNext w:val="0"/>
        <w:widowControl w:val="0"/>
        <w:kinsoku w:val="0"/>
        <w:overflowPunct w:val="0"/>
        <w:autoSpaceDE w:val="0"/>
        <w:autoSpaceDN w:val="0"/>
        <w:adjustRightInd w:val="0"/>
        <w:snapToGrid w:val="0"/>
        <w:spacing w:before="0" w:after="0" w:line="240" w:lineRule="auto"/>
        <w:outlineLvl w:val="9"/>
        <w:rPr>
          <w:color w:val="000000" w:themeColor="text1"/>
        </w:rPr>
      </w:pPr>
    </w:p>
    <w:p w:rsidR="005956AA" w:rsidRPr="00476FC9" w:rsidRDefault="005956AA" w:rsidP="007D2ACE">
      <w:pPr>
        <w:keepNext w:val="0"/>
        <w:widowControl w:val="0"/>
        <w:kinsoku w:val="0"/>
        <w:overflowPunct w:val="0"/>
        <w:autoSpaceDE w:val="0"/>
        <w:autoSpaceDN w:val="0"/>
        <w:adjustRightInd w:val="0"/>
        <w:snapToGrid w:val="0"/>
        <w:spacing w:before="0" w:after="0"/>
        <w:outlineLvl w:val="9"/>
        <w:rPr>
          <w:color w:val="000000" w:themeColor="text1"/>
        </w:rPr>
      </w:pPr>
      <w:r w:rsidRPr="00476FC9">
        <w:rPr>
          <w:color w:val="000000" w:themeColor="text1"/>
        </w:rPr>
        <w:br w:type="page"/>
      </w:r>
    </w:p>
    <w:p w:rsidR="0064517F" w:rsidRPr="00476FC9" w:rsidRDefault="0064517F" w:rsidP="007D2ACE">
      <w:pPr>
        <w:keepNext w:val="0"/>
        <w:widowControl w:val="0"/>
        <w:kinsoku w:val="0"/>
        <w:overflowPunct w:val="0"/>
        <w:autoSpaceDE w:val="0"/>
        <w:autoSpaceDN w:val="0"/>
        <w:adjustRightInd w:val="0"/>
        <w:snapToGrid w:val="0"/>
        <w:rPr>
          <w:color w:val="000000" w:themeColor="text1"/>
        </w:rPr>
        <w:sectPr w:rsidR="0064517F" w:rsidRPr="00476FC9" w:rsidSect="0038011B">
          <w:pgSz w:w="12240" w:h="15840" w:code="1"/>
          <w:pgMar w:top="1440" w:right="1440" w:bottom="1440" w:left="1440" w:header="0" w:footer="144" w:gutter="0"/>
          <w:pgNumType w:chapStyle="1"/>
          <w:cols w:space="720"/>
          <w:noEndnote/>
          <w:docGrid w:linePitch="326"/>
        </w:sectPr>
      </w:pPr>
    </w:p>
    <w:p w:rsidR="00FC312C" w:rsidRPr="00476FC9" w:rsidRDefault="00245A59" w:rsidP="007D2ACE">
      <w:pPr>
        <w:pStyle w:val="Heading1"/>
        <w:rPr>
          <w:color w:val="000000" w:themeColor="text1"/>
        </w:rPr>
      </w:pPr>
      <w:bookmarkStart w:id="59" w:name="_Toc393800690"/>
      <w:r w:rsidRPr="00476FC9">
        <w:rPr>
          <w:color w:val="000000" w:themeColor="text1"/>
        </w:rPr>
        <w:lastRenderedPageBreak/>
        <w:t xml:space="preserve">CHPATER </w:t>
      </w:r>
      <w:r w:rsidR="00A926FF" w:rsidRPr="00476FC9">
        <w:rPr>
          <w:color w:val="000000" w:themeColor="text1"/>
        </w:rPr>
        <w:t>5</w:t>
      </w:r>
      <w:r w:rsidRPr="00476FC9">
        <w:rPr>
          <w:color w:val="000000" w:themeColor="text1"/>
        </w:rPr>
        <w:t xml:space="preserve">: </w:t>
      </w:r>
      <w:r w:rsidR="00FC312C" w:rsidRPr="00476FC9">
        <w:rPr>
          <w:color w:val="000000" w:themeColor="text1"/>
        </w:rPr>
        <w:t>DISCUSSION</w:t>
      </w:r>
      <w:bookmarkEnd w:id="59"/>
    </w:p>
    <w:p w:rsidR="00654199" w:rsidRPr="00476FC9" w:rsidRDefault="00654199" w:rsidP="007D2ACE">
      <w:pPr>
        <w:pStyle w:val="Heading2"/>
        <w:rPr>
          <w:color w:val="000000" w:themeColor="text1"/>
        </w:rPr>
      </w:pPr>
      <w:bookmarkStart w:id="60" w:name="_Toc393800691"/>
      <w:r w:rsidRPr="00476FC9">
        <w:rPr>
          <w:color w:val="000000" w:themeColor="text1"/>
        </w:rPr>
        <w:t xml:space="preserve">Summary of </w:t>
      </w:r>
      <w:r w:rsidR="00632132" w:rsidRPr="00476FC9">
        <w:rPr>
          <w:color w:val="000000" w:themeColor="text1"/>
        </w:rPr>
        <w:t xml:space="preserve">Major </w:t>
      </w:r>
      <w:r w:rsidRPr="00476FC9">
        <w:rPr>
          <w:color w:val="000000" w:themeColor="text1"/>
        </w:rPr>
        <w:t>Findings</w:t>
      </w:r>
      <w:bookmarkEnd w:id="60"/>
    </w:p>
    <w:p w:rsidR="00632132" w:rsidRPr="00476FC9" w:rsidRDefault="00157133" w:rsidP="007D2ACE">
      <w:pPr>
        <w:keepNext w:val="0"/>
        <w:widowControl w:val="0"/>
        <w:kinsoku w:val="0"/>
        <w:overflowPunct w:val="0"/>
        <w:autoSpaceDE w:val="0"/>
        <w:autoSpaceDN w:val="0"/>
        <w:adjustRightInd w:val="0"/>
        <w:snapToGrid w:val="0"/>
        <w:spacing w:before="0" w:after="0"/>
        <w:ind w:firstLine="720"/>
        <w:outlineLvl w:val="9"/>
        <w:rPr>
          <w:color w:val="000000" w:themeColor="text1"/>
        </w:rPr>
      </w:pPr>
      <w:r w:rsidRPr="00476FC9">
        <w:rPr>
          <w:color w:val="000000" w:themeColor="text1"/>
        </w:rPr>
        <w:t>The current research addresses</w:t>
      </w:r>
      <w:r w:rsidR="00D43122" w:rsidRPr="00476FC9">
        <w:rPr>
          <w:color w:val="000000" w:themeColor="text1"/>
        </w:rPr>
        <w:t xml:space="preserve"> how consumers’ DTCA regulatory knowledge and varying levels of risk disclosure prominence affect consumers’ risk disclosure coping strategies directly. Further, this research examines how DTCA regulatory knowledge moderates the risk disclosure prominence effects on consumers’ perceived attention to and memory of risk information.</w:t>
      </w:r>
      <w:r w:rsidRPr="00476FC9">
        <w:rPr>
          <w:color w:val="000000" w:themeColor="text1"/>
        </w:rPr>
        <w:t xml:space="preserve"> </w:t>
      </w:r>
      <w:r w:rsidR="00D43122" w:rsidRPr="00476FC9">
        <w:rPr>
          <w:color w:val="000000" w:themeColor="text1"/>
        </w:rPr>
        <w:t xml:space="preserve">DTCA regulatory knowledge was found to affect how consumers process risk information from DTC ads. </w:t>
      </w:r>
      <w:r w:rsidR="009711D4" w:rsidRPr="00476FC9">
        <w:rPr>
          <w:color w:val="000000" w:themeColor="text1"/>
        </w:rPr>
        <w:t xml:space="preserve">The findings illuminate the </w:t>
      </w:r>
      <w:r w:rsidR="00632132" w:rsidRPr="00476FC9">
        <w:rPr>
          <w:color w:val="000000" w:themeColor="text1"/>
        </w:rPr>
        <w:t>dynamic mechanism</w:t>
      </w:r>
      <w:r w:rsidR="00703766" w:rsidRPr="00476FC9">
        <w:rPr>
          <w:color w:val="000000" w:themeColor="text1"/>
        </w:rPr>
        <w:t>s</w:t>
      </w:r>
      <w:r w:rsidR="00632132" w:rsidRPr="00476FC9">
        <w:rPr>
          <w:color w:val="000000" w:themeColor="text1"/>
        </w:rPr>
        <w:t xml:space="preserve"> of</w:t>
      </w:r>
      <w:r w:rsidR="009711D4" w:rsidRPr="00476FC9">
        <w:rPr>
          <w:color w:val="000000" w:themeColor="text1"/>
        </w:rPr>
        <w:t xml:space="preserve"> </w:t>
      </w:r>
      <w:r w:rsidR="00351F93" w:rsidRPr="00476FC9">
        <w:rPr>
          <w:color w:val="000000" w:themeColor="text1"/>
        </w:rPr>
        <w:t>consumer risk disclosure processing</w:t>
      </w:r>
      <w:r w:rsidR="00632132" w:rsidRPr="00476FC9">
        <w:rPr>
          <w:color w:val="000000" w:themeColor="text1"/>
        </w:rPr>
        <w:t>,</w:t>
      </w:r>
      <w:r w:rsidR="009711D4" w:rsidRPr="00476FC9">
        <w:rPr>
          <w:color w:val="000000" w:themeColor="text1"/>
        </w:rPr>
        <w:t xml:space="preserve"> and thereby inform how </w:t>
      </w:r>
      <w:r w:rsidR="00351F93" w:rsidRPr="00476FC9">
        <w:rPr>
          <w:i/>
          <w:color w:val="000000" w:themeColor="text1"/>
        </w:rPr>
        <w:t>fair balance</w:t>
      </w:r>
      <w:r w:rsidR="00351F93" w:rsidRPr="00476FC9">
        <w:rPr>
          <w:color w:val="000000" w:themeColor="text1"/>
        </w:rPr>
        <w:t xml:space="preserve"> </w:t>
      </w:r>
      <w:r w:rsidR="009711D4" w:rsidRPr="00476FC9">
        <w:rPr>
          <w:color w:val="000000" w:themeColor="text1"/>
        </w:rPr>
        <w:t xml:space="preserve">can be </w:t>
      </w:r>
      <w:r w:rsidR="00703766" w:rsidRPr="00476FC9">
        <w:rPr>
          <w:color w:val="000000" w:themeColor="text1"/>
        </w:rPr>
        <w:t>understood</w:t>
      </w:r>
      <w:r w:rsidR="009711D4" w:rsidRPr="00476FC9">
        <w:rPr>
          <w:color w:val="000000" w:themeColor="text1"/>
        </w:rPr>
        <w:t xml:space="preserve"> from the consumer perspective. This research suggest</w:t>
      </w:r>
      <w:r w:rsidR="00022ADB" w:rsidRPr="00476FC9">
        <w:rPr>
          <w:color w:val="000000" w:themeColor="text1"/>
        </w:rPr>
        <w:t>s</w:t>
      </w:r>
      <w:r w:rsidR="009711D4" w:rsidRPr="00476FC9">
        <w:rPr>
          <w:color w:val="000000" w:themeColor="text1"/>
        </w:rPr>
        <w:t xml:space="preserve"> that risk disclosure prominence </w:t>
      </w:r>
      <w:r w:rsidR="00D43122" w:rsidRPr="00476FC9">
        <w:rPr>
          <w:color w:val="000000" w:themeColor="text1"/>
        </w:rPr>
        <w:t>may work differently depending on varying levels of consumer knowledge about the role of FDA for DTCA</w:t>
      </w:r>
      <w:r w:rsidR="00351F93" w:rsidRPr="00476FC9">
        <w:rPr>
          <w:color w:val="000000" w:themeColor="text1"/>
        </w:rPr>
        <w:t xml:space="preserve">. </w:t>
      </w:r>
      <w:r w:rsidR="00632132" w:rsidRPr="00476FC9">
        <w:rPr>
          <w:color w:val="000000" w:themeColor="text1"/>
        </w:rPr>
        <w:t xml:space="preserve">This has an important </w:t>
      </w:r>
      <w:r w:rsidR="00D43122" w:rsidRPr="00476FC9">
        <w:rPr>
          <w:color w:val="000000" w:themeColor="text1"/>
        </w:rPr>
        <w:t xml:space="preserve">consumer education and </w:t>
      </w:r>
      <w:r w:rsidR="00632132" w:rsidRPr="00476FC9">
        <w:rPr>
          <w:color w:val="000000" w:themeColor="text1"/>
        </w:rPr>
        <w:t>public health implication</w:t>
      </w:r>
      <w:r w:rsidR="00D43122" w:rsidRPr="00476FC9">
        <w:rPr>
          <w:color w:val="000000" w:themeColor="text1"/>
        </w:rPr>
        <w:t xml:space="preserve">s because consumes’ informed health decisions can be affected by DTCA regulatory knowledge. </w:t>
      </w:r>
      <w:r w:rsidR="005B0F7E" w:rsidRPr="00476FC9">
        <w:rPr>
          <w:color w:val="000000" w:themeColor="text1"/>
        </w:rPr>
        <w:t xml:space="preserve">This research </w:t>
      </w:r>
      <w:r w:rsidR="00D43122" w:rsidRPr="00476FC9">
        <w:rPr>
          <w:color w:val="000000" w:themeColor="text1"/>
        </w:rPr>
        <w:t>reveal</w:t>
      </w:r>
      <w:r w:rsidR="005B0F7E" w:rsidRPr="00476FC9">
        <w:rPr>
          <w:color w:val="000000" w:themeColor="text1"/>
        </w:rPr>
        <w:t>s</w:t>
      </w:r>
      <w:r w:rsidR="00D43122" w:rsidRPr="00476FC9">
        <w:rPr>
          <w:color w:val="000000" w:themeColor="text1"/>
        </w:rPr>
        <w:t xml:space="preserve"> that simply focusing on risk disclosure provision in DTCA may</w:t>
      </w:r>
      <w:r w:rsidR="005B0F7E" w:rsidRPr="00476FC9">
        <w:rPr>
          <w:color w:val="000000" w:themeColor="text1"/>
        </w:rPr>
        <w:t xml:space="preserve"> fail to</w:t>
      </w:r>
      <w:r w:rsidR="00D43122" w:rsidRPr="00476FC9">
        <w:rPr>
          <w:color w:val="000000" w:themeColor="text1"/>
        </w:rPr>
        <w:t xml:space="preserve"> illuminate </w:t>
      </w:r>
      <w:r w:rsidR="005B0F7E" w:rsidRPr="00476FC9">
        <w:rPr>
          <w:color w:val="000000" w:themeColor="text1"/>
        </w:rPr>
        <w:t xml:space="preserve">true </w:t>
      </w:r>
      <w:r w:rsidR="00D43122" w:rsidRPr="00476FC9">
        <w:rPr>
          <w:color w:val="000000" w:themeColor="text1"/>
        </w:rPr>
        <w:t xml:space="preserve">risk communication </w:t>
      </w:r>
      <w:r w:rsidR="005B0F7E" w:rsidRPr="00476FC9">
        <w:rPr>
          <w:color w:val="000000" w:themeColor="text1"/>
        </w:rPr>
        <w:t>effectiveness</w:t>
      </w:r>
      <w:r w:rsidR="00D43122" w:rsidRPr="00476FC9">
        <w:rPr>
          <w:color w:val="000000" w:themeColor="text1"/>
        </w:rPr>
        <w:t>.</w:t>
      </w:r>
    </w:p>
    <w:p w:rsidR="00351F93" w:rsidRPr="00476FC9" w:rsidRDefault="00D43122" w:rsidP="007D2ACE">
      <w:pPr>
        <w:keepNext w:val="0"/>
        <w:widowControl w:val="0"/>
        <w:kinsoku w:val="0"/>
        <w:overflowPunct w:val="0"/>
        <w:autoSpaceDE w:val="0"/>
        <w:autoSpaceDN w:val="0"/>
        <w:adjustRightInd w:val="0"/>
        <w:snapToGrid w:val="0"/>
        <w:spacing w:before="0" w:after="0"/>
        <w:ind w:firstLine="720"/>
        <w:outlineLvl w:val="9"/>
        <w:rPr>
          <w:color w:val="000000" w:themeColor="text1"/>
        </w:rPr>
      </w:pPr>
      <w:r w:rsidRPr="00476FC9">
        <w:rPr>
          <w:color w:val="000000" w:themeColor="text1"/>
        </w:rPr>
        <w:t>In addition, p</w:t>
      </w:r>
      <w:r w:rsidR="00351F93" w:rsidRPr="00476FC9">
        <w:rPr>
          <w:color w:val="000000" w:themeColor="text1"/>
        </w:rPr>
        <w:t xml:space="preserve">harmaceutical marketers </w:t>
      </w:r>
      <w:r w:rsidR="009711D4" w:rsidRPr="00476FC9">
        <w:rPr>
          <w:color w:val="000000" w:themeColor="text1"/>
        </w:rPr>
        <w:t>could benefit from th</w:t>
      </w:r>
      <w:r w:rsidRPr="00476FC9">
        <w:rPr>
          <w:color w:val="000000" w:themeColor="text1"/>
        </w:rPr>
        <w:t>e findings of the current research b</w:t>
      </w:r>
      <w:r w:rsidR="00351F93" w:rsidRPr="00476FC9">
        <w:rPr>
          <w:color w:val="000000" w:themeColor="text1"/>
        </w:rPr>
        <w:t xml:space="preserve">ecause understanding </w:t>
      </w:r>
      <w:r w:rsidR="009711D4" w:rsidRPr="00476FC9">
        <w:rPr>
          <w:color w:val="000000" w:themeColor="text1"/>
        </w:rPr>
        <w:t>in which conditions the message</w:t>
      </w:r>
      <w:r w:rsidRPr="00476FC9">
        <w:rPr>
          <w:color w:val="000000" w:themeColor="text1"/>
        </w:rPr>
        <w:t xml:space="preserve"> prominence </w:t>
      </w:r>
      <w:r w:rsidR="009711D4" w:rsidRPr="00476FC9">
        <w:rPr>
          <w:color w:val="000000" w:themeColor="text1"/>
        </w:rPr>
        <w:t>effects are enhanced or reduced provide</w:t>
      </w:r>
      <w:r w:rsidR="006830BE" w:rsidRPr="00476FC9">
        <w:rPr>
          <w:color w:val="000000" w:themeColor="text1"/>
        </w:rPr>
        <w:t>s</w:t>
      </w:r>
      <w:r w:rsidR="009711D4" w:rsidRPr="00476FC9">
        <w:rPr>
          <w:color w:val="000000" w:themeColor="text1"/>
        </w:rPr>
        <w:t xml:space="preserve"> important insight into the advertising segmenting and design. </w:t>
      </w:r>
      <w:r w:rsidRPr="00476FC9">
        <w:rPr>
          <w:color w:val="000000" w:themeColor="text1"/>
        </w:rPr>
        <w:t xml:space="preserve">From </w:t>
      </w:r>
      <w:r w:rsidR="00D80C71" w:rsidRPr="00476FC9">
        <w:rPr>
          <w:color w:val="000000" w:themeColor="text1"/>
        </w:rPr>
        <w:t xml:space="preserve">the consumer education perspective, the current research </w:t>
      </w:r>
      <w:r w:rsidR="009711D4" w:rsidRPr="00476FC9">
        <w:rPr>
          <w:color w:val="000000" w:themeColor="text1"/>
        </w:rPr>
        <w:t>finding</w:t>
      </w:r>
      <w:r w:rsidR="00D80C71" w:rsidRPr="00476FC9">
        <w:rPr>
          <w:color w:val="000000" w:themeColor="text1"/>
        </w:rPr>
        <w:t>s</w:t>
      </w:r>
      <w:r w:rsidR="009711D4" w:rsidRPr="00476FC9">
        <w:rPr>
          <w:color w:val="000000" w:themeColor="text1"/>
        </w:rPr>
        <w:t xml:space="preserve"> impl</w:t>
      </w:r>
      <w:r w:rsidR="00D80C71" w:rsidRPr="00476FC9">
        <w:rPr>
          <w:color w:val="000000" w:themeColor="text1"/>
        </w:rPr>
        <w:t xml:space="preserve">y </w:t>
      </w:r>
      <w:r w:rsidR="009711D4" w:rsidRPr="00476FC9">
        <w:rPr>
          <w:color w:val="000000" w:themeColor="text1"/>
        </w:rPr>
        <w:t>that consumer marketplace knowledge should be an important consideration in their health decision making</w:t>
      </w:r>
      <w:r w:rsidR="00D80C71" w:rsidRPr="00476FC9">
        <w:rPr>
          <w:color w:val="000000" w:themeColor="text1"/>
        </w:rPr>
        <w:t xml:space="preserve"> and therefore the FDA and pharmaceutical marketers may need to exert more efforts to promote consumers’ marketplace literacy beyond simply providing important health risk information in </w:t>
      </w:r>
      <w:r w:rsidR="00D80C71" w:rsidRPr="00476FC9">
        <w:rPr>
          <w:color w:val="000000" w:themeColor="text1"/>
        </w:rPr>
        <w:lastRenderedPageBreak/>
        <w:t xml:space="preserve">DTCA. In particular, consumers’ capacity to recognize important health risk information was significantly improved when DTCA regulatory knowledge was high. When </w:t>
      </w:r>
      <w:r w:rsidR="00A713FF" w:rsidRPr="00476FC9">
        <w:rPr>
          <w:color w:val="000000" w:themeColor="text1"/>
        </w:rPr>
        <w:t xml:space="preserve">the DTCA regulatory </w:t>
      </w:r>
      <w:r w:rsidR="00D80C71" w:rsidRPr="00476FC9">
        <w:rPr>
          <w:color w:val="000000" w:themeColor="text1"/>
        </w:rPr>
        <w:t>knowledge level w</w:t>
      </w:r>
      <w:r w:rsidR="00A713FF" w:rsidRPr="00476FC9">
        <w:rPr>
          <w:color w:val="000000" w:themeColor="text1"/>
        </w:rPr>
        <w:t xml:space="preserve">as </w:t>
      </w:r>
      <w:r w:rsidR="00D80C71" w:rsidRPr="00476FC9">
        <w:rPr>
          <w:color w:val="000000" w:themeColor="text1"/>
        </w:rPr>
        <w:t>low, more prominent risk disclosure was more effective.</w:t>
      </w:r>
    </w:p>
    <w:p w:rsidR="005E4906" w:rsidRPr="00476FC9" w:rsidRDefault="00D80C71" w:rsidP="007D2ACE">
      <w:pPr>
        <w:keepNext w:val="0"/>
        <w:widowControl w:val="0"/>
        <w:kinsoku w:val="0"/>
        <w:overflowPunct w:val="0"/>
        <w:autoSpaceDE w:val="0"/>
        <w:autoSpaceDN w:val="0"/>
        <w:adjustRightInd w:val="0"/>
        <w:snapToGrid w:val="0"/>
        <w:spacing w:before="0" w:after="0"/>
        <w:ind w:firstLine="720"/>
        <w:outlineLvl w:val="9"/>
        <w:rPr>
          <w:color w:val="000000" w:themeColor="text1"/>
        </w:rPr>
      </w:pPr>
      <w:r w:rsidRPr="00476FC9">
        <w:rPr>
          <w:color w:val="000000" w:themeColor="text1"/>
        </w:rPr>
        <w:t xml:space="preserve">As has been well-documented, </w:t>
      </w:r>
      <w:r w:rsidR="00157133" w:rsidRPr="00476FC9">
        <w:rPr>
          <w:color w:val="000000" w:themeColor="text1"/>
        </w:rPr>
        <w:t>risk disclosure availability is critical in consumers’ health decision making (</w:t>
      </w:r>
      <w:r w:rsidR="0059794E" w:rsidRPr="00476FC9">
        <w:rPr>
          <w:color w:val="000000" w:themeColor="text1"/>
        </w:rPr>
        <w:t xml:space="preserve">e.g., </w:t>
      </w:r>
      <w:r w:rsidR="00E22C99" w:rsidRPr="00476FC9">
        <w:rPr>
          <w:color w:val="000000" w:themeColor="text1"/>
        </w:rPr>
        <w:t>Kavadas et al., 2007; Mazis &amp; Staeliln, 1982; Stewart &amp; Martin, 2004</w:t>
      </w:r>
      <w:r w:rsidR="00157133" w:rsidRPr="00476FC9">
        <w:rPr>
          <w:color w:val="000000" w:themeColor="text1"/>
        </w:rPr>
        <w:t xml:space="preserve">). However, the DTCA literature has underexplored how </w:t>
      </w:r>
      <w:r w:rsidR="00E22C99" w:rsidRPr="00476FC9">
        <w:rPr>
          <w:color w:val="000000" w:themeColor="text1"/>
        </w:rPr>
        <w:t xml:space="preserve">varying levels of </w:t>
      </w:r>
      <w:r w:rsidRPr="00476FC9">
        <w:rPr>
          <w:color w:val="000000" w:themeColor="text1"/>
        </w:rPr>
        <w:t xml:space="preserve">DTCA regulatory knowledge </w:t>
      </w:r>
      <w:r w:rsidR="00E22C99" w:rsidRPr="00476FC9">
        <w:rPr>
          <w:color w:val="000000" w:themeColor="text1"/>
        </w:rPr>
        <w:t xml:space="preserve">affect </w:t>
      </w:r>
      <w:r w:rsidRPr="00476FC9">
        <w:rPr>
          <w:color w:val="000000" w:themeColor="text1"/>
        </w:rPr>
        <w:t xml:space="preserve">such </w:t>
      </w:r>
      <w:r w:rsidR="00A713FF" w:rsidRPr="00476FC9">
        <w:rPr>
          <w:color w:val="000000" w:themeColor="text1"/>
        </w:rPr>
        <w:t>decisions</w:t>
      </w:r>
      <w:r w:rsidR="00157133" w:rsidRPr="00476FC9">
        <w:rPr>
          <w:color w:val="000000" w:themeColor="text1"/>
        </w:rPr>
        <w:t xml:space="preserve">. Despite the severe </w:t>
      </w:r>
      <w:r w:rsidR="008732D9" w:rsidRPr="00476FC9">
        <w:rPr>
          <w:color w:val="000000" w:themeColor="text1"/>
        </w:rPr>
        <w:t>controversy</w:t>
      </w:r>
      <w:r w:rsidR="00157133" w:rsidRPr="00476FC9">
        <w:rPr>
          <w:color w:val="000000" w:themeColor="text1"/>
        </w:rPr>
        <w:t xml:space="preserve"> over DTCA</w:t>
      </w:r>
      <w:r w:rsidR="008732D9" w:rsidRPr="00476FC9">
        <w:rPr>
          <w:color w:val="000000" w:themeColor="text1"/>
        </w:rPr>
        <w:t xml:space="preserve"> for the last decades</w:t>
      </w:r>
      <w:r w:rsidR="00157133" w:rsidRPr="00476FC9">
        <w:rPr>
          <w:color w:val="000000" w:themeColor="text1"/>
        </w:rPr>
        <w:t xml:space="preserve">, </w:t>
      </w:r>
      <w:r w:rsidRPr="00476FC9">
        <w:rPr>
          <w:color w:val="000000" w:themeColor="text1"/>
        </w:rPr>
        <w:t xml:space="preserve">a </w:t>
      </w:r>
      <w:r w:rsidR="00157133" w:rsidRPr="00476FC9">
        <w:rPr>
          <w:color w:val="000000" w:themeColor="text1"/>
        </w:rPr>
        <w:t xml:space="preserve">dearth of research </w:t>
      </w:r>
      <w:r w:rsidRPr="00476FC9">
        <w:rPr>
          <w:color w:val="000000" w:themeColor="text1"/>
        </w:rPr>
        <w:t xml:space="preserve">on consumers’ cognitive processing of risk disclosure in DTCA </w:t>
      </w:r>
      <w:r w:rsidR="008732D9" w:rsidRPr="00476FC9">
        <w:rPr>
          <w:color w:val="000000" w:themeColor="text1"/>
        </w:rPr>
        <w:t xml:space="preserve">might have led </w:t>
      </w:r>
      <w:r w:rsidR="001B1FAE" w:rsidRPr="00476FC9">
        <w:rPr>
          <w:color w:val="000000" w:themeColor="text1"/>
        </w:rPr>
        <w:t xml:space="preserve">to an incomplete </w:t>
      </w:r>
      <w:r w:rsidR="00157133" w:rsidRPr="00476FC9">
        <w:rPr>
          <w:color w:val="000000" w:themeColor="text1"/>
        </w:rPr>
        <w:t xml:space="preserve">view of </w:t>
      </w:r>
      <w:r w:rsidR="001B1FAE" w:rsidRPr="00476FC9">
        <w:rPr>
          <w:color w:val="000000" w:themeColor="text1"/>
        </w:rPr>
        <w:t xml:space="preserve">the impact of </w:t>
      </w:r>
      <w:r w:rsidR="00A31EF1" w:rsidRPr="00476FC9">
        <w:rPr>
          <w:color w:val="000000" w:themeColor="text1"/>
        </w:rPr>
        <w:t>DTCA</w:t>
      </w:r>
      <w:r w:rsidR="001B1FAE" w:rsidRPr="00476FC9">
        <w:rPr>
          <w:color w:val="000000" w:themeColor="text1"/>
        </w:rPr>
        <w:t xml:space="preserve"> on consumers</w:t>
      </w:r>
      <w:r w:rsidR="00A31EF1" w:rsidRPr="00476FC9">
        <w:rPr>
          <w:color w:val="000000" w:themeColor="text1"/>
        </w:rPr>
        <w:t xml:space="preserve">. </w:t>
      </w:r>
      <w:r w:rsidRPr="00476FC9">
        <w:rPr>
          <w:color w:val="000000" w:themeColor="text1"/>
        </w:rPr>
        <w:t>Fr</w:t>
      </w:r>
      <w:r w:rsidR="008732D9" w:rsidRPr="00476FC9">
        <w:rPr>
          <w:color w:val="000000" w:themeColor="text1"/>
        </w:rPr>
        <w:t xml:space="preserve">om the public health perspective, </w:t>
      </w:r>
      <w:r w:rsidR="001B1FAE" w:rsidRPr="00476FC9">
        <w:rPr>
          <w:color w:val="000000" w:themeColor="text1"/>
        </w:rPr>
        <w:t xml:space="preserve">identifying a way of more effective risk disclosure provision has importance. </w:t>
      </w:r>
      <w:r w:rsidRPr="00476FC9">
        <w:rPr>
          <w:color w:val="000000" w:themeColor="text1"/>
        </w:rPr>
        <w:t xml:space="preserve">On the pharmaceutical marketer’s end, it could be possible through </w:t>
      </w:r>
      <w:r w:rsidR="00716A21" w:rsidRPr="00476FC9">
        <w:rPr>
          <w:color w:val="000000" w:themeColor="text1"/>
        </w:rPr>
        <w:t xml:space="preserve">enhancing risk disclosure prominence. On the consumer’s end, sound health decision making using DTCA can be improved through enhancing DTCA regulatory knowledge. </w:t>
      </w:r>
      <w:r w:rsidR="008732D9" w:rsidRPr="00476FC9">
        <w:rPr>
          <w:color w:val="000000" w:themeColor="text1"/>
        </w:rPr>
        <w:t>Taken together, those involved in DTCA</w:t>
      </w:r>
      <w:r w:rsidR="001B1FAE" w:rsidRPr="00476FC9">
        <w:rPr>
          <w:color w:val="000000" w:themeColor="text1"/>
        </w:rPr>
        <w:t xml:space="preserve"> </w:t>
      </w:r>
      <w:r w:rsidR="00632132" w:rsidRPr="00476FC9">
        <w:rPr>
          <w:color w:val="000000" w:themeColor="text1"/>
        </w:rPr>
        <w:t>practice</w:t>
      </w:r>
      <w:r w:rsidR="001B1FAE" w:rsidRPr="00476FC9">
        <w:rPr>
          <w:color w:val="000000" w:themeColor="text1"/>
        </w:rPr>
        <w:t xml:space="preserve"> and </w:t>
      </w:r>
      <w:r w:rsidR="00716A21" w:rsidRPr="00476FC9">
        <w:rPr>
          <w:color w:val="000000" w:themeColor="text1"/>
        </w:rPr>
        <w:t>consumer education</w:t>
      </w:r>
      <w:r w:rsidR="0059794E" w:rsidRPr="00476FC9">
        <w:rPr>
          <w:color w:val="000000" w:themeColor="text1"/>
        </w:rPr>
        <w:t xml:space="preserve"> </w:t>
      </w:r>
      <w:r w:rsidR="00157133" w:rsidRPr="00476FC9">
        <w:rPr>
          <w:color w:val="000000" w:themeColor="text1"/>
        </w:rPr>
        <w:t xml:space="preserve">can benefit from consumer-oriented information processing </w:t>
      </w:r>
      <w:r w:rsidR="005E4906" w:rsidRPr="00476FC9">
        <w:rPr>
          <w:color w:val="000000" w:themeColor="text1"/>
        </w:rPr>
        <w:t>principles (</w:t>
      </w:r>
      <w:r w:rsidR="00E22C99" w:rsidRPr="00476FC9">
        <w:rPr>
          <w:color w:val="000000" w:themeColor="text1"/>
        </w:rPr>
        <w:t>Boush et al., 2009; Mazis &amp; Staelin, 1982; Richard, 1990</w:t>
      </w:r>
      <w:r w:rsidR="005E4906" w:rsidRPr="00476FC9">
        <w:rPr>
          <w:color w:val="000000" w:themeColor="text1"/>
        </w:rPr>
        <w:t>).</w:t>
      </w:r>
    </w:p>
    <w:p w:rsidR="00E22C99" w:rsidRPr="00476FC9" w:rsidRDefault="001B1FAE" w:rsidP="007D2ACE">
      <w:pPr>
        <w:keepNext w:val="0"/>
        <w:widowControl w:val="0"/>
        <w:kinsoku w:val="0"/>
        <w:overflowPunct w:val="0"/>
        <w:autoSpaceDE w:val="0"/>
        <w:autoSpaceDN w:val="0"/>
        <w:adjustRightInd w:val="0"/>
        <w:snapToGrid w:val="0"/>
        <w:spacing w:before="0" w:after="0"/>
        <w:outlineLvl w:val="9"/>
        <w:rPr>
          <w:color w:val="000000" w:themeColor="text1"/>
        </w:rPr>
      </w:pPr>
      <w:r w:rsidRPr="00476FC9">
        <w:rPr>
          <w:color w:val="000000" w:themeColor="text1"/>
        </w:rPr>
        <w:tab/>
      </w:r>
      <w:r w:rsidR="00FE0725" w:rsidRPr="00476FC9">
        <w:rPr>
          <w:color w:val="000000" w:themeColor="text1"/>
        </w:rPr>
        <w:t>I</w:t>
      </w:r>
      <w:r w:rsidR="00CB4FDE" w:rsidRPr="00476FC9">
        <w:rPr>
          <w:color w:val="000000" w:themeColor="text1"/>
        </w:rPr>
        <w:t xml:space="preserve">n seeking to advance our understanding of consumer information processing </w:t>
      </w:r>
      <w:r w:rsidR="00FE0725" w:rsidRPr="00476FC9">
        <w:rPr>
          <w:color w:val="000000" w:themeColor="text1"/>
        </w:rPr>
        <w:t xml:space="preserve">mechanism </w:t>
      </w:r>
      <w:r w:rsidR="00CB4FDE" w:rsidRPr="00476FC9">
        <w:rPr>
          <w:color w:val="000000" w:themeColor="text1"/>
        </w:rPr>
        <w:t>of risk disclosure, this research also attempt</w:t>
      </w:r>
      <w:r w:rsidR="00C87DFE" w:rsidRPr="00476FC9">
        <w:rPr>
          <w:color w:val="000000" w:themeColor="text1"/>
        </w:rPr>
        <w:t>s</w:t>
      </w:r>
      <w:r w:rsidR="00CB4FDE" w:rsidRPr="00476FC9">
        <w:rPr>
          <w:color w:val="000000" w:themeColor="text1"/>
        </w:rPr>
        <w:t xml:space="preserve"> to investigate </w:t>
      </w:r>
      <w:r w:rsidR="00781D80" w:rsidRPr="00476FC9">
        <w:rPr>
          <w:color w:val="000000" w:themeColor="text1"/>
        </w:rPr>
        <w:t>a mediating cognitive factor</w:t>
      </w:r>
      <w:r w:rsidR="00FE0725" w:rsidRPr="00476FC9">
        <w:rPr>
          <w:color w:val="000000" w:themeColor="text1"/>
        </w:rPr>
        <w:t xml:space="preserve"> (i.e., perceived </w:t>
      </w:r>
      <w:r w:rsidR="00781D80" w:rsidRPr="00476FC9">
        <w:rPr>
          <w:color w:val="000000" w:themeColor="text1"/>
        </w:rPr>
        <w:t>attention</w:t>
      </w:r>
      <w:r w:rsidR="00FE0725" w:rsidRPr="00476FC9">
        <w:rPr>
          <w:color w:val="000000" w:themeColor="text1"/>
        </w:rPr>
        <w:t>)</w:t>
      </w:r>
      <w:r w:rsidR="00CB4FDE" w:rsidRPr="00476FC9">
        <w:rPr>
          <w:color w:val="000000" w:themeColor="text1"/>
        </w:rPr>
        <w:t xml:space="preserve"> between </w:t>
      </w:r>
      <w:r w:rsidR="00716A21" w:rsidRPr="00476FC9">
        <w:rPr>
          <w:color w:val="000000" w:themeColor="text1"/>
        </w:rPr>
        <w:t xml:space="preserve">DTCA regulatory knowledge and memory </w:t>
      </w:r>
      <w:r w:rsidR="008A721E" w:rsidRPr="00476FC9">
        <w:rPr>
          <w:color w:val="000000" w:themeColor="text1"/>
        </w:rPr>
        <w:t xml:space="preserve">as well as </w:t>
      </w:r>
      <w:r w:rsidR="00716A21" w:rsidRPr="00476FC9">
        <w:rPr>
          <w:color w:val="000000" w:themeColor="text1"/>
        </w:rPr>
        <w:t>between prominence and memory</w:t>
      </w:r>
      <w:r w:rsidR="00781D80" w:rsidRPr="00476FC9">
        <w:rPr>
          <w:color w:val="000000" w:themeColor="text1"/>
        </w:rPr>
        <w:t xml:space="preserve">. </w:t>
      </w:r>
      <w:r w:rsidR="00FE0725" w:rsidRPr="00476FC9">
        <w:rPr>
          <w:color w:val="000000" w:themeColor="text1"/>
        </w:rPr>
        <w:t>In</w:t>
      </w:r>
      <w:r w:rsidR="00CB4FDE" w:rsidRPr="00476FC9">
        <w:rPr>
          <w:color w:val="000000" w:themeColor="text1"/>
        </w:rPr>
        <w:t xml:space="preserve"> doing so, </w:t>
      </w:r>
      <w:r w:rsidR="00E22C99" w:rsidRPr="00476FC9">
        <w:rPr>
          <w:color w:val="000000" w:themeColor="text1"/>
        </w:rPr>
        <w:t xml:space="preserve">this research shows </w:t>
      </w:r>
      <w:r w:rsidR="00716A21" w:rsidRPr="00476FC9">
        <w:rPr>
          <w:color w:val="000000" w:themeColor="text1"/>
        </w:rPr>
        <w:t xml:space="preserve">that both </w:t>
      </w:r>
      <w:r w:rsidR="00D16628" w:rsidRPr="00476FC9">
        <w:rPr>
          <w:color w:val="000000" w:themeColor="text1"/>
        </w:rPr>
        <w:t xml:space="preserve">consumer </w:t>
      </w:r>
      <w:r w:rsidR="00716A21" w:rsidRPr="00476FC9">
        <w:rPr>
          <w:color w:val="000000" w:themeColor="text1"/>
        </w:rPr>
        <w:t xml:space="preserve">and </w:t>
      </w:r>
      <w:r w:rsidR="00D16628" w:rsidRPr="00476FC9">
        <w:rPr>
          <w:color w:val="000000" w:themeColor="text1"/>
        </w:rPr>
        <w:t xml:space="preserve">message </w:t>
      </w:r>
      <w:r w:rsidR="00716A21" w:rsidRPr="00476FC9">
        <w:rPr>
          <w:color w:val="000000" w:themeColor="text1"/>
        </w:rPr>
        <w:t>factors can contribute to enhanced consumer involvement in risk disclosure processing</w:t>
      </w:r>
      <w:r w:rsidR="00E22C99" w:rsidRPr="00476FC9">
        <w:rPr>
          <w:color w:val="000000" w:themeColor="text1"/>
        </w:rPr>
        <w:t xml:space="preserve">. By testing different </w:t>
      </w:r>
      <w:r w:rsidR="004B0AB9" w:rsidRPr="00476FC9">
        <w:rPr>
          <w:color w:val="000000" w:themeColor="text1"/>
        </w:rPr>
        <w:t xml:space="preserve">levels of </w:t>
      </w:r>
      <w:r w:rsidR="00716A21" w:rsidRPr="00476FC9">
        <w:rPr>
          <w:color w:val="000000" w:themeColor="text1"/>
        </w:rPr>
        <w:t xml:space="preserve">DTCA regulatory knowledge </w:t>
      </w:r>
      <w:r w:rsidR="008A721E" w:rsidRPr="00476FC9">
        <w:rPr>
          <w:color w:val="000000" w:themeColor="text1"/>
        </w:rPr>
        <w:t>and</w:t>
      </w:r>
      <w:r w:rsidR="00716A21" w:rsidRPr="00476FC9">
        <w:rPr>
          <w:color w:val="000000" w:themeColor="text1"/>
        </w:rPr>
        <w:t xml:space="preserve"> risk disclosure prominence</w:t>
      </w:r>
      <w:r w:rsidR="00E22C99" w:rsidRPr="00476FC9">
        <w:rPr>
          <w:color w:val="000000" w:themeColor="text1"/>
        </w:rPr>
        <w:t xml:space="preserve">, this research </w:t>
      </w:r>
      <w:r w:rsidR="004B0AB9" w:rsidRPr="00476FC9">
        <w:rPr>
          <w:color w:val="000000" w:themeColor="text1"/>
        </w:rPr>
        <w:t xml:space="preserve">suggests that </w:t>
      </w:r>
      <w:r w:rsidR="00E22C99" w:rsidRPr="00476FC9">
        <w:rPr>
          <w:color w:val="000000" w:themeColor="text1"/>
        </w:rPr>
        <w:t>those involved in</w:t>
      </w:r>
      <w:r w:rsidR="00716A21" w:rsidRPr="00476FC9">
        <w:rPr>
          <w:color w:val="000000" w:themeColor="text1"/>
        </w:rPr>
        <w:t xml:space="preserve"> educating consumers about marketplace and</w:t>
      </w:r>
      <w:r w:rsidR="00E22C99" w:rsidRPr="00476FC9">
        <w:rPr>
          <w:color w:val="000000" w:themeColor="text1"/>
        </w:rPr>
        <w:t xml:space="preserve"> designing </w:t>
      </w:r>
      <w:r w:rsidR="00E22C99" w:rsidRPr="00476FC9">
        <w:rPr>
          <w:color w:val="000000" w:themeColor="text1"/>
        </w:rPr>
        <w:lastRenderedPageBreak/>
        <w:t xml:space="preserve">DTCA risk disclosure need to take </w:t>
      </w:r>
      <w:r w:rsidR="00716A21" w:rsidRPr="00476FC9">
        <w:rPr>
          <w:color w:val="000000" w:themeColor="text1"/>
        </w:rPr>
        <w:t xml:space="preserve">such </w:t>
      </w:r>
      <w:r w:rsidR="00D16628" w:rsidRPr="00476FC9">
        <w:rPr>
          <w:color w:val="000000" w:themeColor="text1"/>
        </w:rPr>
        <w:t xml:space="preserve">consumer </w:t>
      </w:r>
      <w:r w:rsidR="00716A21" w:rsidRPr="00476FC9">
        <w:rPr>
          <w:color w:val="000000" w:themeColor="text1"/>
        </w:rPr>
        <w:t xml:space="preserve">and </w:t>
      </w:r>
      <w:r w:rsidR="00D16628" w:rsidRPr="00476FC9">
        <w:rPr>
          <w:color w:val="000000" w:themeColor="text1"/>
        </w:rPr>
        <w:t xml:space="preserve">message </w:t>
      </w:r>
      <w:r w:rsidR="00716A21" w:rsidRPr="00476FC9">
        <w:rPr>
          <w:color w:val="000000" w:themeColor="text1"/>
        </w:rPr>
        <w:t>factors</w:t>
      </w:r>
      <w:r w:rsidR="00E22C99" w:rsidRPr="00476FC9">
        <w:rPr>
          <w:color w:val="000000" w:themeColor="text1"/>
        </w:rPr>
        <w:t xml:space="preserve"> into account. </w:t>
      </w:r>
    </w:p>
    <w:p w:rsidR="004F32DA" w:rsidRPr="00476FC9" w:rsidRDefault="005E4906" w:rsidP="007D2ACE">
      <w:pPr>
        <w:keepNext w:val="0"/>
        <w:widowControl w:val="0"/>
        <w:kinsoku w:val="0"/>
        <w:overflowPunct w:val="0"/>
        <w:autoSpaceDE w:val="0"/>
        <w:autoSpaceDN w:val="0"/>
        <w:adjustRightInd w:val="0"/>
        <w:snapToGrid w:val="0"/>
        <w:spacing w:before="0" w:after="0"/>
        <w:outlineLvl w:val="9"/>
        <w:rPr>
          <w:color w:val="000000" w:themeColor="text1"/>
        </w:rPr>
      </w:pPr>
      <w:r w:rsidRPr="00476FC9">
        <w:rPr>
          <w:color w:val="000000" w:themeColor="text1"/>
        </w:rPr>
        <w:tab/>
      </w:r>
      <w:r w:rsidR="004F32DA" w:rsidRPr="00476FC9">
        <w:rPr>
          <w:color w:val="000000" w:themeColor="text1"/>
        </w:rPr>
        <w:t>Overall, t</w:t>
      </w:r>
      <w:r w:rsidR="00217031" w:rsidRPr="00476FC9">
        <w:rPr>
          <w:color w:val="000000" w:themeColor="text1"/>
        </w:rPr>
        <w:t xml:space="preserve">he findings of this research </w:t>
      </w:r>
      <w:r w:rsidRPr="00476FC9">
        <w:rPr>
          <w:color w:val="000000" w:themeColor="text1"/>
        </w:rPr>
        <w:t>support</w:t>
      </w:r>
      <w:r w:rsidR="004F32DA" w:rsidRPr="00476FC9">
        <w:rPr>
          <w:color w:val="000000" w:themeColor="text1"/>
        </w:rPr>
        <w:t xml:space="preserve">s </w:t>
      </w:r>
      <w:r w:rsidRPr="00476FC9">
        <w:rPr>
          <w:color w:val="000000" w:themeColor="text1"/>
        </w:rPr>
        <w:t>the the</w:t>
      </w:r>
      <w:r w:rsidR="004F32DA" w:rsidRPr="00476FC9">
        <w:rPr>
          <w:color w:val="000000" w:themeColor="text1"/>
        </w:rPr>
        <w:t>oretical premise that consumer responses to the ad a</w:t>
      </w:r>
      <w:r w:rsidR="00C87DFE" w:rsidRPr="00476FC9">
        <w:rPr>
          <w:color w:val="000000" w:themeColor="text1"/>
        </w:rPr>
        <w:t xml:space="preserve">re </w:t>
      </w:r>
      <w:r w:rsidRPr="00476FC9">
        <w:rPr>
          <w:color w:val="000000" w:themeColor="text1"/>
        </w:rPr>
        <w:t xml:space="preserve">affected by </w:t>
      </w:r>
      <w:r w:rsidR="00716A21" w:rsidRPr="00476FC9">
        <w:rPr>
          <w:color w:val="000000" w:themeColor="text1"/>
        </w:rPr>
        <w:t>varying levels of DTCA regulatory knowledge</w:t>
      </w:r>
      <w:r w:rsidR="00D16628" w:rsidRPr="00476FC9">
        <w:rPr>
          <w:color w:val="000000" w:themeColor="text1"/>
        </w:rPr>
        <w:t xml:space="preserve"> and risk disclosure prominence</w:t>
      </w:r>
      <w:r w:rsidR="00F66A22" w:rsidRPr="00476FC9">
        <w:rPr>
          <w:color w:val="000000" w:themeColor="text1"/>
        </w:rPr>
        <w:t xml:space="preserve">. Specifically, </w:t>
      </w:r>
      <w:r w:rsidR="00716A21" w:rsidRPr="00476FC9">
        <w:rPr>
          <w:color w:val="000000" w:themeColor="text1"/>
        </w:rPr>
        <w:t>highly knowledgeable consumers were more likely to memorize important health risks from the DTC ad</w:t>
      </w:r>
      <w:r w:rsidR="00D16628" w:rsidRPr="00476FC9">
        <w:rPr>
          <w:color w:val="000000" w:themeColor="text1"/>
        </w:rPr>
        <w:t xml:space="preserve"> in general</w:t>
      </w:r>
      <w:r w:rsidR="00716A21" w:rsidRPr="00476FC9">
        <w:rPr>
          <w:color w:val="000000" w:themeColor="text1"/>
        </w:rPr>
        <w:t>. On the other hand, prominent disclosure was more effective among less knowledgeable consumers, indicating that message effects could vary depending on consumers’ individual differences</w:t>
      </w:r>
      <w:r w:rsidR="00D16628" w:rsidRPr="00476FC9">
        <w:rPr>
          <w:color w:val="000000" w:themeColor="text1"/>
        </w:rPr>
        <w:t xml:space="preserve"> in cognitive variables</w:t>
      </w:r>
      <w:r w:rsidR="00716A21" w:rsidRPr="00476FC9">
        <w:rPr>
          <w:color w:val="000000" w:themeColor="text1"/>
        </w:rPr>
        <w:t xml:space="preserve"> (e.g., Petty &amp; Cacioppo, 1986; Petty &amp; Cacioppo, &amp; Shumann, 1983). </w:t>
      </w:r>
      <w:r w:rsidR="004F32DA" w:rsidRPr="00476FC9">
        <w:rPr>
          <w:color w:val="000000" w:themeColor="text1"/>
        </w:rPr>
        <w:t xml:space="preserve">Improved recall and recognition scores </w:t>
      </w:r>
      <w:r w:rsidR="00A6793F" w:rsidRPr="00476FC9">
        <w:rPr>
          <w:color w:val="000000" w:themeColor="text1"/>
        </w:rPr>
        <w:t xml:space="preserve">clearly show that high levels of consumer literacy about the FDA’s regulatory </w:t>
      </w:r>
      <w:r w:rsidR="00D16628" w:rsidRPr="00476FC9">
        <w:rPr>
          <w:color w:val="000000" w:themeColor="text1"/>
        </w:rPr>
        <w:t xml:space="preserve">role </w:t>
      </w:r>
      <w:r w:rsidR="00A6793F" w:rsidRPr="00476FC9">
        <w:rPr>
          <w:color w:val="000000" w:themeColor="text1"/>
        </w:rPr>
        <w:t>for DTCA play a role in consumers’ health information coping strategies.</w:t>
      </w:r>
    </w:p>
    <w:p w:rsidR="00F66A22" w:rsidRPr="00476FC9" w:rsidRDefault="004F32DA" w:rsidP="007D2ACE">
      <w:pPr>
        <w:keepNext w:val="0"/>
        <w:widowControl w:val="0"/>
        <w:kinsoku w:val="0"/>
        <w:overflowPunct w:val="0"/>
        <w:autoSpaceDE w:val="0"/>
        <w:autoSpaceDN w:val="0"/>
        <w:adjustRightInd w:val="0"/>
        <w:snapToGrid w:val="0"/>
        <w:spacing w:before="0" w:after="0"/>
        <w:ind w:firstLine="720"/>
        <w:outlineLvl w:val="9"/>
        <w:rPr>
          <w:color w:val="000000" w:themeColor="text1"/>
        </w:rPr>
      </w:pPr>
      <w:r w:rsidRPr="00476FC9">
        <w:rPr>
          <w:color w:val="000000" w:themeColor="text1"/>
        </w:rPr>
        <w:t>Before discussing the implications of the research findings in more detail, t</w:t>
      </w:r>
      <w:r w:rsidR="00217031" w:rsidRPr="00476FC9">
        <w:rPr>
          <w:color w:val="000000" w:themeColor="text1"/>
        </w:rPr>
        <w:t xml:space="preserve">he major findings are summarized as follows: </w:t>
      </w:r>
      <w:r w:rsidRPr="00476FC9">
        <w:rPr>
          <w:color w:val="000000" w:themeColor="text1"/>
        </w:rPr>
        <w:t>(1)</w:t>
      </w:r>
      <w:r w:rsidR="00A6793F" w:rsidRPr="00476FC9">
        <w:rPr>
          <w:color w:val="000000" w:themeColor="text1"/>
        </w:rPr>
        <w:t xml:space="preserve"> higher DTCA regulatory knowledge enhanced consumer attention to and recognition of risk information in the DTC ad; </w:t>
      </w:r>
      <w:r w:rsidRPr="00476FC9">
        <w:rPr>
          <w:color w:val="000000" w:themeColor="text1"/>
        </w:rPr>
        <w:t xml:space="preserve">(2) </w:t>
      </w:r>
      <w:r w:rsidR="00A6793F" w:rsidRPr="00476FC9">
        <w:rPr>
          <w:color w:val="000000" w:themeColor="text1"/>
        </w:rPr>
        <w:t xml:space="preserve">DTCA regulatory knowledge moderated the prominence effects such that among less knowledgeable consumers the prominence effects were maximized, whereas the effects were minimal among more knowledgeable consumers; (3) higher prominence were more effective for attention and memory; (4) DTCA regulatory knowledge and prominence effects operated through perceived attention on consumer memory of risk information. </w:t>
      </w:r>
      <w:r w:rsidR="007A2392" w:rsidRPr="00476FC9">
        <w:rPr>
          <w:color w:val="000000" w:themeColor="text1"/>
        </w:rPr>
        <w:t xml:space="preserve">Taken together, </w:t>
      </w:r>
      <w:r w:rsidR="00F66A22" w:rsidRPr="00476FC9">
        <w:rPr>
          <w:color w:val="000000" w:themeColor="text1"/>
        </w:rPr>
        <w:t xml:space="preserve">the </w:t>
      </w:r>
      <w:r w:rsidR="00217031" w:rsidRPr="00476FC9">
        <w:rPr>
          <w:color w:val="000000" w:themeColor="text1"/>
        </w:rPr>
        <w:t xml:space="preserve">overall findings </w:t>
      </w:r>
      <w:r w:rsidR="00F66A22" w:rsidRPr="00476FC9">
        <w:rPr>
          <w:color w:val="000000" w:themeColor="text1"/>
        </w:rPr>
        <w:t xml:space="preserve">support </w:t>
      </w:r>
      <w:r w:rsidR="007A2392" w:rsidRPr="00476FC9">
        <w:rPr>
          <w:color w:val="000000" w:themeColor="text1"/>
        </w:rPr>
        <w:t xml:space="preserve">the </w:t>
      </w:r>
      <w:r w:rsidR="0002355C" w:rsidRPr="00476FC9">
        <w:rPr>
          <w:color w:val="000000" w:themeColor="text1"/>
        </w:rPr>
        <w:t xml:space="preserve">current study’s theoretical </w:t>
      </w:r>
      <w:r w:rsidR="00217031" w:rsidRPr="00476FC9">
        <w:rPr>
          <w:color w:val="000000" w:themeColor="text1"/>
        </w:rPr>
        <w:t xml:space="preserve">framework. </w:t>
      </w:r>
      <w:r w:rsidR="007A2392" w:rsidRPr="00476FC9">
        <w:rPr>
          <w:color w:val="000000" w:themeColor="text1"/>
        </w:rPr>
        <w:t>In the following sections, t</w:t>
      </w:r>
      <w:r w:rsidR="00F66A22" w:rsidRPr="00476FC9">
        <w:rPr>
          <w:color w:val="000000" w:themeColor="text1"/>
        </w:rPr>
        <w:t xml:space="preserve">he theoretical, managerial, and </w:t>
      </w:r>
      <w:r w:rsidR="00A6793F" w:rsidRPr="00476FC9">
        <w:rPr>
          <w:color w:val="000000" w:themeColor="text1"/>
        </w:rPr>
        <w:t>consumer education/</w:t>
      </w:r>
      <w:r w:rsidR="00F66A22" w:rsidRPr="00476FC9">
        <w:rPr>
          <w:color w:val="000000" w:themeColor="text1"/>
        </w:rPr>
        <w:t>public health implications</w:t>
      </w:r>
      <w:r w:rsidR="00217031" w:rsidRPr="00476FC9">
        <w:rPr>
          <w:color w:val="000000" w:themeColor="text1"/>
        </w:rPr>
        <w:t xml:space="preserve"> of this research are discussed</w:t>
      </w:r>
      <w:r w:rsidR="00F66A22" w:rsidRPr="00476FC9">
        <w:rPr>
          <w:color w:val="000000" w:themeColor="text1"/>
        </w:rPr>
        <w:t>.</w:t>
      </w:r>
    </w:p>
    <w:p w:rsidR="00222367" w:rsidRPr="00476FC9" w:rsidRDefault="00222367" w:rsidP="007D2ACE">
      <w:pPr>
        <w:keepNext w:val="0"/>
        <w:widowControl w:val="0"/>
        <w:kinsoku w:val="0"/>
        <w:overflowPunct w:val="0"/>
        <w:autoSpaceDE w:val="0"/>
        <w:autoSpaceDN w:val="0"/>
        <w:adjustRightInd w:val="0"/>
        <w:snapToGrid w:val="0"/>
        <w:spacing w:before="0" w:after="0" w:line="240" w:lineRule="auto"/>
        <w:outlineLvl w:val="9"/>
        <w:rPr>
          <w:rFonts w:cs="Arial"/>
          <w:bCs w:val="0"/>
          <w:iCs/>
          <w:color w:val="000000" w:themeColor="text1"/>
        </w:rPr>
      </w:pPr>
      <w:r w:rsidRPr="00476FC9">
        <w:rPr>
          <w:color w:val="000000" w:themeColor="text1"/>
        </w:rPr>
        <w:br w:type="page"/>
      </w:r>
    </w:p>
    <w:p w:rsidR="00F66A22" w:rsidRPr="00476FC9" w:rsidRDefault="00F66A22" w:rsidP="007D2ACE">
      <w:pPr>
        <w:pStyle w:val="Heading2"/>
        <w:rPr>
          <w:color w:val="000000" w:themeColor="text1"/>
        </w:rPr>
      </w:pPr>
      <w:bookmarkStart w:id="61" w:name="_Toc393800692"/>
      <w:r w:rsidRPr="00476FC9">
        <w:rPr>
          <w:color w:val="000000" w:themeColor="text1"/>
        </w:rPr>
        <w:lastRenderedPageBreak/>
        <w:t>Theoretical Implications</w:t>
      </w:r>
      <w:bookmarkEnd w:id="61"/>
    </w:p>
    <w:p w:rsidR="008E0C9B" w:rsidRPr="00476FC9" w:rsidRDefault="00210D11"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B53959" w:rsidRPr="00476FC9">
        <w:rPr>
          <w:color w:val="000000" w:themeColor="text1"/>
        </w:rPr>
        <w:t>The present research contributes to the theory of DTCA in several ways.</w:t>
      </w:r>
      <w:r w:rsidR="00A6793F" w:rsidRPr="00476FC9">
        <w:rPr>
          <w:color w:val="000000" w:themeColor="text1"/>
        </w:rPr>
        <w:t xml:space="preserve"> In general, </w:t>
      </w:r>
      <w:r w:rsidR="00B53959" w:rsidRPr="00476FC9">
        <w:rPr>
          <w:color w:val="000000" w:themeColor="text1"/>
        </w:rPr>
        <w:t>more prominent risk disclosure enhance</w:t>
      </w:r>
      <w:r w:rsidR="00A6793F" w:rsidRPr="00476FC9">
        <w:rPr>
          <w:color w:val="000000" w:themeColor="text1"/>
        </w:rPr>
        <w:t>s</w:t>
      </w:r>
      <w:r w:rsidR="00B53959" w:rsidRPr="00476FC9">
        <w:rPr>
          <w:color w:val="000000" w:themeColor="text1"/>
        </w:rPr>
        <w:t xml:space="preserve"> consumer memory</w:t>
      </w:r>
      <w:r w:rsidR="00A6793F" w:rsidRPr="00476FC9">
        <w:rPr>
          <w:color w:val="000000" w:themeColor="text1"/>
        </w:rPr>
        <w:t xml:space="preserve"> of information and thereby could </w:t>
      </w:r>
      <w:r w:rsidR="00E000DC" w:rsidRPr="00476FC9">
        <w:rPr>
          <w:color w:val="000000" w:themeColor="text1"/>
        </w:rPr>
        <w:t xml:space="preserve">reduce </w:t>
      </w:r>
      <w:r w:rsidR="00E000DC" w:rsidRPr="00476FC9">
        <w:rPr>
          <w:i/>
          <w:color w:val="000000" w:themeColor="text1"/>
        </w:rPr>
        <w:t>errors</w:t>
      </w:r>
      <w:r w:rsidR="00E000DC" w:rsidRPr="00476FC9">
        <w:rPr>
          <w:color w:val="000000" w:themeColor="text1"/>
        </w:rPr>
        <w:t xml:space="preserve"> and </w:t>
      </w:r>
      <w:r w:rsidR="00E000DC" w:rsidRPr="00476FC9">
        <w:rPr>
          <w:i/>
          <w:color w:val="000000" w:themeColor="text1"/>
        </w:rPr>
        <w:t>biases</w:t>
      </w:r>
      <w:r w:rsidR="00E000DC" w:rsidRPr="00476FC9">
        <w:rPr>
          <w:color w:val="000000" w:themeColor="text1"/>
        </w:rPr>
        <w:t xml:space="preserve"> in consumer decision making (</w:t>
      </w:r>
      <w:r w:rsidR="00AA6C9F" w:rsidRPr="00476FC9">
        <w:rPr>
          <w:color w:val="000000" w:themeColor="text1"/>
        </w:rPr>
        <w:t>Andrews, 2011</w:t>
      </w:r>
      <w:r w:rsidR="00E000DC" w:rsidRPr="00476FC9">
        <w:rPr>
          <w:color w:val="000000" w:themeColor="text1"/>
        </w:rPr>
        <w:t xml:space="preserve">). </w:t>
      </w:r>
      <w:r w:rsidR="00A6793F" w:rsidRPr="00476FC9">
        <w:rPr>
          <w:color w:val="000000" w:themeColor="text1"/>
        </w:rPr>
        <w:t>Given this, p</w:t>
      </w:r>
      <w:r w:rsidR="00E000DC" w:rsidRPr="00476FC9">
        <w:rPr>
          <w:color w:val="000000" w:themeColor="text1"/>
        </w:rPr>
        <w:t xml:space="preserve">rominent </w:t>
      </w:r>
      <w:r w:rsidR="00D67B16" w:rsidRPr="00476FC9">
        <w:rPr>
          <w:color w:val="000000" w:themeColor="text1"/>
        </w:rPr>
        <w:t xml:space="preserve">risk disclosure </w:t>
      </w:r>
      <w:r w:rsidR="00E000DC" w:rsidRPr="00476FC9">
        <w:rPr>
          <w:color w:val="000000" w:themeColor="text1"/>
        </w:rPr>
        <w:t xml:space="preserve">provision </w:t>
      </w:r>
      <w:r w:rsidR="00D67B16" w:rsidRPr="00476FC9">
        <w:rPr>
          <w:color w:val="000000" w:themeColor="text1"/>
        </w:rPr>
        <w:t xml:space="preserve">could </w:t>
      </w:r>
      <w:r w:rsidR="00E000DC" w:rsidRPr="00476FC9">
        <w:rPr>
          <w:color w:val="000000" w:themeColor="text1"/>
        </w:rPr>
        <w:t xml:space="preserve">counterbalance potential misperception about health risks </w:t>
      </w:r>
      <w:r w:rsidR="00933E9B" w:rsidRPr="00476FC9">
        <w:rPr>
          <w:color w:val="000000" w:themeColor="text1"/>
        </w:rPr>
        <w:t xml:space="preserve">of the product use </w:t>
      </w:r>
      <w:r w:rsidR="00E000DC" w:rsidRPr="00476FC9">
        <w:rPr>
          <w:color w:val="000000" w:themeColor="text1"/>
        </w:rPr>
        <w:t xml:space="preserve">(Kozup, Creyer, &amp; Burton, 2003). </w:t>
      </w:r>
      <w:r w:rsidR="00A6793F" w:rsidRPr="00476FC9">
        <w:rPr>
          <w:color w:val="000000" w:themeColor="text1"/>
        </w:rPr>
        <w:t xml:space="preserve">For instance, </w:t>
      </w:r>
      <w:r w:rsidR="008E0C9B" w:rsidRPr="00476FC9">
        <w:rPr>
          <w:color w:val="000000" w:themeColor="text1"/>
        </w:rPr>
        <w:t>Andrews, Netemeyer, and Burton (2009)</w:t>
      </w:r>
      <w:r w:rsidR="00E000DC" w:rsidRPr="00476FC9">
        <w:rPr>
          <w:color w:val="000000" w:themeColor="text1"/>
        </w:rPr>
        <w:t xml:space="preserve"> </w:t>
      </w:r>
      <w:r w:rsidR="00AC622A" w:rsidRPr="00476FC9">
        <w:rPr>
          <w:color w:val="000000" w:themeColor="text1"/>
        </w:rPr>
        <w:t>found</w:t>
      </w:r>
      <w:r w:rsidR="00E000DC" w:rsidRPr="00476FC9">
        <w:rPr>
          <w:color w:val="000000" w:themeColor="text1"/>
        </w:rPr>
        <w:t xml:space="preserve"> that prominently presented disclosures contribute to reducing misleading </w:t>
      </w:r>
      <w:r w:rsidR="00CD3258" w:rsidRPr="00476FC9">
        <w:rPr>
          <w:color w:val="000000" w:themeColor="text1"/>
        </w:rPr>
        <w:t xml:space="preserve">perceptions about </w:t>
      </w:r>
      <w:r w:rsidR="0060451C" w:rsidRPr="00476FC9">
        <w:rPr>
          <w:color w:val="000000" w:themeColor="text1"/>
        </w:rPr>
        <w:t xml:space="preserve">ad </w:t>
      </w:r>
      <w:r w:rsidR="008E0C9B" w:rsidRPr="00476FC9">
        <w:rPr>
          <w:color w:val="000000" w:themeColor="text1"/>
        </w:rPr>
        <w:t>nutrition disclosures</w:t>
      </w:r>
      <w:r w:rsidR="00E000DC" w:rsidRPr="00476FC9">
        <w:rPr>
          <w:color w:val="000000" w:themeColor="text1"/>
        </w:rPr>
        <w:t xml:space="preserve">. </w:t>
      </w:r>
      <w:r w:rsidR="00A6793F" w:rsidRPr="00476FC9">
        <w:rPr>
          <w:color w:val="000000" w:themeColor="text1"/>
        </w:rPr>
        <w:t xml:space="preserve">Therefore, </w:t>
      </w:r>
      <w:r w:rsidR="008E0C9B" w:rsidRPr="00476FC9">
        <w:rPr>
          <w:color w:val="000000" w:themeColor="text1"/>
        </w:rPr>
        <w:t xml:space="preserve">consumers need to be informed about </w:t>
      </w:r>
      <w:r w:rsidR="0060451C" w:rsidRPr="00476FC9">
        <w:rPr>
          <w:color w:val="000000" w:themeColor="text1"/>
        </w:rPr>
        <w:t xml:space="preserve">important </w:t>
      </w:r>
      <w:r w:rsidR="008E0C9B" w:rsidRPr="00476FC9">
        <w:rPr>
          <w:color w:val="000000" w:themeColor="text1"/>
        </w:rPr>
        <w:t>product</w:t>
      </w:r>
      <w:r w:rsidR="00975C66" w:rsidRPr="00476FC9">
        <w:rPr>
          <w:color w:val="000000" w:themeColor="text1"/>
        </w:rPr>
        <w:t>’s</w:t>
      </w:r>
      <w:r w:rsidR="008E0C9B" w:rsidRPr="00476FC9">
        <w:rPr>
          <w:color w:val="000000" w:themeColor="text1"/>
        </w:rPr>
        <w:t xml:space="preserve"> attributes </w:t>
      </w:r>
      <w:r w:rsidR="00975C66" w:rsidRPr="00476FC9">
        <w:rPr>
          <w:color w:val="000000" w:themeColor="text1"/>
        </w:rPr>
        <w:t>including benefit and risk</w:t>
      </w:r>
      <w:r w:rsidR="008E0C9B" w:rsidRPr="00476FC9">
        <w:rPr>
          <w:color w:val="000000" w:themeColor="text1"/>
        </w:rPr>
        <w:t xml:space="preserve"> information</w:t>
      </w:r>
      <w:r w:rsidR="0060451C" w:rsidRPr="00476FC9">
        <w:rPr>
          <w:color w:val="000000" w:themeColor="text1"/>
        </w:rPr>
        <w:t>,</w:t>
      </w:r>
      <w:r w:rsidR="00B53959" w:rsidRPr="00476FC9">
        <w:rPr>
          <w:color w:val="000000" w:themeColor="text1"/>
        </w:rPr>
        <w:t xml:space="preserve"> through prominent information presentation</w:t>
      </w:r>
      <w:r w:rsidR="0002355C" w:rsidRPr="00476FC9">
        <w:rPr>
          <w:color w:val="000000" w:themeColor="text1"/>
        </w:rPr>
        <w:t>,</w:t>
      </w:r>
      <w:r w:rsidR="008E0C9B" w:rsidRPr="00476FC9">
        <w:rPr>
          <w:color w:val="000000" w:themeColor="text1"/>
        </w:rPr>
        <w:t xml:space="preserve"> so that they can </w:t>
      </w:r>
      <w:r w:rsidR="0002355C" w:rsidRPr="00476FC9">
        <w:rPr>
          <w:color w:val="000000" w:themeColor="text1"/>
        </w:rPr>
        <w:t>make informed health</w:t>
      </w:r>
      <w:r w:rsidR="008E0C9B" w:rsidRPr="00476FC9">
        <w:rPr>
          <w:color w:val="000000" w:themeColor="text1"/>
        </w:rPr>
        <w:t xml:space="preserve"> decisions</w:t>
      </w:r>
      <w:r w:rsidR="00AC622A" w:rsidRPr="00476FC9">
        <w:rPr>
          <w:color w:val="000000" w:themeColor="text1"/>
        </w:rPr>
        <w:t xml:space="preserve">. </w:t>
      </w:r>
    </w:p>
    <w:p w:rsidR="009C4962" w:rsidRPr="00476FC9" w:rsidRDefault="00A6793F"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However, </w:t>
      </w:r>
      <w:r w:rsidR="0060451C" w:rsidRPr="00476FC9">
        <w:rPr>
          <w:color w:val="000000" w:themeColor="text1"/>
        </w:rPr>
        <w:t>are</w:t>
      </w:r>
      <w:r w:rsidRPr="00476FC9">
        <w:rPr>
          <w:color w:val="000000" w:themeColor="text1"/>
        </w:rPr>
        <w:t xml:space="preserve"> the prominence effects always consistent? </w:t>
      </w:r>
      <w:r w:rsidR="009C4962" w:rsidRPr="00476FC9">
        <w:rPr>
          <w:color w:val="000000" w:themeColor="text1"/>
        </w:rPr>
        <w:t xml:space="preserve">In the current research, </w:t>
      </w:r>
      <w:r w:rsidR="00B53959" w:rsidRPr="00476FC9">
        <w:rPr>
          <w:color w:val="000000" w:themeColor="text1"/>
        </w:rPr>
        <w:t xml:space="preserve">DTCA </w:t>
      </w:r>
      <w:r w:rsidR="009C4962" w:rsidRPr="00476FC9">
        <w:rPr>
          <w:color w:val="000000" w:themeColor="text1"/>
        </w:rPr>
        <w:t xml:space="preserve">regulatory </w:t>
      </w:r>
      <w:r w:rsidR="00B53959" w:rsidRPr="00476FC9">
        <w:rPr>
          <w:color w:val="000000" w:themeColor="text1"/>
        </w:rPr>
        <w:t xml:space="preserve">knowledge was found to </w:t>
      </w:r>
      <w:r w:rsidR="004966FF" w:rsidRPr="00476FC9">
        <w:rPr>
          <w:color w:val="000000" w:themeColor="text1"/>
        </w:rPr>
        <w:t>not only moderate such effects but also directly affect</w:t>
      </w:r>
      <w:r w:rsidR="00B53959" w:rsidRPr="00476FC9">
        <w:rPr>
          <w:color w:val="000000" w:themeColor="text1"/>
        </w:rPr>
        <w:t xml:space="preserve"> consumers’ coping strategies of risk disclosure in DTCA. </w:t>
      </w:r>
      <w:r w:rsidR="00E5087A" w:rsidRPr="00476FC9">
        <w:rPr>
          <w:color w:val="000000" w:themeColor="text1"/>
        </w:rPr>
        <w:t xml:space="preserve">This is an interesting finding in that prior research has exclusively examined </w:t>
      </w:r>
      <w:r w:rsidR="004966FF" w:rsidRPr="00476FC9">
        <w:rPr>
          <w:color w:val="000000" w:themeColor="text1"/>
        </w:rPr>
        <w:t xml:space="preserve">the role of </w:t>
      </w:r>
      <w:r w:rsidR="009C4962" w:rsidRPr="00476FC9">
        <w:rPr>
          <w:color w:val="000000" w:themeColor="text1"/>
        </w:rPr>
        <w:t xml:space="preserve">general </w:t>
      </w:r>
      <w:r w:rsidR="00E5087A" w:rsidRPr="00476FC9">
        <w:rPr>
          <w:color w:val="000000" w:themeColor="text1"/>
        </w:rPr>
        <w:t xml:space="preserve">health literacy regarding consumer </w:t>
      </w:r>
      <w:r w:rsidR="004966FF" w:rsidRPr="00476FC9">
        <w:rPr>
          <w:color w:val="000000" w:themeColor="text1"/>
        </w:rPr>
        <w:t xml:space="preserve">health </w:t>
      </w:r>
      <w:r w:rsidR="00E5087A" w:rsidRPr="00476FC9">
        <w:rPr>
          <w:color w:val="000000" w:themeColor="text1"/>
        </w:rPr>
        <w:t xml:space="preserve">information processing </w:t>
      </w:r>
      <w:r w:rsidR="00AA6C9F" w:rsidRPr="00476FC9">
        <w:rPr>
          <w:color w:val="000000" w:themeColor="text1"/>
        </w:rPr>
        <w:t>(e.g., Baer, Allen, &amp; Braun, 2000; Wolf, Davis, Tilson, Bass, &amp; Parker, 2006; Kickbusch &amp; Ratzan, 2001).</w:t>
      </w:r>
      <w:r w:rsidR="00E5087A" w:rsidRPr="00476FC9">
        <w:rPr>
          <w:color w:val="000000" w:themeColor="text1"/>
        </w:rPr>
        <w:t xml:space="preserve"> </w:t>
      </w:r>
      <w:r w:rsidR="009C4962" w:rsidRPr="00476FC9">
        <w:rPr>
          <w:color w:val="000000" w:themeColor="text1"/>
        </w:rPr>
        <w:t xml:space="preserve">DTCA regulatory knowledge </w:t>
      </w:r>
      <w:r w:rsidR="00E5087A" w:rsidRPr="00476FC9">
        <w:rPr>
          <w:color w:val="000000" w:themeColor="text1"/>
        </w:rPr>
        <w:t>has been largely ignored in the literature</w:t>
      </w:r>
      <w:r w:rsidR="009C4962" w:rsidRPr="00476FC9">
        <w:rPr>
          <w:color w:val="000000" w:themeColor="text1"/>
        </w:rPr>
        <w:t xml:space="preserve"> </w:t>
      </w:r>
      <w:r w:rsidR="004966FF" w:rsidRPr="00476FC9">
        <w:rPr>
          <w:color w:val="000000" w:themeColor="text1"/>
        </w:rPr>
        <w:t>despite its potential consequences on consumer response to the ad</w:t>
      </w:r>
      <w:r w:rsidR="00E5087A" w:rsidRPr="00476FC9">
        <w:rPr>
          <w:color w:val="000000" w:themeColor="text1"/>
        </w:rPr>
        <w:t>.</w:t>
      </w:r>
    </w:p>
    <w:p w:rsidR="004E6ECA" w:rsidRPr="00476FC9" w:rsidRDefault="009C4962"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A few DTCA studies have </w:t>
      </w:r>
      <w:r w:rsidR="00E5087A" w:rsidRPr="00476FC9">
        <w:rPr>
          <w:color w:val="000000" w:themeColor="text1"/>
        </w:rPr>
        <w:t xml:space="preserve">examined </w:t>
      </w:r>
      <w:r w:rsidRPr="00476FC9">
        <w:rPr>
          <w:color w:val="000000" w:themeColor="text1"/>
        </w:rPr>
        <w:t xml:space="preserve">the role of </w:t>
      </w:r>
      <w:r w:rsidR="00E5087A" w:rsidRPr="00476FC9">
        <w:rPr>
          <w:color w:val="000000" w:themeColor="text1"/>
        </w:rPr>
        <w:t>consumers’ subjective knowledge about health and medicine in general (</w:t>
      </w:r>
      <w:r w:rsidR="00BD7221" w:rsidRPr="00476FC9">
        <w:rPr>
          <w:color w:val="000000" w:themeColor="text1"/>
        </w:rPr>
        <w:t xml:space="preserve">e.g., </w:t>
      </w:r>
      <w:r w:rsidR="00E5087A" w:rsidRPr="00476FC9">
        <w:rPr>
          <w:color w:val="000000" w:themeColor="text1"/>
        </w:rPr>
        <w:t xml:space="preserve">An, 2007). </w:t>
      </w:r>
      <w:r w:rsidRPr="00476FC9">
        <w:rPr>
          <w:color w:val="000000" w:themeColor="text1"/>
        </w:rPr>
        <w:t xml:space="preserve">However, DTCA regulatory knowledge may represent a </w:t>
      </w:r>
      <w:r w:rsidR="00697251" w:rsidRPr="00476FC9">
        <w:rPr>
          <w:color w:val="000000" w:themeColor="text1"/>
        </w:rPr>
        <w:t>distinct</w:t>
      </w:r>
      <w:r w:rsidRPr="00476FC9">
        <w:rPr>
          <w:color w:val="000000" w:themeColor="text1"/>
        </w:rPr>
        <w:t xml:space="preserve"> aspect of consumers’ cogni</w:t>
      </w:r>
      <w:r w:rsidR="002911CC" w:rsidRPr="00476FC9">
        <w:rPr>
          <w:color w:val="000000" w:themeColor="text1"/>
        </w:rPr>
        <w:t>tive structure regarding prescription marketplace</w:t>
      </w:r>
      <w:r w:rsidRPr="00476FC9">
        <w:rPr>
          <w:color w:val="000000" w:themeColor="text1"/>
        </w:rPr>
        <w:t xml:space="preserve">. </w:t>
      </w:r>
      <w:r w:rsidR="00243148" w:rsidRPr="00476FC9">
        <w:rPr>
          <w:color w:val="000000" w:themeColor="text1"/>
        </w:rPr>
        <w:t xml:space="preserve">While research on health literacy focuses more on particular health issues </w:t>
      </w:r>
      <w:r w:rsidR="00AA6C9F" w:rsidRPr="00476FC9">
        <w:rPr>
          <w:color w:val="000000" w:themeColor="text1"/>
        </w:rPr>
        <w:t>(Chang, 2008; Jorm, Barney, Christensen, Highet, Kelly, &amp; Kitchener, 2006),</w:t>
      </w:r>
      <w:r w:rsidR="00243148" w:rsidRPr="00476FC9">
        <w:rPr>
          <w:color w:val="000000" w:themeColor="text1"/>
        </w:rPr>
        <w:t xml:space="preserve"> </w:t>
      </w:r>
      <w:r w:rsidR="00EB1FEC" w:rsidRPr="00476FC9">
        <w:rPr>
          <w:color w:val="000000" w:themeColor="text1"/>
        </w:rPr>
        <w:t>DTCA regulatory knowledge</w:t>
      </w:r>
      <w:r w:rsidR="00243148" w:rsidRPr="00476FC9">
        <w:rPr>
          <w:color w:val="000000" w:themeColor="text1"/>
        </w:rPr>
        <w:t xml:space="preserve"> represents </w:t>
      </w:r>
      <w:r w:rsidR="00243148" w:rsidRPr="00476FC9">
        <w:rPr>
          <w:color w:val="000000" w:themeColor="text1"/>
        </w:rPr>
        <w:lastRenderedPageBreak/>
        <w:t xml:space="preserve">consumers’ marketplace persuasion knowledge as a </w:t>
      </w:r>
      <w:r w:rsidRPr="00476FC9">
        <w:rPr>
          <w:color w:val="000000" w:themeColor="text1"/>
        </w:rPr>
        <w:t xml:space="preserve">DTCA </w:t>
      </w:r>
      <w:r w:rsidR="00243148" w:rsidRPr="00476FC9">
        <w:rPr>
          <w:color w:val="000000" w:themeColor="text1"/>
        </w:rPr>
        <w:t>persuasion coping strategy.</w:t>
      </w:r>
    </w:p>
    <w:p w:rsidR="00243148" w:rsidRPr="00476FC9" w:rsidRDefault="00243148"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In this regard, Friestad and Wright (1994) propose that marketplace beliefs consist of three broad knowledge dimensions including topic knowledge, agent knowledge, and persuasion knowledge. Among </w:t>
      </w:r>
      <w:r w:rsidR="009C4962" w:rsidRPr="00476FC9">
        <w:rPr>
          <w:color w:val="000000" w:themeColor="text1"/>
        </w:rPr>
        <w:t>the three</w:t>
      </w:r>
      <w:r w:rsidRPr="00476FC9">
        <w:rPr>
          <w:color w:val="000000" w:themeColor="text1"/>
        </w:rPr>
        <w:t xml:space="preserve">, </w:t>
      </w:r>
      <w:r w:rsidR="009C4962" w:rsidRPr="00476FC9">
        <w:rPr>
          <w:color w:val="000000" w:themeColor="text1"/>
        </w:rPr>
        <w:t xml:space="preserve">in the current research, </w:t>
      </w:r>
      <w:r w:rsidR="00EB1FEC" w:rsidRPr="00476FC9">
        <w:rPr>
          <w:color w:val="000000" w:themeColor="text1"/>
        </w:rPr>
        <w:t>DTCA regulatory knowledge</w:t>
      </w:r>
      <w:r w:rsidRPr="00476FC9">
        <w:rPr>
          <w:color w:val="000000" w:themeColor="text1"/>
        </w:rPr>
        <w:t xml:space="preserve"> </w:t>
      </w:r>
      <w:r w:rsidR="009C4962" w:rsidRPr="00476FC9">
        <w:rPr>
          <w:color w:val="000000" w:themeColor="text1"/>
        </w:rPr>
        <w:t xml:space="preserve">was conceptualized as </w:t>
      </w:r>
      <w:r w:rsidRPr="00476FC9">
        <w:rPr>
          <w:color w:val="000000" w:themeColor="text1"/>
        </w:rPr>
        <w:t>consumers’ persuasion knowledge about the</w:t>
      </w:r>
      <w:r w:rsidR="009C4962" w:rsidRPr="00476FC9">
        <w:rPr>
          <w:color w:val="000000" w:themeColor="text1"/>
        </w:rPr>
        <w:t xml:space="preserve"> FDA’s regulatory role for </w:t>
      </w:r>
      <w:r w:rsidRPr="00476FC9">
        <w:rPr>
          <w:color w:val="000000" w:themeColor="text1"/>
        </w:rPr>
        <w:t>DTCA</w:t>
      </w:r>
      <w:r w:rsidR="004E6ECA" w:rsidRPr="00476FC9">
        <w:rPr>
          <w:color w:val="000000" w:themeColor="text1"/>
        </w:rPr>
        <w:t>.</w:t>
      </w:r>
      <w:r w:rsidR="009C4962" w:rsidRPr="00476FC9">
        <w:rPr>
          <w:color w:val="000000" w:themeColor="text1"/>
        </w:rPr>
        <w:t xml:space="preserve"> </w:t>
      </w:r>
      <w:r w:rsidR="00802D0D" w:rsidRPr="00476FC9">
        <w:rPr>
          <w:color w:val="000000" w:themeColor="text1"/>
        </w:rPr>
        <w:t>It is possible that s</w:t>
      </w:r>
      <w:r w:rsidR="009C4962" w:rsidRPr="00476FC9">
        <w:rPr>
          <w:color w:val="000000" w:themeColor="text1"/>
        </w:rPr>
        <w:t>ome may conceptualize DTCA regulatory knowledge as agent knowledge</w:t>
      </w:r>
      <w:r w:rsidR="00802D0D" w:rsidRPr="00476FC9">
        <w:rPr>
          <w:color w:val="000000" w:themeColor="text1"/>
        </w:rPr>
        <w:t>,</w:t>
      </w:r>
      <w:r w:rsidR="009C4962" w:rsidRPr="00476FC9">
        <w:rPr>
          <w:color w:val="000000" w:themeColor="text1"/>
        </w:rPr>
        <w:t xml:space="preserve"> because it may </w:t>
      </w:r>
      <w:r w:rsidR="00802D0D" w:rsidRPr="00476FC9">
        <w:rPr>
          <w:color w:val="000000" w:themeColor="text1"/>
        </w:rPr>
        <w:t>also represent</w:t>
      </w:r>
      <w:r w:rsidR="009C4962" w:rsidRPr="00476FC9">
        <w:rPr>
          <w:color w:val="000000" w:themeColor="text1"/>
        </w:rPr>
        <w:t xml:space="preserve"> consumers’ awareness of </w:t>
      </w:r>
      <w:r w:rsidR="00802D0D" w:rsidRPr="00476FC9">
        <w:rPr>
          <w:color w:val="000000" w:themeColor="text1"/>
        </w:rPr>
        <w:t>how</w:t>
      </w:r>
      <w:r w:rsidR="009C4962" w:rsidRPr="00476FC9">
        <w:rPr>
          <w:color w:val="000000" w:themeColor="text1"/>
        </w:rPr>
        <w:t xml:space="preserve"> pharmaceutical advertisers </w:t>
      </w:r>
      <w:r w:rsidR="00802D0D" w:rsidRPr="00476FC9">
        <w:rPr>
          <w:color w:val="000000" w:themeColor="text1"/>
        </w:rPr>
        <w:t xml:space="preserve">must </w:t>
      </w:r>
      <w:r w:rsidR="009C4962" w:rsidRPr="00476FC9">
        <w:rPr>
          <w:color w:val="000000" w:themeColor="text1"/>
        </w:rPr>
        <w:t xml:space="preserve">comply with the </w:t>
      </w:r>
      <w:r w:rsidR="00802D0D" w:rsidRPr="00476FC9">
        <w:rPr>
          <w:color w:val="000000" w:themeColor="text1"/>
        </w:rPr>
        <w:t>FDA regulation</w:t>
      </w:r>
      <w:r w:rsidR="009C4962" w:rsidRPr="00476FC9">
        <w:rPr>
          <w:color w:val="000000" w:themeColor="text1"/>
        </w:rPr>
        <w:t xml:space="preserve">. However, beyond such classification, a more important </w:t>
      </w:r>
      <w:r w:rsidR="00802D0D" w:rsidRPr="00476FC9">
        <w:rPr>
          <w:color w:val="000000" w:themeColor="text1"/>
        </w:rPr>
        <w:t>point</w:t>
      </w:r>
      <w:r w:rsidR="009C4962" w:rsidRPr="00476FC9">
        <w:rPr>
          <w:color w:val="000000" w:themeColor="text1"/>
        </w:rPr>
        <w:t xml:space="preserve"> of DTCA regulatory knowledge may be that </w:t>
      </w:r>
      <w:r w:rsidR="00802D0D" w:rsidRPr="00476FC9">
        <w:rPr>
          <w:color w:val="000000" w:themeColor="text1"/>
        </w:rPr>
        <w:t xml:space="preserve">such </w:t>
      </w:r>
      <w:r w:rsidR="009C4962" w:rsidRPr="00476FC9">
        <w:rPr>
          <w:color w:val="000000" w:themeColor="text1"/>
        </w:rPr>
        <w:t xml:space="preserve">marketplace </w:t>
      </w:r>
      <w:r w:rsidR="004E6ECA" w:rsidRPr="00476FC9">
        <w:rPr>
          <w:color w:val="000000" w:themeColor="text1"/>
        </w:rPr>
        <w:t>knowledge enables consumers to recognize, analyze, interpret, evaluate, and remember persuasion attempts</w:t>
      </w:r>
      <w:r w:rsidR="00802D0D" w:rsidRPr="00476FC9">
        <w:rPr>
          <w:color w:val="000000" w:themeColor="text1"/>
        </w:rPr>
        <w:t>,</w:t>
      </w:r>
      <w:r w:rsidR="004E6ECA" w:rsidRPr="00476FC9">
        <w:rPr>
          <w:color w:val="000000" w:themeColor="text1"/>
        </w:rPr>
        <w:t xml:space="preserve"> and to select and execute coping tactics regarding DTCA health claims, including benefit and risk information (Boush et al., 2009; Friestad &amp; Wright, 1994). In </w:t>
      </w:r>
      <w:r w:rsidR="00F83D62" w:rsidRPr="00476FC9">
        <w:rPr>
          <w:color w:val="000000" w:themeColor="text1"/>
        </w:rPr>
        <w:t>this sense</w:t>
      </w:r>
      <w:r w:rsidR="004E6ECA" w:rsidRPr="00476FC9">
        <w:rPr>
          <w:color w:val="000000" w:themeColor="text1"/>
        </w:rPr>
        <w:t xml:space="preserve">, </w:t>
      </w:r>
      <w:r w:rsidR="00F83D62" w:rsidRPr="00476FC9">
        <w:rPr>
          <w:color w:val="000000" w:themeColor="text1"/>
        </w:rPr>
        <w:t xml:space="preserve">borrowing from the term used by Friestad and Wright (1994), </w:t>
      </w:r>
      <w:r w:rsidR="004E6ECA" w:rsidRPr="00476FC9">
        <w:rPr>
          <w:color w:val="000000" w:themeColor="text1"/>
        </w:rPr>
        <w:t xml:space="preserve">this research </w:t>
      </w:r>
      <w:r w:rsidR="00F83D62" w:rsidRPr="00476FC9">
        <w:rPr>
          <w:color w:val="000000" w:themeColor="text1"/>
        </w:rPr>
        <w:t xml:space="preserve">views </w:t>
      </w:r>
      <w:r w:rsidR="004E6ECA" w:rsidRPr="00476FC9">
        <w:rPr>
          <w:color w:val="000000" w:themeColor="text1"/>
        </w:rPr>
        <w:t xml:space="preserve">DTCA </w:t>
      </w:r>
      <w:r w:rsidR="00F83D62" w:rsidRPr="00476FC9">
        <w:rPr>
          <w:color w:val="000000" w:themeColor="text1"/>
        </w:rPr>
        <w:t xml:space="preserve">regulatory </w:t>
      </w:r>
      <w:r w:rsidR="004E6ECA" w:rsidRPr="00476FC9">
        <w:rPr>
          <w:color w:val="000000" w:themeColor="text1"/>
        </w:rPr>
        <w:t xml:space="preserve">knowledge as </w:t>
      </w:r>
      <w:r w:rsidR="00F83D62" w:rsidRPr="00476FC9">
        <w:rPr>
          <w:color w:val="000000" w:themeColor="text1"/>
        </w:rPr>
        <w:t xml:space="preserve">health consumers’ </w:t>
      </w:r>
      <w:r w:rsidR="00802D0D" w:rsidRPr="00476FC9">
        <w:rPr>
          <w:color w:val="000000" w:themeColor="text1"/>
        </w:rPr>
        <w:t xml:space="preserve">DTCA </w:t>
      </w:r>
      <w:r w:rsidR="00F83D62" w:rsidRPr="00476FC9">
        <w:rPr>
          <w:color w:val="000000" w:themeColor="text1"/>
        </w:rPr>
        <w:t xml:space="preserve">health information </w:t>
      </w:r>
      <w:r w:rsidR="004E6ECA" w:rsidRPr="00476FC9">
        <w:rPr>
          <w:color w:val="000000" w:themeColor="text1"/>
        </w:rPr>
        <w:t xml:space="preserve">coping strategy. </w:t>
      </w:r>
      <w:r w:rsidR="00F83D62" w:rsidRPr="00476FC9">
        <w:rPr>
          <w:color w:val="000000" w:themeColor="text1"/>
        </w:rPr>
        <w:t>Although v</w:t>
      </w:r>
      <w:r w:rsidR="004E6ECA" w:rsidRPr="00476FC9">
        <w:rPr>
          <w:color w:val="000000" w:themeColor="text1"/>
        </w:rPr>
        <w:t xml:space="preserve">arious types of </w:t>
      </w:r>
      <w:r w:rsidR="00F83D62" w:rsidRPr="00476FC9">
        <w:rPr>
          <w:color w:val="000000" w:themeColor="text1"/>
        </w:rPr>
        <w:t>marketplace</w:t>
      </w:r>
      <w:r w:rsidR="004E6ECA" w:rsidRPr="00476FC9">
        <w:rPr>
          <w:color w:val="000000" w:themeColor="text1"/>
        </w:rPr>
        <w:t xml:space="preserve"> knowledge can be conceptualized and operationalized</w:t>
      </w:r>
      <w:r w:rsidR="00F83D62" w:rsidRPr="00476FC9">
        <w:rPr>
          <w:color w:val="000000" w:themeColor="text1"/>
        </w:rPr>
        <w:t>, t</w:t>
      </w:r>
      <w:r w:rsidR="004E6ECA" w:rsidRPr="00476FC9">
        <w:rPr>
          <w:color w:val="000000" w:themeColor="text1"/>
        </w:rPr>
        <w:t>his study is one of the first step</w:t>
      </w:r>
      <w:r w:rsidR="00F83D62" w:rsidRPr="00476FC9">
        <w:rPr>
          <w:color w:val="000000" w:themeColor="text1"/>
        </w:rPr>
        <w:t>s</w:t>
      </w:r>
      <w:r w:rsidR="004E6ECA" w:rsidRPr="00476FC9">
        <w:rPr>
          <w:color w:val="000000" w:themeColor="text1"/>
        </w:rPr>
        <w:t xml:space="preserve"> to empirically </w:t>
      </w:r>
      <w:r w:rsidR="00F83D62" w:rsidRPr="00476FC9">
        <w:rPr>
          <w:color w:val="000000" w:themeColor="text1"/>
        </w:rPr>
        <w:t xml:space="preserve">examine </w:t>
      </w:r>
      <w:r w:rsidR="004E6ECA" w:rsidRPr="00476FC9">
        <w:rPr>
          <w:color w:val="000000" w:themeColor="text1"/>
        </w:rPr>
        <w:t>the conceptual framework of PKM in the context of DTCA.</w:t>
      </w:r>
    </w:p>
    <w:p w:rsidR="001C5992" w:rsidRPr="00476FC9" w:rsidRDefault="003B56FC"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In addition, t</w:t>
      </w:r>
      <w:r w:rsidR="006B7410" w:rsidRPr="00476FC9">
        <w:rPr>
          <w:color w:val="000000" w:themeColor="text1"/>
        </w:rPr>
        <w:t xml:space="preserve">he </w:t>
      </w:r>
      <w:r w:rsidR="00E12299" w:rsidRPr="00476FC9">
        <w:rPr>
          <w:color w:val="000000" w:themeColor="text1"/>
        </w:rPr>
        <w:t xml:space="preserve">moderating role of </w:t>
      </w:r>
      <w:r w:rsidR="006B7410" w:rsidRPr="00476FC9">
        <w:rPr>
          <w:color w:val="000000" w:themeColor="text1"/>
        </w:rPr>
        <w:t xml:space="preserve">DTCA </w:t>
      </w:r>
      <w:r w:rsidR="00BF2277" w:rsidRPr="00476FC9">
        <w:rPr>
          <w:color w:val="000000" w:themeColor="text1"/>
        </w:rPr>
        <w:t xml:space="preserve">regulatory </w:t>
      </w:r>
      <w:r w:rsidR="006B7410" w:rsidRPr="00476FC9">
        <w:rPr>
          <w:color w:val="000000" w:themeColor="text1"/>
        </w:rPr>
        <w:t>knowledge on the prominence effects deserves attention.</w:t>
      </w:r>
      <w:r w:rsidR="00E12299" w:rsidRPr="00476FC9">
        <w:rPr>
          <w:color w:val="000000" w:themeColor="text1"/>
        </w:rPr>
        <w:t xml:space="preserve"> </w:t>
      </w:r>
      <w:r w:rsidR="00BF2277" w:rsidRPr="00476FC9">
        <w:rPr>
          <w:color w:val="000000" w:themeColor="text1"/>
        </w:rPr>
        <w:t>The regression slope analyses</w:t>
      </w:r>
      <w:r w:rsidR="006B7410" w:rsidRPr="00476FC9">
        <w:rPr>
          <w:color w:val="000000" w:themeColor="text1"/>
        </w:rPr>
        <w:t xml:space="preserve"> clearly support the theoretical prediction of the current research</w:t>
      </w:r>
      <w:r w:rsidR="00547378" w:rsidRPr="00476FC9">
        <w:rPr>
          <w:color w:val="000000" w:themeColor="text1"/>
        </w:rPr>
        <w:t xml:space="preserve"> on the interactive relationship between DTCA regulatory knowledge</w:t>
      </w:r>
      <w:r w:rsidR="00E12299" w:rsidRPr="00476FC9">
        <w:rPr>
          <w:color w:val="000000" w:themeColor="text1"/>
        </w:rPr>
        <w:t xml:space="preserve"> and</w:t>
      </w:r>
      <w:r w:rsidR="00547378" w:rsidRPr="00476FC9">
        <w:rPr>
          <w:color w:val="000000" w:themeColor="text1"/>
        </w:rPr>
        <w:t xml:space="preserve"> </w:t>
      </w:r>
      <w:r w:rsidR="00E12299" w:rsidRPr="00476FC9">
        <w:rPr>
          <w:color w:val="000000" w:themeColor="text1"/>
        </w:rPr>
        <w:t xml:space="preserve">prominence </w:t>
      </w:r>
      <w:r w:rsidR="00547378" w:rsidRPr="00476FC9">
        <w:rPr>
          <w:color w:val="000000" w:themeColor="text1"/>
        </w:rPr>
        <w:t>on consumer response to the ad</w:t>
      </w:r>
      <w:r w:rsidR="006B7410" w:rsidRPr="00476FC9">
        <w:rPr>
          <w:color w:val="000000" w:themeColor="text1"/>
        </w:rPr>
        <w:t xml:space="preserve">. As DTCA </w:t>
      </w:r>
      <w:r w:rsidR="00BF2277" w:rsidRPr="00476FC9">
        <w:rPr>
          <w:color w:val="000000" w:themeColor="text1"/>
        </w:rPr>
        <w:t xml:space="preserve">regulatory </w:t>
      </w:r>
      <w:r w:rsidR="006B7410" w:rsidRPr="00476FC9">
        <w:rPr>
          <w:color w:val="000000" w:themeColor="text1"/>
        </w:rPr>
        <w:t>knowledge increased, the prominence effects became less significant</w:t>
      </w:r>
      <w:r w:rsidR="00562930" w:rsidRPr="00476FC9">
        <w:rPr>
          <w:color w:val="000000" w:themeColor="text1"/>
        </w:rPr>
        <w:t>, whereas as DTCA regulatory knowledge decreased the prominence effects became more significant</w:t>
      </w:r>
      <w:r w:rsidR="006B7410" w:rsidRPr="00476FC9">
        <w:rPr>
          <w:color w:val="000000" w:themeColor="text1"/>
        </w:rPr>
        <w:t xml:space="preserve">. One possible interpretation </w:t>
      </w:r>
      <w:r w:rsidR="00562930" w:rsidRPr="00476FC9">
        <w:rPr>
          <w:color w:val="000000" w:themeColor="text1"/>
        </w:rPr>
        <w:t xml:space="preserve">of this finding </w:t>
      </w:r>
      <w:r w:rsidR="006B7410" w:rsidRPr="00476FC9">
        <w:rPr>
          <w:color w:val="000000" w:themeColor="text1"/>
        </w:rPr>
        <w:t xml:space="preserve">is </w:t>
      </w:r>
      <w:r w:rsidR="006B7410" w:rsidRPr="00476FC9">
        <w:rPr>
          <w:color w:val="000000" w:themeColor="text1"/>
        </w:rPr>
        <w:lastRenderedPageBreak/>
        <w:t xml:space="preserve">that although prominence has an impact on consumer attention </w:t>
      </w:r>
      <w:r w:rsidR="00547378" w:rsidRPr="00476FC9">
        <w:rPr>
          <w:color w:val="000000" w:themeColor="text1"/>
        </w:rPr>
        <w:t xml:space="preserve">to </w:t>
      </w:r>
      <w:r w:rsidR="006B7410" w:rsidRPr="00476FC9">
        <w:rPr>
          <w:color w:val="000000" w:themeColor="text1"/>
        </w:rPr>
        <w:t>and memory of risk information</w:t>
      </w:r>
      <w:r w:rsidR="00E12299" w:rsidRPr="00476FC9">
        <w:rPr>
          <w:color w:val="000000" w:themeColor="text1"/>
        </w:rPr>
        <w:t xml:space="preserve"> in general</w:t>
      </w:r>
      <w:r w:rsidR="006B7410" w:rsidRPr="00476FC9">
        <w:rPr>
          <w:color w:val="000000" w:themeColor="text1"/>
        </w:rPr>
        <w:t xml:space="preserve">, the effects </w:t>
      </w:r>
      <w:r w:rsidR="00E12299" w:rsidRPr="00476FC9">
        <w:rPr>
          <w:color w:val="000000" w:themeColor="text1"/>
        </w:rPr>
        <w:t>would be</w:t>
      </w:r>
      <w:r w:rsidR="006B7410" w:rsidRPr="00476FC9">
        <w:rPr>
          <w:color w:val="000000" w:themeColor="text1"/>
        </w:rPr>
        <w:t xml:space="preserve"> more significant among less knowledgeable consumers than more knowledgeable consumers. As discussed, high </w:t>
      </w:r>
      <w:r w:rsidR="00E12299" w:rsidRPr="00476FC9">
        <w:rPr>
          <w:color w:val="000000" w:themeColor="text1"/>
        </w:rPr>
        <w:t xml:space="preserve">DTCA regulatory </w:t>
      </w:r>
      <w:r w:rsidR="006B7410" w:rsidRPr="00476FC9">
        <w:rPr>
          <w:color w:val="000000" w:themeColor="text1"/>
        </w:rPr>
        <w:t>knowledge consumers are more likely to easily locate and utilize risk information from DTCA</w:t>
      </w:r>
      <w:r w:rsidR="00E12299" w:rsidRPr="00476FC9">
        <w:rPr>
          <w:color w:val="000000" w:themeColor="text1"/>
        </w:rPr>
        <w:t xml:space="preserve">, </w:t>
      </w:r>
      <w:r w:rsidR="006B7410" w:rsidRPr="00476FC9">
        <w:rPr>
          <w:color w:val="000000" w:themeColor="text1"/>
        </w:rPr>
        <w:t xml:space="preserve">and therefore they are less likely to be affected by message presentation formats such as prominence. However, low </w:t>
      </w:r>
      <w:r w:rsidR="00E12299" w:rsidRPr="00476FC9">
        <w:rPr>
          <w:color w:val="000000" w:themeColor="text1"/>
        </w:rPr>
        <w:t xml:space="preserve">DTCA regulatory </w:t>
      </w:r>
      <w:r w:rsidR="006B7410" w:rsidRPr="00476FC9">
        <w:rPr>
          <w:color w:val="000000" w:themeColor="text1"/>
        </w:rPr>
        <w:t xml:space="preserve">knowledge consumers are </w:t>
      </w:r>
      <w:r w:rsidR="00E12299" w:rsidRPr="00476FC9">
        <w:rPr>
          <w:color w:val="000000" w:themeColor="text1"/>
        </w:rPr>
        <w:t xml:space="preserve">less </w:t>
      </w:r>
      <w:r w:rsidR="006B7410" w:rsidRPr="00476FC9">
        <w:rPr>
          <w:color w:val="000000" w:themeColor="text1"/>
        </w:rPr>
        <w:t>likely to</w:t>
      </w:r>
      <w:r w:rsidR="00744923" w:rsidRPr="00476FC9">
        <w:rPr>
          <w:color w:val="000000" w:themeColor="text1"/>
        </w:rPr>
        <w:t xml:space="preserve"> easily</w:t>
      </w:r>
      <w:r w:rsidR="006B7410" w:rsidRPr="00476FC9">
        <w:rPr>
          <w:color w:val="000000" w:themeColor="text1"/>
        </w:rPr>
        <w:t xml:space="preserve"> locate and process less prominent risk disclosure, and therefore their attention and memory</w:t>
      </w:r>
      <w:r w:rsidR="00547378" w:rsidRPr="00476FC9">
        <w:rPr>
          <w:color w:val="000000" w:themeColor="text1"/>
        </w:rPr>
        <w:t xml:space="preserve"> performance will largely hinge</w:t>
      </w:r>
      <w:r w:rsidR="006B7410" w:rsidRPr="00476FC9">
        <w:rPr>
          <w:color w:val="000000" w:themeColor="text1"/>
        </w:rPr>
        <w:t xml:space="preserve"> on </w:t>
      </w:r>
      <w:r w:rsidR="00E12299" w:rsidRPr="00476FC9">
        <w:rPr>
          <w:color w:val="000000" w:themeColor="text1"/>
        </w:rPr>
        <w:t>the extent of risk disclosure prominence</w:t>
      </w:r>
      <w:r w:rsidR="006B7410" w:rsidRPr="00476FC9">
        <w:rPr>
          <w:color w:val="000000" w:themeColor="text1"/>
        </w:rPr>
        <w:t xml:space="preserve">. </w:t>
      </w:r>
      <w:r w:rsidR="00744923" w:rsidRPr="00476FC9">
        <w:rPr>
          <w:color w:val="000000" w:themeColor="text1"/>
        </w:rPr>
        <w:t>This implies that i</w:t>
      </w:r>
      <w:r w:rsidR="006B7410" w:rsidRPr="00476FC9">
        <w:rPr>
          <w:color w:val="000000" w:themeColor="text1"/>
        </w:rPr>
        <w:t xml:space="preserve">nformation presented in the way to reduce cognitive efforts </w:t>
      </w:r>
      <w:r w:rsidR="00744923" w:rsidRPr="00476FC9">
        <w:rPr>
          <w:color w:val="000000" w:themeColor="text1"/>
        </w:rPr>
        <w:t xml:space="preserve">(e.g., high prominence) are </w:t>
      </w:r>
      <w:r w:rsidR="006B7410" w:rsidRPr="00476FC9">
        <w:rPr>
          <w:color w:val="000000" w:themeColor="text1"/>
        </w:rPr>
        <w:t xml:space="preserve">more likely to be easily picked out and </w:t>
      </w:r>
      <w:r w:rsidR="00744923" w:rsidRPr="00476FC9">
        <w:rPr>
          <w:color w:val="000000" w:themeColor="text1"/>
        </w:rPr>
        <w:t xml:space="preserve">utilized by </w:t>
      </w:r>
      <w:r w:rsidR="006B7410" w:rsidRPr="00476FC9">
        <w:rPr>
          <w:color w:val="000000" w:themeColor="text1"/>
        </w:rPr>
        <w:t xml:space="preserve">low </w:t>
      </w:r>
      <w:r w:rsidR="00744923" w:rsidRPr="00476FC9">
        <w:rPr>
          <w:color w:val="000000" w:themeColor="text1"/>
        </w:rPr>
        <w:t xml:space="preserve">DTCA regulatory </w:t>
      </w:r>
      <w:r w:rsidR="006B7410" w:rsidRPr="00476FC9">
        <w:rPr>
          <w:color w:val="000000" w:themeColor="text1"/>
        </w:rPr>
        <w:t xml:space="preserve">knowledge consumers. However, when </w:t>
      </w:r>
      <w:r w:rsidR="00815121" w:rsidRPr="00476FC9">
        <w:rPr>
          <w:color w:val="000000" w:themeColor="text1"/>
        </w:rPr>
        <w:t xml:space="preserve">risk disclosure was presented less prominently, low </w:t>
      </w:r>
      <w:r w:rsidR="00744923" w:rsidRPr="00476FC9">
        <w:rPr>
          <w:color w:val="000000" w:themeColor="text1"/>
        </w:rPr>
        <w:t xml:space="preserve">DTCA regulatory </w:t>
      </w:r>
      <w:r w:rsidR="00815121" w:rsidRPr="00476FC9">
        <w:rPr>
          <w:color w:val="000000" w:themeColor="text1"/>
        </w:rPr>
        <w:t xml:space="preserve">knowledge consumers’ </w:t>
      </w:r>
      <w:r w:rsidR="00744923" w:rsidRPr="00476FC9">
        <w:rPr>
          <w:color w:val="000000" w:themeColor="text1"/>
        </w:rPr>
        <w:t xml:space="preserve">information retrieval performance </w:t>
      </w:r>
      <w:r w:rsidR="00815121" w:rsidRPr="00476FC9">
        <w:rPr>
          <w:color w:val="000000" w:themeColor="text1"/>
        </w:rPr>
        <w:t xml:space="preserve">was significantly lower than </w:t>
      </w:r>
      <w:r w:rsidR="00562930" w:rsidRPr="00476FC9">
        <w:rPr>
          <w:color w:val="000000" w:themeColor="text1"/>
        </w:rPr>
        <w:t>when risk disclosure was presented more prominently</w:t>
      </w:r>
      <w:r w:rsidR="00815121" w:rsidRPr="00476FC9">
        <w:rPr>
          <w:color w:val="000000" w:themeColor="text1"/>
        </w:rPr>
        <w:t>.</w:t>
      </w:r>
    </w:p>
    <w:p w:rsidR="00EB636C" w:rsidRPr="00476FC9" w:rsidRDefault="00C11C56"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The focus on consumer memory of this research </w:t>
      </w:r>
      <w:r w:rsidR="00EB636C" w:rsidRPr="00476FC9">
        <w:rPr>
          <w:color w:val="000000" w:themeColor="text1"/>
        </w:rPr>
        <w:t xml:space="preserve">also </w:t>
      </w:r>
      <w:r w:rsidRPr="00476FC9">
        <w:rPr>
          <w:color w:val="000000" w:themeColor="text1"/>
        </w:rPr>
        <w:t>has a</w:t>
      </w:r>
      <w:r w:rsidR="00EB636C" w:rsidRPr="00476FC9">
        <w:rPr>
          <w:color w:val="000000" w:themeColor="text1"/>
        </w:rPr>
        <w:t xml:space="preserve"> theoretical </w:t>
      </w:r>
      <w:r w:rsidRPr="00476FC9">
        <w:rPr>
          <w:color w:val="000000" w:themeColor="text1"/>
        </w:rPr>
        <w:t>implication. T</w:t>
      </w:r>
      <w:r w:rsidR="001C5992" w:rsidRPr="00476FC9">
        <w:rPr>
          <w:color w:val="000000" w:themeColor="text1"/>
        </w:rPr>
        <w:t>he current research address</w:t>
      </w:r>
      <w:r w:rsidR="00D02B70" w:rsidRPr="00476FC9">
        <w:rPr>
          <w:color w:val="000000" w:themeColor="text1"/>
        </w:rPr>
        <w:t>es</w:t>
      </w:r>
      <w:r w:rsidR="001C5992" w:rsidRPr="00476FC9">
        <w:rPr>
          <w:color w:val="000000" w:themeColor="text1"/>
        </w:rPr>
        <w:t xml:space="preserve"> </w:t>
      </w:r>
      <w:r w:rsidR="00815121" w:rsidRPr="00476FC9">
        <w:rPr>
          <w:color w:val="000000" w:themeColor="text1"/>
        </w:rPr>
        <w:t xml:space="preserve">important risk disclosure objectives outlined by prior research. </w:t>
      </w:r>
      <w:r w:rsidR="004778C9" w:rsidRPr="00476FC9">
        <w:rPr>
          <w:color w:val="000000" w:themeColor="text1"/>
        </w:rPr>
        <w:t xml:space="preserve">Wilkie (1985) identified nine specific objectives </w:t>
      </w:r>
      <w:r w:rsidR="0095350A" w:rsidRPr="00476FC9">
        <w:rPr>
          <w:color w:val="000000" w:themeColor="text1"/>
        </w:rPr>
        <w:t xml:space="preserve">that </w:t>
      </w:r>
      <w:r w:rsidR="004778C9" w:rsidRPr="00476FC9">
        <w:rPr>
          <w:color w:val="000000" w:themeColor="text1"/>
        </w:rPr>
        <w:t xml:space="preserve">should be considered in designing risk disclosure: (1) legibility, (2) prominence, (3) attention value, (4) changing consumer awareness, (5) changing consumer beliefs, (6) personalizing consumer beliefs, (7) changing consumer attitudes, (8) changing consumer intentions, and (9) changing consumer behavior. </w:t>
      </w:r>
      <w:r w:rsidR="00EB636C" w:rsidRPr="00476FC9">
        <w:rPr>
          <w:color w:val="000000" w:themeColor="text1"/>
        </w:rPr>
        <w:t>The current</w:t>
      </w:r>
      <w:r w:rsidR="0095350A" w:rsidRPr="00476FC9">
        <w:rPr>
          <w:color w:val="000000" w:themeColor="text1"/>
        </w:rPr>
        <w:t xml:space="preserve"> </w:t>
      </w:r>
      <w:r w:rsidR="004778C9" w:rsidRPr="00476FC9">
        <w:rPr>
          <w:color w:val="000000" w:themeColor="text1"/>
        </w:rPr>
        <w:t xml:space="preserve">research especially </w:t>
      </w:r>
      <w:r w:rsidR="0095350A" w:rsidRPr="00476FC9">
        <w:rPr>
          <w:color w:val="000000" w:themeColor="text1"/>
        </w:rPr>
        <w:t xml:space="preserve">addresses </w:t>
      </w:r>
      <w:r w:rsidRPr="00476FC9">
        <w:rPr>
          <w:color w:val="000000" w:themeColor="text1"/>
        </w:rPr>
        <w:t>three aspects of consumer response to risk disclosure information: prominence, a</w:t>
      </w:r>
      <w:r w:rsidR="0095350A" w:rsidRPr="00476FC9">
        <w:rPr>
          <w:color w:val="000000" w:themeColor="text1"/>
        </w:rPr>
        <w:t xml:space="preserve">ttention value, changing consumer awareness. </w:t>
      </w:r>
      <w:r w:rsidRPr="00476FC9">
        <w:rPr>
          <w:color w:val="000000" w:themeColor="text1"/>
        </w:rPr>
        <w:t xml:space="preserve">In particular, </w:t>
      </w:r>
      <w:r w:rsidR="00EB636C" w:rsidRPr="00476FC9">
        <w:rPr>
          <w:color w:val="000000" w:themeColor="text1"/>
        </w:rPr>
        <w:t>memory represents consumer awareness from risk disclosure.</w:t>
      </w:r>
    </w:p>
    <w:p w:rsidR="004778C9" w:rsidRPr="00476FC9" w:rsidRDefault="00EB636C"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lastRenderedPageBreak/>
        <w:t>Additionally, t</w:t>
      </w:r>
      <w:r w:rsidR="00C11C56" w:rsidRPr="00476FC9">
        <w:rPr>
          <w:color w:val="000000" w:themeColor="text1"/>
        </w:rPr>
        <w:t xml:space="preserve">he unique </w:t>
      </w:r>
      <w:r w:rsidR="0095350A" w:rsidRPr="00476FC9">
        <w:rPr>
          <w:color w:val="000000" w:themeColor="text1"/>
        </w:rPr>
        <w:t xml:space="preserve">contribution of this research to the </w:t>
      </w:r>
      <w:r w:rsidR="00C11C56" w:rsidRPr="00476FC9">
        <w:rPr>
          <w:color w:val="000000" w:themeColor="text1"/>
        </w:rPr>
        <w:t xml:space="preserve">DTCA </w:t>
      </w:r>
      <w:r w:rsidR="0095350A" w:rsidRPr="00476FC9">
        <w:rPr>
          <w:color w:val="000000" w:themeColor="text1"/>
        </w:rPr>
        <w:t xml:space="preserve">literature is that this study </w:t>
      </w:r>
      <w:r w:rsidR="00C11C56" w:rsidRPr="00476FC9">
        <w:rPr>
          <w:color w:val="000000" w:themeColor="text1"/>
        </w:rPr>
        <w:t>addresse</w:t>
      </w:r>
      <w:r w:rsidRPr="00476FC9">
        <w:rPr>
          <w:color w:val="000000" w:themeColor="text1"/>
        </w:rPr>
        <w:t>s</w:t>
      </w:r>
      <w:r w:rsidR="00C11C56" w:rsidRPr="00476FC9">
        <w:rPr>
          <w:color w:val="000000" w:themeColor="text1"/>
        </w:rPr>
        <w:t xml:space="preserve"> an under-examined a</w:t>
      </w:r>
      <w:r w:rsidR="00023076" w:rsidRPr="00476FC9">
        <w:rPr>
          <w:color w:val="000000" w:themeColor="text1"/>
        </w:rPr>
        <w:t>spect</w:t>
      </w:r>
      <w:r w:rsidR="0095350A" w:rsidRPr="00476FC9">
        <w:rPr>
          <w:color w:val="000000" w:themeColor="text1"/>
        </w:rPr>
        <w:t xml:space="preserve"> </w:t>
      </w:r>
      <w:r w:rsidR="00C11C56" w:rsidRPr="00476FC9">
        <w:rPr>
          <w:color w:val="000000" w:themeColor="text1"/>
        </w:rPr>
        <w:t xml:space="preserve">of risk disclosure processing, through investigating a consumer-side factor: DTCA regulatory knowledge. The above </w:t>
      </w:r>
      <w:r w:rsidR="00D8748F" w:rsidRPr="00476FC9">
        <w:rPr>
          <w:color w:val="000000" w:themeColor="text1"/>
        </w:rPr>
        <w:t>nine risk disclosure objectives may not be easily achiev</w:t>
      </w:r>
      <w:r w:rsidR="00C11C56" w:rsidRPr="00476FC9">
        <w:rPr>
          <w:color w:val="000000" w:themeColor="text1"/>
        </w:rPr>
        <w:t xml:space="preserve">ed without considering consumers’ individual differences in cognitive structure given the considerable influence of such factors in consumer information processing. </w:t>
      </w:r>
      <w:r w:rsidR="00D8748F" w:rsidRPr="00476FC9">
        <w:rPr>
          <w:color w:val="000000" w:themeColor="text1"/>
        </w:rPr>
        <w:t xml:space="preserve">Depending on </w:t>
      </w:r>
      <w:r w:rsidR="00C11C56" w:rsidRPr="00476FC9">
        <w:rPr>
          <w:color w:val="000000" w:themeColor="text1"/>
        </w:rPr>
        <w:t xml:space="preserve">varying </w:t>
      </w:r>
      <w:r w:rsidR="00D8748F" w:rsidRPr="00476FC9">
        <w:rPr>
          <w:color w:val="000000" w:themeColor="text1"/>
        </w:rPr>
        <w:t xml:space="preserve">consumers’ cognitive </w:t>
      </w:r>
      <w:r w:rsidR="00C11C56" w:rsidRPr="00476FC9">
        <w:rPr>
          <w:color w:val="000000" w:themeColor="text1"/>
        </w:rPr>
        <w:t>schemas</w:t>
      </w:r>
      <w:r w:rsidR="00D8748F" w:rsidRPr="00476FC9">
        <w:rPr>
          <w:color w:val="000000" w:themeColor="text1"/>
        </w:rPr>
        <w:t xml:space="preserve">, the risk disclosure effects </w:t>
      </w:r>
      <w:r w:rsidR="00C11C56" w:rsidRPr="00476FC9">
        <w:rPr>
          <w:color w:val="000000" w:themeColor="text1"/>
        </w:rPr>
        <w:t xml:space="preserve">may </w:t>
      </w:r>
      <w:r w:rsidR="00D8748F" w:rsidRPr="00476FC9">
        <w:rPr>
          <w:color w:val="000000" w:themeColor="text1"/>
        </w:rPr>
        <w:t>vary</w:t>
      </w:r>
      <w:r w:rsidR="00C11C56" w:rsidRPr="00476FC9">
        <w:rPr>
          <w:color w:val="000000" w:themeColor="text1"/>
        </w:rPr>
        <w:t xml:space="preserve"> considerably</w:t>
      </w:r>
      <w:r w:rsidR="00D8748F" w:rsidRPr="00476FC9">
        <w:rPr>
          <w:color w:val="000000" w:themeColor="text1"/>
        </w:rPr>
        <w:t xml:space="preserve">. </w:t>
      </w:r>
      <w:r w:rsidR="00C11C56" w:rsidRPr="00476FC9">
        <w:rPr>
          <w:color w:val="000000" w:themeColor="text1"/>
        </w:rPr>
        <w:t>Based on this, u</w:t>
      </w:r>
      <w:r w:rsidR="00D8748F" w:rsidRPr="00476FC9">
        <w:rPr>
          <w:color w:val="000000" w:themeColor="text1"/>
        </w:rPr>
        <w:t xml:space="preserve">nderstanding the conditions in which the disclosure effects can be enhanced or reduced, should be </w:t>
      </w:r>
      <w:r w:rsidR="00C11C56" w:rsidRPr="00476FC9">
        <w:rPr>
          <w:color w:val="000000" w:themeColor="text1"/>
        </w:rPr>
        <w:t xml:space="preserve">considered </w:t>
      </w:r>
      <w:r w:rsidR="00D8748F" w:rsidRPr="00476FC9">
        <w:rPr>
          <w:color w:val="000000" w:themeColor="text1"/>
        </w:rPr>
        <w:t xml:space="preserve">an important </w:t>
      </w:r>
      <w:r w:rsidRPr="00476FC9">
        <w:rPr>
          <w:color w:val="000000" w:themeColor="text1"/>
        </w:rPr>
        <w:t>research initiative</w:t>
      </w:r>
      <w:r w:rsidR="00D8748F" w:rsidRPr="00476FC9">
        <w:rPr>
          <w:color w:val="000000" w:themeColor="text1"/>
        </w:rPr>
        <w:t>.</w:t>
      </w:r>
    </w:p>
    <w:p w:rsidR="00210D11" w:rsidRPr="00476FC9" w:rsidRDefault="00C11C56"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This research also </w:t>
      </w:r>
      <w:r w:rsidR="00EB636C" w:rsidRPr="00476FC9">
        <w:rPr>
          <w:color w:val="000000" w:themeColor="text1"/>
        </w:rPr>
        <w:t xml:space="preserve">shows </w:t>
      </w:r>
      <w:r w:rsidRPr="00476FC9">
        <w:rPr>
          <w:color w:val="000000" w:themeColor="text1"/>
        </w:rPr>
        <w:t>that the DTCA literature c</w:t>
      </w:r>
      <w:r w:rsidR="00D8748F" w:rsidRPr="00476FC9">
        <w:rPr>
          <w:color w:val="000000" w:themeColor="text1"/>
        </w:rPr>
        <w:t xml:space="preserve">an benefit from borrowing information processing theories (e.g., Deshpande &amp; Krishnan, 1981; Mazis &amp; Staelin, 1982). </w:t>
      </w:r>
      <w:r w:rsidR="00023076" w:rsidRPr="00476FC9">
        <w:rPr>
          <w:color w:val="000000" w:themeColor="text1"/>
        </w:rPr>
        <w:t>Despite</w:t>
      </w:r>
      <w:r w:rsidR="00D8748F" w:rsidRPr="00476FC9">
        <w:rPr>
          <w:color w:val="000000" w:themeColor="text1"/>
        </w:rPr>
        <w:t xml:space="preserve"> the potential usefulness of information processing theory in designing consumer disclosure programs (Jacoby &amp; Small, 1975; Wilkie &amp; Gardner, 1974), little empirical research has applied and examined the utility of information processing theory with regard to risk disclosure effects</w:t>
      </w:r>
      <w:r w:rsidRPr="00476FC9">
        <w:rPr>
          <w:color w:val="000000" w:themeColor="text1"/>
        </w:rPr>
        <w:t xml:space="preserve"> to date</w:t>
      </w:r>
      <w:r w:rsidR="001E73BA" w:rsidRPr="00476FC9">
        <w:rPr>
          <w:color w:val="000000" w:themeColor="text1"/>
        </w:rPr>
        <w:t xml:space="preserve"> in the DTCA context</w:t>
      </w:r>
      <w:r w:rsidR="00D8748F" w:rsidRPr="00476FC9">
        <w:rPr>
          <w:color w:val="000000" w:themeColor="text1"/>
        </w:rPr>
        <w:t xml:space="preserve">. </w:t>
      </w:r>
      <w:r w:rsidRPr="00476FC9">
        <w:rPr>
          <w:color w:val="000000" w:themeColor="text1"/>
        </w:rPr>
        <w:t xml:space="preserve">Recently, some </w:t>
      </w:r>
      <w:r w:rsidR="00D8748F" w:rsidRPr="00476FC9">
        <w:rPr>
          <w:color w:val="000000" w:themeColor="text1"/>
        </w:rPr>
        <w:t xml:space="preserve">researchers shed new light on the importance of information processing theory </w:t>
      </w:r>
      <w:r w:rsidRPr="00476FC9">
        <w:rPr>
          <w:color w:val="000000" w:themeColor="text1"/>
        </w:rPr>
        <w:t>in the context of DTCA research</w:t>
      </w:r>
      <w:r w:rsidR="003E5082" w:rsidRPr="00476FC9">
        <w:rPr>
          <w:color w:val="000000" w:themeColor="text1"/>
        </w:rPr>
        <w:t xml:space="preserve"> (e.g., Davis &amp; Meader, 2009, Davis, 2010</w:t>
      </w:r>
      <w:r w:rsidR="00465B3C" w:rsidRPr="00476FC9">
        <w:rPr>
          <w:color w:val="000000" w:themeColor="text1"/>
        </w:rPr>
        <w:t>; Macias &amp; Lewis, 2006; Macias et al., 2007, 2010</w:t>
      </w:r>
      <w:r w:rsidR="003E5082" w:rsidRPr="00476FC9">
        <w:rPr>
          <w:color w:val="000000" w:themeColor="text1"/>
        </w:rPr>
        <w:t>)</w:t>
      </w:r>
      <w:r w:rsidR="00D8748F" w:rsidRPr="00476FC9">
        <w:rPr>
          <w:color w:val="000000" w:themeColor="text1"/>
        </w:rPr>
        <w:t xml:space="preserve">. </w:t>
      </w:r>
      <w:r w:rsidR="001F5304" w:rsidRPr="00476FC9">
        <w:rPr>
          <w:color w:val="000000" w:themeColor="text1"/>
        </w:rPr>
        <w:t>The current research</w:t>
      </w:r>
      <w:r w:rsidR="00C70241" w:rsidRPr="00476FC9">
        <w:rPr>
          <w:color w:val="000000" w:themeColor="text1"/>
        </w:rPr>
        <w:t xml:space="preserve"> </w:t>
      </w:r>
      <w:r w:rsidR="001F5304" w:rsidRPr="00476FC9">
        <w:rPr>
          <w:color w:val="000000" w:themeColor="text1"/>
        </w:rPr>
        <w:t xml:space="preserve">further suggests </w:t>
      </w:r>
      <w:r w:rsidR="00C70241" w:rsidRPr="00476FC9">
        <w:rPr>
          <w:color w:val="000000" w:themeColor="text1"/>
        </w:rPr>
        <w:t xml:space="preserve">that more research </w:t>
      </w:r>
      <w:r w:rsidR="001F5304" w:rsidRPr="00476FC9">
        <w:rPr>
          <w:color w:val="000000" w:themeColor="text1"/>
        </w:rPr>
        <w:t>needs to</w:t>
      </w:r>
      <w:r w:rsidR="00C70241" w:rsidRPr="00476FC9">
        <w:rPr>
          <w:color w:val="000000" w:themeColor="text1"/>
        </w:rPr>
        <w:t xml:space="preserve"> be conducted using various theoretical perspectives and various cognitive variables to better understand consumers’ risk disclosure processing.</w:t>
      </w:r>
    </w:p>
    <w:p w:rsidR="001F5304" w:rsidRPr="00476FC9" w:rsidRDefault="00863475"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F23B93" w:rsidRPr="00476FC9">
        <w:rPr>
          <w:color w:val="000000" w:themeColor="text1"/>
          <w:szCs w:val="24"/>
        </w:rPr>
        <w:t>In closing this section, simply providing risk disclosure to consumer</w:t>
      </w:r>
      <w:r w:rsidR="00753178" w:rsidRPr="00476FC9">
        <w:rPr>
          <w:color w:val="000000" w:themeColor="text1"/>
          <w:szCs w:val="24"/>
        </w:rPr>
        <w:t>s</w:t>
      </w:r>
      <w:r w:rsidR="00F23B93" w:rsidRPr="00476FC9">
        <w:rPr>
          <w:color w:val="000000" w:themeColor="text1"/>
          <w:szCs w:val="24"/>
        </w:rPr>
        <w:t xml:space="preserve"> may be insufficient because consumers should be able to access and process the information properly.</w:t>
      </w:r>
      <w:r w:rsidR="002332DF" w:rsidRPr="00476FC9">
        <w:rPr>
          <w:color w:val="000000" w:themeColor="text1"/>
          <w:szCs w:val="24"/>
        </w:rPr>
        <w:t xml:space="preserve"> </w:t>
      </w:r>
      <w:r w:rsidR="00C70241" w:rsidRPr="00476FC9">
        <w:rPr>
          <w:color w:val="000000" w:themeColor="text1"/>
        </w:rPr>
        <w:t xml:space="preserve">The </w:t>
      </w:r>
      <w:r w:rsidR="00753178" w:rsidRPr="00476FC9">
        <w:rPr>
          <w:color w:val="000000" w:themeColor="text1"/>
        </w:rPr>
        <w:t xml:space="preserve">notion of </w:t>
      </w:r>
      <w:r w:rsidR="001F5304" w:rsidRPr="00476FC9">
        <w:rPr>
          <w:color w:val="000000" w:themeColor="text1"/>
        </w:rPr>
        <w:t>DTCA regulatory knowledge</w:t>
      </w:r>
      <w:r w:rsidR="001F5304" w:rsidRPr="00476FC9">
        <w:rPr>
          <w:i/>
          <w:color w:val="000000" w:themeColor="text1"/>
        </w:rPr>
        <w:t xml:space="preserve"> </w:t>
      </w:r>
      <w:r w:rsidR="00753178" w:rsidRPr="00476FC9">
        <w:rPr>
          <w:color w:val="000000" w:themeColor="text1"/>
        </w:rPr>
        <w:t xml:space="preserve">suggests that consumer information processing is </w:t>
      </w:r>
      <w:r w:rsidR="001F5304" w:rsidRPr="00476FC9">
        <w:rPr>
          <w:color w:val="000000" w:themeColor="text1"/>
        </w:rPr>
        <w:t xml:space="preserve">largely affected </w:t>
      </w:r>
      <w:r w:rsidR="001F5304" w:rsidRPr="00476FC9">
        <w:rPr>
          <w:color w:val="000000" w:themeColor="text1"/>
        </w:rPr>
        <w:lastRenderedPageBreak/>
        <w:t xml:space="preserve">by </w:t>
      </w:r>
      <w:r w:rsidR="001E73BA" w:rsidRPr="00476FC9">
        <w:rPr>
          <w:color w:val="000000" w:themeColor="text1"/>
        </w:rPr>
        <w:t xml:space="preserve">the extent </w:t>
      </w:r>
      <w:r w:rsidR="00850D0B" w:rsidRPr="00476FC9">
        <w:rPr>
          <w:color w:val="000000" w:themeColor="text1"/>
        </w:rPr>
        <w:t xml:space="preserve">to </w:t>
      </w:r>
      <w:r w:rsidR="001E73BA" w:rsidRPr="00476FC9">
        <w:rPr>
          <w:color w:val="000000" w:themeColor="text1"/>
        </w:rPr>
        <w:t>which c</w:t>
      </w:r>
      <w:r w:rsidR="001F5304" w:rsidRPr="00476FC9">
        <w:rPr>
          <w:color w:val="000000" w:themeColor="text1"/>
        </w:rPr>
        <w:t>onsumers are knowledgeable about the information category</w:t>
      </w:r>
      <w:r w:rsidR="00254898" w:rsidRPr="00476FC9">
        <w:rPr>
          <w:color w:val="000000" w:themeColor="text1"/>
        </w:rPr>
        <w:t xml:space="preserve"> rather than the content itself</w:t>
      </w:r>
      <w:r w:rsidR="001F5304" w:rsidRPr="00476FC9">
        <w:rPr>
          <w:color w:val="000000" w:themeColor="text1"/>
        </w:rPr>
        <w:t xml:space="preserve">. </w:t>
      </w:r>
      <w:r w:rsidR="00C70241" w:rsidRPr="00476FC9">
        <w:rPr>
          <w:color w:val="000000" w:themeColor="text1"/>
        </w:rPr>
        <w:t xml:space="preserve">Researchers </w:t>
      </w:r>
      <w:r w:rsidR="00753178" w:rsidRPr="00476FC9">
        <w:rPr>
          <w:color w:val="000000" w:themeColor="text1"/>
        </w:rPr>
        <w:t xml:space="preserve">should </w:t>
      </w:r>
      <w:r w:rsidR="00C70241" w:rsidRPr="00476FC9">
        <w:rPr>
          <w:color w:val="000000" w:themeColor="text1"/>
        </w:rPr>
        <w:t>examines</w:t>
      </w:r>
      <w:r w:rsidR="00753178" w:rsidRPr="00476FC9">
        <w:rPr>
          <w:color w:val="000000" w:themeColor="text1"/>
        </w:rPr>
        <w:t xml:space="preserve"> </w:t>
      </w:r>
      <w:r w:rsidR="001F5304" w:rsidRPr="00476FC9">
        <w:rPr>
          <w:color w:val="000000" w:themeColor="text1"/>
        </w:rPr>
        <w:t>which cognitive factors can affect risk information processing</w:t>
      </w:r>
      <w:r w:rsidR="00C70241" w:rsidRPr="00476FC9">
        <w:rPr>
          <w:color w:val="000000" w:themeColor="text1"/>
        </w:rPr>
        <w:t xml:space="preserve">. </w:t>
      </w:r>
      <w:r w:rsidR="001F5304" w:rsidRPr="00476FC9">
        <w:rPr>
          <w:color w:val="000000" w:themeColor="text1"/>
        </w:rPr>
        <w:t xml:space="preserve">In this sense, while the current research found significant prominence effects </w:t>
      </w:r>
      <w:r w:rsidR="00584B7C" w:rsidRPr="00476FC9">
        <w:rPr>
          <w:color w:val="000000" w:themeColor="text1"/>
        </w:rPr>
        <w:t xml:space="preserve">in </w:t>
      </w:r>
      <w:r w:rsidR="001F5304" w:rsidRPr="00476FC9">
        <w:rPr>
          <w:color w:val="000000" w:themeColor="text1"/>
        </w:rPr>
        <w:t>consistent with previous research</w:t>
      </w:r>
      <w:r w:rsidR="00584B7C" w:rsidRPr="00476FC9">
        <w:rPr>
          <w:color w:val="000000" w:themeColor="text1"/>
        </w:rPr>
        <w:t xml:space="preserve"> findings</w:t>
      </w:r>
      <w:r w:rsidR="001F5304" w:rsidRPr="00476FC9">
        <w:rPr>
          <w:color w:val="000000" w:themeColor="text1"/>
        </w:rPr>
        <w:t xml:space="preserve">, more interesting findings may be the direct and moderating effects of DTCA regulatory knowledge on consumer memory of risk information. </w:t>
      </w:r>
    </w:p>
    <w:p w:rsidR="00586F7F" w:rsidRPr="00476FC9" w:rsidRDefault="00584B7C"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Finally</w:t>
      </w:r>
      <w:r w:rsidR="00C70241" w:rsidRPr="00476FC9">
        <w:rPr>
          <w:color w:val="000000" w:themeColor="text1"/>
        </w:rPr>
        <w:t xml:space="preserve">, one intriguing future </w:t>
      </w:r>
      <w:r w:rsidR="00586F7F" w:rsidRPr="00476FC9">
        <w:rPr>
          <w:color w:val="000000" w:themeColor="text1"/>
        </w:rPr>
        <w:t xml:space="preserve">research </w:t>
      </w:r>
      <w:r w:rsidR="00C70241" w:rsidRPr="00476FC9">
        <w:rPr>
          <w:color w:val="000000" w:themeColor="text1"/>
        </w:rPr>
        <w:t xml:space="preserve">will be </w:t>
      </w:r>
      <w:r w:rsidR="00023076" w:rsidRPr="00476FC9">
        <w:rPr>
          <w:color w:val="000000" w:themeColor="text1"/>
        </w:rPr>
        <w:t xml:space="preserve">on whether </w:t>
      </w:r>
      <w:r w:rsidR="00C70241" w:rsidRPr="00476FC9">
        <w:rPr>
          <w:color w:val="000000" w:themeColor="text1"/>
        </w:rPr>
        <w:t xml:space="preserve">higher levels of </w:t>
      </w:r>
      <w:r w:rsidRPr="00476FC9">
        <w:rPr>
          <w:color w:val="000000" w:themeColor="text1"/>
        </w:rPr>
        <w:t xml:space="preserve">DTCA regulatory </w:t>
      </w:r>
      <w:r w:rsidR="00C70241" w:rsidRPr="00476FC9">
        <w:rPr>
          <w:color w:val="000000" w:themeColor="text1"/>
        </w:rPr>
        <w:t xml:space="preserve">knowledge could always </w:t>
      </w:r>
      <w:r w:rsidRPr="00476FC9">
        <w:rPr>
          <w:color w:val="000000" w:themeColor="text1"/>
        </w:rPr>
        <w:t>promote</w:t>
      </w:r>
      <w:r w:rsidR="00C70241" w:rsidRPr="00476FC9">
        <w:rPr>
          <w:color w:val="000000" w:themeColor="text1"/>
        </w:rPr>
        <w:t xml:space="preserve"> consumer</w:t>
      </w:r>
      <w:r w:rsidR="001F5304" w:rsidRPr="00476FC9">
        <w:rPr>
          <w:color w:val="000000" w:themeColor="text1"/>
        </w:rPr>
        <w:t>s’ sound health decisions</w:t>
      </w:r>
      <w:r w:rsidR="00C70241" w:rsidRPr="00476FC9">
        <w:rPr>
          <w:color w:val="000000" w:themeColor="text1"/>
        </w:rPr>
        <w:t xml:space="preserve">. The </w:t>
      </w:r>
      <w:r w:rsidRPr="00476FC9">
        <w:rPr>
          <w:color w:val="000000" w:themeColor="text1"/>
        </w:rPr>
        <w:t xml:space="preserve">cognitive </w:t>
      </w:r>
      <w:r w:rsidR="001F5304" w:rsidRPr="00476FC9">
        <w:rPr>
          <w:color w:val="000000" w:themeColor="text1"/>
        </w:rPr>
        <w:t xml:space="preserve">inference literature notes that in some cases </w:t>
      </w:r>
      <w:r w:rsidR="00C70241" w:rsidRPr="00476FC9">
        <w:rPr>
          <w:color w:val="000000" w:themeColor="text1"/>
        </w:rPr>
        <w:t xml:space="preserve">consumer expertise </w:t>
      </w:r>
      <w:r w:rsidR="001F5304" w:rsidRPr="00476FC9">
        <w:rPr>
          <w:color w:val="000000" w:themeColor="text1"/>
        </w:rPr>
        <w:t xml:space="preserve">may </w:t>
      </w:r>
      <w:r w:rsidR="00C70241" w:rsidRPr="00476FC9">
        <w:rPr>
          <w:color w:val="000000" w:themeColor="text1"/>
        </w:rPr>
        <w:t xml:space="preserve">lead consumers to ignore </w:t>
      </w:r>
      <w:r w:rsidR="001F5304" w:rsidRPr="00476FC9">
        <w:rPr>
          <w:color w:val="000000" w:themeColor="text1"/>
        </w:rPr>
        <w:t xml:space="preserve">important </w:t>
      </w:r>
      <w:r w:rsidR="00C70241" w:rsidRPr="00476FC9">
        <w:rPr>
          <w:color w:val="000000" w:themeColor="text1"/>
        </w:rPr>
        <w:t xml:space="preserve">information </w:t>
      </w:r>
      <w:r w:rsidR="001F5304" w:rsidRPr="00476FC9">
        <w:rPr>
          <w:color w:val="000000" w:themeColor="text1"/>
        </w:rPr>
        <w:t>from t</w:t>
      </w:r>
      <w:r w:rsidR="00C70241" w:rsidRPr="00476FC9">
        <w:rPr>
          <w:color w:val="000000" w:themeColor="text1"/>
        </w:rPr>
        <w:t xml:space="preserve">he environment </w:t>
      </w:r>
      <w:r w:rsidR="001F5304" w:rsidRPr="00476FC9">
        <w:rPr>
          <w:color w:val="000000" w:themeColor="text1"/>
        </w:rPr>
        <w:t xml:space="preserve">due to over-confidence </w:t>
      </w:r>
      <w:r w:rsidR="00C70241" w:rsidRPr="00476FC9">
        <w:rPr>
          <w:color w:val="000000" w:themeColor="text1"/>
        </w:rPr>
        <w:t xml:space="preserve">(Alba &amp; Hutchinson, 1987). This implies that high levels of knowledge will not be always beneficial for information processing. </w:t>
      </w:r>
      <w:r w:rsidR="001F5304" w:rsidRPr="00476FC9">
        <w:rPr>
          <w:color w:val="000000" w:themeColor="text1"/>
        </w:rPr>
        <w:t xml:space="preserve">Given that </w:t>
      </w:r>
      <w:r w:rsidR="00C70241" w:rsidRPr="00476FC9">
        <w:rPr>
          <w:color w:val="000000" w:themeColor="text1"/>
        </w:rPr>
        <w:t xml:space="preserve">consumers’ knowledge calibration </w:t>
      </w:r>
      <w:r w:rsidR="001F5304" w:rsidRPr="00476FC9">
        <w:rPr>
          <w:color w:val="000000" w:themeColor="text1"/>
        </w:rPr>
        <w:t xml:space="preserve">could be </w:t>
      </w:r>
      <w:r w:rsidR="00C70241" w:rsidRPr="00476FC9">
        <w:rPr>
          <w:color w:val="000000" w:themeColor="text1"/>
        </w:rPr>
        <w:t xml:space="preserve">distorted by </w:t>
      </w:r>
      <w:r w:rsidR="001F5304" w:rsidRPr="00476FC9">
        <w:rPr>
          <w:color w:val="000000" w:themeColor="text1"/>
        </w:rPr>
        <w:t>over</w:t>
      </w:r>
      <w:r w:rsidR="00C70241" w:rsidRPr="00476FC9">
        <w:rPr>
          <w:color w:val="000000" w:themeColor="text1"/>
        </w:rPr>
        <w:t>-confidence, inaccurate</w:t>
      </w:r>
      <w:r w:rsidRPr="00476FC9">
        <w:rPr>
          <w:color w:val="000000" w:themeColor="text1"/>
        </w:rPr>
        <w:t xml:space="preserve"> self-knowledge</w:t>
      </w:r>
      <w:r w:rsidR="00C70241" w:rsidRPr="00476FC9">
        <w:rPr>
          <w:color w:val="000000" w:themeColor="text1"/>
        </w:rPr>
        <w:t xml:space="preserve"> calibration would impede </w:t>
      </w:r>
      <w:r w:rsidR="001F5304" w:rsidRPr="00476FC9">
        <w:rPr>
          <w:color w:val="000000" w:themeColor="text1"/>
        </w:rPr>
        <w:t>sound health decisions</w:t>
      </w:r>
      <w:r w:rsidR="00C70241" w:rsidRPr="00476FC9">
        <w:rPr>
          <w:color w:val="000000" w:themeColor="text1"/>
        </w:rPr>
        <w:t xml:space="preserve">. In this case, even though important risk information is presented </w:t>
      </w:r>
      <w:r w:rsidR="002D7797" w:rsidRPr="00476FC9">
        <w:rPr>
          <w:color w:val="000000" w:themeColor="text1"/>
        </w:rPr>
        <w:t>prominently</w:t>
      </w:r>
      <w:r w:rsidR="00C70241" w:rsidRPr="00476FC9">
        <w:rPr>
          <w:color w:val="000000" w:themeColor="text1"/>
        </w:rPr>
        <w:t xml:space="preserve">, </w:t>
      </w:r>
      <w:r w:rsidR="002D7797" w:rsidRPr="00476FC9">
        <w:rPr>
          <w:color w:val="000000" w:themeColor="text1"/>
        </w:rPr>
        <w:t xml:space="preserve">highly </w:t>
      </w:r>
      <w:r w:rsidR="00572DF2" w:rsidRPr="00476FC9">
        <w:rPr>
          <w:color w:val="000000" w:themeColor="text1"/>
        </w:rPr>
        <w:t xml:space="preserve">knowledgeable consumers </w:t>
      </w:r>
      <w:r w:rsidRPr="00476FC9">
        <w:rPr>
          <w:color w:val="000000" w:themeColor="text1"/>
        </w:rPr>
        <w:t xml:space="preserve">are likely to disregard </w:t>
      </w:r>
      <w:r w:rsidR="002D7797" w:rsidRPr="00476FC9">
        <w:rPr>
          <w:color w:val="000000" w:themeColor="text1"/>
        </w:rPr>
        <w:t>it</w:t>
      </w:r>
      <w:r w:rsidR="00572DF2" w:rsidRPr="00476FC9">
        <w:rPr>
          <w:color w:val="000000" w:themeColor="text1"/>
        </w:rPr>
        <w:t xml:space="preserve">. </w:t>
      </w:r>
      <w:r w:rsidR="002D7797" w:rsidRPr="00476FC9">
        <w:rPr>
          <w:color w:val="000000" w:themeColor="text1"/>
        </w:rPr>
        <w:t xml:space="preserve">Researchers describe this phenomenon using </w:t>
      </w:r>
      <w:r w:rsidR="00572DF2" w:rsidRPr="00476FC9">
        <w:rPr>
          <w:color w:val="000000" w:themeColor="text1"/>
        </w:rPr>
        <w:t xml:space="preserve">a </w:t>
      </w:r>
      <w:r w:rsidR="002D7797" w:rsidRPr="00476FC9">
        <w:rPr>
          <w:color w:val="000000" w:themeColor="text1"/>
        </w:rPr>
        <w:t xml:space="preserve">term “a </w:t>
      </w:r>
      <w:r w:rsidR="00572DF2" w:rsidRPr="00476FC9">
        <w:rPr>
          <w:color w:val="000000" w:themeColor="text1"/>
        </w:rPr>
        <w:t>U-tern</w:t>
      </w:r>
      <w:r w:rsidR="002D7797" w:rsidRPr="00476FC9">
        <w:rPr>
          <w:color w:val="000000" w:themeColor="text1"/>
        </w:rPr>
        <w:t xml:space="preserve"> </w:t>
      </w:r>
      <w:r w:rsidR="00572DF2" w:rsidRPr="00476FC9">
        <w:rPr>
          <w:color w:val="000000" w:themeColor="text1"/>
        </w:rPr>
        <w:t>relationship</w:t>
      </w:r>
      <w:r w:rsidR="002D7797" w:rsidRPr="00476FC9">
        <w:rPr>
          <w:color w:val="000000" w:themeColor="text1"/>
        </w:rPr>
        <w:t>”</w:t>
      </w:r>
      <w:r w:rsidR="00572DF2" w:rsidRPr="00476FC9">
        <w:rPr>
          <w:color w:val="000000" w:themeColor="text1"/>
        </w:rPr>
        <w:t xml:space="preserve"> between knowledge levels and consumer information processing </w:t>
      </w:r>
      <w:r w:rsidR="002D7797" w:rsidRPr="00476FC9">
        <w:rPr>
          <w:color w:val="000000" w:themeColor="text1"/>
        </w:rPr>
        <w:t>accuracy</w:t>
      </w:r>
      <w:r w:rsidR="00572DF2" w:rsidRPr="00476FC9">
        <w:rPr>
          <w:color w:val="000000" w:themeColor="text1"/>
        </w:rPr>
        <w:t xml:space="preserve"> (Kavadas et al., 2007</w:t>
      </w:r>
      <w:r w:rsidR="009E0CA1" w:rsidRPr="00476FC9">
        <w:rPr>
          <w:color w:val="000000" w:themeColor="text1"/>
        </w:rPr>
        <w:t>; Stewart &amp; Martin, 2004</w:t>
      </w:r>
      <w:r w:rsidR="00572DF2" w:rsidRPr="00476FC9">
        <w:rPr>
          <w:color w:val="000000" w:themeColor="text1"/>
        </w:rPr>
        <w:t>).</w:t>
      </w:r>
      <w:r w:rsidR="00612D86" w:rsidRPr="00476FC9">
        <w:rPr>
          <w:color w:val="000000" w:themeColor="text1"/>
        </w:rPr>
        <w:t xml:space="preserve"> </w:t>
      </w:r>
      <w:r w:rsidR="00414D02" w:rsidRPr="00476FC9">
        <w:rPr>
          <w:color w:val="000000" w:themeColor="text1"/>
        </w:rPr>
        <w:t xml:space="preserve">Because </w:t>
      </w:r>
      <w:r w:rsidR="002D7797" w:rsidRPr="00476FC9">
        <w:rPr>
          <w:color w:val="000000" w:themeColor="text1"/>
        </w:rPr>
        <w:t>addressing this inquiry goes beyond the current research scope, f</w:t>
      </w:r>
      <w:r w:rsidR="00612D86" w:rsidRPr="00476FC9">
        <w:rPr>
          <w:color w:val="000000" w:themeColor="text1"/>
        </w:rPr>
        <w:t xml:space="preserve">uture research </w:t>
      </w:r>
      <w:r w:rsidR="002D7797" w:rsidRPr="00476FC9">
        <w:rPr>
          <w:color w:val="000000" w:themeColor="text1"/>
        </w:rPr>
        <w:t xml:space="preserve">needs to </w:t>
      </w:r>
      <w:r w:rsidR="00612D86" w:rsidRPr="00476FC9">
        <w:rPr>
          <w:color w:val="000000" w:themeColor="text1"/>
        </w:rPr>
        <w:t xml:space="preserve">illuminate this </w:t>
      </w:r>
      <w:r w:rsidR="002D7797" w:rsidRPr="00476FC9">
        <w:rPr>
          <w:color w:val="000000" w:themeColor="text1"/>
        </w:rPr>
        <w:t>theoretical c</w:t>
      </w:r>
      <w:r w:rsidR="00612D86" w:rsidRPr="00476FC9">
        <w:rPr>
          <w:color w:val="000000" w:themeColor="text1"/>
        </w:rPr>
        <w:t>uriosity.</w:t>
      </w:r>
    </w:p>
    <w:p w:rsidR="00F23B93" w:rsidRPr="00476FC9" w:rsidRDefault="00F23B93" w:rsidP="007D2ACE">
      <w:pPr>
        <w:keepNext w:val="0"/>
        <w:widowControl w:val="0"/>
        <w:kinsoku w:val="0"/>
        <w:overflowPunct w:val="0"/>
        <w:autoSpaceDE w:val="0"/>
        <w:autoSpaceDN w:val="0"/>
        <w:adjustRightInd w:val="0"/>
        <w:snapToGrid w:val="0"/>
        <w:spacing w:before="0" w:after="0"/>
        <w:rPr>
          <w:color w:val="000000" w:themeColor="text1"/>
        </w:rPr>
      </w:pPr>
    </w:p>
    <w:p w:rsidR="00157133" w:rsidRPr="00476FC9" w:rsidRDefault="00303C79" w:rsidP="007D2ACE">
      <w:pPr>
        <w:pStyle w:val="Heading2"/>
        <w:rPr>
          <w:color w:val="000000" w:themeColor="text1"/>
        </w:rPr>
      </w:pPr>
      <w:bookmarkStart w:id="62" w:name="_Toc393800693"/>
      <w:r w:rsidRPr="00476FC9">
        <w:rPr>
          <w:color w:val="000000" w:themeColor="text1"/>
        </w:rPr>
        <w:t>Managerial Implications</w:t>
      </w:r>
      <w:bookmarkEnd w:id="62"/>
    </w:p>
    <w:p w:rsidR="00EA5441" w:rsidRPr="00476FC9" w:rsidRDefault="00807B30" w:rsidP="007D2ACE">
      <w:pPr>
        <w:keepNext w:val="0"/>
        <w:widowControl w:val="0"/>
        <w:kinsoku w:val="0"/>
        <w:overflowPunct w:val="0"/>
        <w:autoSpaceDE w:val="0"/>
        <w:autoSpaceDN w:val="0"/>
        <w:adjustRightInd w:val="0"/>
        <w:snapToGrid w:val="0"/>
        <w:spacing w:before="0" w:after="0"/>
        <w:outlineLvl w:val="9"/>
        <w:rPr>
          <w:color w:val="000000" w:themeColor="text1"/>
        </w:rPr>
      </w:pPr>
      <w:r w:rsidRPr="00476FC9">
        <w:rPr>
          <w:color w:val="000000" w:themeColor="text1"/>
        </w:rPr>
        <w:tab/>
        <w:t xml:space="preserve">The current research </w:t>
      </w:r>
      <w:r w:rsidR="00770E24" w:rsidRPr="00476FC9">
        <w:rPr>
          <w:color w:val="000000" w:themeColor="text1"/>
        </w:rPr>
        <w:t>provide</w:t>
      </w:r>
      <w:r w:rsidR="0087793D" w:rsidRPr="00476FC9">
        <w:rPr>
          <w:color w:val="000000" w:themeColor="text1"/>
        </w:rPr>
        <w:t>s</w:t>
      </w:r>
      <w:r w:rsidR="00770E24" w:rsidRPr="00476FC9">
        <w:rPr>
          <w:color w:val="000000" w:themeColor="text1"/>
        </w:rPr>
        <w:t xml:space="preserve"> </w:t>
      </w:r>
      <w:r w:rsidR="0087793D" w:rsidRPr="00476FC9">
        <w:rPr>
          <w:color w:val="000000" w:themeColor="text1"/>
        </w:rPr>
        <w:t xml:space="preserve">practical </w:t>
      </w:r>
      <w:r w:rsidR="00770E24" w:rsidRPr="00476FC9">
        <w:rPr>
          <w:color w:val="000000" w:themeColor="text1"/>
        </w:rPr>
        <w:t>insight</w:t>
      </w:r>
      <w:r w:rsidR="00C43C4D" w:rsidRPr="00476FC9">
        <w:rPr>
          <w:color w:val="000000" w:themeColor="text1"/>
        </w:rPr>
        <w:t>s</w:t>
      </w:r>
      <w:r w:rsidR="00770E24" w:rsidRPr="00476FC9">
        <w:rPr>
          <w:color w:val="000000" w:themeColor="text1"/>
        </w:rPr>
        <w:t xml:space="preserve"> in</w:t>
      </w:r>
      <w:r w:rsidRPr="00476FC9">
        <w:rPr>
          <w:color w:val="000000" w:themeColor="text1"/>
        </w:rPr>
        <w:t xml:space="preserve">to </w:t>
      </w:r>
      <w:r w:rsidR="0087793D" w:rsidRPr="00476FC9">
        <w:rPr>
          <w:color w:val="000000" w:themeColor="text1"/>
        </w:rPr>
        <w:t xml:space="preserve">the </w:t>
      </w:r>
      <w:r w:rsidR="00770E24" w:rsidRPr="00476FC9">
        <w:rPr>
          <w:color w:val="000000" w:themeColor="text1"/>
        </w:rPr>
        <w:t>design</w:t>
      </w:r>
      <w:r w:rsidR="0087793D" w:rsidRPr="00476FC9">
        <w:rPr>
          <w:color w:val="000000" w:themeColor="text1"/>
        </w:rPr>
        <w:t xml:space="preserve"> </w:t>
      </w:r>
      <w:r w:rsidR="00C43C4D" w:rsidRPr="00476FC9">
        <w:rPr>
          <w:color w:val="000000" w:themeColor="text1"/>
        </w:rPr>
        <w:t xml:space="preserve">and target segmenting </w:t>
      </w:r>
      <w:r w:rsidR="0087793D" w:rsidRPr="00476FC9">
        <w:rPr>
          <w:color w:val="000000" w:themeColor="text1"/>
        </w:rPr>
        <w:t>of DTCA</w:t>
      </w:r>
      <w:r w:rsidRPr="00476FC9">
        <w:rPr>
          <w:color w:val="000000" w:themeColor="text1"/>
        </w:rPr>
        <w:t xml:space="preserve">. </w:t>
      </w:r>
      <w:r w:rsidR="002D7797" w:rsidRPr="00476FC9">
        <w:rPr>
          <w:color w:val="000000" w:themeColor="text1"/>
        </w:rPr>
        <w:t xml:space="preserve">Based on the well-known knowledge that </w:t>
      </w:r>
      <w:r w:rsidRPr="00476FC9">
        <w:rPr>
          <w:color w:val="000000" w:themeColor="text1"/>
        </w:rPr>
        <w:t xml:space="preserve">varying levels of risk disclosure prominence </w:t>
      </w:r>
      <w:r w:rsidR="002D7797" w:rsidRPr="00476FC9">
        <w:rPr>
          <w:color w:val="000000" w:themeColor="text1"/>
        </w:rPr>
        <w:lastRenderedPageBreak/>
        <w:t xml:space="preserve">could lead to disproportional effects on consumer memory of information (Cowley &amp; Barron, 2008), </w:t>
      </w:r>
      <w:r w:rsidR="0087793D" w:rsidRPr="00476FC9">
        <w:rPr>
          <w:color w:val="000000" w:themeColor="text1"/>
        </w:rPr>
        <w:t>DTC ad</w:t>
      </w:r>
      <w:r w:rsidRPr="00476FC9">
        <w:rPr>
          <w:color w:val="000000" w:themeColor="text1"/>
        </w:rPr>
        <w:t xml:space="preserve">vertisers need to identify </w:t>
      </w:r>
      <w:r w:rsidR="0087793D" w:rsidRPr="00476FC9">
        <w:rPr>
          <w:color w:val="000000" w:themeColor="text1"/>
        </w:rPr>
        <w:t xml:space="preserve">optimized </w:t>
      </w:r>
      <w:r w:rsidRPr="00476FC9">
        <w:rPr>
          <w:color w:val="000000" w:themeColor="text1"/>
        </w:rPr>
        <w:t xml:space="preserve">levels of prominence when they </w:t>
      </w:r>
      <w:r w:rsidR="0087793D" w:rsidRPr="00476FC9">
        <w:rPr>
          <w:color w:val="000000" w:themeColor="text1"/>
        </w:rPr>
        <w:t xml:space="preserve">develop the </w:t>
      </w:r>
      <w:r w:rsidRPr="00476FC9">
        <w:rPr>
          <w:color w:val="000000" w:themeColor="text1"/>
        </w:rPr>
        <w:t xml:space="preserve">design </w:t>
      </w:r>
      <w:r w:rsidR="0087793D" w:rsidRPr="00476FC9">
        <w:rPr>
          <w:color w:val="000000" w:themeColor="text1"/>
        </w:rPr>
        <w:t xml:space="preserve">of </w:t>
      </w:r>
      <w:r w:rsidRPr="00476FC9">
        <w:rPr>
          <w:color w:val="000000" w:themeColor="text1"/>
        </w:rPr>
        <w:t xml:space="preserve">risk disclosure in </w:t>
      </w:r>
      <w:r w:rsidR="002D7797" w:rsidRPr="00476FC9">
        <w:rPr>
          <w:color w:val="000000" w:themeColor="text1"/>
        </w:rPr>
        <w:t xml:space="preserve">DTC </w:t>
      </w:r>
      <w:r w:rsidRPr="00476FC9">
        <w:rPr>
          <w:color w:val="000000" w:themeColor="text1"/>
        </w:rPr>
        <w:t>ad</w:t>
      </w:r>
      <w:r w:rsidR="0087793D" w:rsidRPr="00476FC9">
        <w:rPr>
          <w:color w:val="000000" w:themeColor="text1"/>
        </w:rPr>
        <w:t>s</w:t>
      </w:r>
      <w:r w:rsidRPr="00476FC9">
        <w:rPr>
          <w:color w:val="000000" w:themeColor="text1"/>
        </w:rPr>
        <w:t xml:space="preserve">. </w:t>
      </w:r>
      <w:r w:rsidR="002D7797" w:rsidRPr="00476FC9">
        <w:rPr>
          <w:color w:val="000000" w:themeColor="text1"/>
        </w:rPr>
        <w:t>For instance, w</w:t>
      </w:r>
      <w:r w:rsidRPr="00476FC9">
        <w:rPr>
          <w:color w:val="000000" w:themeColor="text1"/>
        </w:rPr>
        <w:t>hen advertisers present product attribute or efficacy information, it has been known that more prominent</w:t>
      </w:r>
      <w:r w:rsidR="00EA5441" w:rsidRPr="00476FC9">
        <w:rPr>
          <w:color w:val="000000" w:themeColor="text1"/>
        </w:rPr>
        <w:t xml:space="preserve"> messages are superior to less prominent ones in term of consumer recall and evaluations</w:t>
      </w:r>
      <w:r w:rsidR="002D7797" w:rsidRPr="00476FC9">
        <w:rPr>
          <w:color w:val="000000" w:themeColor="text1"/>
        </w:rPr>
        <w:t xml:space="preserve"> (Gupta &amp; Lord, 1998)</w:t>
      </w:r>
      <w:r w:rsidRPr="00476FC9">
        <w:rPr>
          <w:color w:val="000000" w:themeColor="text1"/>
        </w:rPr>
        <w:t xml:space="preserve">. </w:t>
      </w:r>
    </w:p>
    <w:p w:rsidR="00752CDC" w:rsidRPr="00476FC9" w:rsidRDefault="00807B30" w:rsidP="007D2ACE">
      <w:pPr>
        <w:keepNext w:val="0"/>
        <w:widowControl w:val="0"/>
        <w:kinsoku w:val="0"/>
        <w:overflowPunct w:val="0"/>
        <w:autoSpaceDE w:val="0"/>
        <w:autoSpaceDN w:val="0"/>
        <w:adjustRightInd w:val="0"/>
        <w:snapToGrid w:val="0"/>
        <w:spacing w:before="0" w:after="0"/>
        <w:ind w:firstLine="720"/>
        <w:outlineLvl w:val="9"/>
        <w:rPr>
          <w:color w:val="000000" w:themeColor="text1"/>
        </w:rPr>
      </w:pPr>
      <w:r w:rsidRPr="00476FC9">
        <w:rPr>
          <w:color w:val="000000" w:themeColor="text1"/>
        </w:rPr>
        <w:t xml:space="preserve">However, </w:t>
      </w:r>
      <w:r w:rsidR="002D7797" w:rsidRPr="00476FC9">
        <w:rPr>
          <w:color w:val="000000" w:themeColor="text1"/>
        </w:rPr>
        <w:t>based on the current research findings, i</w:t>
      </w:r>
      <w:r w:rsidR="00EA5441" w:rsidRPr="00476FC9">
        <w:rPr>
          <w:color w:val="000000" w:themeColor="text1"/>
        </w:rPr>
        <w:t xml:space="preserve">t is hard to say that </w:t>
      </w:r>
      <w:r w:rsidR="006B1CBC" w:rsidRPr="00476FC9">
        <w:rPr>
          <w:color w:val="000000" w:themeColor="text1"/>
        </w:rPr>
        <w:t xml:space="preserve">more </w:t>
      </w:r>
      <w:r w:rsidR="00EA5441" w:rsidRPr="00476FC9">
        <w:rPr>
          <w:color w:val="000000" w:themeColor="text1"/>
        </w:rPr>
        <w:t xml:space="preserve">prominent </w:t>
      </w:r>
      <w:r w:rsidR="002D7797" w:rsidRPr="00476FC9">
        <w:rPr>
          <w:color w:val="000000" w:themeColor="text1"/>
        </w:rPr>
        <w:t xml:space="preserve">information provision </w:t>
      </w:r>
      <w:r w:rsidR="00EA5441" w:rsidRPr="00476FC9">
        <w:rPr>
          <w:color w:val="000000" w:themeColor="text1"/>
        </w:rPr>
        <w:t xml:space="preserve">is always the best </w:t>
      </w:r>
      <w:r w:rsidR="002D7797" w:rsidRPr="00476FC9">
        <w:rPr>
          <w:color w:val="000000" w:themeColor="text1"/>
        </w:rPr>
        <w:t xml:space="preserve">policy </w:t>
      </w:r>
      <w:r w:rsidR="00EA5441" w:rsidRPr="00476FC9">
        <w:rPr>
          <w:color w:val="000000" w:themeColor="text1"/>
        </w:rPr>
        <w:t>for adve</w:t>
      </w:r>
      <w:r w:rsidR="002D7797" w:rsidRPr="00476FC9">
        <w:rPr>
          <w:color w:val="000000" w:themeColor="text1"/>
        </w:rPr>
        <w:t xml:space="preserve">rtisers. Marketers should consider relevant </w:t>
      </w:r>
      <w:r w:rsidR="00EA5441" w:rsidRPr="00476FC9">
        <w:rPr>
          <w:color w:val="000000" w:themeColor="text1"/>
        </w:rPr>
        <w:t xml:space="preserve">consumer characteristics </w:t>
      </w:r>
      <w:r w:rsidR="002D7797" w:rsidRPr="00476FC9">
        <w:rPr>
          <w:color w:val="000000" w:themeColor="text1"/>
        </w:rPr>
        <w:t xml:space="preserve">to </w:t>
      </w:r>
      <w:r w:rsidR="00EA5441" w:rsidRPr="00476FC9">
        <w:rPr>
          <w:color w:val="000000" w:themeColor="text1"/>
        </w:rPr>
        <w:t xml:space="preserve">achieve the </w:t>
      </w:r>
      <w:r w:rsidR="00D74514" w:rsidRPr="00476FC9">
        <w:rPr>
          <w:color w:val="000000" w:themeColor="text1"/>
        </w:rPr>
        <w:t xml:space="preserve">intended </w:t>
      </w:r>
      <w:r w:rsidR="002D7797" w:rsidRPr="00476FC9">
        <w:rPr>
          <w:color w:val="000000" w:themeColor="text1"/>
        </w:rPr>
        <w:t xml:space="preserve">marketing </w:t>
      </w:r>
      <w:r w:rsidR="00EA5441" w:rsidRPr="00476FC9">
        <w:rPr>
          <w:color w:val="000000" w:themeColor="text1"/>
        </w:rPr>
        <w:t xml:space="preserve">goals (Cowley &amp; Barron, 2008). Although </w:t>
      </w:r>
      <w:r w:rsidR="002D7797" w:rsidRPr="00476FC9">
        <w:rPr>
          <w:color w:val="000000" w:themeColor="text1"/>
        </w:rPr>
        <w:t xml:space="preserve">information </w:t>
      </w:r>
      <w:r w:rsidR="00EA5441" w:rsidRPr="00476FC9">
        <w:rPr>
          <w:color w:val="000000" w:themeColor="text1"/>
        </w:rPr>
        <w:t xml:space="preserve">prominence increases </w:t>
      </w:r>
      <w:r w:rsidR="002D7797" w:rsidRPr="00476FC9">
        <w:rPr>
          <w:color w:val="000000" w:themeColor="text1"/>
        </w:rPr>
        <w:t xml:space="preserve">consumer </w:t>
      </w:r>
      <w:r w:rsidR="00EA5441" w:rsidRPr="00476FC9">
        <w:rPr>
          <w:color w:val="000000" w:themeColor="text1"/>
        </w:rPr>
        <w:t>memory</w:t>
      </w:r>
      <w:r w:rsidR="002D7797" w:rsidRPr="00476FC9">
        <w:rPr>
          <w:color w:val="000000" w:themeColor="text1"/>
        </w:rPr>
        <w:t xml:space="preserve"> in general</w:t>
      </w:r>
      <w:r w:rsidR="00EA5441" w:rsidRPr="00476FC9">
        <w:rPr>
          <w:color w:val="000000" w:themeColor="text1"/>
        </w:rPr>
        <w:t xml:space="preserve">, under specific circumstances prominence may have a </w:t>
      </w:r>
      <w:r w:rsidR="002D7797" w:rsidRPr="00476FC9">
        <w:rPr>
          <w:color w:val="000000" w:themeColor="text1"/>
        </w:rPr>
        <w:t xml:space="preserve">minimal </w:t>
      </w:r>
      <w:r w:rsidR="00EA5441" w:rsidRPr="00476FC9">
        <w:rPr>
          <w:color w:val="000000" w:themeColor="text1"/>
        </w:rPr>
        <w:t xml:space="preserve">impact on </w:t>
      </w:r>
      <w:r w:rsidR="002D7797" w:rsidRPr="00476FC9">
        <w:rPr>
          <w:color w:val="000000" w:themeColor="text1"/>
        </w:rPr>
        <w:t xml:space="preserve">consumer evaluations of brands </w:t>
      </w:r>
      <w:r w:rsidR="00EA5441" w:rsidRPr="00476FC9">
        <w:rPr>
          <w:color w:val="000000" w:themeColor="text1"/>
        </w:rPr>
        <w:t>(</w:t>
      </w:r>
      <w:r w:rsidR="004F6FD5" w:rsidRPr="00476FC9">
        <w:rPr>
          <w:color w:val="000000" w:themeColor="text1"/>
        </w:rPr>
        <w:t xml:space="preserve">van </w:t>
      </w:r>
      <w:r w:rsidR="00EA5441" w:rsidRPr="00476FC9">
        <w:rPr>
          <w:color w:val="000000" w:themeColor="text1"/>
        </w:rPr>
        <w:t xml:space="preserve">Reijmersdal, 2009). </w:t>
      </w:r>
    </w:p>
    <w:p w:rsidR="008E2CAE" w:rsidRPr="00476FC9" w:rsidRDefault="00074C49" w:rsidP="007D2ACE">
      <w:pPr>
        <w:keepNext w:val="0"/>
        <w:widowControl w:val="0"/>
        <w:kinsoku w:val="0"/>
        <w:overflowPunct w:val="0"/>
        <w:autoSpaceDE w:val="0"/>
        <w:autoSpaceDN w:val="0"/>
        <w:adjustRightInd w:val="0"/>
        <w:snapToGrid w:val="0"/>
        <w:spacing w:before="0" w:after="0"/>
        <w:ind w:firstLine="720"/>
        <w:outlineLvl w:val="9"/>
        <w:rPr>
          <w:color w:val="000000" w:themeColor="text1"/>
        </w:rPr>
      </w:pPr>
      <w:r w:rsidRPr="00476FC9">
        <w:rPr>
          <w:color w:val="000000" w:themeColor="text1"/>
        </w:rPr>
        <w:t>H</w:t>
      </w:r>
      <w:r w:rsidR="0091180E" w:rsidRPr="00476FC9">
        <w:rPr>
          <w:color w:val="000000" w:themeColor="text1"/>
        </w:rPr>
        <w:t xml:space="preserve">ow can DTC advertisers </w:t>
      </w:r>
      <w:r w:rsidR="00CD10D1" w:rsidRPr="00476FC9">
        <w:rPr>
          <w:color w:val="000000" w:themeColor="text1"/>
        </w:rPr>
        <w:t>achieve</w:t>
      </w:r>
      <w:r w:rsidR="0091180E" w:rsidRPr="00476FC9">
        <w:rPr>
          <w:color w:val="000000" w:themeColor="text1"/>
        </w:rPr>
        <w:t xml:space="preserve"> the intended marketing goals (e.g., market volume expansion), while </w:t>
      </w:r>
      <w:r w:rsidR="00CD10D1" w:rsidRPr="00476FC9">
        <w:rPr>
          <w:color w:val="000000" w:themeColor="text1"/>
        </w:rPr>
        <w:t xml:space="preserve">simultaneously </w:t>
      </w:r>
      <w:r w:rsidR="0091180E" w:rsidRPr="00476FC9">
        <w:rPr>
          <w:color w:val="000000" w:themeColor="text1"/>
        </w:rPr>
        <w:t>complying the</w:t>
      </w:r>
      <w:r w:rsidR="00CD10D1" w:rsidRPr="00476FC9">
        <w:rPr>
          <w:color w:val="000000" w:themeColor="text1"/>
        </w:rPr>
        <w:t xml:space="preserve"> FDA regulation</w:t>
      </w:r>
      <w:r w:rsidR="0091180E" w:rsidRPr="00476FC9">
        <w:rPr>
          <w:color w:val="000000" w:themeColor="text1"/>
        </w:rPr>
        <w:t xml:space="preserve">? </w:t>
      </w:r>
      <w:r w:rsidR="00D91B58" w:rsidRPr="00476FC9">
        <w:rPr>
          <w:color w:val="000000" w:themeColor="text1"/>
        </w:rPr>
        <w:t>T</w:t>
      </w:r>
      <w:r w:rsidR="00752CDC" w:rsidRPr="00476FC9">
        <w:rPr>
          <w:color w:val="000000" w:themeColor="text1"/>
        </w:rPr>
        <w:t xml:space="preserve">he two-sided message </w:t>
      </w:r>
      <w:r w:rsidR="006B1CBC" w:rsidRPr="00476FC9">
        <w:rPr>
          <w:color w:val="000000" w:themeColor="text1"/>
        </w:rPr>
        <w:t>literature</w:t>
      </w:r>
      <w:r w:rsidR="00D91B58" w:rsidRPr="00476FC9">
        <w:rPr>
          <w:color w:val="000000" w:themeColor="text1"/>
        </w:rPr>
        <w:t xml:space="preserve"> suggests useful insights</w:t>
      </w:r>
      <w:r w:rsidR="00752CDC" w:rsidRPr="00476FC9">
        <w:rPr>
          <w:color w:val="000000" w:themeColor="text1"/>
        </w:rPr>
        <w:t xml:space="preserve">. </w:t>
      </w:r>
      <w:r w:rsidR="00CF3DC9" w:rsidRPr="00476FC9">
        <w:rPr>
          <w:color w:val="000000" w:themeColor="text1"/>
        </w:rPr>
        <w:t xml:space="preserve">Two sided message refers to the message that </w:t>
      </w:r>
      <w:r w:rsidR="00CD10D1" w:rsidRPr="00476FC9">
        <w:rPr>
          <w:color w:val="000000" w:themeColor="text1"/>
        </w:rPr>
        <w:t>presents</w:t>
      </w:r>
      <w:r w:rsidR="00CF3DC9" w:rsidRPr="00476FC9">
        <w:rPr>
          <w:color w:val="000000" w:themeColor="text1"/>
        </w:rPr>
        <w:t xml:space="preserve"> both positive and negative information about the product (Crowley &amp; Hoyer, 1994). </w:t>
      </w:r>
      <w:r w:rsidR="00752CDC" w:rsidRPr="00476FC9">
        <w:rPr>
          <w:color w:val="000000" w:themeColor="text1"/>
        </w:rPr>
        <w:t xml:space="preserve">Once well-executed, two-sided messages can enhance source </w:t>
      </w:r>
      <w:r w:rsidR="00D74514" w:rsidRPr="00476FC9">
        <w:rPr>
          <w:color w:val="000000" w:themeColor="text1"/>
        </w:rPr>
        <w:t>credibility</w:t>
      </w:r>
      <w:r w:rsidR="00752CDC" w:rsidRPr="00476FC9">
        <w:rPr>
          <w:color w:val="000000" w:themeColor="text1"/>
        </w:rPr>
        <w:t xml:space="preserve"> (Eisend, </w:t>
      </w:r>
      <w:r w:rsidR="00AA6C9F" w:rsidRPr="00476FC9">
        <w:rPr>
          <w:color w:val="000000" w:themeColor="text1"/>
        </w:rPr>
        <w:t>2006</w:t>
      </w:r>
      <w:r w:rsidR="00752CDC" w:rsidRPr="00476FC9">
        <w:rPr>
          <w:color w:val="000000" w:themeColor="text1"/>
        </w:rPr>
        <w:t xml:space="preserve">, 2010), and </w:t>
      </w:r>
      <w:r w:rsidR="00612D86" w:rsidRPr="00476FC9">
        <w:rPr>
          <w:color w:val="000000" w:themeColor="text1"/>
        </w:rPr>
        <w:t xml:space="preserve">such </w:t>
      </w:r>
      <w:r w:rsidR="00752CDC" w:rsidRPr="00476FC9">
        <w:rPr>
          <w:color w:val="000000" w:themeColor="text1"/>
        </w:rPr>
        <w:t xml:space="preserve">enhanced credibility </w:t>
      </w:r>
      <w:r w:rsidR="00CF3DC9" w:rsidRPr="00476FC9">
        <w:rPr>
          <w:color w:val="000000" w:themeColor="text1"/>
        </w:rPr>
        <w:t>can</w:t>
      </w:r>
      <w:r w:rsidR="00752CDC" w:rsidRPr="00476FC9">
        <w:rPr>
          <w:color w:val="000000" w:themeColor="text1"/>
        </w:rPr>
        <w:t xml:space="preserve"> </w:t>
      </w:r>
      <w:r w:rsidR="00CF3DC9" w:rsidRPr="00476FC9">
        <w:rPr>
          <w:color w:val="000000" w:themeColor="text1"/>
        </w:rPr>
        <w:t>i</w:t>
      </w:r>
      <w:r w:rsidR="00752CDC" w:rsidRPr="00476FC9">
        <w:rPr>
          <w:color w:val="000000" w:themeColor="text1"/>
        </w:rPr>
        <w:t xml:space="preserve">ncrease overall persuasiveness of </w:t>
      </w:r>
      <w:r w:rsidR="00CF3DC9" w:rsidRPr="00476FC9">
        <w:rPr>
          <w:color w:val="000000" w:themeColor="text1"/>
        </w:rPr>
        <w:t xml:space="preserve">the </w:t>
      </w:r>
      <w:r w:rsidR="00752CDC" w:rsidRPr="00476FC9">
        <w:rPr>
          <w:color w:val="000000" w:themeColor="text1"/>
        </w:rPr>
        <w:t>message</w:t>
      </w:r>
      <w:r w:rsidR="00CF3DC9" w:rsidRPr="00476FC9">
        <w:rPr>
          <w:color w:val="000000" w:themeColor="text1"/>
        </w:rPr>
        <w:t>s</w:t>
      </w:r>
      <w:r w:rsidR="00752CDC" w:rsidRPr="00476FC9">
        <w:rPr>
          <w:color w:val="000000" w:themeColor="text1"/>
        </w:rPr>
        <w:t xml:space="preserve"> (Wilson &amp; Sherrell, 1993). </w:t>
      </w:r>
    </w:p>
    <w:p w:rsidR="00D91B58" w:rsidRPr="00476FC9" w:rsidRDefault="00D91B58" w:rsidP="007D2ACE">
      <w:pPr>
        <w:keepNext w:val="0"/>
        <w:widowControl w:val="0"/>
        <w:kinsoku w:val="0"/>
        <w:overflowPunct w:val="0"/>
        <w:autoSpaceDE w:val="0"/>
        <w:autoSpaceDN w:val="0"/>
        <w:adjustRightInd w:val="0"/>
        <w:snapToGrid w:val="0"/>
        <w:spacing w:before="0" w:after="0"/>
        <w:ind w:firstLine="720"/>
        <w:outlineLvl w:val="9"/>
        <w:rPr>
          <w:color w:val="000000" w:themeColor="text1"/>
        </w:rPr>
      </w:pPr>
      <w:r w:rsidRPr="00476FC9">
        <w:rPr>
          <w:color w:val="000000" w:themeColor="text1"/>
        </w:rPr>
        <w:t>Gi</w:t>
      </w:r>
      <w:r w:rsidR="003C4CB5" w:rsidRPr="00476FC9">
        <w:rPr>
          <w:color w:val="000000" w:themeColor="text1"/>
        </w:rPr>
        <w:t xml:space="preserve">ven </w:t>
      </w:r>
      <w:r w:rsidR="00136AC8" w:rsidRPr="00476FC9">
        <w:rPr>
          <w:color w:val="000000" w:themeColor="text1"/>
        </w:rPr>
        <w:t xml:space="preserve">reportedly prevalent </w:t>
      </w:r>
      <w:r w:rsidR="003C4CB5" w:rsidRPr="00476FC9">
        <w:rPr>
          <w:color w:val="000000" w:themeColor="text1"/>
        </w:rPr>
        <w:t xml:space="preserve">consumer skepticism in contemporary marketplace (Boush et al., 2009; Obermiller &amp; Spangenberg, 1998), </w:t>
      </w:r>
      <w:r w:rsidR="00136AC8" w:rsidRPr="00476FC9">
        <w:rPr>
          <w:color w:val="000000" w:themeColor="text1"/>
        </w:rPr>
        <w:t>rightly provided</w:t>
      </w:r>
      <w:r w:rsidR="003C4CB5" w:rsidRPr="00476FC9">
        <w:rPr>
          <w:color w:val="000000" w:themeColor="text1"/>
        </w:rPr>
        <w:t xml:space="preserve"> risk disclosure may offset the negative impression</w:t>
      </w:r>
      <w:r w:rsidR="00136AC8" w:rsidRPr="00476FC9">
        <w:rPr>
          <w:color w:val="000000" w:themeColor="text1"/>
        </w:rPr>
        <w:t xml:space="preserve"> of the product</w:t>
      </w:r>
      <w:r w:rsidR="003C4CB5" w:rsidRPr="00476FC9">
        <w:rPr>
          <w:color w:val="000000" w:themeColor="text1"/>
        </w:rPr>
        <w:t xml:space="preserve">. </w:t>
      </w:r>
      <w:r w:rsidR="00136AC8" w:rsidRPr="00476FC9">
        <w:rPr>
          <w:color w:val="000000" w:themeColor="text1"/>
        </w:rPr>
        <w:t xml:space="preserve">Specifically, </w:t>
      </w:r>
      <w:r w:rsidR="00136AC8" w:rsidRPr="00476FC9">
        <w:rPr>
          <w:i/>
          <w:color w:val="000000" w:themeColor="text1"/>
        </w:rPr>
        <w:t>a</w:t>
      </w:r>
      <w:r w:rsidR="003C4CB5" w:rsidRPr="00476FC9">
        <w:rPr>
          <w:i/>
          <w:color w:val="000000" w:themeColor="text1"/>
        </w:rPr>
        <w:t>ttribution theory</w:t>
      </w:r>
      <w:r w:rsidR="003C4CB5" w:rsidRPr="00476FC9">
        <w:rPr>
          <w:color w:val="000000" w:themeColor="text1"/>
        </w:rPr>
        <w:t xml:space="preserve"> suggests that individuals assign causes to observed behavior to better understand </w:t>
      </w:r>
      <w:r w:rsidR="00CD10D1" w:rsidRPr="00476FC9">
        <w:rPr>
          <w:color w:val="000000" w:themeColor="text1"/>
        </w:rPr>
        <w:t>their environment</w:t>
      </w:r>
      <w:r w:rsidR="003C4CB5" w:rsidRPr="00476FC9">
        <w:rPr>
          <w:color w:val="000000" w:themeColor="text1"/>
        </w:rPr>
        <w:t xml:space="preserve"> (Eisend, 2010). </w:t>
      </w:r>
      <w:r w:rsidR="00136AC8" w:rsidRPr="00476FC9">
        <w:rPr>
          <w:color w:val="000000" w:themeColor="text1"/>
        </w:rPr>
        <w:t xml:space="preserve">In this </w:t>
      </w:r>
      <w:r w:rsidR="00136AC8" w:rsidRPr="00476FC9">
        <w:rPr>
          <w:color w:val="000000" w:themeColor="text1"/>
        </w:rPr>
        <w:lastRenderedPageBreak/>
        <w:t>regard, a</w:t>
      </w:r>
      <w:r w:rsidR="003C4CB5" w:rsidRPr="00476FC9">
        <w:rPr>
          <w:color w:val="000000" w:themeColor="text1"/>
        </w:rPr>
        <w:t xml:space="preserve">cknowledging </w:t>
      </w:r>
      <w:r w:rsidR="00136AC8" w:rsidRPr="00476FC9">
        <w:rPr>
          <w:color w:val="000000" w:themeColor="text1"/>
        </w:rPr>
        <w:t>potential health risks of t</w:t>
      </w:r>
      <w:r w:rsidR="003C4CB5" w:rsidRPr="00476FC9">
        <w:rPr>
          <w:color w:val="000000" w:themeColor="text1"/>
        </w:rPr>
        <w:t xml:space="preserve">he drug </w:t>
      </w:r>
      <w:r w:rsidR="00136AC8" w:rsidRPr="00476FC9">
        <w:rPr>
          <w:color w:val="000000" w:themeColor="text1"/>
        </w:rPr>
        <w:t xml:space="preserve">in ads </w:t>
      </w:r>
      <w:r w:rsidR="003C4CB5" w:rsidRPr="00476FC9">
        <w:rPr>
          <w:color w:val="000000" w:themeColor="text1"/>
        </w:rPr>
        <w:t>may positively contribute to consumer evaluations of the drug and advertiser</w:t>
      </w:r>
      <w:r w:rsidR="00136AC8" w:rsidRPr="00476FC9">
        <w:rPr>
          <w:color w:val="000000" w:themeColor="text1"/>
        </w:rPr>
        <w:t>,</w:t>
      </w:r>
      <w:r w:rsidR="003C4CB5" w:rsidRPr="00476FC9">
        <w:rPr>
          <w:color w:val="000000" w:themeColor="text1"/>
        </w:rPr>
        <w:t xml:space="preserve"> because it can be perceived as complying with the </w:t>
      </w:r>
      <w:r w:rsidR="009A305E" w:rsidRPr="00476FC9">
        <w:rPr>
          <w:color w:val="000000" w:themeColor="text1"/>
        </w:rPr>
        <w:t>regulation and thereby as credible</w:t>
      </w:r>
      <w:r w:rsidR="003C4CB5" w:rsidRPr="00476FC9">
        <w:rPr>
          <w:color w:val="000000" w:themeColor="text1"/>
        </w:rPr>
        <w:t xml:space="preserve">. </w:t>
      </w:r>
    </w:p>
    <w:p w:rsidR="003C4CB5" w:rsidRDefault="00470AE8" w:rsidP="007D2ACE">
      <w:pPr>
        <w:keepNext w:val="0"/>
        <w:widowControl w:val="0"/>
        <w:kinsoku w:val="0"/>
        <w:overflowPunct w:val="0"/>
        <w:autoSpaceDE w:val="0"/>
        <w:autoSpaceDN w:val="0"/>
        <w:adjustRightInd w:val="0"/>
        <w:snapToGrid w:val="0"/>
        <w:spacing w:before="0" w:after="0"/>
        <w:ind w:firstLine="720"/>
        <w:outlineLvl w:val="9"/>
        <w:rPr>
          <w:color w:val="000000" w:themeColor="text1"/>
        </w:rPr>
      </w:pPr>
      <w:r w:rsidRPr="00476FC9">
        <w:rPr>
          <w:color w:val="000000" w:themeColor="text1"/>
        </w:rPr>
        <w:t xml:space="preserve">In particular, when </w:t>
      </w:r>
      <w:r w:rsidR="00136AC8" w:rsidRPr="00476FC9">
        <w:rPr>
          <w:color w:val="000000" w:themeColor="text1"/>
        </w:rPr>
        <w:t xml:space="preserve">consumers’ DTCA </w:t>
      </w:r>
      <w:r w:rsidR="00D91B58" w:rsidRPr="00476FC9">
        <w:rPr>
          <w:color w:val="000000" w:themeColor="text1"/>
        </w:rPr>
        <w:t xml:space="preserve">regulatory </w:t>
      </w:r>
      <w:r w:rsidR="00136AC8" w:rsidRPr="00476FC9">
        <w:rPr>
          <w:color w:val="000000" w:themeColor="text1"/>
        </w:rPr>
        <w:t xml:space="preserve">knowledge is high, </w:t>
      </w:r>
      <w:r w:rsidR="00D91B58" w:rsidRPr="00476FC9">
        <w:rPr>
          <w:color w:val="000000" w:themeColor="text1"/>
        </w:rPr>
        <w:t>fair balance between benefit and risk information would be</w:t>
      </w:r>
      <w:r w:rsidR="00136AC8" w:rsidRPr="00476FC9">
        <w:rPr>
          <w:color w:val="000000" w:themeColor="text1"/>
        </w:rPr>
        <w:t xml:space="preserve"> more </w:t>
      </w:r>
      <w:r w:rsidRPr="00476FC9">
        <w:rPr>
          <w:color w:val="000000" w:themeColor="text1"/>
        </w:rPr>
        <w:t>beneficial for pharmaceutical advertisers</w:t>
      </w:r>
      <w:r w:rsidR="00136AC8" w:rsidRPr="00476FC9">
        <w:rPr>
          <w:color w:val="000000" w:themeColor="text1"/>
        </w:rPr>
        <w:t xml:space="preserve">. </w:t>
      </w:r>
      <w:r w:rsidR="003C4CB5" w:rsidRPr="00476FC9">
        <w:rPr>
          <w:color w:val="000000" w:themeColor="text1"/>
        </w:rPr>
        <w:t xml:space="preserve">This is </w:t>
      </w:r>
      <w:r w:rsidR="00D91B58" w:rsidRPr="00476FC9">
        <w:rPr>
          <w:color w:val="000000" w:themeColor="text1"/>
        </w:rPr>
        <w:t xml:space="preserve">because </w:t>
      </w:r>
      <w:r w:rsidR="003C4CB5" w:rsidRPr="00476FC9">
        <w:rPr>
          <w:color w:val="000000" w:themeColor="text1"/>
        </w:rPr>
        <w:t xml:space="preserve">most consumers nowadays recognize that DTCA </w:t>
      </w:r>
      <w:r w:rsidR="00D91B58" w:rsidRPr="00476FC9">
        <w:rPr>
          <w:color w:val="000000" w:themeColor="text1"/>
        </w:rPr>
        <w:t xml:space="preserve">is </w:t>
      </w:r>
      <w:r w:rsidR="003C4CB5" w:rsidRPr="00476FC9">
        <w:rPr>
          <w:color w:val="000000" w:themeColor="text1"/>
        </w:rPr>
        <w:t>required to present health risks of the drug in ads</w:t>
      </w:r>
      <w:r w:rsidR="00D91B58" w:rsidRPr="00476FC9">
        <w:rPr>
          <w:color w:val="000000" w:themeColor="text1"/>
        </w:rPr>
        <w:t xml:space="preserve"> by law</w:t>
      </w:r>
      <w:r w:rsidR="003C4CB5" w:rsidRPr="00476FC9">
        <w:rPr>
          <w:color w:val="000000" w:themeColor="text1"/>
        </w:rPr>
        <w:t xml:space="preserve">. Eisend (2006) </w:t>
      </w:r>
      <w:r w:rsidR="00D91B58" w:rsidRPr="00476FC9">
        <w:rPr>
          <w:color w:val="000000" w:themeColor="text1"/>
        </w:rPr>
        <w:t xml:space="preserve">notes </w:t>
      </w:r>
      <w:r w:rsidR="003C4CB5" w:rsidRPr="00476FC9">
        <w:rPr>
          <w:color w:val="000000" w:themeColor="text1"/>
        </w:rPr>
        <w:t xml:space="preserve">that consumers’ perceived marketer </w:t>
      </w:r>
      <w:r w:rsidR="00D91B58" w:rsidRPr="00476FC9">
        <w:rPr>
          <w:color w:val="000000" w:themeColor="text1"/>
        </w:rPr>
        <w:t>compliance to law</w:t>
      </w:r>
      <w:r w:rsidR="00136AC8" w:rsidRPr="00476FC9">
        <w:rPr>
          <w:color w:val="000000" w:themeColor="text1"/>
        </w:rPr>
        <w:t xml:space="preserve"> </w:t>
      </w:r>
      <w:r w:rsidR="003C4CB5" w:rsidRPr="00476FC9">
        <w:rPr>
          <w:color w:val="000000" w:themeColor="text1"/>
        </w:rPr>
        <w:t xml:space="preserve">can </w:t>
      </w:r>
      <w:r w:rsidR="00136AC8" w:rsidRPr="00476FC9">
        <w:rPr>
          <w:color w:val="000000" w:themeColor="text1"/>
        </w:rPr>
        <w:t xml:space="preserve">positively </w:t>
      </w:r>
      <w:r w:rsidR="001A0F8E" w:rsidRPr="00476FC9">
        <w:rPr>
          <w:color w:val="000000" w:themeColor="text1"/>
        </w:rPr>
        <w:t xml:space="preserve">affect advertising evaluations. </w:t>
      </w:r>
      <w:r w:rsidR="00136AC8" w:rsidRPr="00476FC9">
        <w:rPr>
          <w:color w:val="000000" w:themeColor="text1"/>
        </w:rPr>
        <w:t xml:space="preserve">Therefore, advertisers </w:t>
      </w:r>
      <w:r w:rsidR="00D91B58" w:rsidRPr="00476FC9">
        <w:rPr>
          <w:color w:val="000000" w:themeColor="text1"/>
        </w:rPr>
        <w:t>need t</w:t>
      </w:r>
      <w:r w:rsidR="00136AC8" w:rsidRPr="00476FC9">
        <w:rPr>
          <w:color w:val="000000" w:themeColor="text1"/>
        </w:rPr>
        <w:t xml:space="preserve">o comply with the DTCA </w:t>
      </w:r>
      <w:r w:rsidR="00D91B58" w:rsidRPr="00476FC9">
        <w:rPr>
          <w:color w:val="000000" w:themeColor="text1"/>
        </w:rPr>
        <w:t xml:space="preserve">fair balance requirement </w:t>
      </w:r>
      <w:r w:rsidR="00136AC8" w:rsidRPr="00476FC9">
        <w:rPr>
          <w:color w:val="000000" w:themeColor="text1"/>
        </w:rPr>
        <w:t xml:space="preserve">not only </w:t>
      </w:r>
      <w:r w:rsidR="00D91B58" w:rsidRPr="00476FC9">
        <w:rPr>
          <w:color w:val="000000" w:themeColor="text1"/>
        </w:rPr>
        <w:t xml:space="preserve">to </w:t>
      </w:r>
      <w:r w:rsidR="00136AC8" w:rsidRPr="00476FC9">
        <w:rPr>
          <w:color w:val="000000" w:themeColor="text1"/>
        </w:rPr>
        <w:t xml:space="preserve">avoid legal and ethical accusations, but also </w:t>
      </w:r>
      <w:r w:rsidR="00D91B58" w:rsidRPr="00476FC9">
        <w:rPr>
          <w:color w:val="000000" w:themeColor="text1"/>
        </w:rPr>
        <w:t xml:space="preserve">to </w:t>
      </w:r>
      <w:r w:rsidR="00136AC8" w:rsidRPr="00476FC9">
        <w:rPr>
          <w:color w:val="000000" w:themeColor="text1"/>
        </w:rPr>
        <w:t xml:space="preserve">achieve more favorable consumer </w:t>
      </w:r>
      <w:r w:rsidR="00D91B58" w:rsidRPr="00476FC9">
        <w:rPr>
          <w:color w:val="000000" w:themeColor="text1"/>
        </w:rPr>
        <w:t>reactions</w:t>
      </w:r>
      <w:r w:rsidR="00136AC8" w:rsidRPr="00476FC9">
        <w:rPr>
          <w:color w:val="000000" w:themeColor="text1"/>
        </w:rPr>
        <w:t xml:space="preserve">. </w:t>
      </w:r>
      <w:r w:rsidR="002928BE" w:rsidRPr="00476FC9">
        <w:rPr>
          <w:color w:val="000000" w:themeColor="text1"/>
        </w:rPr>
        <w:t xml:space="preserve">Given that the major marketing goal of DTCA is to expand prescription volume, fair balanced DTCA can contribute to such marketing goals, while simultaneously contributing to social responsibility. </w:t>
      </w:r>
      <w:r w:rsidR="00D91B58" w:rsidRPr="00476FC9">
        <w:rPr>
          <w:color w:val="000000" w:themeColor="text1"/>
        </w:rPr>
        <w:t xml:space="preserve">Currently, this research phenomenon is not </w:t>
      </w:r>
      <w:r w:rsidR="002928BE" w:rsidRPr="00476FC9">
        <w:rPr>
          <w:color w:val="000000" w:themeColor="text1"/>
        </w:rPr>
        <w:t xml:space="preserve">fully </w:t>
      </w:r>
      <w:r w:rsidR="00D91B58" w:rsidRPr="00476FC9">
        <w:rPr>
          <w:color w:val="000000" w:themeColor="text1"/>
        </w:rPr>
        <w:t>examined. M</w:t>
      </w:r>
      <w:r w:rsidR="00136AC8" w:rsidRPr="00476FC9">
        <w:rPr>
          <w:color w:val="000000" w:themeColor="text1"/>
        </w:rPr>
        <w:t xml:space="preserve">ore empirical research should provide </w:t>
      </w:r>
      <w:r w:rsidR="00D91B58" w:rsidRPr="00476FC9">
        <w:rPr>
          <w:color w:val="000000" w:themeColor="text1"/>
        </w:rPr>
        <w:t xml:space="preserve">solid </w:t>
      </w:r>
      <w:r w:rsidR="00136AC8" w:rsidRPr="00476FC9">
        <w:rPr>
          <w:color w:val="000000" w:themeColor="text1"/>
        </w:rPr>
        <w:t>evidence regarding this theoretical prediction</w:t>
      </w:r>
      <w:r w:rsidR="00D91B58" w:rsidRPr="00476FC9">
        <w:rPr>
          <w:color w:val="000000" w:themeColor="text1"/>
        </w:rPr>
        <w:t xml:space="preserve"> in order to provide practical insights</w:t>
      </w:r>
      <w:r w:rsidR="00136AC8" w:rsidRPr="00476FC9">
        <w:rPr>
          <w:color w:val="000000" w:themeColor="text1"/>
        </w:rPr>
        <w:t>.</w:t>
      </w:r>
    </w:p>
    <w:p w:rsidR="00222367" w:rsidRPr="00476FC9" w:rsidRDefault="00222367" w:rsidP="007D2ACE">
      <w:pPr>
        <w:keepNext w:val="0"/>
        <w:widowControl w:val="0"/>
        <w:kinsoku w:val="0"/>
        <w:overflowPunct w:val="0"/>
        <w:autoSpaceDE w:val="0"/>
        <w:autoSpaceDN w:val="0"/>
        <w:adjustRightInd w:val="0"/>
        <w:snapToGrid w:val="0"/>
        <w:spacing w:before="0" w:after="0" w:line="240" w:lineRule="auto"/>
        <w:outlineLvl w:val="9"/>
        <w:rPr>
          <w:rFonts w:cs="Arial"/>
          <w:bCs w:val="0"/>
          <w:iCs/>
          <w:color w:val="000000" w:themeColor="text1"/>
        </w:rPr>
      </w:pPr>
    </w:p>
    <w:p w:rsidR="00EC0CC1" w:rsidRPr="00476FC9" w:rsidRDefault="00DC7234" w:rsidP="007D2ACE">
      <w:pPr>
        <w:pStyle w:val="Heading2"/>
        <w:rPr>
          <w:color w:val="000000" w:themeColor="text1"/>
        </w:rPr>
      </w:pPr>
      <w:bookmarkStart w:id="63" w:name="_Toc393800694"/>
      <w:r w:rsidRPr="00476FC9">
        <w:rPr>
          <w:color w:val="000000" w:themeColor="text1"/>
        </w:rPr>
        <w:t xml:space="preserve">Consumer Education and </w:t>
      </w:r>
      <w:r w:rsidR="008D00C0" w:rsidRPr="00476FC9">
        <w:rPr>
          <w:color w:val="000000" w:themeColor="text1"/>
        </w:rPr>
        <w:t>Public Health Implications</w:t>
      </w:r>
      <w:bookmarkEnd w:id="63"/>
    </w:p>
    <w:p w:rsidR="00C326AD" w:rsidRPr="00476FC9" w:rsidRDefault="007518FD" w:rsidP="007D2ACE">
      <w:pPr>
        <w:keepNext w:val="0"/>
        <w:widowControl w:val="0"/>
        <w:kinsoku w:val="0"/>
        <w:overflowPunct w:val="0"/>
        <w:autoSpaceDE w:val="0"/>
        <w:autoSpaceDN w:val="0"/>
        <w:adjustRightInd w:val="0"/>
        <w:snapToGrid w:val="0"/>
        <w:spacing w:before="0" w:after="0"/>
        <w:outlineLvl w:val="9"/>
        <w:rPr>
          <w:color w:val="000000" w:themeColor="text1"/>
        </w:rPr>
      </w:pPr>
      <w:r w:rsidRPr="00476FC9">
        <w:rPr>
          <w:color w:val="000000" w:themeColor="text1"/>
        </w:rPr>
        <w:tab/>
        <w:t xml:space="preserve"> </w:t>
      </w:r>
      <w:r w:rsidR="001D2E01" w:rsidRPr="00476FC9">
        <w:rPr>
          <w:color w:val="000000" w:themeColor="text1"/>
        </w:rPr>
        <w:t xml:space="preserve">The findings of this research </w:t>
      </w:r>
      <w:r w:rsidR="002928BE" w:rsidRPr="00476FC9">
        <w:rPr>
          <w:color w:val="000000" w:themeColor="text1"/>
        </w:rPr>
        <w:t xml:space="preserve">also </w:t>
      </w:r>
      <w:r w:rsidR="001D2E01" w:rsidRPr="00476FC9">
        <w:rPr>
          <w:color w:val="000000" w:themeColor="text1"/>
        </w:rPr>
        <w:t xml:space="preserve">address </w:t>
      </w:r>
      <w:r w:rsidR="00DC7234" w:rsidRPr="00476FC9">
        <w:rPr>
          <w:color w:val="000000" w:themeColor="text1"/>
        </w:rPr>
        <w:t xml:space="preserve">consumer education and </w:t>
      </w:r>
      <w:r w:rsidR="001D2E01" w:rsidRPr="00476FC9">
        <w:rPr>
          <w:color w:val="000000" w:themeColor="text1"/>
        </w:rPr>
        <w:t>public health implications.</w:t>
      </w:r>
      <w:r w:rsidR="006B6FB4" w:rsidRPr="00476FC9">
        <w:rPr>
          <w:color w:val="000000" w:themeColor="text1"/>
        </w:rPr>
        <w:t xml:space="preserve"> </w:t>
      </w:r>
      <w:r w:rsidR="00F24196" w:rsidRPr="00476FC9">
        <w:rPr>
          <w:color w:val="000000" w:themeColor="text1"/>
        </w:rPr>
        <w:t>T</w:t>
      </w:r>
      <w:r w:rsidR="001D2E01" w:rsidRPr="00476FC9">
        <w:rPr>
          <w:color w:val="000000" w:themeColor="text1"/>
        </w:rPr>
        <w:t>he r</w:t>
      </w:r>
      <w:r w:rsidR="003A0EE9" w:rsidRPr="00476FC9">
        <w:rPr>
          <w:color w:val="000000" w:themeColor="text1"/>
        </w:rPr>
        <w:t>isk disclosure requirement is based on the assumption that consumers are able to access and process</w:t>
      </w:r>
      <w:r w:rsidR="00086A44" w:rsidRPr="00476FC9">
        <w:rPr>
          <w:color w:val="000000" w:themeColor="text1"/>
        </w:rPr>
        <w:t>,</w:t>
      </w:r>
      <w:r w:rsidR="003A0EE9" w:rsidRPr="00476FC9">
        <w:rPr>
          <w:color w:val="000000" w:themeColor="text1"/>
        </w:rPr>
        <w:t xml:space="preserve"> and thereby weigh the risks appropriately to make informed health decisions (Calfee, 2002; Cox et al., 2010). However, </w:t>
      </w:r>
      <w:r w:rsidR="001D2E01" w:rsidRPr="00476FC9">
        <w:rPr>
          <w:color w:val="000000" w:themeColor="text1"/>
        </w:rPr>
        <w:t>a</w:t>
      </w:r>
      <w:r w:rsidR="006B6FB4" w:rsidRPr="00476FC9">
        <w:rPr>
          <w:color w:val="000000" w:themeColor="text1"/>
        </w:rPr>
        <w:t xml:space="preserve">n important </w:t>
      </w:r>
      <w:r w:rsidR="003A0EE9" w:rsidRPr="00476FC9">
        <w:rPr>
          <w:color w:val="000000" w:themeColor="text1"/>
        </w:rPr>
        <w:t xml:space="preserve">question remains regarding </w:t>
      </w:r>
      <w:r w:rsidR="00DC7234" w:rsidRPr="00476FC9">
        <w:rPr>
          <w:color w:val="000000" w:themeColor="text1"/>
        </w:rPr>
        <w:t>how well</w:t>
      </w:r>
      <w:r w:rsidR="006B6FB4" w:rsidRPr="00476FC9">
        <w:rPr>
          <w:color w:val="000000" w:themeColor="text1"/>
        </w:rPr>
        <w:t xml:space="preserve"> c</w:t>
      </w:r>
      <w:r w:rsidR="003A0EE9" w:rsidRPr="00476FC9">
        <w:rPr>
          <w:color w:val="000000" w:themeColor="text1"/>
        </w:rPr>
        <w:t>onsumers utilize risk information in the DTC ad.</w:t>
      </w:r>
      <w:r w:rsidR="0073264C" w:rsidRPr="00476FC9">
        <w:rPr>
          <w:color w:val="000000" w:themeColor="text1"/>
        </w:rPr>
        <w:t xml:space="preserve"> Given that DTCA serves as an important </w:t>
      </w:r>
      <w:r w:rsidR="002928BE" w:rsidRPr="00476FC9">
        <w:rPr>
          <w:color w:val="000000" w:themeColor="text1"/>
        </w:rPr>
        <w:t xml:space="preserve">public </w:t>
      </w:r>
      <w:r w:rsidR="0073264C" w:rsidRPr="00476FC9">
        <w:rPr>
          <w:color w:val="000000" w:themeColor="text1"/>
        </w:rPr>
        <w:t xml:space="preserve">health </w:t>
      </w:r>
      <w:r w:rsidR="002928BE" w:rsidRPr="00476FC9">
        <w:rPr>
          <w:color w:val="000000" w:themeColor="text1"/>
        </w:rPr>
        <w:t>education</w:t>
      </w:r>
      <w:r w:rsidR="0073264C" w:rsidRPr="00476FC9">
        <w:rPr>
          <w:color w:val="000000" w:themeColor="text1"/>
        </w:rPr>
        <w:t xml:space="preserve"> </w:t>
      </w:r>
      <w:r w:rsidR="002928BE" w:rsidRPr="00476FC9">
        <w:rPr>
          <w:color w:val="000000" w:themeColor="text1"/>
        </w:rPr>
        <w:t>channel</w:t>
      </w:r>
      <w:r w:rsidR="0073264C" w:rsidRPr="00476FC9">
        <w:rPr>
          <w:color w:val="000000" w:themeColor="text1"/>
        </w:rPr>
        <w:t xml:space="preserve"> these days, </w:t>
      </w:r>
      <w:r w:rsidR="00DC7234" w:rsidRPr="00476FC9">
        <w:rPr>
          <w:color w:val="000000" w:themeColor="text1"/>
        </w:rPr>
        <w:t>several</w:t>
      </w:r>
      <w:r w:rsidR="00C326AD" w:rsidRPr="00476FC9">
        <w:rPr>
          <w:color w:val="000000" w:themeColor="text1"/>
        </w:rPr>
        <w:t xml:space="preserve"> points </w:t>
      </w:r>
      <w:r w:rsidR="00DC7234" w:rsidRPr="00476FC9">
        <w:rPr>
          <w:color w:val="000000" w:themeColor="text1"/>
        </w:rPr>
        <w:t>need to be n</w:t>
      </w:r>
      <w:r w:rsidR="00C326AD" w:rsidRPr="00476FC9">
        <w:rPr>
          <w:color w:val="000000" w:themeColor="text1"/>
        </w:rPr>
        <w:t xml:space="preserve">oted. </w:t>
      </w:r>
    </w:p>
    <w:p w:rsidR="00C326AD" w:rsidRPr="00476FC9" w:rsidRDefault="00C326AD" w:rsidP="007D2ACE">
      <w:pPr>
        <w:keepNext w:val="0"/>
        <w:widowControl w:val="0"/>
        <w:kinsoku w:val="0"/>
        <w:overflowPunct w:val="0"/>
        <w:autoSpaceDE w:val="0"/>
        <w:autoSpaceDN w:val="0"/>
        <w:adjustRightInd w:val="0"/>
        <w:snapToGrid w:val="0"/>
        <w:spacing w:before="0" w:after="0"/>
        <w:ind w:firstLine="720"/>
        <w:outlineLvl w:val="9"/>
        <w:rPr>
          <w:color w:val="000000" w:themeColor="text1"/>
        </w:rPr>
      </w:pPr>
      <w:r w:rsidRPr="00476FC9">
        <w:rPr>
          <w:color w:val="000000" w:themeColor="text1"/>
        </w:rPr>
        <w:lastRenderedPageBreak/>
        <w:t xml:space="preserve">First, </w:t>
      </w:r>
      <w:r w:rsidR="0073264C" w:rsidRPr="00476FC9">
        <w:rPr>
          <w:color w:val="000000" w:themeColor="text1"/>
        </w:rPr>
        <w:t>information about the drug's risks as well as benefits should be attended sufficiently</w:t>
      </w:r>
      <w:r w:rsidR="00F80FA8" w:rsidRPr="00476FC9">
        <w:rPr>
          <w:color w:val="000000" w:themeColor="text1"/>
        </w:rPr>
        <w:t>,</w:t>
      </w:r>
      <w:r w:rsidR="0073264C" w:rsidRPr="00476FC9">
        <w:rPr>
          <w:color w:val="000000" w:themeColor="text1"/>
        </w:rPr>
        <w:t xml:space="preserve"> </w:t>
      </w:r>
      <w:r w:rsidR="00F80FA8" w:rsidRPr="00476FC9">
        <w:rPr>
          <w:color w:val="000000" w:themeColor="text1"/>
        </w:rPr>
        <w:t xml:space="preserve">in order </w:t>
      </w:r>
      <w:r w:rsidR="002F7612" w:rsidRPr="00476FC9">
        <w:rPr>
          <w:color w:val="000000" w:themeColor="text1"/>
        </w:rPr>
        <w:t xml:space="preserve">to render them to be stored </w:t>
      </w:r>
      <w:r w:rsidR="0073264C" w:rsidRPr="00476FC9">
        <w:rPr>
          <w:color w:val="000000" w:themeColor="text1"/>
        </w:rPr>
        <w:t xml:space="preserve">and </w:t>
      </w:r>
      <w:r w:rsidRPr="00476FC9">
        <w:rPr>
          <w:color w:val="000000" w:themeColor="text1"/>
        </w:rPr>
        <w:t xml:space="preserve">retrieved </w:t>
      </w:r>
      <w:r w:rsidR="00F80FA8" w:rsidRPr="00476FC9">
        <w:rPr>
          <w:color w:val="000000" w:themeColor="text1"/>
        </w:rPr>
        <w:t xml:space="preserve">appropriately </w:t>
      </w:r>
      <w:r w:rsidRPr="00476FC9">
        <w:rPr>
          <w:color w:val="000000" w:themeColor="text1"/>
        </w:rPr>
        <w:t xml:space="preserve">when consumers make health </w:t>
      </w:r>
      <w:r w:rsidR="0073264C" w:rsidRPr="00476FC9">
        <w:rPr>
          <w:color w:val="000000" w:themeColor="text1"/>
        </w:rPr>
        <w:t>decision</w:t>
      </w:r>
      <w:r w:rsidRPr="00476FC9">
        <w:rPr>
          <w:color w:val="000000" w:themeColor="text1"/>
        </w:rPr>
        <w:t>s</w:t>
      </w:r>
      <w:r w:rsidR="0073264C" w:rsidRPr="00476FC9">
        <w:rPr>
          <w:color w:val="000000" w:themeColor="text1"/>
        </w:rPr>
        <w:t>.</w:t>
      </w:r>
      <w:r w:rsidRPr="00476FC9">
        <w:rPr>
          <w:color w:val="000000" w:themeColor="text1"/>
        </w:rPr>
        <w:t xml:space="preserve"> </w:t>
      </w:r>
      <w:r w:rsidR="00DC7234" w:rsidRPr="00476FC9">
        <w:rPr>
          <w:color w:val="000000" w:themeColor="text1"/>
        </w:rPr>
        <w:t>However, c</w:t>
      </w:r>
      <w:r w:rsidR="003363B9" w:rsidRPr="00476FC9">
        <w:rPr>
          <w:color w:val="000000" w:themeColor="text1"/>
        </w:rPr>
        <w:t xml:space="preserve">oncerns about consumers' proper use of health information in DTCA call for a more meticulous examination about not only the way </w:t>
      </w:r>
      <w:r w:rsidR="00F80FA8" w:rsidRPr="00476FC9">
        <w:rPr>
          <w:color w:val="000000" w:themeColor="text1"/>
        </w:rPr>
        <w:t>information</w:t>
      </w:r>
      <w:r w:rsidR="003363B9" w:rsidRPr="00476FC9">
        <w:rPr>
          <w:color w:val="000000" w:themeColor="text1"/>
        </w:rPr>
        <w:t xml:space="preserve"> is delivered</w:t>
      </w:r>
      <w:r w:rsidR="001D2E01" w:rsidRPr="00476FC9">
        <w:rPr>
          <w:color w:val="000000" w:themeColor="text1"/>
        </w:rPr>
        <w:t>,</w:t>
      </w:r>
      <w:r w:rsidR="003363B9" w:rsidRPr="00476FC9">
        <w:rPr>
          <w:color w:val="000000" w:themeColor="text1"/>
        </w:rPr>
        <w:t xml:space="preserve"> but </w:t>
      </w:r>
      <w:r w:rsidR="001D2E01" w:rsidRPr="00476FC9">
        <w:rPr>
          <w:color w:val="000000" w:themeColor="text1"/>
        </w:rPr>
        <w:t xml:space="preserve">also </w:t>
      </w:r>
      <w:r w:rsidR="003363B9" w:rsidRPr="00476FC9">
        <w:rPr>
          <w:color w:val="000000" w:themeColor="text1"/>
        </w:rPr>
        <w:t>how consumer</w:t>
      </w:r>
      <w:r w:rsidR="00DC7234" w:rsidRPr="00476FC9">
        <w:rPr>
          <w:color w:val="000000" w:themeColor="text1"/>
        </w:rPr>
        <w:t xml:space="preserve"> factors affect </w:t>
      </w:r>
      <w:r w:rsidR="00F80FA8" w:rsidRPr="00476FC9">
        <w:rPr>
          <w:color w:val="000000" w:themeColor="text1"/>
        </w:rPr>
        <w:t xml:space="preserve">information </w:t>
      </w:r>
      <w:r w:rsidR="00DC7234" w:rsidRPr="00476FC9">
        <w:rPr>
          <w:color w:val="000000" w:themeColor="text1"/>
        </w:rPr>
        <w:t xml:space="preserve">processing </w:t>
      </w:r>
      <w:r w:rsidR="001D2E01" w:rsidRPr="00476FC9">
        <w:rPr>
          <w:color w:val="000000" w:themeColor="text1"/>
        </w:rPr>
        <w:t>(Mackert, 2011)</w:t>
      </w:r>
      <w:r w:rsidR="003363B9" w:rsidRPr="00476FC9">
        <w:rPr>
          <w:color w:val="000000" w:themeColor="text1"/>
        </w:rPr>
        <w:t>. It is worth noting generally accepted communication process</w:t>
      </w:r>
      <w:r w:rsidR="001D2E01" w:rsidRPr="00476FC9">
        <w:rPr>
          <w:color w:val="000000" w:themeColor="text1"/>
        </w:rPr>
        <w:t xml:space="preserve"> model</w:t>
      </w:r>
      <w:r w:rsidR="005E6E54" w:rsidRPr="00476FC9">
        <w:rPr>
          <w:color w:val="000000" w:themeColor="text1"/>
        </w:rPr>
        <w:t>s</w:t>
      </w:r>
      <w:r w:rsidR="00B15B0A" w:rsidRPr="00476FC9">
        <w:rPr>
          <w:color w:val="000000" w:themeColor="text1"/>
        </w:rPr>
        <w:t xml:space="preserve"> such as Mcguire’s (1976) steps in information processing (i.e., exposure, attention, comprehension, attitude, retention, retrieval, decision making intentions, and behavior)</w:t>
      </w:r>
      <w:r w:rsidRPr="00476FC9">
        <w:rPr>
          <w:color w:val="000000" w:themeColor="text1"/>
        </w:rPr>
        <w:t xml:space="preserve">. </w:t>
      </w:r>
      <w:r w:rsidR="004D1B57" w:rsidRPr="00476FC9">
        <w:rPr>
          <w:color w:val="000000" w:themeColor="text1"/>
        </w:rPr>
        <w:t xml:space="preserve">Recently, </w:t>
      </w:r>
      <w:r w:rsidR="005E6E54" w:rsidRPr="00476FC9">
        <w:rPr>
          <w:color w:val="000000" w:themeColor="text1"/>
        </w:rPr>
        <w:t>Wogalter</w:t>
      </w:r>
      <w:r w:rsidR="00B15B0A" w:rsidRPr="00476FC9">
        <w:rPr>
          <w:color w:val="000000" w:themeColor="text1"/>
        </w:rPr>
        <w:t xml:space="preserve"> (2006) </w:t>
      </w:r>
      <w:r w:rsidRPr="00476FC9">
        <w:rPr>
          <w:color w:val="000000" w:themeColor="text1"/>
        </w:rPr>
        <w:t xml:space="preserve">refined the </w:t>
      </w:r>
      <w:r w:rsidR="00DC7234" w:rsidRPr="00476FC9">
        <w:rPr>
          <w:color w:val="000000" w:themeColor="text1"/>
        </w:rPr>
        <w:t xml:space="preserve">McGuire’s </w:t>
      </w:r>
      <w:r w:rsidRPr="00476FC9">
        <w:rPr>
          <w:color w:val="000000" w:themeColor="text1"/>
        </w:rPr>
        <w:t xml:space="preserve">classical information processing model and proposed </w:t>
      </w:r>
      <w:r w:rsidR="00B15B0A" w:rsidRPr="00476FC9">
        <w:rPr>
          <w:color w:val="000000" w:themeColor="text1"/>
        </w:rPr>
        <w:t>the communication-human information processing (C-HIP) model</w:t>
      </w:r>
      <w:r w:rsidR="007F0DC0" w:rsidRPr="00476FC9">
        <w:rPr>
          <w:color w:val="000000" w:themeColor="text1"/>
        </w:rPr>
        <w:t xml:space="preserve"> in the context of risk communication</w:t>
      </w:r>
      <w:r w:rsidRPr="00476FC9">
        <w:rPr>
          <w:color w:val="000000" w:themeColor="text1"/>
        </w:rPr>
        <w:t xml:space="preserve">. </w:t>
      </w:r>
      <w:r w:rsidR="00B15B0A" w:rsidRPr="00476FC9">
        <w:rPr>
          <w:color w:val="000000" w:themeColor="text1"/>
        </w:rPr>
        <w:t>Based on the</w:t>
      </w:r>
      <w:r w:rsidRPr="00476FC9">
        <w:rPr>
          <w:color w:val="000000" w:themeColor="text1"/>
        </w:rPr>
        <w:t>se</w:t>
      </w:r>
      <w:r w:rsidR="00B15B0A" w:rsidRPr="00476FC9">
        <w:rPr>
          <w:color w:val="000000" w:themeColor="text1"/>
        </w:rPr>
        <w:t xml:space="preserve"> information processing models, </w:t>
      </w:r>
      <w:r w:rsidRPr="00476FC9">
        <w:rPr>
          <w:color w:val="000000" w:themeColor="text1"/>
        </w:rPr>
        <w:t>the point is clear. A</w:t>
      </w:r>
      <w:r w:rsidR="003363B9" w:rsidRPr="00476FC9">
        <w:rPr>
          <w:color w:val="000000" w:themeColor="text1"/>
        </w:rPr>
        <w:t xml:space="preserve"> message sent </w:t>
      </w:r>
      <w:r w:rsidR="001D2E01" w:rsidRPr="00476FC9">
        <w:rPr>
          <w:color w:val="000000" w:themeColor="text1"/>
        </w:rPr>
        <w:t xml:space="preserve">by the advertiser </w:t>
      </w:r>
      <w:r w:rsidR="003363B9" w:rsidRPr="00476FC9">
        <w:rPr>
          <w:color w:val="000000" w:themeColor="text1"/>
        </w:rPr>
        <w:t>is not always interpreted by the receiver as the sender intended.</w:t>
      </w:r>
      <w:r w:rsidR="00DC7234" w:rsidRPr="00476FC9">
        <w:rPr>
          <w:color w:val="000000" w:themeColor="text1"/>
        </w:rPr>
        <w:t xml:space="preserve"> To better understand this </w:t>
      </w:r>
      <w:r w:rsidR="002200DC" w:rsidRPr="00476FC9">
        <w:rPr>
          <w:color w:val="000000" w:themeColor="text1"/>
        </w:rPr>
        <w:t>discrepancy</w:t>
      </w:r>
      <w:r w:rsidR="00DC7234" w:rsidRPr="00476FC9">
        <w:rPr>
          <w:color w:val="000000" w:themeColor="text1"/>
        </w:rPr>
        <w:t>, t</w:t>
      </w:r>
      <w:r w:rsidR="003363B9" w:rsidRPr="00476FC9">
        <w:rPr>
          <w:color w:val="000000" w:themeColor="text1"/>
        </w:rPr>
        <w:t xml:space="preserve">aking consumer perspectives into account can provide </w:t>
      </w:r>
      <w:r w:rsidR="004D088B" w:rsidRPr="00476FC9">
        <w:rPr>
          <w:color w:val="000000" w:themeColor="text1"/>
        </w:rPr>
        <w:t>i</w:t>
      </w:r>
      <w:r w:rsidR="003363B9" w:rsidRPr="00476FC9">
        <w:rPr>
          <w:color w:val="000000" w:themeColor="text1"/>
        </w:rPr>
        <w:t xml:space="preserve">nsight into how risk information can be </w:t>
      </w:r>
      <w:r w:rsidRPr="00476FC9">
        <w:rPr>
          <w:color w:val="000000" w:themeColor="text1"/>
        </w:rPr>
        <w:t>more effectively communicated</w:t>
      </w:r>
      <w:r w:rsidR="001D2E01" w:rsidRPr="00476FC9">
        <w:rPr>
          <w:color w:val="000000" w:themeColor="text1"/>
        </w:rPr>
        <w:t xml:space="preserve"> </w:t>
      </w:r>
      <w:r w:rsidR="00AA6C9F" w:rsidRPr="00476FC9">
        <w:rPr>
          <w:color w:val="000000" w:themeColor="text1"/>
        </w:rPr>
        <w:t xml:space="preserve">(Davis, 2010; Davis &amp; Meader, 2009; Hoek et al., 2011; Mantel, 2010; Menon, Deshpande, Perri III, &amp; Zinkahn, 2003a, 2003b). </w:t>
      </w:r>
      <w:r w:rsidR="00175946" w:rsidRPr="00476FC9">
        <w:rPr>
          <w:color w:val="000000" w:themeColor="text1"/>
        </w:rPr>
        <w:t>Among others, r</w:t>
      </w:r>
      <w:r w:rsidRPr="00476FC9">
        <w:rPr>
          <w:color w:val="000000" w:themeColor="text1"/>
        </w:rPr>
        <w:t xml:space="preserve">esearchers </w:t>
      </w:r>
      <w:r w:rsidR="00175946" w:rsidRPr="00476FC9">
        <w:rPr>
          <w:color w:val="000000" w:themeColor="text1"/>
        </w:rPr>
        <w:t xml:space="preserve">are advised </w:t>
      </w:r>
      <w:r w:rsidRPr="00476FC9">
        <w:rPr>
          <w:color w:val="000000" w:themeColor="text1"/>
        </w:rPr>
        <w:t>to examine</w:t>
      </w:r>
      <w:r w:rsidR="004D088B" w:rsidRPr="00476FC9">
        <w:rPr>
          <w:color w:val="000000" w:themeColor="text1"/>
        </w:rPr>
        <w:t xml:space="preserve"> consumers’ varying cognitive structures </w:t>
      </w:r>
      <w:r w:rsidRPr="00476FC9">
        <w:rPr>
          <w:color w:val="000000" w:themeColor="text1"/>
        </w:rPr>
        <w:t xml:space="preserve">to enhance risk </w:t>
      </w:r>
      <w:r w:rsidR="004D088B" w:rsidRPr="00476FC9">
        <w:rPr>
          <w:color w:val="000000" w:themeColor="text1"/>
        </w:rPr>
        <w:t>communication</w:t>
      </w:r>
      <w:r w:rsidRPr="00476FC9">
        <w:rPr>
          <w:color w:val="000000" w:themeColor="text1"/>
        </w:rPr>
        <w:t xml:space="preserve"> effectiveness.</w:t>
      </w:r>
    </w:p>
    <w:p w:rsidR="004D088B" w:rsidRPr="00476FC9" w:rsidRDefault="004D088B" w:rsidP="007D2ACE">
      <w:pPr>
        <w:keepNext w:val="0"/>
        <w:widowControl w:val="0"/>
        <w:kinsoku w:val="0"/>
        <w:overflowPunct w:val="0"/>
        <w:autoSpaceDE w:val="0"/>
        <w:autoSpaceDN w:val="0"/>
        <w:adjustRightInd w:val="0"/>
        <w:snapToGrid w:val="0"/>
        <w:spacing w:before="0" w:after="0"/>
        <w:ind w:firstLine="720"/>
        <w:outlineLvl w:val="9"/>
        <w:rPr>
          <w:color w:val="000000" w:themeColor="text1"/>
        </w:rPr>
      </w:pPr>
      <w:r w:rsidRPr="00476FC9">
        <w:rPr>
          <w:color w:val="000000" w:themeColor="text1"/>
        </w:rPr>
        <w:t>D</w:t>
      </w:r>
      <w:r w:rsidR="000270B5" w:rsidRPr="00476FC9">
        <w:rPr>
          <w:color w:val="000000" w:themeColor="text1"/>
        </w:rPr>
        <w:t xml:space="preserve">espite </w:t>
      </w:r>
      <w:r w:rsidR="00C326AD" w:rsidRPr="00476FC9">
        <w:rPr>
          <w:color w:val="000000" w:themeColor="text1"/>
        </w:rPr>
        <w:t xml:space="preserve">the </w:t>
      </w:r>
      <w:r w:rsidR="00F82950" w:rsidRPr="00476FC9">
        <w:rPr>
          <w:color w:val="000000" w:themeColor="text1"/>
        </w:rPr>
        <w:t>severe</w:t>
      </w:r>
      <w:r w:rsidR="00C326AD" w:rsidRPr="00476FC9">
        <w:rPr>
          <w:color w:val="000000" w:themeColor="text1"/>
        </w:rPr>
        <w:t xml:space="preserve"> debate over the DTCA category, </w:t>
      </w:r>
      <w:r w:rsidR="000270B5" w:rsidRPr="00476FC9">
        <w:rPr>
          <w:color w:val="000000" w:themeColor="text1"/>
        </w:rPr>
        <w:t xml:space="preserve">if relevant and timely health risk information can be conveyed to </w:t>
      </w:r>
      <w:r w:rsidR="00175946" w:rsidRPr="00476FC9">
        <w:rPr>
          <w:color w:val="000000" w:themeColor="text1"/>
        </w:rPr>
        <w:t xml:space="preserve">health </w:t>
      </w:r>
      <w:r w:rsidR="000270B5" w:rsidRPr="00476FC9">
        <w:rPr>
          <w:color w:val="000000" w:themeColor="text1"/>
        </w:rPr>
        <w:t xml:space="preserve">consumers, DTCA can </w:t>
      </w:r>
      <w:r w:rsidRPr="00476FC9">
        <w:rPr>
          <w:color w:val="000000" w:themeColor="text1"/>
        </w:rPr>
        <w:t xml:space="preserve">contribute to </w:t>
      </w:r>
      <w:r w:rsidR="000270B5" w:rsidRPr="00476FC9">
        <w:rPr>
          <w:color w:val="000000" w:themeColor="text1"/>
        </w:rPr>
        <w:t xml:space="preserve">public health as an important health </w:t>
      </w:r>
      <w:r w:rsidR="00175946" w:rsidRPr="00476FC9">
        <w:rPr>
          <w:color w:val="000000" w:themeColor="text1"/>
        </w:rPr>
        <w:t>education</w:t>
      </w:r>
      <w:r w:rsidR="000270B5" w:rsidRPr="00476FC9">
        <w:rPr>
          <w:color w:val="000000" w:themeColor="text1"/>
        </w:rPr>
        <w:t xml:space="preserve"> source</w:t>
      </w:r>
      <w:r w:rsidR="001D2E01" w:rsidRPr="00476FC9">
        <w:rPr>
          <w:color w:val="000000" w:themeColor="text1"/>
        </w:rPr>
        <w:t xml:space="preserve"> (Kaphingst &amp; </w:t>
      </w:r>
      <w:r w:rsidR="00F24196" w:rsidRPr="00476FC9">
        <w:rPr>
          <w:color w:val="000000" w:themeColor="text1"/>
        </w:rPr>
        <w:t xml:space="preserve">Dejong, 2004; </w:t>
      </w:r>
      <w:r w:rsidR="001D2E01" w:rsidRPr="00476FC9">
        <w:rPr>
          <w:color w:val="000000" w:themeColor="text1"/>
        </w:rPr>
        <w:t>Royne &amp; Myers, 2008)</w:t>
      </w:r>
      <w:r w:rsidR="000270B5" w:rsidRPr="00476FC9">
        <w:rPr>
          <w:color w:val="000000" w:themeColor="text1"/>
        </w:rPr>
        <w:t>.</w:t>
      </w:r>
      <w:r w:rsidR="00C326AD" w:rsidRPr="00476FC9">
        <w:rPr>
          <w:color w:val="000000" w:themeColor="text1"/>
        </w:rPr>
        <w:t xml:space="preserve"> </w:t>
      </w:r>
      <w:r w:rsidRPr="00476FC9">
        <w:rPr>
          <w:color w:val="000000" w:themeColor="text1"/>
        </w:rPr>
        <w:t>However, the current research shows that the use of risk information from DTCA largely hinges on consumers’ DTCA regulatory knowledge. When consumers have certain levels of DTCA regulatory knowledge</w:t>
      </w:r>
      <w:r w:rsidR="00175946" w:rsidRPr="00476FC9">
        <w:rPr>
          <w:color w:val="000000" w:themeColor="text1"/>
        </w:rPr>
        <w:t>,</w:t>
      </w:r>
      <w:r w:rsidRPr="00476FC9">
        <w:rPr>
          <w:color w:val="000000" w:themeColor="text1"/>
        </w:rPr>
        <w:t xml:space="preserve"> the effectiveness of risk disclosure may be ensured. However, when a </w:t>
      </w:r>
      <w:r w:rsidRPr="00476FC9">
        <w:rPr>
          <w:color w:val="000000" w:themeColor="text1"/>
        </w:rPr>
        <w:lastRenderedPageBreak/>
        <w:t>majority of consumers do not have sufficient DTCA regulatory knowledge, the importance of prominen</w:t>
      </w:r>
      <w:r w:rsidR="00175946" w:rsidRPr="00476FC9">
        <w:rPr>
          <w:color w:val="000000" w:themeColor="text1"/>
        </w:rPr>
        <w:t>t</w:t>
      </w:r>
      <w:r w:rsidRPr="00476FC9">
        <w:rPr>
          <w:color w:val="000000" w:themeColor="text1"/>
        </w:rPr>
        <w:t xml:space="preserve"> risk </w:t>
      </w:r>
      <w:r w:rsidR="00175946" w:rsidRPr="00476FC9">
        <w:rPr>
          <w:color w:val="000000" w:themeColor="text1"/>
        </w:rPr>
        <w:t>disclosure provision increases. Considering the relatively low consumer DTCA regulatory knowledge level in the current research sample, the current FDA’s concern about risk disclosure prominence may be reasonable.</w:t>
      </w:r>
    </w:p>
    <w:p w:rsidR="004D088B" w:rsidRPr="00476FC9" w:rsidRDefault="00175946" w:rsidP="007D2ACE">
      <w:pPr>
        <w:keepNext w:val="0"/>
        <w:widowControl w:val="0"/>
        <w:kinsoku w:val="0"/>
        <w:overflowPunct w:val="0"/>
        <w:autoSpaceDE w:val="0"/>
        <w:autoSpaceDN w:val="0"/>
        <w:adjustRightInd w:val="0"/>
        <w:snapToGrid w:val="0"/>
        <w:spacing w:before="0" w:after="0"/>
        <w:ind w:firstLine="720"/>
        <w:outlineLvl w:val="9"/>
        <w:rPr>
          <w:color w:val="000000" w:themeColor="text1"/>
        </w:rPr>
      </w:pPr>
      <w:r w:rsidRPr="00476FC9">
        <w:rPr>
          <w:color w:val="000000" w:themeColor="text1"/>
        </w:rPr>
        <w:t>However, in the long term, the current research</w:t>
      </w:r>
      <w:r w:rsidR="004D088B" w:rsidRPr="00476FC9">
        <w:rPr>
          <w:color w:val="000000" w:themeColor="text1"/>
        </w:rPr>
        <w:t xml:space="preserve"> findings suggest that consumer education by the FDA and pharma</w:t>
      </w:r>
      <w:r w:rsidRPr="00476FC9">
        <w:rPr>
          <w:color w:val="000000" w:themeColor="text1"/>
        </w:rPr>
        <w:t xml:space="preserve">ceutical advertisers may play a promising </w:t>
      </w:r>
      <w:r w:rsidR="004D088B" w:rsidRPr="00476FC9">
        <w:rPr>
          <w:color w:val="000000" w:themeColor="text1"/>
        </w:rPr>
        <w:t xml:space="preserve">role for </w:t>
      </w:r>
      <w:r w:rsidRPr="00476FC9">
        <w:rPr>
          <w:color w:val="000000" w:themeColor="text1"/>
        </w:rPr>
        <w:t xml:space="preserve">consumers’ </w:t>
      </w:r>
      <w:r w:rsidR="004D088B" w:rsidRPr="00476FC9">
        <w:rPr>
          <w:color w:val="000000" w:themeColor="text1"/>
        </w:rPr>
        <w:t xml:space="preserve">informed health decision making. </w:t>
      </w:r>
      <w:r w:rsidR="00C326AD" w:rsidRPr="00476FC9">
        <w:rPr>
          <w:color w:val="000000" w:themeColor="text1"/>
        </w:rPr>
        <w:t xml:space="preserve">Hoy and Andrews (2004) note that </w:t>
      </w:r>
      <w:r w:rsidRPr="00476FC9">
        <w:rPr>
          <w:color w:val="000000" w:themeColor="text1"/>
        </w:rPr>
        <w:t xml:space="preserve">consumer </w:t>
      </w:r>
      <w:r w:rsidR="00C326AD" w:rsidRPr="00476FC9">
        <w:rPr>
          <w:color w:val="000000" w:themeColor="text1"/>
        </w:rPr>
        <w:t xml:space="preserve">education by government agencies, industry trade associations, and consumer advocacy groups </w:t>
      </w:r>
      <w:r w:rsidR="00141912" w:rsidRPr="00476FC9">
        <w:rPr>
          <w:color w:val="000000" w:themeColor="text1"/>
        </w:rPr>
        <w:t xml:space="preserve">can help consumers better understand complicated ad information. In this regard, the FDA and pharmaceutical manufacturers’ voluntary association (PhRMA) have exerted efforts to </w:t>
      </w:r>
      <w:r w:rsidRPr="00476FC9">
        <w:rPr>
          <w:color w:val="000000" w:themeColor="text1"/>
        </w:rPr>
        <w:t>improve</w:t>
      </w:r>
      <w:r w:rsidR="00141912" w:rsidRPr="00476FC9">
        <w:rPr>
          <w:color w:val="000000" w:themeColor="text1"/>
        </w:rPr>
        <w:t xml:space="preserve"> consumers’ perception and behavior regarding DTCA. </w:t>
      </w:r>
      <w:r w:rsidR="004D088B" w:rsidRPr="00476FC9">
        <w:rPr>
          <w:color w:val="000000" w:themeColor="text1"/>
        </w:rPr>
        <w:t xml:space="preserve">However, </w:t>
      </w:r>
      <w:r w:rsidR="00141912" w:rsidRPr="00476FC9">
        <w:rPr>
          <w:color w:val="000000" w:themeColor="text1"/>
        </w:rPr>
        <w:t>the current research suggests that consumer education a</w:t>
      </w:r>
      <w:r w:rsidR="004D088B" w:rsidRPr="00476FC9">
        <w:rPr>
          <w:color w:val="000000" w:themeColor="text1"/>
        </w:rPr>
        <w:t xml:space="preserve">bout the FDA’s regulatory role for DTCA </w:t>
      </w:r>
      <w:r w:rsidR="00141912" w:rsidRPr="00476FC9">
        <w:rPr>
          <w:color w:val="000000" w:themeColor="text1"/>
        </w:rPr>
        <w:t xml:space="preserve">may </w:t>
      </w:r>
      <w:r w:rsidR="004D088B" w:rsidRPr="00476FC9">
        <w:rPr>
          <w:color w:val="000000" w:themeColor="text1"/>
        </w:rPr>
        <w:t xml:space="preserve">also </w:t>
      </w:r>
      <w:r w:rsidR="00141912" w:rsidRPr="00476FC9">
        <w:rPr>
          <w:color w:val="000000" w:themeColor="text1"/>
        </w:rPr>
        <w:t xml:space="preserve">help </w:t>
      </w:r>
      <w:r w:rsidR="004D088B" w:rsidRPr="00476FC9">
        <w:rPr>
          <w:color w:val="000000" w:themeColor="text1"/>
        </w:rPr>
        <w:t xml:space="preserve">consumers </w:t>
      </w:r>
      <w:r w:rsidR="00141912" w:rsidRPr="00476FC9">
        <w:rPr>
          <w:color w:val="000000" w:themeColor="text1"/>
        </w:rPr>
        <w:t>better cope with risk disclosure information</w:t>
      </w:r>
      <w:r w:rsidR="004D088B" w:rsidRPr="00476FC9">
        <w:rPr>
          <w:color w:val="000000" w:themeColor="text1"/>
        </w:rPr>
        <w:t xml:space="preserve"> in DTCA</w:t>
      </w:r>
      <w:r w:rsidR="00141912" w:rsidRPr="00476FC9">
        <w:rPr>
          <w:color w:val="000000" w:themeColor="text1"/>
        </w:rPr>
        <w:t xml:space="preserve">. </w:t>
      </w:r>
    </w:p>
    <w:p w:rsidR="005179F9" w:rsidRPr="00476FC9" w:rsidRDefault="00141912" w:rsidP="007D2ACE">
      <w:pPr>
        <w:keepNext w:val="0"/>
        <w:widowControl w:val="0"/>
        <w:kinsoku w:val="0"/>
        <w:overflowPunct w:val="0"/>
        <w:autoSpaceDE w:val="0"/>
        <w:autoSpaceDN w:val="0"/>
        <w:adjustRightInd w:val="0"/>
        <w:snapToGrid w:val="0"/>
        <w:spacing w:before="0" w:after="0"/>
        <w:ind w:firstLine="720"/>
        <w:outlineLvl w:val="9"/>
        <w:rPr>
          <w:color w:val="000000" w:themeColor="text1"/>
        </w:rPr>
      </w:pPr>
      <w:r w:rsidRPr="00476FC9">
        <w:rPr>
          <w:color w:val="000000" w:themeColor="text1"/>
        </w:rPr>
        <w:t xml:space="preserve">In some sense, </w:t>
      </w:r>
      <w:r w:rsidR="00EB1FEC" w:rsidRPr="00476FC9">
        <w:rPr>
          <w:color w:val="000000" w:themeColor="text1"/>
        </w:rPr>
        <w:t>DTCA regulatory knowledge</w:t>
      </w:r>
      <w:r w:rsidRPr="00476FC9">
        <w:rPr>
          <w:color w:val="000000" w:themeColor="text1"/>
        </w:rPr>
        <w:t xml:space="preserve"> can be viewed as </w:t>
      </w:r>
      <w:r w:rsidR="004D088B" w:rsidRPr="00476FC9">
        <w:rPr>
          <w:color w:val="000000" w:themeColor="text1"/>
        </w:rPr>
        <w:t xml:space="preserve">consumers’ media literacy as part of overarching marketplace </w:t>
      </w:r>
      <w:r w:rsidRPr="00476FC9">
        <w:rPr>
          <w:color w:val="000000" w:themeColor="text1"/>
        </w:rPr>
        <w:t xml:space="preserve">persuasion knowledge. </w:t>
      </w:r>
      <w:r w:rsidR="004D088B" w:rsidRPr="00476FC9">
        <w:rPr>
          <w:color w:val="000000" w:themeColor="text1"/>
        </w:rPr>
        <w:t>Extending the PKM perspective</w:t>
      </w:r>
      <w:r w:rsidR="005179F9" w:rsidRPr="00476FC9">
        <w:rPr>
          <w:color w:val="000000" w:themeColor="text1"/>
        </w:rPr>
        <w:t xml:space="preserve"> (Friestad &amp; Wright, 1994)</w:t>
      </w:r>
      <w:r w:rsidR="004D088B" w:rsidRPr="00476FC9">
        <w:rPr>
          <w:color w:val="000000" w:themeColor="text1"/>
        </w:rPr>
        <w:t>, c</w:t>
      </w:r>
      <w:r w:rsidRPr="00476FC9">
        <w:rPr>
          <w:color w:val="000000" w:themeColor="text1"/>
        </w:rPr>
        <w:t>onsumers’ enhanced media literacy</w:t>
      </w:r>
      <w:r w:rsidR="004D088B" w:rsidRPr="00476FC9">
        <w:rPr>
          <w:color w:val="000000" w:themeColor="text1"/>
        </w:rPr>
        <w:t xml:space="preserve"> about DTCA</w:t>
      </w:r>
      <w:r w:rsidRPr="00476FC9">
        <w:rPr>
          <w:color w:val="000000" w:themeColor="text1"/>
        </w:rPr>
        <w:t xml:space="preserve"> </w:t>
      </w:r>
      <w:r w:rsidR="004D088B" w:rsidRPr="00476FC9">
        <w:rPr>
          <w:color w:val="000000" w:themeColor="text1"/>
        </w:rPr>
        <w:t xml:space="preserve">may </w:t>
      </w:r>
      <w:r w:rsidRPr="00476FC9">
        <w:rPr>
          <w:color w:val="000000" w:themeColor="text1"/>
        </w:rPr>
        <w:t xml:space="preserve">improve their </w:t>
      </w:r>
      <w:r w:rsidR="00175946" w:rsidRPr="00476FC9">
        <w:rPr>
          <w:color w:val="000000" w:themeColor="text1"/>
        </w:rPr>
        <w:t xml:space="preserve">DTCA </w:t>
      </w:r>
      <w:r w:rsidR="005179F9" w:rsidRPr="00476FC9">
        <w:rPr>
          <w:color w:val="000000" w:themeColor="text1"/>
        </w:rPr>
        <w:t>health</w:t>
      </w:r>
      <w:r w:rsidRPr="00476FC9">
        <w:rPr>
          <w:color w:val="000000" w:themeColor="text1"/>
        </w:rPr>
        <w:t xml:space="preserve"> information coping strategies. </w:t>
      </w:r>
      <w:r w:rsidR="005179F9" w:rsidRPr="00476FC9">
        <w:rPr>
          <w:color w:val="000000" w:themeColor="text1"/>
        </w:rPr>
        <w:t xml:space="preserve">In particular, </w:t>
      </w:r>
      <w:r w:rsidRPr="00476FC9">
        <w:rPr>
          <w:color w:val="000000" w:themeColor="text1"/>
        </w:rPr>
        <w:t xml:space="preserve">greater </w:t>
      </w:r>
      <w:r w:rsidR="00EB1FEC" w:rsidRPr="00476FC9">
        <w:rPr>
          <w:color w:val="000000" w:themeColor="text1"/>
        </w:rPr>
        <w:t>DTCA regulatory knowledge</w:t>
      </w:r>
      <w:r w:rsidRPr="00476FC9">
        <w:rPr>
          <w:color w:val="000000" w:themeColor="text1"/>
        </w:rPr>
        <w:t xml:space="preserve"> will improve consumer processing </w:t>
      </w:r>
      <w:r w:rsidR="00F82950" w:rsidRPr="00476FC9">
        <w:rPr>
          <w:color w:val="000000" w:themeColor="text1"/>
        </w:rPr>
        <w:t>of</w:t>
      </w:r>
      <w:r w:rsidRPr="00476FC9">
        <w:rPr>
          <w:color w:val="000000" w:themeColor="text1"/>
        </w:rPr>
        <w:t xml:space="preserve"> important health risk information of the prescription medicine.</w:t>
      </w:r>
    </w:p>
    <w:p w:rsidR="006D3BDD" w:rsidRPr="00476FC9" w:rsidRDefault="005179F9" w:rsidP="007D2ACE">
      <w:pPr>
        <w:keepNext w:val="0"/>
        <w:widowControl w:val="0"/>
        <w:kinsoku w:val="0"/>
        <w:overflowPunct w:val="0"/>
        <w:autoSpaceDE w:val="0"/>
        <w:autoSpaceDN w:val="0"/>
        <w:adjustRightInd w:val="0"/>
        <w:snapToGrid w:val="0"/>
        <w:spacing w:before="0" w:after="0"/>
        <w:ind w:firstLine="720"/>
        <w:outlineLvl w:val="9"/>
        <w:rPr>
          <w:color w:val="000000" w:themeColor="text1"/>
        </w:rPr>
      </w:pPr>
      <w:r w:rsidRPr="00476FC9">
        <w:rPr>
          <w:color w:val="000000" w:themeColor="text1"/>
        </w:rPr>
        <w:t>As the current research adopt</w:t>
      </w:r>
      <w:r w:rsidR="00175946" w:rsidRPr="00476FC9">
        <w:rPr>
          <w:color w:val="000000" w:themeColor="text1"/>
        </w:rPr>
        <w:t>s</w:t>
      </w:r>
      <w:r w:rsidRPr="00476FC9">
        <w:rPr>
          <w:color w:val="000000" w:themeColor="text1"/>
        </w:rPr>
        <w:t xml:space="preserve"> DTCA regulatory knowledge measures from the current FDA’s webpage, </w:t>
      </w:r>
      <w:r w:rsidR="00141912" w:rsidRPr="00476FC9">
        <w:rPr>
          <w:color w:val="000000" w:themeColor="text1"/>
        </w:rPr>
        <w:t xml:space="preserve">the FDA </w:t>
      </w:r>
      <w:r w:rsidRPr="00476FC9">
        <w:rPr>
          <w:color w:val="000000" w:themeColor="text1"/>
        </w:rPr>
        <w:t xml:space="preserve">can </w:t>
      </w:r>
      <w:r w:rsidR="00141912" w:rsidRPr="00476FC9">
        <w:rPr>
          <w:color w:val="000000" w:themeColor="text1"/>
        </w:rPr>
        <w:t xml:space="preserve">provide useful health and media literacy programs on its website (e.g., </w:t>
      </w:r>
      <w:r w:rsidR="00141912" w:rsidRPr="00476FC9">
        <w:rPr>
          <w:i/>
          <w:color w:val="000000" w:themeColor="text1"/>
        </w:rPr>
        <w:t>For Consumers &amp; Patients</w:t>
      </w:r>
      <w:r w:rsidR="00141912" w:rsidRPr="00476FC9">
        <w:rPr>
          <w:color w:val="000000" w:themeColor="text1"/>
        </w:rPr>
        <w:t xml:space="preserve">). Consumers can benefit from such information sources for not </w:t>
      </w:r>
      <w:r w:rsidR="00141912" w:rsidRPr="00476FC9">
        <w:rPr>
          <w:color w:val="000000" w:themeColor="text1"/>
        </w:rPr>
        <w:lastRenderedPageBreak/>
        <w:t>only health education but media literacy</w:t>
      </w:r>
      <w:r w:rsidR="00EA05D0" w:rsidRPr="00476FC9">
        <w:rPr>
          <w:color w:val="000000" w:themeColor="text1"/>
        </w:rPr>
        <w:t xml:space="preserve"> improvement</w:t>
      </w:r>
      <w:r w:rsidR="00141912" w:rsidRPr="00476FC9">
        <w:rPr>
          <w:color w:val="000000" w:themeColor="text1"/>
        </w:rPr>
        <w:t xml:space="preserve">. </w:t>
      </w:r>
      <w:r w:rsidR="00EA05D0" w:rsidRPr="00476FC9">
        <w:rPr>
          <w:color w:val="000000" w:themeColor="text1"/>
        </w:rPr>
        <w:t>In the same manner, c</w:t>
      </w:r>
      <w:r w:rsidR="00141912" w:rsidRPr="00476FC9">
        <w:rPr>
          <w:color w:val="000000" w:themeColor="text1"/>
        </w:rPr>
        <w:t>onsumers can</w:t>
      </w:r>
      <w:r w:rsidR="00EA05D0" w:rsidRPr="00476FC9">
        <w:rPr>
          <w:color w:val="000000" w:themeColor="text1"/>
        </w:rPr>
        <w:t xml:space="preserve"> also </w:t>
      </w:r>
      <w:r w:rsidR="00141912" w:rsidRPr="00476FC9">
        <w:rPr>
          <w:color w:val="000000" w:themeColor="text1"/>
        </w:rPr>
        <w:t>obtain a lot of</w:t>
      </w:r>
      <w:r w:rsidR="00EA05D0" w:rsidRPr="00476FC9">
        <w:rPr>
          <w:color w:val="000000" w:themeColor="text1"/>
        </w:rPr>
        <w:t xml:space="preserve"> useful educational information</w:t>
      </w:r>
      <w:r w:rsidR="00A160BB" w:rsidRPr="00476FC9">
        <w:rPr>
          <w:color w:val="000000" w:themeColor="text1"/>
        </w:rPr>
        <w:t xml:space="preserve"> </w:t>
      </w:r>
      <w:r w:rsidR="00EA05D0" w:rsidRPr="00476FC9">
        <w:rPr>
          <w:color w:val="000000" w:themeColor="text1"/>
        </w:rPr>
        <w:t>from pharmaceutical advertisers’ promotional websites and various public educational sources.</w:t>
      </w:r>
      <w:r w:rsidR="00141912" w:rsidRPr="00476FC9">
        <w:rPr>
          <w:color w:val="000000" w:themeColor="text1"/>
        </w:rPr>
        <w:t xml:space="preserve"> In particular, the Internet serves as an important health information source (Dutta-Bergman, 2004; Lee, Park, &amp; Widdows, 2009; Suggs, 2006). </w:t>
      </w:r>
      <w:r w:rsidR="000D6C36" w:rsidRPr="00476FC9">
        <w:rPr>
          <w:color w:val="000000" w:themeColor="text1"/>
        </w:rPr>
        <w:t>Consumer health and media literacy programs should be executed through various media channels.</w:t>
      </w:r>
    </w:p>
    <w:p w:rsidR="00984704" w:rsidRPr="00476FC9" w:rsidRDefault="00F67DB5" w:rsidP="007D2ACE">
      <w:pPr>
        <w:keepNext w:val="0"/>
        <w:widowControl w:val="0"/>
        <w:kinsoku w:val="0"/>
        <w:overflowPunct w:val="0"/>
        <w:autoSpaceDE w:val="0"/>
        <w:autoSpaceDN w:val="0"/>
        <w:adjustRightInd w:val="0"/>
        <w:snapToGrid w:val="0"/>
        <w:spacing w:before="0" w:after="0"/>
        <w:ind w:firstLine="720"/>
        <w:outlineLvl w:val="9"/>
        <w:rPr>
          <w:color w:val="000000" w:themeColor="text1"/>
        </w:rPr>
      </w:pPr>
      <w:r w:rsidRPr="00476FC9">
        <w:rPr>
          <w:color w:val="000000" w:themeColor="text1"/>
        </w:rPr>
        <w:t xml:space="preserve">Unfortunately, current levels of public understanding of the FDA's regulatory role for DTCA </w:t>
      </w:r>
      <w:r w:rsidR="00017AC8" w:rsidRPr="00476FC9">
        <w:rPr>
          <w:color w:val="000000" w:themeColor="text1"/>
        </w:rPr>
        <w:t>appeared to be low</w:t>
      </w:r>
      <w:r w:rsidRPr="00476FC9">
        <w:rPr>
          <w:color w:val="000000" w:themeColor="text1"/>
        </w:rPr>
        <w:t xml:space="preserve">. </w:t>
      </w:r>
      <w:r w:rsidR="00425F3D" w:rsidRPr="00476FC9">
        <w:rPr>
          <w:color w:val="000000" w:themeColor="text1"/>
        </w:rPr>
        <w:t xml:space="preserve">Bell, Kravitz, and Wilkes (1999) and </w:t>
      </w:r>
      <w:r w:rsidR="00A41ACC" w:rsidRPr="00476FC9">
        <w:rPr>
          <w:color w:val="000000" w:themeColor="text1"/>
        </w:rPr>
        <w:t>Wilkes, Bell, and Kravitz (2000)</w:t>
      </w:r>
      <w:r w:rsidR="00425F3D" w:rsidRPr="00476FC9">
        <w:rPr>
          <w:color w:val="000000" w:themeColor="text1"/>
        </w:rPr>
        <w:t xml:space="preserve"> </w:t>
      </w:r>
      <w:r w:rsidR="00A41ACC" w:rsidRPr="00476FC9">
        <w:rPr>
          <w:color w:val="000000" w:themeColor="text1"/>
        </w:rPr>
        <w:t>examined what assumptions consumers make about the regulation of DTCA. The results</w:t>
      </w:r>
      <w:r w:rsidR="00071E8D" w:rsidRPr="00476FC9">
        <w:rPr>
          <w:color w:val="000000" w:themeColor="text1"/>
        </w:rPr>
        <w:t xml:space="preserve"> (Wilkes, Bell, &amp; Kravitz, 2000)</w:t>
      </w:r>
      <w:r w:rsidR="00A41ACC" w:rsidRPr="00476FC9">
        <w:rPr>
          <w:color w:val="000000" w:themeColor="text1"/>
        </w:rPr>
        <w:t xml:space="preserve"> showed that half of respondents believed that DTCA had to be submitted to the FDA for prior approval, 43% of them believed that only completely safe drugs could be promoted directly to consumers, 22% of them believed that promoting of drugs with serious side effects had been banned, and 21% of them thought that only extremely effective drugs could be marketed directly to consumers. </w:t>
      </w:r>
      <w:r w:rsidRPr="00476FC9">
        <w:rPr>
          <w:color w:val="000000" w:themeColor="text1"/>
        </w:rPr>
        <w:t>However, g</w:t>
      </w:r>
      <w:r w:rsidR="00071E8D" w:rsidRPr="00476FC9">
        <w:rPr>
          <w:color w:val="000000" w:themeColor="text1"/>
        </w:rPr>
        <w:t xml:space="preserve">iven </w:t>
      </w:r>
      <w:r w:rsidR="00A160BB" w:rsidRPr="00476FC9">
        <w:rPr>
          <w:color w:val="000000" w:themeColor="text1"/>
        </w:rPr>
        <w:t xml:space="preserve">that </w:t>
      </w:r>
      <w:r w:rsidR="00A41ACC" w:rsidRPr="00476FC9">
        <w:rPr>
          <w:color w:val="000000" w:themeColor="text1"/>
        </w:rPr>
        <w:t>all of these statements are untrue</w:t>
      </w:r>
      <w:r w:rsidR="00071E8D" w:rsidRPr="00476FC9">
        <w:rPr>
          <w:color w:val="000000" w:themeColor="text1"/>
        </w:rPr>
        <w:t xml:space="preserve">, the results imply that there is a possibility that consumers may have </w:t>
      </w:r>
      <w:r w:rsidR="00984704" w:rsidRPr="00476FC9">
        <w:rPr>
          <w:color w:val="000000" w:themeColor="text1"/>
        </w:rPr>
        <w:t xml:space="preserve">a </w:t>
      </w:r>
      <w:r w:rsidR="00071E8D" w:rsidRPr="00476FC9">
        <w:rPr>
          <w:color w:val="000000" w:themeColor="text1"/>
        </w:rPr>
        <w:t>serious misunderstanding regarding the DTCA's regulatory context</w:t>
      </w:r>
      <w:r w:rsidR="00A41ACC" w:rsidRPr="00476FC9">
        <w:rPr>
          <w:color w:val="000000" w:themeColor="text1"/>
        </w:rPr>
        <w:t xml:space="preserve">. </w:t>
      </w:r>
      <w:r w:rsidR="00293C2B" w:rsidRPr="00476FC9">
        <w:rPr>
          <w:color w:val="000000" w:themeColor="text1"/>
        </w:rPr>
        <w:t xml:space="preserve">In particular, as to minorities they were more </w:t>
      </w:r>
      <w:r w:rsidR="002D3DE6" w:rsidRPr="00476FC9">
        <w:rPr>
          <w:color w:val="000000" w:themeColor="text1"/>
        </w:rPr>
        <w:t>misinformed</w:t>
      </w:r>
      <w:r w:rsidR="00293C2B" w:rsidRPr="00476FC9">
        <w:rPr>
          <w:color w:val="000000" w:themeColor="text1"/>
        </w:rPr>
        <w:t xml:space="preserve"> about the DTCA regulation than were white respondents </w:t>
      </w:r>
      <w:r w:rsidR="002D3DE6" w:rsidRPr="00476FC9">
        <w:rPr>
          <w:color w:val="000000" w:themeColor="text1"/>
        </w:rPr>
        <w:t xml:space="preserve">(Bell et al., 1999). Bell et al. (1999) note that many consumers hold inaccurate beliefs </w:t>
      </w:r>
      <w:r w:rsidR="00A160BB" w:rsidRPr="00476FC9">
        <w:rPr>
          <w:color w:val="000000" w:themeColor="text1"/>
        </w:rPr>
        <w:t xml:space="preserve">regarding the regulation of DTCA </w:t>
      </w:r>
      <w:r w:rsidR="002D3DE6" w:rsidRPr="00476FC9">
        <w:rPr>
          <w:color w:val="000000" w:themeColor="text1"/>
        </w:rPr>
        <w:t>and th</w:t>
      </w:r>
      <w:r w:rsidR="00A160BB" w:rsidRPr="00476FC9">
        <w:rPr>
          <w:color w:val="000000" w:themeColor="text1"/>
        </w:rPr>
        <w:t xml:space="preserve">is </w:t>
      </w:r>
      <w:r w:rsidR="002D3DE6" w:rsidRPr="00476FC9">
        <w:rPr>
          <w:color w:val="000000" w:themeColor="text1"/>
        </w:rPr>
        <w:t>false faith could increase susceptibility to DTCA</w:t>
      </w:r>
      <w:r w:rsidR="00DF675D" w:rsidRPr="00476FC9">
        <w:rPr>
          <w:color w:val="000000" w:themeColor="text1"/>
        </w:rPr>
        <w:t>, because consumers with erroneous assumptions are more likely to act on them.</w:t>
      </w:r>
    </w:p>
    <w:p w:rsidR="00863E62" w:rsidRPr="00476FC9" w:rsidRDefault="00BB558D" w:rsidP="007D2ACE">
      <w:pPr>
        <w:keepNext w:val="0"/>
        <w:widowControl w:val="0"/>
        <w:kinsoku w:val="0"/>
        <w:overflowPunct w:val="0"/>
        <w:autoSpaceDE w:val="0"/>
        <w:autoSpaceDN w:val="0"/>
        <w:adjustRightInd w:val="0"/>
        <w:snapToGrid w:val="0"/>
        <w:spacing w:before="0" w:after="0"/>
        <w:ind w:firstLine="720"/>
        <w:outlineLvl w:val="9"/>
        <w:rPr>
          <w:color w:val="000000" w:themeColor="text1"/>
        </w:rPr>
      </w:pPr>
      <w:r w:rsidRPr="00476FC9">
        <w:rPr>
          <w:color w:val="000000" w:themeColor="text1"/>
        </w:rPr>
        <w:t>The statements employed in previous research</w:t>
      </w:r>
      <w:r w:rsidR="00EF4D51" w:rsidRPr="00476FC9">
        <w:rPr>
          <w:color w:val="000000" w:themeColor="text1"/>
        </w:rPr>
        <w:t xml:space="preserve"> on public's knowledge of DTCA regulation</w:t>
      </w:r>
      <w:r w:rsidRPr="00476FC9">
        <w:rPr>
          <w:color w:val="000000" w:themeColor="text1"/>
        </w:rPr>
        <w:t xml:space="preserve"> (e.g., Bell et al., 1999; Wilkes et al., 2000) appear to be </w:t>
      </w:r>
      <w:r w:rsidR="00A41ACC" w:rsidRPr="00476FC9">
        <w:rPr>
          <w:color w:val="000000" w:themeColor="text1"/>
        </w:rPr>
        <w:t xml:space="preserve">closely </w:t>
      </w:r>
      <w:r w:rsidR="00EF4D51" w:rsidRPr="00476FC9">
        <w:rPr>
          <w:color w:val="000000" w:themeColor="text1"/>
        </w:rPr>
        <w:t xml:space="preserve">analogous </w:t>
      </w:r>
      <w:r w:rsidR="00A41ACC" w:rsidRPr="00476FC9">
        <w:rPr>
          <w:color w:val="000000" w:themeColor="text1"/>
        </w:rPr>
        <w:t xml:space="preserve">to </w:t>
      </w:r>
      <w:r w:rsidRPr="00476FC9">
        <w:rPr>
          <w:color w:val="000000" w:themeColor="text1"/>
        </w:rPr>
        <w:t xml:space="preserve">those </w:t>
      </w:r>
      <w:r w:rsidR="00B61AF9" w:rsidRPr="00476FC9">
        <w:rPr>
          <w:color w:val="000000" w:themeColor="text1"/>
        </w:rPr>
        <w:lastRenderedPageBreak/>
        <w:t xml:space="preserve">employed in </w:t>
      </w:r>
      <w:r w:rsidR="00EF4D51" w:rsidRPr="00476FC9">
        <w:rPr>
          <w:color w:val="000000" w:themeColor="text1"/>
        </w:rPr>
        <w:t xml:space="preserve">the current </w:t>
      </w:r>
      <w:r w:rsidR="00A41ACC" w:rsidRPr="00476FC9">
        <w:rPr>
          <w:color w:val="000000" w:themeColor="text1"/>
        </w:rPr>
        <w:t>research</w:t>
      </w:r>
      <w:r w:rsidR="00EF4D51" w:rsidRPr="00476FC9">
        <w:rPr>
          <w:color w:val="000000" w:themeColor="text1"/>
        </w:rPr>
        <w:t>. This research</w:t>
      </w:r>
      <w:r w:rsidR="00A41ACC" w:rsidRPr="00476FC9">
        <w:rPr>
          <w:color w:val="000000" w:themeColor="text1"/>
        </w:rPr>
        <w:t xml:space="preserve"> employed </w:t>
      </w:r>
      <w:r w:rsidR="00EF4D51" w:rsidRPr="00476FC9">
        <w:rPr>
          <w:color w:val="000000" w:themeColor="text1"/>
        </w:rPr>
        <w:t xml:space="preserve">various statements </w:t>
      </w:r>
      <w:r w:rsidR="00A41ACC" w:rsidRPr="00476FC9">
        <w:rPr>
          <w:color w:val="000000" w:themeColor="text1"/>
        </w:rPr>
        <w:t xml:space="preserve">to measure </w:t>
      </w:r>
      <w:r w:rsidR="00B61AF9" w:rsidRPr="00476FC9">
        <w:rPr>
          <w:color w:val="000000" w:themeColor="text1"/>
        </w:rPr>
        <w:t xml:space="preserve">consumers' </w:t>
      </w:r>
      <w:r w:rsidR="00A41ACC" w:rsidRPr="00476FC9">
        <w:rPr>
          <w:color w:val="000000" w:themeColor="text1"/>
        </w:rPr>
        <w:t>DTCA regulatory knowledge</w:t>
      </w:r>
      <w:r w:rsidR="00EF4D51" w:rsidRPr="00476FC9">
        <w:rPr>
          <w:color w:val="000000" w:themeColor="text1"/>
        </w:rPr>
        <w:t xml:space="preserve">, which were </w:t>
      </w:r>
      <w:r w:rsidR="00A41ACC" w:rsidRPr="00476FC9">
        <w:rPr>
          <w:color w:val="000000" w:themeColor="text1"/>
        </w:rPr>
        <w:t>borrow</w:t>
      </w:r>
      <w:r w:rsidRPr="00476FC9">
        <w:rPr>
          <w:color w:val="000000" w:themeColor="text1"/>
        </w:rPr>
        <w:t xml:space="preserve">ed </w:t>
      </w:r>
      <w:r w:rsidR="00A41ACC" w:rsidRPr="00476FC9">
        <w:rPr>
          <w:color w:val="000000" w:themeColor="text1"/>
        </w:rPr>
        <w:t xml:space="preserve">from the FDA's </w:t>
      </w:r>
      <w:r w:rsidR="00CD5F77" w:rsidRPr="00476FC9">
        <w:rPr>
          <w:color w:val="000000" w:themeColor="text1"/>
        </w:rPr>
        <w:t xml:space="preserve">consumer </w:t>
      </w:r>
      <w:r w:rsidR="00A41ACC" w:rsidRPr="00476FC9">
        <w:rPr>
          <w:color w:val="000000" w:themeColor="text1"/>
        </w:rPr>
        <w:t>education webpage.</w:t>
      </w:r>
      <w:r w:rsidR="001641CA" w:rsidRPr="00476FC9">
        <w:rPr>
          <w:color w:val="000000" w:themeColor="text1"/>
        </w:rPr>
        <w:t xml:space="preserve"> In that regard, the findings </w:t>
      </w:r>
      <w:r w:rsidR="00B61AF9" w:rsidRPr="00476FC9">
        <w:rPr>
          <w:color w:val="000000" w:themeColor="text1"/>
        </w:rPr>
        <w:t>of this research provide invaluable</w:t>
      </w:r>
      <w:r w:rsidR="004E6C37" w:rsidRPr="00476FC9">
        <w:rPr>
          <w:color w:val="000000" w:themeColor="text1"/>
        </w:rPr>
        <w:t xml:space="preserve"> </w:t>
      </w:r>
      <w:r w:rsidR="001641CA" w:rsidRPr="00476FC9">
        <w:rPr>
          <w:color w:val="000000" w:themeColor="text1"/>
        </w:rPr>
        <w:t>consumer education and public health implications, which is a unique contribution of the current research.</w:t>
      </w:r>
      <w:r w:rsidR="00A41ACC" w:rsidRPr="00476FC9">
        <w:rPr>
          <w:color w:val="000000" w:themeColor="text1"/>
        </w:rPr>
        <w:t xml:space="preserve"> </w:t>
      </w:r>
      <w:r w:rsidR="00626087" w:rsidRPr="00476FC9">
        <w:rPr>
          <w:color w:val="000000" w:themeColor="text1"/>
        </w:rPr>
        <w:t xml:space="preserve">It </w:t>
      </w:r>
      <w:r w:rsidR="0055558D" w:rsidRPr="00476FC9">
        <w:rPr>
          <w:color w:val="000000" w:themeColor="text1"/>
        </w:rPr>
        <w:t xml:space="preserve">may be both </w:t>
      </w:r>
      <w:r w:rsidR="00626087" w:rsidRPr="00476FC9">
        <w:rPr>
          <w:color w:val="000000" w:themeColor="text1"/>
        </w:rPr>
        <w:t>the FDA</w:t>
      </w:r>
      <w:r w:rsidR="0055558D" w:rsidRPr="00476FC9">
        <w:rPr>
          <w:color w:val="000000" w:themeColor="text1"/>
        </w:rPr>
        <w:t>'s</w:t>
      </w:r>
      <w:r w:rsidR="00626087" w:rsidRPr="00476FC9">
        <w:rPr>
          <w:color w:val="000000" w:themeColor="text1"/>
        </w:rPr>
        <w:t xml:space="preserve"> and pharmaceutical marketers' responsibility to inform consumers </w:t>
      </w:r>
      <w:r w:rsidR="00DF675D" w:rsidRPr="00476FC9">
        <w:rPr>
          <w:color w:val="000000" w:themeColor="text1"/>
        </w:rPr>
        <w:t>about</w:t>
      </w:r>
      <w:r w:rsidR="00626087" w:rsidRPr="00476FC9">
        <w:rPr>
          <w:color w:val="000000" w:themeColor="text1"/>
        </w:rPr>
        <w:t xml:space="preserve"> critical aspects of DTCA regulation.</w:t>
      </w:r>
      <w:r w:rsidR="0055558D" w:rsidRPr="00476FC9">
        <w:rPr>
          <w:color w:val="000000" w:themeColor="text1"/>
        </w:rPr>
        <w:t xml:space="preserve"> </w:t>
      </w:r>
      <w:r w:rsidR="00B61AF9" w:rsidRPr="00476FC9">
        <w:rPr>
          <w:color w:val="000000" w:themeColor="text1"/>
        </w:rPr>
        <w:t>T</w:t>
      </w:r>
      <w:r w:rsidR="00A41ACC" w:rsidRPr="00476FC9">
        <w:rPr>
          <w:color w:val="000000" w:themeColor="text1"/>
        </w:rPr>
        <w:t>o help consumers make better prescription decision</w:t>
      </w:r>
      <w:r w:rsidR="0055558D" w:rsidRPr="00476FC9">
        <w:rPr>
          <w:color w:val="000000" w:themeColor="text1"/>
        </w:rPr>
        <w:t>s</w:t>
      </w:r>
      <w:r w:rsidR="00A41ACC" w:rsidRPr="00476FC9">
        <w:rPr>
          <w:color w:val="000000" w:themeColor="text1"/>
        </w:rPr>
        <w:t xml:space="preserve">, both the FDA and pharmaceutical marketers should exert organized efforts </w:t>
      </w:r>
      <w:r w:rsidR="00E36A79" w:rsidRPr="00476FC9">
        <w:rPr>
          <w:color w:val="000000" w:themeColor="text1"/>
        </w:rPr>
        <w:t xml:space="preserve">to inform consumers regarding the regulatory context of DTCA </w:t>
      </w:r>
      <w:r w:rsidR="00A41ACC" w:rsidRPr="00476FC9">
        <w:rPr>
          <w:color w:val="000000" w:themeColor="text1"/>
        </w:rPr>
        <w:t>through various methods. In the long term, ph</w:t>
      </w:r>
      <w:r w:rsidR="00877A5D" w:rsidRPr="00476FC9">
        <w:rPr>
          <w:color w:val="000000" w:themeColor="text1"/>
        </w:rPr>
        <w:t>armaceutical marketers should communicate risk information openly and accurately with consumers. In particular, they need to provide much attention t</w:t>
      </w:r>
      <w:r w:rsidR="00863E62" w:rsidRPr="00476FC9">
        <w:rPr>
          <w:color w:val="000000" w:themeColor="text1"/>
        </w:rPr>
        <w:t>o health risks of the medicine.</w:t>
      </w:r>
    </w:p>
    <w:p w:rsidR="00A41ACC" w:rsidRPr="00476FC9" w:rsidRDefault="00877A5D" w:rsidP="007D2ACE">
      <w:pPr>
        <w:keepNext w:val="0"/>
        <w:widowControl w:val="0"/>
        <w:kinsoku w:val="0"/>
        <w:overflowPunct w:val="0"/>
        <w:autoSpaceDE w:val="0"/>
        <w:autoSpaceDN w:val="0"/>
        <w:adjustRightInd w:val="0"/>
        <w:snapToGrid w:val="0"/>
        <w:spacing w:before="0" w:after="0"/>
        <w:ind w:firstLine="720"/>
        <w:outlineLvl w:val="9"/>
        <w:rPr>
          <w:color w:val="000000" w:themeColor="text1"/>
        </w:rPr>
      </w:pPr>
      <w:r w:rsidRPr="00476FC9">
        <w:rPr>
          <w:color w:val="000000" w:themeColor="text1"/>
        </w:rPr>
        <w:t>From the FDA's perspective, the agency can fully educate the role of promotional materials</w:t>
      </w:r>
      <w:r w:rsidR="00626087" w:rsidRPr="00476FC9">
        <w:rPr>
          <w:color w:val="000000" w:themeColor="text1"/>
        </w:rPr>
        <w:t xml:space="preserve"> or prescription drug brands</w:t>
      </w:r>
      <w:r w:rsidRPr="00476FC9">
        <w:rPr>
          <w:color w:val="000000" w:themeColor="text1"/>
        </w:rPr>
        <w:t>, the role of drug evaluations, and the need for consumers to cooperate with health care professionals (Wilkes</w:t>
      </w:r>
      <w:r w:rsidR="00E910D1" w:rsidRPr="00476FC9">
        <w:rPr>
          <w:color w:val="000000" w:themeColor="text1"/>
        </w:rPr>
        <w:t xml:space="preserve"> et al., </w:t>
      </w:r>
      <w:r w:rsidR="00D72422" w:rsidRPr="00476FC9">
        <w:rPr>
          <w:rFonts w:eastAsiaTheme="minorEastAsia" w:hint="eastAsia"/>
          <w:color w:val="000000" w:themeColor="text1"/>
        </w:rPr>
        <w:t>2000)</w:t>
      </w:r>
      <w:r w:rsidRPr="00476FC9">
        <w:rPr>
          <w:color w:val="000000" w:themeColor="text1"/>
        </w:rPr>
        <w:t>. Furthermore, health care professionals can also</w:t>
      </w:r>
      <w:r w:rsidR="005B0EA3" w:rsidRPr="00476FC9">
        <w:rPr>
          <w:color w:val="000000" w:themeColor="text1"/>
        </w:rPr>
        <w:t xml:space="preserve"> develop a systematic media literacy program to educate consumers about the promotional nature of DTCA as well as the regulatory context of DTCA (</w:t>
      </w:r>
      <w:r w:rsidR="00DF675D" w:rsidRPr="00476FC9">
        <w:rPr>
          <w:color w:val="000000" w:themeColor="text1"/>
        </w:rPr>
        <w:t xml:space="preserve">Bell et al., 1999; </w:t>
      </w:r>
      <w:r w:rsidR="005B0EA3" w:rsidRPr="00476FC9">
        <w:rPr>
          <w:color w:val="000000" w:themeColor="text1"/>
        </w:rPr>
        <w:t>Wilkes et al, 2000)</w:t>
      </w:r>
      <w:r w:rsidR="00605466" w:rsidRPr="00476FC9">
        <w:rPr>
          <w:color w:val="000000" w:themeColor="text1"/>
        </w:rPr>
        <w:t xml:space="preserve"> to promote important health care marketplace persuasion knowledge</w:t>
      </w:r>
      <w:r w:rsidR="005B0EA3" w:rsidRPr="00476FC9">
        <w:rPr>
          <w:color w:val="000000" w:themeColor="text1"/>
        </w:rPr>
        <w:t>.</w:t>
      </w:r>
      <w:r w:rsidR="00F136FB" w:rsidRPr="00476FC9">
        <w:rPr>
          <w:color w:val="000000" w:themeColor="text1"/>
        </w:rPr>
        <w:t xml:space="preserve"> </w:t>
      </w:r>
      <w:r w:rsidR="00605466" w:rsidRPr="00476FC9">
        <w:rPr>
          <w:color w:val="000000" w:themeColor="text1"/>
        </w:rPr>
        <w:t xml:space="preserve">Moreover, </w:t>
      </w:r>
      <w:r w:rsidR="00F136FB" w:rsidRPr="00476FC9">
        <w:rPr>
          <w:color w:val="000000" w:themeColor="text1"/>
        </w:rPr>
        <w:t xml:space="preserve">the public needs to be informed about the limitations of DTCA placed on its regulation. To do so, Bell et al. (1999) suggest that the development of a media literacy program that teaches about the nature of pharmaceutical advertisers' persuasive strategies with cooperation on the part of the FDA, </w:t>
      </w:r>
      <w:r w:rsidR="00C93039" w:rsidRPr="00476FC9">
        <w:rPr>
          <w:color w:val="000000" w:themeColor="text1"/>
        </w:rPr>
        <w:t xml:space="preserve">health care </w:t>
      </w:r>
      <w:r w:rsidR="00F136FB" w:rsidRPr="00476FC9">
        <w:rPr>
          <w:color w:val="000000" w:themeColor="text1"/>
        </w:rPr>
        <w:t xml:space="preserve">professionals, and public health organizations will contribute to public health. Importantly, health consumers themselves should exert efforts to make informed and sound health choices based on accurate and comprehensive </w:t>
      </w:r>
      <w:r w:rsidR="001641CA" w:rsidRPr="00476FC9">
        <w:rPr>
          <w:color w:val="000000" w:themeColor="text1"/>
        </w:rPr>
        <w:t xml:space="preserve">understanding of </w:t>
      </w:r>
      <w:r w:rsidR="001641CA" w:rsidRPr="00476FC9">
        <w:rPr>
          <w:color w:val="000000" w:themeColor="text1"/>
        </w:rPr>
        <w:lastRenderedPageBreak/>
        <w:t>health</w:t>
      </w:r>
      <w:r w:rsidR="00F136FB" w:rsidRPr="00476FC9">
        <w:rPr>
          <w:color w:val="000000" w:themeColor="text1"/>
        </w:rPr>
        <w:t xml:space="preserve"> information</w:t>
      </w:r>
      <w:r w:rsidR="00C93039" w:rsidRPr="00476FC9">
        <w:rPr>
          <w:color w:val="000000" w:themeColor="text1"/>
        </w:rPr>
        <w:t xml:space="preserve"> regarding </w:t>
      </w:r>
      <w:r w:rsidR="00F136FB" w:rsidRPr="00476FC9">
        <w:rPr>
          <w:color w:val="000000" w:themeColor="text1"/>
        </w:rPr>
        <w:t xml:space="preserve">both benefits and risks of medical remedies. </w:t>
      </w:r>
      <w:r w:rsidR="001641CA" w:rsidRPr="00476FC9">
        <w:rPr>
          <w:color w:val="000000" w:themeColor="text1"/>
        </w:rPr>
        <w:t xml:space="preserve">For true health consumerism, it is </w:t>
      </w:r>
      <w:r w:rsidR="00C93039" w:rsidRPr="00476FC9">
        <w:rPr>
          <w:color w:val="000000" w:themeColor="text1"/>
        </w:rPr>
        <w:t xml:space="preserve">also </w:t>
      </w:r>
      <w:r w:rsidR="001641CA" w:rsidRPr="00476FC9">
        <w:rPr>
          <w:color w:val="000000" w:themeColor="text1"/>
        </w:rPr>
        <w:t>individuals' responsibility to behave actively as health consumers.</w:t>
      </w:r>
    </w:p>
    <w:p w:rsidR="006D3BDD" w:rsidRPr="00476FC9" w:rsidRDefault="006D3BDD" w:rsidP="007D2ACE">
      <w:pPr>
        <w:keepNext w:val="0"/>
        <w:widowControl w:val="0"/>
        <w:kinsoku w:val="0"/>
        <w:overflowPunct w:val="0"/>
        <w:autoSpaceDE w:val="0"/>
        <w:autoSpaceDN w:val="0"/>
        <w:adjustRightInd w:val="0"/>
        <w:snapToGrid w:val="0"/>
        <w:spacing w:before="0" w:after="0"/>
        <w:ind w:firstLine="720"/>
        <w:outlineLvl w:val="9"/>
        <w:rPr>
          <w:color w:val="000000" w:themeColor="text1"/>
        </w:rPr>
      </w:pPr>
      <w:r w:rsidRPr="00476FC9">
        <w:rPr>
          <w:color w:val="000000" w:themeColor="text1"/>
        </w:rPr>
        <w:t>In this regard, the Pharmaceutical Research and Manufacturers of America’s (PhRMA)</w:t>
      </w:r>
      <w:r w:rsidR="00C4721E" w:rsidRPr="00476FC9">
        <w:rPr>
          <w:color w:val="000000" w:themeColor="text1"/>
        </w:rPr>
        <w:t xml:space="preserve"> (</w:t>
      </w:r>
      <w:r w:rsidR="00AA6C9F" w:rsidRPr="00476FC9">
        <w:rPr>
          <w:color w:val="000000" w:themeColor="text1"/>
        </w:rPr>
        <w:t>2009</w:t>
      </w:r>
      <w:r w:rsidR="00C4721E" w:rsidRPr="00476FC9">
        <w:rPr>
          <w:color w:val="000000" w:themeColor="text1"/>
        </w:rPr>
        <w:t>)</w:t>
      </w:r>
      <w:r w:rsidRPr="00476FC9">
        <w:rPr>
          <w:color w:val="000000" w:themeColor="text1"/>
        </w:rPr>
        <w:t xml:space="preserve">, an organization representing pharmaceutical companies, industry guidelines for DTCA outline </w:t>
      </w:r>
      <w:r w:rsidR="000A7D40" w:rsidRPr="00476FC9">
        <w:rPr>
          <w:color w:val="000000" w:themeColor="text1"/>
        </w:rPr>
        <w:t xml:space="preserve">an </w:t>
      </w:r>
      <w:r w:rsidRPr="00476FC9">
        <w:rPr>
          <w:color w:val="000000" w:themeColor="text1"/>
        </w:rPr>
        <w:t>important premise that:</w:t>
      </w:r>
    </w:p>
    <w:p w:rsidR="006D3BDD" w:rsidRPr="00476FC9" w:rsidRDefault="006D3BDD" w:rsidP="007D2ACE">
      <w:pPr>
        <w:keepNext w:val="0"/>
        <w:widowControl w:val="0"/>
        <w:kinsoku w:val="0"/>
        <w:overflowPunct w:val="0"/>
        <w:autoSpaceDE w:val="0"/>
        <w:autoSpaceDN w:val="0"/>
        <w:adjustRightInd w:val="0"/>
        <w:snapToGrid w:val="0"/>
        <w:spacing w:before="0" w:after="0" w:line="240" w:lineRule="auto"/>
        <w:ind w:left="720"/>
        <w:outlineLvl w:val="9"/>
        <w:rPr>
          <w:color w:val="000000" w:themeColor="text1"/>
          <w:sz w:val="20"/>
          <w:szCs w:val="20"/>
        </w:rPr>
      </w:pPr>
      <w:r w:rsidRPr="00476FC9">
        <w:rPr>
          <w:color w:val="000000" w:themeColor="text1"/>
          <w:sz w:val="20"/>
          <w:szCs w:val="20"/>
        </w:rPr>
        <w:t>DTC advertising of prescription medicines can benefit the public health by increasing awareness about diseases, educating patients about treatment options, motivating patients to contact their physicians and engage in a dialogue about health concerns, increasing the likelihood that patients will receive appropriate care for condition that are frequently under-diagnosed and under-treated, and encouraging compliance with prescription drug treatment regimens.</w:t>
      </w:r>
    </w:p>
    <w:p w:rsidR="002C50A7" w:rsidRPr="00476FC9" w:rsidRDefault="00C00862" w:rsidP="007D2ACE">
      <w:pPr>
        <w:keepNext w:val="0"/>
        <w:widowControl w:val="0"/>
        <w:kinsoku w:val="0"/>
        <w:overflowPunct w:val="0"/>
        <w:autoSpaceDE w:val="0"/>
        <w:autoSpaceDN w:val="0"/>
        <w:adjustRightInd w:val="0"/>
        <w:snapToGrid w:val="0"/>
        <w:spacing w:before="0" w:after="0" w:line="240" w:lineRule="auto"/>
        <w:ind w:left="720"/>
        <w:outlineLvl w:val="9"/>
        <w:rPr>
          <w:color w:val="000000" w:themeColor="text1"/>
          <w:sz w:val="20"/>
          <w:szCs w:val="20"/>
        </w:rPr>
      </w:pPr>
      <w:r w:rsidRPr="00476FC9">
        <w:rPr>
          <w:color w:val="000000" w:themeColor="text1"/>
          <w:sz w:val="20"/>
          <w:szCs w:val="20"/>
        </w:rPr>
        <w:t xml:space="preserve">  </w:t>
      </w:r>
    </w:p>
    <w:p w:rsidR="009A4206" w:rsidRPr="00476FC9" w:rsidRDefault="00C4721E" w:rsidP="007D2ACE">
      <w:pPr>
        <w:keepNext w:val="0"/>
        <w:widowControl w:val="0"/>
        <w:kinsoku w:val="0"/>
        <w:overflowPunct w:val="0"/>
        <w:autoSpaceDE w:val="0"/>
        <w:autoSpaceDN w:val="0"/>
        <w:adjustRightInd w:val="0"/>
        <w:snapToGrid w:val="0"/>
        <w:spacing w:before="0" w:after="0"/>
        <w:ind w:firstLine="720"/>
        <w:outlineLvl w:val="9"/>
        <w:rPr>
          <w:color w:val="000000" w:themeColor="text1"/>
        </w:rPr>
      </w:pPr>
      <w:r w:rsidRPr="00476FC9">
        <w:rPr>
          <w:color w:val="000000" w:themeColor="text1"/>
        </w:rPr>
        <w:t>In the above voluntary guidelines, an important goal of DTCA is well-illustrated.</w:t>
      </w:r>
      <w:r w:rsidR="00094C12" w:rsidRPr="00476FC9">
        <w:rPr>
          <w:color w:val="000000" w:themeColor="text1"/>
        </w:rPr>
        <w:t xml:space="preserve"> That is, </w:t>
      </w:r>
      <w:r w:rsidRPr="00476FC9">
        <w:rPr>
          <w:color w:val="000000" w:themeColor="text1"/>
        </w:rPr>
        <w:t>DTCA should encourage consumers to get proper medical treatment</w:t>
      </w:r>
      <w:r w:rsidR="00094C12" w:rsidRPr="00476FC9">
        <w:rPr>
          <w:color w:val="000000" w:themeColor="text1"/>
        </w:rPr>
        <w:t xml:space="preserve"> based on proper health education</w:t>
      </w:r>
      <w:r w:rsidRPr="00476FC9">
        <w:rPr>
          <w:color w:val="000000" w:themeColor="text1"/>
        </w:rPr>
        <w:t xml:space="preserve">. </w:t>
      </w:r>
      <w:r w:rsidR="009A4206" w:rsidRPr="00476FC9">
        <w:rPr>
          <w:color w:val="000000" w:themeColor="text1"/>
        </w:rPr>
        <w:t>Despite potential health risks of the drug, consumers should have a chance to discuss with their doctors about the advertised drug</w:t>
      </w:r>
      <w:r w:rsidR="00175946" w:rsidRPr="00476FC9">
        <w:rPr>
          <w:color w:val="000000" w:themeColor="text1"/>
        </w:rPr>
        <w:t>, in order</w:t>
      </w:r>
      <w:r w:rsidR="009A4206" w:rsidRPr="00476FC9">
        <w:rPr>
          <w:color w:val="000000" w:themeColor="text1"/>
        </w:rPr>
        <w:t xml:space="preserve"> to find out the best medical remedies to </w:t>
      </w:r>
      <w:r w:rsidR="00094C12" w:rsidRPr="00476FC9">
        <w:rPr>
          <w:color w:val="000000" w:themeColor="text1"/>
        </w:rPr>
        <w:t xml:space="preserve">manage </w:t>
      </w:r>
      <w:r w:rsidR="009A4206" w:rsidRPr="00476FC9">
        <w:rPr>
          <w:color w:val="000000" w:themeColor="text1"/>
        </w:rPr>
        <w:t>their</w:t>
      </w:r>
      <w:r w:rsidR="00F5789C" w:rsidRPr="00476FC9">
        <w:rPr>
          <w:color w:val="000000" w:themeColor="text1"/>
        </w:rPr>
        <w:t xml:space="preserve"> own</w:t>
      </w:r>
      <w:r w:rsidR="009A4206" w:rsidRPr="00476FC9">
        <w:rPr>
          <w:color w:val="000000" w:themeColor="text1"/>
        </w:rPr>
        <w:t xml:space="preserve"> health issues.</w:t>
      </w:r>
      <w:r w:rsidR="00094C12" w:rsidRPr="00476FC9">
        <w:rPr>
          <w:color w:val="000000" w:themeColor="text1"/>
        </w:rPr>
        <w:t xml:space="preserve"> The current research adds that consumers also need to be educated about the </w:t>
      </w:r>
      <w:r w:rsidR="00110426" w:rsidRPr="00476FC9">
        <w:rPr>
          <w:color w:val="000000" w:themeColor="text1"/>
        </w:rPr>
        <w:t>FDA’s regulatory role for DTCA to better cope with DTCA health information, especially risk disclosure.</w:t>
      </w:r>
    </w:p>
    <w:p w:rsidR="000F1F4B" w:rsidRPr="00476FC9" w:rsidRDefault="000270B5" w:rsidP="007D2ACE">
      <w:pPr>
        <w:keepNext w:val="0"/>
        <w:widowControl w:val="0"/>
        <w:kinsoku w:val="0"/>
        <w:overflowPunct w:val="0"/>
        <w:autoSpaceDE w:val="0"/>
        <w:autoSpaceDN w:val="0"/>
        <w:adjustRightInd w:val="0"/>
        <w:snapToGrid w:val="0"/>
        <w:spacing w:before="0" w:after="0"/>
        <w:ind w:firstLine="720"/>
        <w:outlineLvl w:val="9"/>
        <w:rPr>
          <w:color w:val="000000" w:themeColor="text1"/>
        </w:rPr>
      </w:pPr>
      <w:r w:rsidRPr="00476FC9">
        <w:rPr>
          <w:color w:val="000000" w:themeColor="text1"/>
        </w:rPr>
        <w:t xml:space="preserve">In closing this section, there has been a </w:t>
      </w:r>
      <w:r w:rsidR="0043214B" w:rsidRPr="00476FC9">
        <w:rPr>
          <w:color w:val="000000" w:themeColor="text1"/>
        </w:rPr>
        <w:t xml:space="preserve">long </w:t>
      </w:r>
      <w:r w:rsidRPr="00476FC9">
        <w:rPr>
          <w:color w:val="000000" w:themeColor="text1"/>
        </w:rPr>
        <w:t xml:space="preserve">severe controversy regarding the role of mass media between </w:t>
      </w:r>
      <w:r w:rsidR="000A7D40" w:rsidRPr="00476FC9">
        <w:rPr>
          <w:color w:val="000000" w:themeColor="text1"/>
        </w:rPr>
        <w:t>its</w:t>
      </w:r>
      <w:r w:rsidRPr="00476FC9">
        <w:rPr>
          <w:color w:val="000000" w:themeColor="text1"/>
        </w:rPr>
        <w:t xml:space="preserve"> health </w:t>
      </w:r>
      <w:r w:rsidR="00083900" w:rsidRPr="00476FC9">
        <w:rPr>
          <w:color w:val="000000" w:themeColor="text1"/>
        </w:rPr>
        <w:t>promotion</w:t>
      </w:r>
      <w:r w:rsidRPr="00476FC9">
        <w:rPr>
          <w:color w:val="000000" w:themeColor="text1"/>
        </w:rPr>
        <w:t xml:space="preserve"> and worsening functions</w:t>
      </w:r>
      <w:r w:rsidR="00DA0DCD" w:rsidRPr="00476FC9">
        <w:rPr>
          <w:color w:val="000000" w:themeColor="text1"/>
        </w:rPr>
        <w:t xml:space="preserve"> (Wallack, 1989, 1990)</w:t>
      </w:r>
      <w:r w:rsidRPr="00476FC9">
        <w:rPr>
          <w:color w:val="000000" w:themeColor="text1"/>
        </w:rPr>
        <w:t xml:space="preserve">. Proponents believe that mass media can provide the right health information to the right people in the right way at the right time, whereas critics argue that mass media could be a barrier to health education because media institutions are supposed to be driven by profit (Wallack, 1989). </w:t>
      </w:r>
      <w:r w:rsidR="00113E85" w:rsidRPr="00476FC9">
        <w:rPr>
          <w:color w:val="000000" w:themeColor="text1"/>
        </w:rPr>
        <w:t>However, one thing for sure is that</w:t>
      </w:r>
      <w:r w:rsidRPr="00476FC9">
        <w:rPr>
          <w:color w:val="000000" w:themeColor="text1"/>
        </w:rPr>
        <w:t xml:space="preserve"> mass media play an important role in communicating relevant health information to the public</w:t>
      </w:r>
      <w:r w:rsidR="00113E85" w:rsidRPr="00476FC9">
        <w:rPr>
          <w:color w:val="000000" w:themeColor="text1"/>
        </w:rPr>
        <w:t xml:space="preserve">, </w:t>
      </w:r>
      <w:r w:rsidRPr="00476FC9">
        <w:rPr>
          <w:color w:val="000000" w:themeColor="text1"/>
        </w:rPr>
        <w:t xml:space="preserve">by setting </w:t>
      </w:r>
      <w:r w:rsidR="000A7D40" w:rsidRPr="00476FC9">
        <w:rPr>
          <w:color w:val="000000" w:themeColor="text1"/>
        </w:rPr>
        <w:t xml:space="preserve">the </w:t>
      </w:r>
      <w:r w:rsidRPr="00476FC9">
        <w:rPr>
          <w:color w:val="000000" w:themeColor="text1"/>
        </w:rPr>
        <w:t xml:space="preserve">public’s health agenda and contributing to </w:t>
      </w:r>
      <w:r w:rsidRPr="00476FC9">
        <w:rPr>
          <w:color w:val="000000" w:themeColor="text1"/>
        </w:rPr>
        <w:lastRenderedPageBreak/>
        <w:t>preventive and remedial health behaviors (e.g., McGuire, 1984; O’Keefe &amp; Reid-Nash, 1986).</w:t>
      </w:r>
      <w:r w:rsidR="000F1F4B" w:rsidRPr="00476FC9">
        <w:rPr>
          <w:color w:val="000000" w:themeColor="text1"/>
        </w:rPr>
        <w:t xml:space="preserve"> </w:t>
      </w:r>
    </w:p>
    <w:p w:rsidR="005B0EA3" w:rsidRPr="00476FC9" w:rsidRDefault="00113E85" w:rsidP="007D2ACE">
      <w:pPr>
        <w:keepNext w:val="0"/>
        <w:widowControl w:val="0"/>
        <w:kinsoku w:val="0"/>
        <w:overflowPunct w:val="0"/>
        <w:autoSpaceDE w:val="0"/>
        <w:autoSpaceDN w:val="0"/>
        <w:adjustRightInd w:val="0"/>
        <w:snapToGrid w:val="0"/>
        <w:spacing w:before="0" w:after="0"/>
        <w:ind w:firstLine="720"/>
        <w:outlineLvl w:val="9"/>
        <w:rPr>
          <w:rFonts w:cs="Arial"/>
          <w:color w:val="000000" w:themeColor="text1"/>
          <w:szCs w:val="24"/>
        </w:rPr>
      </w:pPr>
      <w:r w:rsidRPr="00476FC9">
        <w:rPr>
          <w:color w:val="000000" w:themeColor="text1"/>
        </w:rPr>
        <w:t>However, despite</w:t>
      </w:r>
      <w:r w:rsidR="00791089" w:rsidRPr="00476FC9">
        <w:rPr>
          <w:color w:val="000000" w:themeColor="text1"/>
        </w:rPr>
        <w:t xml:space="preserve"> the potential contribution of DTCA to public health, the literature has ignored how risk information can be better communicated from the consumer perspective</w:t>
      </w:r>
      <w:r w:rsidR="0091221C" w:rsidRPr="00476FC9">
        <w:rPr>
          <w:color w:val="000000" w:themeColor="text1"/>
        </w:rPr>
        <w:t xml:space="preserve"> (Hoy &amp; Andrews, 2004). Stewart and Martin (2004) note that “regulation of marketing communication should </w:t>
      </w:r>
      <w:r w:rsidR="0005298C" w:rsidRPr="00476FC9">
        <w:rPr>
          <w:color w:val="000000" w:themeColor="text1"/>
        </w:rPr>
        <w:t xml:space="preserve">not </w:t>
      </w:r>
      <w:r w:rsidR="0091221C" w:rsidRPr="00476FC9">
        <w:rPr>
          <w:color w:val="000000" w:themeColor="text1"/>
        </w:rPr>
        <w:t xml:space="preserve">be less consumer centric” (p. 190). Although this idea is not original, the complexity of consumer information processing calls for research that measures consumer response to disclosure information. </w:t>
      </w:r>
      <w:r w:rsidRPr="00476FC9">
        <w:rPr>
          <w:color w:val="000000" w:themeColor="text1"/>
        </w:rPr>
        <w:t xml:space="preserve">Considering </w:t>
      </w:r>
      <w:r w:rsidR="007D6A12" w:rsidRPr="00476FC9">
        <w:rPr>
          <w:color w:val="000000" w:themeColor="text1"/>
        </w:rPr>
        <w:t xml:space="preserve">the findings of the current research, it is clear that </w:t>
      </w:r>
      <w:r w:rsidRPr="00476FC9">
        <w:rPr>
          <w:color w:val="000000" w:themeColor="text1"/>
        </w:rPr>
        <w:t xml:space="preserve">one </w:t>
      </w:r>
      <w:r w:rsidR="007D6A12" w:rsidRPr="00476FC9">
        <w:rPr>
          <w:color w:val="000000" w:themeColor="text1"/>
        </w:rPr>
        <w:t>need</w:t>
      </w:r>
      <w:r w:rsidRPr="00476FC9">
        <w:rPr>
          <w:color w:val="000000" w:themeColor="text1"/>
        </w:rPr>
        <w:t>s</w:t>
      </w:r>
      <w:r w:rsidR="007D6A12" w:rsidRPr="00476FC9">
        <w:rPr>
          <w:color w:val="000000" w:themeColor="text1"/>
        </w:rPr>
        <w:t xml:space="preserve"> to </w:t>
      </w:r>
      <w:r w:rsidR="000A7D40" w:rsidRPr="00476FC9">
        <w:rPr>
          <w:color w:val="000000" w:themeColor="text1"/>
        </w:rPr>
        <w:t>consider</w:t>
      </w:r>
      <w:r w:rsidR="007D6A12" w:rsidRPr="00476FC9">
        <w:rPr>
          <w:color w:val="000000" w:themeColor="text1"/>
        </w:rPr>
        <w:t xml:space="preserve"> how consumers </w:t>
      </w:r>
      <w:r w:rsidRPr="00476FC9">
        <w:rPr>
          <w:color w:val="000000" w:themeColor="text1"/>
        </w:rPr>
        <w:t xml:space="preserve">actually </w:t>
      </w:r>
      <w:r w:rsidR="00A94479" w:rsidRPr="00476FC9">
        <w:rPr>
          <w:color w:val="000000" w:themeColor="text1"/>
        </w:rPr>
        <w:t xml:space="preserve">perceive health risks of the drug and utilize such information </w:t>
      </w:r>
      <w:r w:rsidRPr="00476FC9">
        <w:rPr>
          <w:color w:val="000000" w:themeColor="text1"/>
        </w:rPr>
        <w:t>in their health decision making</w:t>
      </w:r>
      <w:r w:rsidR="007D6A12" w:rsidRPr="00476FC9">
        <w:rPr>
          <w:color w:val="000000" w:themeColor="text1"/>
        </w:rPr>
        <w:t>.</w:t>
      </w:r>
      <w:r w:rsidR="00110426" w:rsidRPr="00476FC9">
        <w:rPr>
          <w:color w:val="000000" w:themeColor="text1"/>
        </w:rPr>
        <w:t xml:space="preserve"> Among various consumer side-factors, the current research especially explored the potential role of DTCA regulatory knowledge as pharmaceutical marketplace </w:t>
      </w:r>
      <w:r w:rsidR="006F7B04" w:rsidRPr="00476FC9">
        <w:rPr>
          <w:color w:val="000000" w:themeColor="text1"/>
        </w:rPr>
        <w:t xml:space="preserve">persuasion </w:t>
      </w:r>
      <w:r w:rsidR="00110426" w:rsidRPr="00476FC9">
        <w:rPr>
          <w:color w:val="000000" w:themeColor="text1"/>
        </w:rPr>
        <w:t xml:space="preserve">knowledge. Organized efforts to improve consumer DTCA regulatory knowledge through various education programs could contribute to public health </w:t>
      </w:r>
      <w:r w:rsidR="006F7B04" w:rsidRPr="00476FC9">
        <w:rPr>
          <w:color w:val="000000" w:themeColor="text1"/>
        </w:rPr>
        <w:t>through c</w:t>
      </w:r>
      <w:r w:rsidR="00110426" w:rsidRPr="00476FC9">
        <w:rPr>
          <w:color w:val="000000" w:themeColor="text1"/>
        </w:rPr>
        <w:t xml:space="preserve">onsumers’ </w:t>
      </w:r>
      <w:r w:rsidR="00222367" w:rsidRPr="00476FC9">
        <w:rPr>
          <w:color w:val="000000" w:themeColor="text1"/>
        </w:rPr>
        <w:t>informed health decision making.</w:t>
      </w:r>
      <w:r w:rsidR="005B0EA3" w:rsidRPr="00476FC9">
        <w:rPr>
          <w:color w:val="000000" w:themeColor="text1"/>
        </w:rPr>
        <w:br w:type="page"/>
      </w:r>
    </w:p>
    <w:p w:rsidR="00FC312C" w:rsidRPr="00476FC9" w:rsidRDefault="00FC312C" w:rsidP="007D2ACE">
      <w:pPr>
        <w:pStyle w:val="Heading1"/>
        <w:rPr>
          <w:color w:val="000000" w:themeColor="text1"/>
        </w:rPr>
      </w:pPr>
      <w:bookmarkStart w:id="64" w:name="_Toc393800695"/>
      <w:r w:rsidRPr="00476FC9">
        <w:rPr>
          <w:color w:val="000000" w:themeColor="text1"/>
        </w:rPr>
        <w:lastRenderedPageBreak/>
        <w:t>CHAPTER 6: LIMITATIONS AND FUTURE RESEARCH RECOMMENDATIONS</w:t>
      </w:r>
      <w:bookmarkEnd w:id="64"/>
    </w:p>
    <w:p w:rsidR="002570A4" w:rsidRPr="00476FC9" w:rsidRDefault="002332DF"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113E85" w:rsidRPr="00476FC9">
        <w:rPr>
          <w:color w:val="000000" w:themeColor="text1"/>
        </w:rPr>
        <w:t xml:space="preserve">As with most studies, </w:t>
      </w:r>
      <w:r w:rsidR="000A7D40" w:rsidRPr="00476FC9">
        <w:rPr>
          <w:color w:val="000000" w:themeColor="text1"/>
        </w:rPr>
        <w:t xml:space="preserve">several important limitations of the study </w:t>
      </w:r>
      <w:r w:rsidR="00915AA9" w:rsidRPr="00476FC9">
        <w:rPr>
          <w:color w:val="000000" w:themeColor="text1"/>
        </w:rPr>
        <w:t xml:space="preserve">and avenues for future research </w:t>
      </w:r>
      <w:r w:rsidR="000A7D40" w:rsidRPr="00476FC9">
        <w:rPr>
          <w:color w:val="000000" w:themeColor="text1"/>
        </w:rPr>
        <w:t xml:space="preserve">warrant mention. </w:t>
      </w:r>
      <w:r w:rsidR="002570A4" w:rsidRPr="00476FC9">
        <w:rPr>
          <w:color w:val="000000" w:themeColor="text1"/>
        </w:rPr>
        <w:t xml:space="preserve">First, although the current research employed a professional online survey company to reach </w:t>
      </w:r>
      <w:r w:rsidR="006A337D" w:rsidRPr="00476FC9">
        <w:rPr>
          <w:color w:val="000000" w:themeColor="text1"/>
        </w:rPr>
        <w:t xml:space="preserve">a </w:t>
      </w:r>
      <w:r w:rsidR="002570A4" w:rsidRPr="00476FC9">
        <w:rPr>
          <w:color w:val="000000" w:themeColor="text1"/>
        </w:rPr>
        <w:t>relatively representative US adult sample, caution should be taken on generalizing the results to other contexts</w:t>
      </w:r>
      <w:r w:rsidR="00C75615" w:rsidRPr="00476FC9">
        <w:rPr>
          <w:color w:val="000000" w:themeColor="text1"/>
        </w:rPr>
        <w:t>,</w:t>
      </w:r>
      <w:r w:rsidR="002570A4" w:rsidRPr="00476FC9">
        <w:rPr>
          <w:color w:val="000000" w:themeColor="text1"/>
        </w:rPr>
        <w:t xml:space="preserve"> because the respondent recruiting method was a convenience sampling in nature. </w:t>
      </w:r>
      <w:r w:rsidR="002A775B" w:rsidRPr="00476FC9">
        <w:rPr>
          <w:color w:val="000000" w:themeColor="text1"/>
        </w:rPr>
        <w:t xml:space="preserve">More often than not, </w:t>
      </w:r>
      <w:r w:rsidR="00C75615" w:rsidRPr="00476FC9">
        <w:rPr>
          <w:color w:val="000000" w:themeColor="text1"/>
        </w:rPr>
        <w:t xml:space="preserve">it </w:t>
      </w:r>
      <w:r w:rsidR="002A775B" w:rsidRPr="00476FC9">
        <w:rPr>
          <w:color w:val="000000" w:themeColor="text1"/>
        </w:rPr>
        <w:t xml:space="preserve">is </w:t>
      </w:r>
      <w:r w:rsidR="00C75615" w:rsidRPr="00476FC9">
        <w:rPr>
          <w:color w:val="000000" w:themeColor="text1"/>
        </w:rPr>
        <w:t xml:space="preserve">not easy </w:t>
      </w:r>
      <w:r w:rsidR="00A16B55" w:rsidRPr="00476FC9">
        <w:rPr>
          <w:color w:val="000000" w:themeColor="text1"/>
        </w:rPr>
        <w:t xml:space="preserve">for researchers </w:t>
      </w:r>
      <w:r w:rsidR="00C75615" w:rsidRPr="00476FC9">
        <w:rPr>
          <w:color w:val="000000" w:themeColor="text1"/>
        </w:rPr>
        <w:t xml:space="preserve">to reach a fully US representative adult sample due to the </w:t>
      </w:r>
      <w:r w:rsidR="002A775B" w:rsidRPr="00476FC9">
        <w:rPr>
          <w:color w:val="000000" w:themeColor="text1"/>
        </w:rPr>
        <w:t xml:space="preserve">limited </w:t>
      </w:r>
      <w:r w:rsidR="00C75615" w:rsidRPr="00476FC9">
        <w:rPr>
          <w:color w:val="000000" w:themeColor="text1"/>
        </w:rPr>
        <w:t xml:space="preserve">time and </w:t>
      </w:r>
      <w:r w:rsidR="002A775B" w:rsidRPr="00476FC9">
        <w:rPr>
          <w:color w:val="000000" w:themeColor="text1"/>
        </w:rPr>
        <w:t>resources</w:t>
      </w:r>
      <w:r w:rsidR="00C75615" w:rsidRPr="00476FC9">
        <w:rPr>
          <w:color w:val="000000" w:themeColor="text1"/>
        </w:rPr>
        <w:t>.</w:t>
      </w:r>
      <w:r w:rsidR="002A775B" w:rsidRPr="00476FC9">
        <w:rPr>
          <w:color w:val="000000" w:themeColor="text1"/>
        </w:rPr>
        <w:t xml:space="preserve"> Nevertheless, o</w:t>
      </w:r>
      <w:r w:rsidR="00C75615" w:rsidRPr="00476FC9">
        <w:rPr>
          <w:color w:val="000000" w:themeColor="text1"/>
        </w:rPr>
        <w:t xml:space="preserve">ne alternative remedy to reduce potential response biases in the data </w:t>
      </w:r>
      <w:r w:rsidR="0043562D" w:rsidRPr="00476FC9">
        <w:rPr>
          <w:color w:val="000000" w:themeColor="text1"/>
        </w:rPr>
        <w:t xml:space="preserve">of this study </w:t>
      </w:r>
      <w:r w:rsidR="00C75615" w:rsidRPr="00476FC9">
        <w:rPr>
          <w:color w:val="000000" w:themeColor="text1"/>
        </w:rPr>
        <w:t>was the utilization of random assignment (</w:t>
      </w:r>
      <w:r w:rsidR="0043562D" w:rsidRPr="00476FC9">
        <w:rPr>
          <w:color w:val="000000" w:themeColor="text1"/>
        </w:rPr>
        <w:t xml:space="preserve">Kerlinger &amp; Lee, 2004; </w:t>
      </w:r>
      <w:r w:rsidR="00C75615" w:rsidRPr="00476FC9">
        <w:rPr>
          <w:color w:val="000000" w:themeColor="text1"/>
        </w:rPr>
        <w:t xml:space="preserve">Shadish </w:t>
      </w:r>
      <w:r w:rsidR="007D2BE8" w:rsidRPr="00476FC9">
        <w:rPr>
          <w:color w:val="000000" w:themeColor="text1"/>
        </w:rPr>
        <w:t>et al</w:t>
      </w:r>
      <w:r w:rsidR="00C75615" w:rsidRPr="00476FC9">
        <w:rPr>
          <w:color w:val="000000" w:themeColor="text1"/>
        </w:rPr>
        <w:t>, 2002; Wimmer &amp; Dominick, 2006). The survey software, Qualtrics, allowed the researcher to randomly assign respondents to each treatment condition. Further, to counterbalance any order effects in multiple choice questions, the researcher also randomized choice presentation orders</w:t>
      </w:r>
      <w:r w:rsidR="007D2BE8" w:rsidRPr="00476FC9">
        <w:rPr>
          <w:color w:val="000000" w:themeColor="text1"/>
        </w:rPr>
        <w:t xml:space="preserve"> for major dependent variables (e.g., recognition)</w:t>
      </w:r>
      <w:r w:rsidR="00C75615" w:rsidRPr="00476FC9">
        <w:rPr>
          <w:color w:val="000000" w:themeColor="text1"/>
        </w:rPr>
        <w:t xml:space="preserve">. However, future research needs to examine various contexts and </w:t>
      </w:r>
      <w:r w:rsidR="007D2BE8" w:rsidRPr="00476FC9">
        <w:rPr>
          <w:color w:val="000000" w:themeColor="text1"/>
        </w:rPr>
        <w:t xml:space="preserve">utilize more representative </w:t>
      </w:r>
      <w:r w:rsidR="003965A9" w:rsidRPr="00476FC9">
        <w:rPr>
          <w:color w:val="000000" w:themeColor="text1"/>
        </w:rPr>
        <w:t>populations</w:t>
      </w:r>
      <w:r w:rsidR="00C75615" w:rsidRPr="00476FC9">
        <w:rPr>
          <w:color w:val="000000" w:themeColor="text1"/>
        </w:rPr>
        <w:t xml:space="preserve"> to replicate and extend the current research findings. </w:t>
      </w:r>
    </w:p>
    <w:p w:rsidR="007D2BE8" w:rsidRPr="00476FC9" w:rsidRDefault="00C75615"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Second</w:t>
      </w:r>
      <w:r w:rsidR="002570A4" w:rsidRPr="00476FC9">
        <w:rPr>
          <w:color w:val="000000" w:themeColor="text1"/>
        </w:rPr>
        <w:t>, when applying</w:t>
      </w:r>
      <w:r w:rsidRPr="00476FC9">
        <w:rPr>
          <w:color w:val="000000" w:themeColor="text1"/>
        </w:rPr>
        <w:t xml:space="preserve"> the findings of this research</w:t>
      </w:r>
      <w:r w:rsidR="002570A4" w:rsidRPr="00476FC9">
        <w:rPr>
          <w:color w:val="000000" w:themeColor="text1"/>
        </w:rPr>
        <w:t xml:space="preserve"> to other cultural contexts, careful considerations should be exerted. Currently, DTCA is allowed in only two countries in the world (</w:t>
      </w:r>
      <w:r w:rsidRPr="00476FC9">
        <w:rPr>
          <w:color w:val="000000" w:themeColor="text1"/>
        </w:rPr>
        <w:t>Royne &amp; Myers, 2008</w:t>
      </w:r>
      <w:r w:rsidR="002570A4" w:rsidRPr="00476FC9">
        <w:rPr>
          <w:color w:val="000000" w:themeColor="text1"/>
        </w:rPr>
        <w:t>)</w:t>
      </w:r>
      <w:r w:rsidR="003965A9" w:rsidRPr="00476FC9">
        <w:rPr>
          <w:color w:val="000000" w:themeColor="text1"/>
        </w:rPr>
        <w:t>: the US and Newzealand</w:t>
      </w:r>
      <w:r w:rsidR="002570A4" w:rsidRPr="00476FC9">
        <w:rPr>
          <w:color w:val="000000" w:themeColor="text1"/>
        </w:rPr>
        <w:t xml:space="preserve">. Although many countries </w:t>
      </w:r>
      <w:r w:rsidRPr="00476FC9">
        <w:rPr>
          <w:color w:val="000000" w:themeColor="text1"/>
        </w:rPr>
        <w:t xml:space="preserve">currently </w:t>
      </w:r>
      <w:r w:rsidR="002570A4" w:rsidRPr="00476FC9">
        <w:rPr>
          <w:color w:val="000000" w:themeColor="text1"/>
        </w:rPr>
        <w:t>consider</w:t>
      </w:r>
      <w:r w:rsidR="000A7D40" w:rsidRPr="00476FC9">
        <w:rPr>
          <w:color w:val="000000" w:themeColor="text1"/>
        </w:rPr>
        <w:t xml:space="preserve"> </w:t>
      </w:r>
      <w:r w:rsidR="002570A4" w:rsidRPr="00476FC9">
        <w:rPr>
          <w:color w:val="000000" w:themeColor="text1"/>
        </w:rPr>
        <w:t xml:space="preserve">the legalization of the </w:t>
      </w:r>
      <w:r w:rsidR="003965A9" w:rsidRPr="00476FC9">
        <w:rPr>
          <w:color w:val="000000" w:themeColor="text1"/>
        </w:rPr>
        <w:t>DTCA</w:t>
      </w:r>
      <w:r w:rsidR="002570A4" w:rsidRPr="00476FC9">
        <w:rPr>
          <w:color w:val="000000" w:themeColor="text1"/>
        </w:rPr>
        <w:t xml:space="preserve"> practice</w:t>
      </w:r>
      <w:r w:rsidR="007D2BE8" w:rsidRPr="00476FC9">
        <w:rPr>
          <w:color w:val="000000" w:themeColor="text1"/>
        </w:rPr>
        <w:t xml:space="preserve"> (e.g., South Korea)</w:t>
      </w:r>
      <w:r w:rsidR="002570A4" w:rsidRPr="00476FC9">
        <w:rPr>
          <w:color w:val="000000" w:themeColor="text1"/>
        </w:rPr>
        <w:t xml:space="preserve">, </w:t>
      </w:r>
      <w:r w:rsidR="000A7D40" w:rsidRPr="00476FC9">
        <w:rPr>
          <w:color w:val="000000" w:themeColor="text1"/>
        </w:rPr>
        <w:t xml:space="preserve">most DTCA studies </w:t>
      </w:r>
      <w:r w:rsidR="007D2BE8" w:rsidRPr="00476FC9">
        <w:rPr>
          <w:color w:val="000000" w:themeColor="text1"/>
        </w:rPr>
        <w:t xml:space="preserve">have been conducted exclusively in the </w:t>
      </w:r>
      <w:r w:rsidR="002570A4" w:rsidRPr="00476FC9">
        <w:rPr>
          <w:color w:val="000000" w:themeColor="text1"/>
        </w:rPr>
        <w:t xml:space="preserve">US and Newzealand </w:t>
      </w:r>
      <w:r w:rsidRPr="00476FC9">
        <w:rPr>
          <w:color w:val="000000" w:themeColor="text1"/>
        </w:rPr>
        <w:t xml:space="preserve">contexts. </w:t>
      </w:r>
      <w:r w:rsidR="002226A0" w:rsidRPr="00476FC9">
        <w:rPr>
          <w:color w:val="000000" w:themeColor="text1"/>
        </w:rPr>
        <w:t>In this regard,</w:t>
      </w:r>
      <w:r w:rsidR="003965A9" w:rsidRPr="00476FC9">
        <w:rPr>
          <w:color w:val="000000" w:themeColor="text1"/>
        </w:rPr>
        <w:t xml:space="preserve"> the</w:t>
      </w:r>
      <w:r w:rsidRPr="00476FC9">
        <w:rPr>
          <w:color w:val="000000" w:themeColor="text1"/>
        </w:rPr>
        <w:t xml:space="preserve"> interpretation of the current research findings should be limited to the US context because the </w:t>
      </w:r>
      <w:r w:rsidR="003965A9" w:rsidRPr="00476FC9">
        <w:rPr>
          <w:color w:val="000000" w:themeColor="text1"/>
        </w:rPr>
        <w:t xml:space="preserve">regulatory environment and research participants were </w:t>
      </w:r>
      <w:r w:rsidRPr="00476FC9">
        <w:rPr>
          <w:color w:val="000000" w:themeColor="text1"/>
        </w:rPr>
        <w:t>based on the US context.</w:t>
      </w:r>
      <w:r w:rsidR="00BA0A30" w:rsidRPr="00476FC9">
        <w:rPr>
          <w:color w:val="000000" w:themeColor="text1"/>
        </w:rPr>
        <w:t xml:space="preserve"> </w:t>
      </w:r>
    </w:p>
    <w:p w:rsidR="002570A4" w:rsidRPr="00476FC9" w:rsidRDefault="00BA0A30"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However, a</w:t>
      </w:r>
      <w:r w:rsidR="002570A4" w:rsidRPr="00476FC9">
        <w:rPr>
          <w:color w:val="000000" w:themeColor="text1"/>
        </w:rPr>
        <w:t xml:space="preserve"> promising future research avenue could </w:t>
      </w:r>
      <w:r w:rsidR="002226A0" w:rsidRPr="00476FC9">
        <w:rPr>
          <w:color w:val="000000" w:themeColor="text1"/>
        </w:rPr>
        <w:t>address</w:t>
      </w:r>
      <w:r w:rsidR="002570A4" w:rsidRPr="00476FC9">
        <w:rPr>
          <w:color w:val="000000" w:themeColor="text1"/>
        </w:rPr>
        <w:t xml:space="preserve"> different consumer </w:t>
      </w:r>
      <w:r w:rsidR="002570A4" w:rsidRPr="00476FC9">
        <w:rPr>
          <w:color w:val="000000" w:themeColor="text1"/>
        </w:rPr>
        <w:lastRenderedPageBreak/>
        <w:t>information processing mechanism</w:t>
      </w:r>
      <w:r w:rsidRPr="00476FC9">
        <w:rPr>
          <w:color w:val="000000" w:themeColor="text1"/>
        </w:rPr>
        <w:t>s</w:t>
      </w:r>
      <w:r w:rsidR="002570A4" w:rsidRPr="00476FC9">
        <w:rPr>
          <w:color w:val="000000" w:themeColor="text1"/>
        </w:rPr>
        <w:t xml:space="preserve"> across different </w:t>
      </w:r>
      <w:r w:rsidR="007D2BE8" w:rsidRPr="00476FC9">
        <w:rPr>
          <w:color w:val="000000" w:themeColor="text1"/>
        </w:rPr>
        <w:t>cultural contexts</w:t>
      </w:r>
      <w:r w:rsidR="002570A4" w:rsidRPr="00476FC9">
        <w:rPr>
          <w:color w:val="000000" w:themeColor="text1"/>
        </w:rPr>
        <w:t xml:space="preserve">. </w:t>
      </w:r>
      <w:r w:rsidRPr="00476FC9">
        <w:rPr>
          <w:color w:val="000000" w:themeColor="text1"/>
        </w:rPr>
        <w:t>For instance, d</w:t>
      </w:r>
      <w:r w:rsidR="002570A4" w:rsidRPr="00476FC9">
        <w:rPr>
          <w:color w:val="000000" w:themeColor="text1"/>
        </w:rPr>
        <w:t xml:space="preserve">ifferent </w:t>
      </w:r>
      <w:r w:rsidR="00080B3F" w:rsidRPr="00476FC9">
        <w:rPr>
          <w:color w:val="000000" w:themeColor="text1"/>
        </w:rPr>
        <w:t xml:space="preserve">styles of </w:t>
      </w:r>
      <w:r w:rsidR="002570A4" w:rsidRPr="00476FC9">
        <w:rPr>
          <w:color w:val="000000" w:themeColor="text1"/>
        </w:rPr>
        <w:t>risk appraisal or avoidance of uncertainty could influence consumer processing of risk disclosure in DTCA</w:t>
      </w:r>
      <w:r w:rsidR="00080B3F" w:rsidRPr="00476FC9">
        <w:rPr>
          <w:color w:val="000000" w:themeColor="text1"/>
        </w:rPr>
        <w:t xml:space="preserve"> differently</w:t>
      </w:r>
      <w:r w:rsidR="002570A4" w:rsidRPr="00476FC9">
        <w:rPr>
          <w:color w:val="000000" w:themeColor="text1"/>
        </w:rPr>
        <w:t xml:space="preserve">. </w:t>
      </w:r>
      <w:r w:rsidR="00080B3F" w:rsidRPr="00476FC9">
        <w:rPr>
          <w:color w:val="000000" w:themeColor="text1"/>
        </w:rPr>
        <w:t>For instance,</w:t>
      </w:r>
      <w:r w:rsidRPr="00476FC9">
        <w:rPr>
          <w:color w:val="000000" w:themeColor="text1"/>
        </w:rPr>
        <w:t xml:space="preserve"> i</w:t>
      </w:r>
      <w:r w:rsidR="002570A4" w:rsidRPr="00476FC9">
        <w:rPr>
          <w:color w:val="000000" w:themeColor="text1"/>
        </w:rPr>
        <w:t xml:space="preserve">t has been well </w:t>
      </w:r>
      <w:r w:rsidRPr="00476FC9">
        <w:rPr>
          <w:color w:val="000000" w:themeColor="text1"/>
        </w:rPr>
        <w:t>documented t</w:t>
      </w:r>
      <w:r w:rsidR="002570A4" w:rsidRPr="00476FC9">
        <w:rPr>
          <w:color w:val="000000" w:themeColor="text1"/>
        </w:rPr>
        <w:t xml:space="preserve">hat collectivistic and individualistic cultures have their </w:t>
      </w:r>
      <w:r w:rsidRPr="00476FC9">
        <w:rPr>
          <w:color w:val="000000" w:themeColor="text1"/>
        </w:rPr>
        <w:t xml:space="preserve">preferred </w:t>
      </w:r>
      <w:r w:rsidR="002570A4" w:rsidRPr="00476FC9">
        <w:rPr>
          <w:color w:val="000000" w:themeColor="text1"/>
        </w:rPr>
        <w:t>regulatory orientation. Collectivists are more likely to be prevention-focused and individualists are more likely to be promotion-focused (Lee</w:t>
      </w:r>
      <w:r w:rsidR="00083900" w:rsidRPr="00476FC9">
        <w:rPr>
          <w:color w:val="000000" w:themeColor="text1"/>
        </w:rPr>
        <w:t xml:space="preserve">, Aaker, &amp; Gardner, </w:t>
      </w:r>
      <w:r w:rsidR="002570A4" w:rsidRPr="00476FC9">
        <w:rPr>
          <w:color w:val="000000" w:themeColor="text1"/>
        </w:rPr>
        <w:t xml:space="preserve">2000). This implies that consumers’ receptivity of risk disclosure in DTCA or medical product advertising can be different across </w:t>
      </w:r>
      <w:r w:rsidRPr="00476FC9">
        <w:rPr>
          <w:color w:val="000000" w:themeColor="text1"/>
        </w:rPr>
        <w:t>different cultural schemas</w:t>
      </w:r>
      <w:r w:rsidR="002570A4" w:rsidRPr="00476FC9">
        <w:rPr>
          <w:color w:val="000000" w:themeColor="text1"/>
        </w:rPr>
        <w:t xml:space="preserve">. </w:t>
      </w:r>
      <w:r w:rsidR="003965A9" w:rsidRPr="00476FC9">
        <w:rPr>
          <w:color w:val="000000" w:themeColor="text1"/>
        </w:rPr>
        <w:t xml:space="preserve">In a similar vein, Hoy and Andrews (2004) note that different risk </w:t>
      </w:r>
      <w:r w:rsidR="00080B3F" w:rsidRPr="00476FC9">
        <w:rPr>
          <w:color w:val="000000" w:themeColor="text1"/>
        </w:rPr>
        <w:t>disclosure presentation modalities</w:t>
      </w:r>
      <w:r w:rsidR="003965A9" w:rsidRPr="00476FC9">
        <w:rPr>
          <w:color w:val="000000" w:themeColor="text1"/>
        </w:rPr>
        <w:t xml:space="preserve"> may work in different ways across distinct countries. Further, they suggest that risk disclosure research on cultural differences can contribute to global consumer </w:t>
      </w:r>
      <w:r w:rsidR="00154199" w:rsidRPr="00476FC9">
        <w:rPr>
          <w:color w:val="000000" w:themeColor="text1"/>
        </w:rPr>
        <w:t>interests</w:t>
      </w:r>
      <w:r w:rsidR="003965A9" w:rsidRPr="00476FC9">
        <w:rPr>
          <w:color w:val="000000" w:themeColor="text1"/>
        </w:rPr>
        <w:t xml:space="preserve"> (Hoy &amp; Andrews, 2004). </w:t>
      </w:r>
      <w:r w:rsidR="006A337D" w:rsidRPr="00476FC9">
        <w:rPr>
          <w:color w:val="000000" w:themeColor="text1"/>
        </w:rPr>
        <w:t xml:space="preserve">The current </w:t>
      </w:r>
      <w:r w:rsidR="003965A9" w:rsidRPr="00476FC9">
        <w:rPr>
          <w:color w:val="000000" w:themeColor="text1"/>
        </w:rPr>
        <w:t xml:space="preserve">research adds that such program of research can expand the scope of DTCA risk disclosure research </w:t>
      </w:r>
      <w:r w:rsidR="00154199" w:rsidRPr="00476FC9">
        <w:rPr>
          <w:color w:val="000000" w:themeColor="text1"/>
        </w:rPr>
        <w:t>by</w:t>
      </w:r>
      <w:r w:rsidR="003965A9" w:rsidRPr="00476FC9">
        <w:rPr>
          <w:color w:val="000000" w:themeColor="text1"/>
        </w:rPr>
        <w:t xml:space="preserve"> incorporat</w:t>
      </w:r>
      <w:r w:rsidR="00154199" w:rsidRPr="00476FC9">
        <w:rPr>
          <w:color w:val="000000" w:themeColor="text1"/>
        </w:rPr>
        <w:t xml:space="preserve">ing </w:t>
      </w:r>
      <w:r w:rsidR="003965A9" w:rsidRPr="00476FC9">
        <w:rPr>
          <w:color w:val="000000" w:themeColor="text1"/>
        </w:rPr>
        <w:t xml:space="preserve">global health consumerism perspectives, because health care empowerment is increasingly </w:t>
      </w:r>
      <w:r w:rsidR="00C27AB4" w:rsidRPr="00476FC9">
        <w:rPr>
          <w:color w:val="000000" w:themeColor="text1"/>
        </w:rPr>
        <w:t xml:space="preserve">receiving </w:t>
      </w:r>
      <w:r w:rsidR="00154199" w:rsidRPr="00476FC9">
        <w:rPr>
          <w:color w:val="000000" w:themeColor="text1"/>
        </w:rPr>
        <w:t xml:space="preserve">global </w:t>
      </w:r>
      <w:r w:rsidR="00C27AB4" w:rsidRPr="00476FC9">
        <w:rPr>
          <w:color w:val="000000" w:themeColor="text1"/>
        </w:rPr>
        <w:t>attention.</w:t>
      </w:r>
    </w:p>
    <w:p w:rsidR="00192182" w:rsidRPr="00476FC9" w:rsidRDefault="00C27AB4"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 xml:space="preserve">Third, </w:t>
      </w:r>
      <w:r w:rsidR="00B30FE2" w:rsidRPr="00476FC9">
        <w:rPr>
          <w:color w:val="000000" w:themeColor="text1"/>
        </w:rPr>
        <w:t xml:space="preserve">in terms of </w:t>
      </w:r>
      <w:r w:rsidR="00192182" w:rsidRPr="00476FC9">
        <w:rPr>
          <w:color w:val="000000" w:themeColor="text1"/>
        </w:rPr>
        <w:t>the manipulation of</w:t>
      </w:r>
      <w:r w:rsidR="00B30FE2" w:rsidRPr="00476FC9">
        <w:rPr>
          <w:color w:val="000000" w:themeColor="text1"/>
        </w:rPr>
        <w:t xml:space="preserve"> risk disclosure prominence, there could be various</w:t>
      </w:r>
      <w:r w:rsidR="00192182" w:rsidRPr="00476FC9">
        <w:rPr>
          <w:color w:val="000000" w:themeColor="text1"/>
        </w:rPr>
        <w:t xml:space="preserve"> considerations and alternatives. According to the FDA’s (2009) draft guidance for risk communication in DTCA, this research employed </w:t>
      </w:r>
      <w:r w:rsidR="009A21F5" w:rsidRPr="00476FC9">
        <w:rPr>
          <w:color w:val="000000" w:themeColor="text1"/>
        </w:rPr>
        <w:t>several</w:t>
      </w:r>
      <w:r w:rsidR="00192182" w:rsidRPr="00476FC9">
        <w:rPr>
          <w:color w:val="000000" w:themeColor="text1"/>
        </w:rPr>
        <w:t xml:space="preserve"> widely used message </w:t>
      </w:r>
      <w:r w:rsidR="009A21F5" w:rsidRPr="00476FC9">
        <w:rPr>
          <w:color w:val="000000" w:themeColor="text1"/>
        </w:rPr>
        <w:t xml:space="preserve">execution </w:t>
      </w:r>
      <w:r w:rsidR="00192182" w:rsidRPr="00476FC9">
        <w:rPr>
          <w:color w:val="000000" w:themeColor="text1"/>
        </w:rPr>
        <w:t xml:space="preserve">factors </w:t>
      </w:r>
      <w:r w:rsidR="009A21F5" w:rsidRPr="00476FC9">
        <w:rPr>
          <w:color w:val="000000" w:themeColor="text1"/>
        </w:rPr>
        <w:t xml:space="preserve">to highlight risk disclosure. </w:t>
      </w:r>
      <w:r w:rsidR="00192182" w:rsidRPr="00476FC9">
        <w:rPr>
          <w:color w:val="000000" w:themeColor="text1"/>
        </w:rPr>
        <w:t xml:space="preserve">However, risk disclosure prominence can be conceptualized </w:t>
      </w:r>
      <w:r w:rsidR="00BA0A30" w:rsidRPr="00476FC9">
        <w:rPr>
          <w:color w:val="000000" w:themeColor="text1"/>
        </w:rPr>
        <w:t xml:space="preserve">and operationalized </w:t>
      </w:r>
      <w:r w:rsidR="00192182" w:rsidRPr="00476FC9">
        <w:rPr>
          <w:color w:val="000000" w:themeColor="text1"/>
        </w:rPr>
        <w:t xml:space="preserve">in many ways. </w:t>
      </w:r>
      <w:r w:rsidR="002570A4" w:rsidRPr="00476FC9">
        <w:rPr>
          <w:color w:val="000000" w:themeColor="text1"/>
        </w:rPr>
        <w:t xml:space="preserve">More often than not, </w:t>
      </w:r>
      <w:r w:rsidR="000A7D40" w:rsidRPr="00476FC9">
        <w:rPr>
          <w:color w:val="000000" w:themeColor="text1"/>
        </w:rPr>
        <w:t xml:space="preserve">the concept of </w:t>
      </w:r>
      <w:r w:rsidR="002570A4" w:rsidRPr="00476FC9">
        <w:rPr>
          <w:i/>
          <w:color w:val="000000" w:themeColor="text1"/>
        </w:rPr>
        <w:t>fair balance</w:t>
      </w:r>
      <w:r w:rsidR="002570A4" w:rsidRPr="00476FC9">
        <w:rPr>
          <w:color w:val="000000" w:themeColor="text1"/>
        </w:rPr>
        <w:t xml:space="preserve"> is defined in terms of the relative amount of benefit and risk information (Huh &amp; Cude, 2004; Sheehan, 2007; Macias et al., 2007). Some studies define prominence in terms of relative placement and modality of risk information (Davis, 2010). Typographical devices </w:t>
      </w:r>
      <w:r w:rsidR="00BB27C7" w:rsidRPr="00476FC9">
        <w:rPr>
          <w:color w:val="000000" w:themeColor="text1"/>
        </w:rPr>
        <w:t xml:space="preserve">such as box-warnings </w:t>
      </w:r>
      <w:r w:rsidR="002570A4" w:rsidRPr="00476FC9">
        <w:rPr>
          <w:color w:val="000000" w:themeColor="text1"/>
        </w:rPr>
        <w:t xml:space="preserve">are also utilized for </w:t>
      </w:r>
      <w:r w:rsidR="00BB27C7" w:rsidRPr="00476FC9">
        <w:rPr>
          <w:color w:val="000000" w:themeColor="text1"/>
        </w:rPr>
        <w:t>operationalizing</w:t>
      </w:r>
      <w:r w:rsidR="00080B3F" w:rsidRPr="00476FC9">
        <w:rPr>
          <w:color w:val="000000" w:themeColor="text1"/>
        </w:rPr>
        <w:t xml:space="preserve"> </w:t>
      </w:r>
      <w:r w:rsidR="002570A4" w:rsidRPr="00476FC9">
        <w:rPr>
          <w:color w:val="000000" w:themeColor="text1"/>
        </w:rPr>
        <w:t xml:space="preserve">prominence (Kees, Bone, Kozup, &amp; Ellen, 2008). However, in this </w:t>
      </w:r>
      <w:r w:rsidR="002570A4" w:rsidRPr="00476FC9">
        <w:rPr>
          <w:color w:val="000000" w:themeColor="text1"/>
        </w:rPr>
        <w:lastRenderedPageBreak/>
        <w:t>research</w:t>
      </w:r>
      <w:r w:rsidR="009A21F5" w:rsidRPr="00476FC9">
        <w:rPr>
          <w:color w:val="000000" w:themeColor="text1"/>
        </w:rPr>
        <w:t>,</w:t>
      </w:r>
      <w:r w:rsidR="002570A4" w:rsidRPr="00476FC9">
        <w:rPr>
          <w:color w:val="000000" w:themeColor="text1"/>
        </w:rPr>
        <w:t xml:space="preserve"> to reflect the FDA’s </w:t>
      </w:r>
      <w:r w:rsidR="00BA0A30" w:rsidRPr="00476FC9">
        <w:rPr>
          <w:color w:val="000000" w:themeColor="text1"/>
        </w:rPr>
        <w:t xml:space="preserve">(2009) </w:t>
      </w:r>
      <w:r w:rsidR="002570A4" w:rsidRPr="00476FC9">
        <w:rPr>
          <w:color w:val="000000" w:themeColor="text1"/>
        </w:rPr>
        <w:t>current though</w:t>
      </w:r>
      <w:r w:rsidR="00BA0A30" w:rsidRPr="00476FC9">
        <w:rPr>
          <w:color w:val="000000" w:themeColor="text1"/>
        </w:rPr>
        <w:t>t</w:t>
      </w:r>
      <w:r w:rsidR="002570A4" w:rsidRPr="00476FC9">
        <w:rPr>
          <w:color w:val="000000" w:themeColor="text1"/>
        </w:rPr>
        <w:t xml:space="preserve"> on fair balance</w:t>
      </w:r>
      <w:r w:rsidR="00BA0A30" w:rsidRPr="00476FC9">
        <w:rPr>
          <w:color w:val="000000" w:themeColor="text1"/>
        </w:rPr>
        <w:t xml:space="preserve"> in DTCA</w:t>
      </w:r>
      <w:r w:rsidR="002570A4" w:rsidRPr="00476FC9">
        <w:rPr>
          <w:color w:val="000000" w:themeColor="text1"/>
        </w:rPr>
        <w:t xml:space="preserve">, several message factors were utilized simultaneously to </w:t>
      </w:r>
      <w:r w:rsidR="00BB27C7" w:rsidRPr="00476FC9">
        <w:rPr>
          <w:color w:val="000000" w:themeColor="text1"/>
        </w:rPr>
        <w:t>probe</w:t>
      </w:r>
      <w:r w:rsidR="002570A4" w:rsidRPr="00476FC9">
        <w:rPr>
          <w:color w:val="000000" w:themeColor="text1"/>
        </w:rPr>
        <w:t xml:space="preserve"> consumers’ </w:t>
      </w:r>
      <w:r w:rsidR="002570A4" w:rsidRPr="00476FC9">
        <w:rPr>
          <w:i/>
          <w:color w:val="000000" w:themeColor="text1"/>
        </w:rPr>
        <w:t>net impression</w:t>
      </w:r>
      <w:r w:rsidR="002570A4" w:rsidRPr="00476FC9">
        <w:rPr>
          <w:color w:val="000000" w:themeColor="text1"/>
        </w:rPr>
        <w:t xml:space="preserve"> other than their reactions to particular aspects of the ad.</w:t>
      </w:r>
      <w:r w:rsidR="00BB27C7" w:rsidRPr="00476FC9">
        <w:rPr>
          <w:color w:val="000000" w:themeColor="text1"/>
        </w:rPr>
        <w:t xml:space="preserve"> F</w:t>
      </w:r>
      <w:r w:rsidR="002570A4" w:rsidRPr="00476FC9">
        <w:rPr>
          <w:color w:val="000000" w:themeColor="text1"/>
        </w:rPr>
        <w:t>uture research can examine risk disclosure prominence though different conceptualization</w:t>
      </w:r>
      <w:r w:rsidR="00BA0A30" w:rsidRPr="00476FC9">
        <w:rPr>
          <w:color w:val="000000" w:themeColor="text1"/>
        </w:rPr>
        <w:t>s</w:t>
      </w:r>
      <w:r w:rsidR="002570A4" w:rsidRPr="00476FC9">
        <w:rPr>
          <w:color w:val="000000" w:themeColor="text1"/>
        </w:rPr>
        <w:t xml:space="preserve"> and operationalization</w:t>
      </w:r>
      <w:r w:rsidR="00BA0A30" w:rsidRPr="00476FC9">
        <w:rPr>
          <w:color w:val="000000" w:themeColor="text1"/>
        </w:rPr>
        <w:t>s</w:t>
      </w:r>
      <w:r w:rsidR="002570A4" w:rsidRPr="00476FC9">
        <w:rPr>
          <w:color w:val="000000" w:themeColor="text1"/>
        </w:rPr>
        <w:t>.</w:t>
      </w:r>
    </w:p>
    <w:p w:rsidR="002570A4" w:rsidRPr="00476FC9" w:rsidRDefault="003D4A96"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6B4770" w:rsidRPr="00476FC9">
        <w:rPr>
          <w:color w:val="000000" w:themeColor="text1"/>
        </w:rPr>
        <w:t>Fourth</w:t>
      </w:r>
      <w:r w:rsidR="002570A4" w:rsidRPr="00476FC9">
        <w:rPr>
          <w:color w:val="000000" w:themeColor="text1"/>
        </w:rPr>
        <w:t xml:space="preserve">, </w:t>
      </w:r>
      <w:r w:rsidR="0095015A" w:rsidRPr="00476FC9">
        <w:rPr>
          <w:color w:val="000000" w:themeColor="text1"/>
        </w:rPr>
        <w:t xml:space="preserve">this research did not pay </w:t>
      </w:r>
      <w:r w:rsidR="009A21F5" w:rsidRPr="00476FC9">
        <w:rPr>
          <w:color w:val="000000" w:themeColor="text1"/>
        </w:rPr>
        <w:t xml:space="preserve">much </w:t>
      </w:r>
      <w:r w:rsidR="0095015A" w:rsidRPr="00476FC9">
        <w:rPr>
          <w:color w:val="000000" w:themeColor="text1"/>
        </w:rPr>
        <w:t>attention to the interactive roles of benefit and risk information on consumer response to the ad</w:t>
      </w:r>
      <w:r w:rsidR="009A21F5" w:rsidRPr="00476FC9">
        <w:rPr>
          <w:color w:val="000000" w:themeColor="text1"/>
        </w:rPr>
        <w:t>,</w:t>
      </w:r>
      <w:r w:rsidR="0095015A" w:rsidRPr="00476FC9">
        <w:rPr>
          <w:color w:val="000000" w:themeColor="text1"/>
        </w:rPr>
        <w:t xml:space="preserve"> because the focus of research was on risk disclosure prominence. However, an additional analysis revealed that despite the exactly equivalent </w:t>
      </w:r>
      <w:r w:rsidR="002570A4" w:rsidRPr="00476FC9">
        <w:rPr>
          <w:color w:val="000000" w:themeColor="text1"/>
        </w:rPr>
        <w:t xml:space="preserve">content and format for the uses of the drug </w:t>
      </w:r>
      <w:r w:rsidR="0095015A" w:rsidRPr="00476FC9">
        <w:rPr>
          <w:color w:val="000000" w:themeColor="text1"/>
        </w:rPr>
        <w:t>across different test ads</w:t>
      </w:r>
      <w:r w:rsidR="002570A4" w:rsidRPr="00476FC9">
        <w:rPr>
          <w:color w:val="000000" w:themeColor="text1"/>
        </w:rPr>
        <w:t xml:space="preserve">, </w:t>
      </w:r>
      <w:r w:rsidR="0095015A" w:rsidRPr="00476FC9">
        <w:rPr>
          <w:color w:val="000000" w:themeColor="text1"/>
        </w:rPr>
        <w:t xml:space="preserve">the perceived prominence of </w:t>
      </w:r>
      <w:r w:rsidR="002570A4" w:rsidRPr="00476FC9">
        <w:rPr>
          <w:color w:val="000000" w:themeColor="text1"/>
        </w:rPr>
        <w:t xml:space="preserve">the uses of the drug </w:t>
      </w:r>
      <w:r w:rsidR="00EB7802" w:rsidRPr="00476FC9">
        <w:rPr>
          <w:color w:val="000000" w:themeColor="text1"/>
        </w:rPr>
        <w:t xml:space="preserve">(as a confounding check) </w:t>
      </w:r>
      <w:r w:rsidR="002570A4" w:rsidRPr="00476FC9">
        <w:rPr>
          <w:color w:val="000000" w:themeColor="text1"/>
        </w:rPr>
        <w:t>was</w:t>
      </w:r>
      <w:r w:rsidR="009A21F5" w:rsidRPr="00476FC9">
        <w:rPr>
          <w:color w:val="000000" w:themeColor="text1"/>
        </w:rPr>
        <w:t xml:space="preserve"> slightly</w:t>
      </w:r>
      <w:r w:rsidR="002570A4" w:rsidRPr="00476FC9">
        <w:rPr>
          <w:color w:val="000000" w:themeColor="text1"/>
        </w:rPr>
        <w:t xml:space="preserve"> different</w:t>
      </w:r>
      <w:r w:rsidR="005A1E68" w:rsidRPr="00476FC9">
        <w:rPr>
          <w:color w:val="000000" w:themeColor="text1"/>
        </w:rPr>
        <w:t xml:space="preserve">, depending on varying </w:t>
      </w:r>
      <w:r w:rsidR="009A21F5" w:rsidRPr="00476FC9">
        <w:rPr>
          <w:color w:val="000000" w:themeColor="text1"/>
        </w:rPr>
        <w:t xml:space="preserve">risk disclosure </w:t>
      </w:r>
      <w:r w:rsidR="005A1E68" w:rsidRPr="00476FC9">
        <w:rPr>
          <w:color w:val="000000" w:themeColor="text1"/>
        </w:rPr>
        <w:t>prominence levels</w:t>
      </w:r>
      <w:r w:rsidR="002570A4" w:rsidRPr="00476FC9">
        <w:rPr>
          <w:color w:val="000000" w:themeColor="text1"/>
        </w:rPr>
        <w:t xml:space="preserve">. </w:t>
      </w:r>
      <w:r w:rsidR="0095015A" w:rsidRPr="00476FC9">
        <w:rPr>
          <w:color w:val="000000" w:themeColor="text1"/>
        </w:rPr>
        <w:t xml:space="preserve">One </w:t>
      </w:r>
      <w:r w:rsidR="001071F3" w:rsidRPr="00476FC9">
        <w:rPr>
          <w:color w:val="000000" w:themeColor="text1"/>
        </w:rPr>
        <w:t xml:space="preserve">intriguing </w:t>
      </w:r>
      <w:r w:rsidR="0095015A" w:rsidRPr="00476FC9">
        <w:rPr>
          <w:color w:val="000000" w:themeColor="text1"/>
        </w:rPr>
        <w:t xml:space="preserve">speculation would be that consumer perception could </w:t>
      </w:r>
      <w:r w:rsidR="00154199" w:rsidRPr="00476FC9">
        <w:rPr>
          <w:color w:val="000000" w:themeColor="text1"/>
        </w:rPr>
        <w:t xml:space="preserve">be affected by </w:t>
      </w:r>
      <w:r w:rsidR="0095015A" w:rsidRPr="00476FC9">
        <w:rPr>
          <w:color w:val="000000" w:themeColor="text1"/>
        </w:rPr>
        <w:t xml:space="preserve">the interactive </w:t>
      </w:r>
      <w:r w:rsidR="00EB7802" w:rsidRPr="00476FC9">
        <w:rPr>
          <w:color w:val="000000" w:themeColor="text1"/>
        </w:rPr>
        <w:t>influence</w:t>
      </w:r>
      <w:r w:rsidR="0095015A" w:rsidRPr="00476FC9">
        <w:rPr>
          <w:color w:val="000000" w:themeColor="text1"/>
        </w:rPr>
        <w:t xml:space="preserve"> </w:t>
      </w:r>
      <w:r w:rsidR="00154199" w:rsidRPr="00476FC9">
        <w:rPr>
          <w:color w:val="000000" w:themeColor="text1"/>
        </w:rPr>
        <w:t>of</w:t>
      </w:r>
      <w:r w:rsidR="0095015A" w:rsidRPr="00476FC9">
        <w:rPr>
          <w:color w:val="000000" w:themeColor="text1"/>
        </w:rPr>
        <w:t xml:space="preserve"> benefit and risk information. </w:t>
      </w:r>
      <w:r w:rsidR="001071F3" w:rsidRPr="00476FC9">
        <w:rPr>
          <w:color w:val="000000" w:themeColor="text1"/>
        </w:rPr>
        <w:t xml:space="preserve">In the additional analysis, the researcher found that as risk disclosure prominence increased, perceived prominence of drug use information decreased, though it was not statistically significant. </w:t>
      </w:r>
      <w:r w:rsidR="0095015A" w:rsidRPr="00476FC9">
        <w:rPr>
          <w:color w:val="000000" w:themeColor="text1"/>
        </w:rPr>
        <w:t>On</w:t>
      </w:r>
      <w:r w:rsidR="002570A4" w:rsidRPr="00476FC9">
        <w:rPr>
          <w:color w:val="000000" w:themeColor="text1"/>
        </w:rPr>
        <w:t xml:space="preserve">e </w:t>
      </w:r>
      <w:r w:rsidR="0095015A" w:rsidRPr="00476FC9">
        <w:rPr>
          <w:color w:val="000000" w:themeColor="text1"/>
        </w:rPr>
        <w:t xml:space="preserve">future research </w:t>
      </w:r>
      <w:r w:rsidR="001071F3" w:rsidRPr="00476FC9">
        <w:rPr>
          <w:color w:val="000000" w:themeColor="text1"/>
        </w:rPr>
        <w:t>avenue</w:t>
      </w:r>
      <w:r w:rsidR="002570A4" w:rsidRPr="00476FC9">
        <w:rPr>
          <w:color w:val="000000" w:themeColor="text1"/>
        </w:rPr>
        <w:t xml:space="preserve"> </w:t>
      </w:r>
      <w:r w:rsidR="0095015A" w:rsidRPr="00476FC9">
        <w:rPr>
          <w:color w:val="000000" w:themeColor="text1"/>
        </w:rPr>
        <w:t xml:space="preserve">will be examining </w:t>
      </w:r>
      <w:r w:rsidR="002570A4" w:rsidRPr="00476FC9">
        <w:rPr>
          <w:color w:val="000000" w:themeColor="text1"/>
        </w:rPr>
        <w:t xml:space="preserve">the interactive effects of benefit and risk information presentation formats on consumers’ perception. </w:t>
      </w:r>
      <w:r w:rsidR="001071F3" w:rsidRPr="00476FC9">
        <w:rPr>
          <w:color w:val="000000" w:themeColor="text1"/>
        </w:rPr>
        <w:t>In line with this, t</w:t>
      </w:r>
      <w:r w:rsidR="002570A4" w:rsidRPr="00476FC9">
        <w:rPr>
          <w:color w:val="000000" w:themeColor="text1"/>
        </w:rPr>
        <w:t xml:space="preserve">he FDA (2009) is concerned about overall </w:t>
      </w:r>
      <w:r w:rsidR="002570A4" w:rsidRPr="00476FC9">
        <w:rPr>
          <w:i/>
          <w:color w:val="000000" w:themeColor="text1"/>
        </w:rPr>
        <w:t>impression</w:t>
      </w:r>
      <w:r w:rsidR="002570A4" w:rsidRPr="00476FC9">
        <w:rPr>
          <w:color w:val="000000" w:themeColor="text1"/>
        </w:rPr>
        <w:t xml:space="preserve">. However, what is lacking in the FDA’s guidance for risk communication is the recognition that </w:t>
      </w:r>
      <w:r w:rsidR="00EB7802" w:rsidRPr="00476FC9">
        <w:rPr>
          <w:color w:val="000000" w:themeColor="text1"/>
        </w:rPr>
        <w:t>surface-level</w:t>
      </w:r>
      <w:r w:rsidR="002570A4" w:rsidRPr="00476FC9">
        <w:rPr>
          <w:color w:val="000000" w:themeColor="text1"/>
        </w:rPr>
        <w:t xml:space="preserve"> fair balance cannot </w:t>
      </w:r>
      <w:r w:rsidR="0095015A" w:rsidRPr="00476FC9">
        <w:rPr>
          <w:color w:val="000000" w:themeColor="text1"/>
        </w:rPr>
        <w:t xml:space="preserve">secure </w:t>
      </w:r>
      <w:r w:rsidR="002570A4" w:rsidRPr="00476FC9">
        <w:rPr>
          <w:color w:val="000000" w:themeColor="text1"/>
        </w:rPr>
        <w:t xml:space="preserve">intended </w:t>
      </w:r>
      <w:r w:rsidR="001071F3" w:rsidRPr="00476FC9">
        <w:rPr>
          <w:color w:val="000000" w:themeColor="text1"/>
        </w:rPr>
        <w:t xml:space="preserve">risk disclosure </w:t>
      </w:r>
      <w:r w:rsidR="0095015A" w:rsidRPr="00476FC9">
        <w:rPr>
          <w:color w:val="000000" w:themeColor="text1"/>
        </w:rPr>
        <w:t>outcome</w:t>
      </w:r>
      <w:r w:rsidR="001071F3" w:rsidRPr="00476FC9">
        <w:rPr>
          <w:color w:val="000000" w:themeColor="text1"/>
        </w:rPr>
        <w:t>s</w:t>
      </w:r>
      <w:r w:rsidR="002570A4" w:rsidRPr="00476FC9">
        <w:rPr>
          <w:color w:val="000000" w:themeColor="text1"/>
        </w:rPr>
        <w:t xml:space="preserve">. </w:t>
      </w:r>
      <w:r w:rsidR="0095015A" w:rsidRPr="00476FC9">
        <w:rPr>
          <w:color w:val="000000" w:themeColor="text1"/>
        </w:rPr>
        <w:t xml:space="preserve">Consumer perception will be largely context-driven. A program of research on this </w:t>
      </w:r>
      <w:r w:rsidR="009728B5" w:rsidRPr="00476FC9">
        <w:rPr>
          <w:color w:val="000000" w:themeColor="text1"/>
        </w:rPr>
        <w:t xml:space="preserve">research </w:t>
      </w:r>
      <w:r w:rsidR="00CE341B" w:rsidRPr="00476FC9">
        <w:rPr>
          <w:color w:val="000000" w:themeColor="text1"/>
        </w:rPr>
        <w:t xml:space="preserve">inquiry </w:t>
      </w:r>
      <w:r w:rsidR="009728B5" w:rsidRPr="00476FC9">
        <w:rPr>
          <w:color w:val="000000" w:themeColor="text1"/>
        </w:rPr>
        <w:t>is warranted.</w:t>
      </w:r>
    </w:p>
    <w:p w:rsidR="00D60A70" w:rsidRPr="00476FC9" w:rsidRDefault="006B4770"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Fifth</w:t>
      </w:r>
      <w:r w:rsidR="005A1E68" w:rsidRPr="00476FC9">
        <w:rPr>
          <w:color w:val="000000" w:themeColor="text1"/>
        </w:rPr>
        <w:t xml:space="preserve">, </w:t>
      </w:r>
      <w:r w:rsidR="009728B5" w:rsidRPr="00476FC9">
        <w:rPr>
          <w:color w:val="000000" w:themeColor="text1"/>
        </w:rPr>
        <w:t>the present</w:t>
      </w:r>
      <w:r w:rsidR="00D60A70" w:rsidRPr="00476FC9">
        <w:rPr>
          <w:color w:val="000000" w:themeColor="text1"/>
        </w:rPr>
        <w:t xml:space="preserve"> research did not address the content </w:t>
      </w:r>
      <w:r w:rsidR="009728B5" w:rsidRPr="00476FC9">
        <w:rPr>
          <w:color w:val="000000" w:themeColor="text1"/>
        </w:rPr>
        <w:t>effects</w:t>
      </w:r>
      <w:r w:rsidR="00D60A70" w:rsidRPr="00476FC9">
        <w:rPr>
          <w:color w:val="000000" w:themeColor="text1"/>
        </w:rPr>
        <w:t>. However, the content of risk disclosure</w:t>
      </w:r>
      <w:r w:rsidR="0019708A" w:rsidRPr="00476FC9">
        <w:rPr>
          <w:color w:val="000000" w:themeColor="text1"/>
        </w:rPr>
        <w:t xml:space="preserve"> itself</w:t>
      </w:r>
      <w:r w:rsidR="00D60A70" w:rsidRPr="00476FC9">
        <w:rPr>
          <w:color w:val="000000" w:themeColor="text1"/>
        </w:rPr>
        <w:t xml:space="preserve"> as well as </w:t>
      </w:r>
      <w:r w:rsidR="005A1E68" w:rsidRPr="00476FC9">
        <w:rPr>
          <w:color w:val="000000" w:themeColor="text1"/>
        </w:rPr>
        <w:t>its</w:t>
      </w:r>
      <w:r w:rsidR="00D60A70" w:rsidRPr="00476FC9">
        <w:rPr>
          <w:color w:val="000000" w:themeColor="text1"/>
        </w:rPr>
        <w:t xml:space="preserve"> format can influence consumer response to the ad. It has been known that perceived severity </w:t>
      </w:r>
      <w:r w:rsidR="0019708A" w:rsidRPr="00476FC9">
        <w:rPr>
          <w:color w:val="000000" w:themeColor="text1"/>
        </w:rPr>
        <w:t xml:space="preserve">of health risks </w:t>
      </w:r>
      <w:r w:rsidR="00D60A70" w:rsidRPr="00476FC9">
        <w:rPr>
          <w:color w:val="000000" w:themeColor="text1"/>
        </w:rPr>
        <w:t>affect</w:t>
      </w:r>
      <w:r w:rsidR="005A1E68" w:rsidRPr="00476FC9">
        <w:rPr>
          <w:color w:val="000000" w:themeColor="text1"/>
        </w:rPr>
        <w:t>s</w:t>
      </w:r>
      <w:r w:rsidR="00D60A70" w:rsidRPr="00476FC9">
        <w:rPr>
          <w:color w:val="000000" w:themeColor="text1"/>
        </w:rPr>
        <w:t xml:space="preserve"> consumers’ health behavior (Carpenter, 2010). </w:t>
      </w:r>
      <w:r w:rsidR="00EB2DA9" w:rsidRPr="00476FC9">
        <w:rPr>
          <w:color w:val="000000" w:themeColor="text1"/>
        </w:rPr>
        <w:t>Varying levels of health risk perception</w:t>
      </w:r>
      <w:r w:rsidR="00D60A70" w:rsidRPr="00476FC9">
        <w:rPr>
          <w:color w:val="000000" w:themeColor="text1"/>
        </w:rPr>
        <w:t xml:space="preserve"> can lead to different response to the ad. Given </w:t>
      </w:r>
      <w:r w:rsidR="00D60A70" w:rsidRPr="00476FC9">
        <w:rPr>
          <w:color w:val="000000" w:themeColor="text1"/>
        </w:rPr>
        <w:lastRenderedPageBreak/>
        <w:t>that prescription drug</w:t>
      </w:r>
      <w:r w:rsidR="0019708A" w:rsidRPr="00476FC9">
        <w:rPr>
          <w:color w:val="000000" w:themeColor="text1"/>
        </w:rPr>
        <w:t>s</w:t>
      </w:r>
      <w:r w:rsidR="00D60A70" w:rsidRPr="00476FC9">
        <w:rPr>
          <w:color w:val="000000" w:themeColor="text1"/>
        </w:rPr>
        <w:t xml:space="preserve"> can be purchased only through prescription from health professionals, </w:t>
      </w:r>
      <w:r w:rsidR="007F47C3" w:rsidRPr="00476FC9">
        <w:rPr>
          <w:color w:val="000000" w:themeColor="text1"/>
        </w:rPr>
        <w:t xml:space="preserve">it is implied that </w:t>
      </w:r>
      <w:r w:rsidR="00D60A70" w:rsidRPr="00476FC9">
        <w:rPr>
          <w:color w:val="000000" w:themeColor="text1"/>
        </w:rPr>
        <w:t>prescription drug</w:t>
      </w:r>
      <w:r w:rsidR="007F47C3" w:rsidRPr="00476FC9">
        <w:rPr>
          <w:color w:val="000000" w:themeColor="text1"/>
        </w:rPr>
        <w:t>s’</w:t>
      </w:r>
      <w:r w:rsidR="00D60A70" w:rsidRPr="00476FC9">
        <w:rPr>
          <w:color w:val="000000" w:themeColor="text1"/>
        </w:rPr>
        <w:t xml:space="preserve"> health risks may be </w:t>
      </w:r>
      <w:r w:rsidR="007F47C3" w:rsidRPr="00476FC9">
        <w:rPr>
          <w:color w:val="000000" w:themeColor="text1"/>
        </w:rPr>
        <w:t xml:space="preserve">more </w:t>
      </w:r>
      <w:r w:rsidR="00D60A70" w:rsidRPr="00476FC9">
        <w:rPr>
          <w:color w:val="000000" w:themeColor="text1"/>
        </w:rPr>
        <w:t>serious</w:t>
      </w:r>
      <w:r w:rsidR="007F47C3" w:rsidRPr="00476FC9">
        <w:rPr>
          <w:color w:val="000000" w:themeColor="text1"/>
        </w:rPr>
        <w:t xml:space="preserve"> than those of over-the-counter drugs that can be purchased without prescription</w:t>
      </w:r>
      <w:r w:rsidR="00D60A70" w:rsidRPr="00476FC9">
        <w:rPr>
          <w:color w:val="000000" w:themeColor="text1"/>
        </w:rPr>
        <w:t xml:space="preserve">. However, different therapeutic categories and brands may have different health risks and therefore </w:t>
      </w:r>
      <w:r w:rsidR="00F77BD9" w:rsidRPr="00476FC9">
        <w:rPr>
          <w:color w:val="000000" w:themeColor="text1"/>
        </w:rPr>
        <w:t>the effects of risk disclosure will be affected by the health risk content itself</w:t>
      </w:r>
      <w:r w:rsidR="00D60A70" w:rsidRPr="00476FC9">
        <w:rPr>
          <w:color w:val="000000" w:themeColor="text1"/>
        </w:rPr>
        <w:t xml:space="preserve">. </w:t>
      </w:r>
      <w:r w:rsidR="00F77BD9" w:rsidRPr="00476FC9">
        <w:rPr>
          <w:color w:val="000000" w:themeColor="text1"/>
        </w:rPr>
        <w:t xml:space="preserve">Moreover, it is possible that </w:t>
      </w:r>
      <w:r w:rsidR="00D60A70" w:rsidRPr="00476FC9">
        <w:rPr>
          <w:color w:val="000000" w:themeColor="text1"/>
        </w:rPr>
        <w:t xml:space="preserve">the format and content of risk disclosure may interact </w:t>
      </w:r>
      <w:r w:rsidR="00CE341B" w:rsidRPr="00476FC9">
        <w:rPr>
          <w:color w:val="000000" w:themeColor="text1"/>
        </w:rPr>
        <w:t xml:space="preserve">from </w:t>
      </w:r>
      <w:r w:rsidR="00D60A70" w:rsidRPr="00476FC9">
        <w:rPr>
          <w:color w:val="000000" w:themeColor="text1"/>
        </w:rPr>
        <w:t>one anoth</w:t>
      </w:r>
      <w:r w:rsidR="009728B5" w:rsidRPr="00476FC9">
        <w:rPr>
          <w:color w:val="000000" w:themeColor="text1"/>
        </w:rPr>
        <w:t xml:space="preserve">er. Researchers </w:t>
      </w:r>
      <w:r w:rsidR="00F77BD9" w:rsidRPr="00476FC9">
        <w:rPr>
          <w:color w:val="000000" w:themeColor="text1"/>
        </w:rPr>
        <w:t xml:space="preserve">may </w:t>
      </w:r>
      <w:r w:rsidR="009728B5" w:rsidRPr="00476FC9">
        <w:rPr>
          <w:color w:val="000000" w:themeColor="text1"/>
        </w:rPr>
        <w:t xml:space="preserve">need to </w:t>
      </w:r>
      <w:r w:rsidR="00F77BD9" w:rsidRPr="00476FC9">
        <w:rPr>
          <w:color w:val="000000" w:themeColor="text1"/>
        </w:rPr>
        <w:t xml:space="preserve">differentiate </w:t>
      </w:r>
      <w:r w:rsidR="009728B5" w:rsidRPr="00476FC9">
        <w:rPr>
          <w:color w:val="000000" w:themeColor="text1"/>
        </w:rPr>
        <w:t xml:space="preserve">between </w:t>
      </w:r>
      <w:r w:rsidR="00FD4A3F" w:rsidRPr="00476FC9">
        <w:rPr>
          <w:color w:val="000000" w:themeColor="text1"/>
        </w:rPr>
        <w:t xml:space="preserve">the effects of </w:t>
      </w:r>
      <w:r w:rsidR="009728B5" w:rsidRPr="00476FC9">
        <w:rPr>
          <w:color w:val="000000" w:themeColor="text1"/>
        </w:rPr>
        <w:t>the content and format of DTCA.</w:t>
      </w:r>
    </w:p>
    <w:p w:rsidR="0040499C" w:rsidRPr="00476FC9" w:rsidRDefault="00743C7F"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F77BD9" w:rsidRPr="00476FC9">
        <w:rPr>
          <w:color w:val="000000" w:themeColor="text1"/>
        </w:rPr>
        <w:t>Sixth</w:t>
      </w:r>
      <w:r w:rsidRPr="00476FC9">
        <w:rPr>
          <w:color w:val="000000" w:themeColor="text1"/>
        </w:rPr>
        <w:t xml:space="preserve">, </w:t>
      </w:r>
      <w:r w:rsidR="00265266" w:rsidRPr="00476FC9">
        <w:rPr>
          <w:color w:val="000000" w:themeColor="text1"/>
        </w:rPr>
        <w:t xml:space="preserve">this study examined print media type DTC ads </w:t>
      </w:r>
      <w:r w:rsidR="00482E2D" w:rsidRPr="00476FC9">
        <w:rPr>
          <w:color w:val="000000" w:themeColor="text1"/>
        </w:rPr>
        <w:t xml:space="preserve">even </w:t>
      </w:r>
      <w:r w:rsidR="00265266" w:rsidRPr="00476FC9">
        <w:rPr>
          <w:color w:val="000000" w:themeColor="text1"/>
        </w:rPr>
        <w:t xml:space="preserve">though it was presented </w:t>
      </w:r>
      <w:r w:rsidR="00F83CE5" w:rsidRPr="00476FC9">
        <w:rPr>
          <w:color w:val="000000" w:themeColor="text1"/>
        </w:rPr>
        <w:t>in an online survey through</w:t>
      </w:r>
      <w:r w:rsidR="00265266" w:rsidRPr="00476FC9">
        <w:rPr>
          <w:color w:val="000000" w:themeColor="text1"/>
        </w:rPr>
        <w:t xml:space="preserve"> the Internet. A number of branded DTCA websites present information about the drug including benefit and risk information in a similar manner with print DTCA. However, various media interfaces have unique technological characteristics</w:t>
      </w:r>
      <w:r w:rsidR="00F83CE5" w:rsidRPr="00476FC9">
        <w:rPr>
          <w:color w:val="000000" w:themeColor="text1"/>
        </w:rPr>
        <w:t xml:space="preserve">. </w:t>
      </w:r>
      <w:r w:rsidR="00265266" w:rsidRPr="00476FC9">
        <w:rPr>
          <w:color w:val="000000" w:themeColor="text1"/>
        </w:rPr>
        <w:t>A</w:t>
      </w:r>
      <w:r w:rsidR="00C53DF0" w:rsidRPr="00476FC9">
        <w:rPr>
          <w:color w:val="000000" w:themeColor="text1"/>
        </w:rPr>
        <w:t xml:space="preserve"> body of research has examined branded prescription drug websites to examine the content of DTCA and their message appeals (</w:t>
      </w:r>
      <w:r w:rsidR="00F77BD9" w:rsidRPr="00476FC9">
        <w:rPr>
          <w:color w:val="000000" w:themeColor="text1"/>
        </w:rPr>
        <w:t xml:space="preserve">e.g., </w:t>
      </w:r>
      <w:r w:rsidR="00265266" w:rsidRPr="00476FC9">
        <w:rPr>
          <w:color w:val="000000" w:themeColor="text1"/>
        </w:rPr>
        <w:t>Huh &amp; Cude, 2004; Sheehan, 2007; Wy</w:t>
      </w:r>
      <w:r w:rsidR="00083900" w:rsidRPr="00476FC9">
        <w:rPr>
          <w:color w:val="000000" w:themeColor="text1"/>
        </w:rPr>
        <w:t>m</w:t>
      </w:r>
      <w:r w:rsidR="00265266" w:rsidRPr="00476FC9">
        <w:rPr>
          <w:color w:val="000000" w:themeColor="text1"/>
        </w:rPr>
        <w:t>er, 2010</w:t>
      </w:r>
      <w:r w:rsidR="00C53DF0" w:rsidRPr="00476FC9">
        <w:rPr>
          <w:color w:val="000000" w:themeColor="text1"/>
        </w:rPr>
        <w:t xml:space="preserve">). </w:t>
      </w:r>
      <w:r w:rsidR="00265266" w:rsidRPr="00476FC9">
        <w:rPr>
          <w:color w:val="000000" w:themeColor="text1"/>
        </w:rPr>
        <w:t xml:space="preserve">Such </w:t>
      </w:r>
      <w:r w:rsidR="00F77BD9" w:rsidRPr="00476FC9">
        <w:rPr>
          <w:color w:val="000000" w:themeColor="text1"/>
        </w:rPr>
        <w:t>interactive</w:t>
      </w:r>
      <w:r w:rsidR="00C53DF0" w:rsidRPr="00476FC9">
        <w:rPr>
          <w:color w:val="000000" w:themeColor="text1"/>
        </w:rPr>
        <w:t xml:space="preserve"> media may utilize various information provision modalit</w:t>
      </w:r>
      <w:r w:rsidR="00F77BD9" w:rsidRPr="00476FC9">
        <w:rPr>
          <w:color w:val="000000" w:themeColor="text1"/>
        </w:rPr>
        <w:t xml:space="preserve">ies </w:t>
      </w:r>
      <w:r w:rsidR="00C53DF0" w:rsidRPr="00476FC9">
        <w:rPr>
          <w:color w:val="000000" w:themeColor="text1"/>
        </w:rPr>
        <w:t>such as voice and video (</w:t>
      </w:r>
      <w:r w:rsidR="00265266" w:rsidRPr="00476FC9">
        <w:rPr>
          <w:color w:val="000000" w:themeColor="text1"/>
        </w:rPr>
        <w:t>Davis, 2010</w:t>
      </w:r>
      <w:r w:rsidR="00292060" w:rsidRPr="00476FC9">
        <w:rPr>
          <w:color w:val="000000" w:themeColor="text1"/>
        </w:rPr>
        <w:t>)</w:t>
      </w:r>
      <w:r w:rsidR="00C53DF0" w:rsidRPr="00476FC9">
        <w:rPr>
          <w:color w:val="000000" w:themeColor="text1"/>
        </w:rPr>
        <w:t xml:space="preserve">. In </w:t>
      </w:r>
      <w:r w:rsidR="00F77BD9" w:rsidRPr="00476FC9">
        <w:rPr>
          <w:color w:val="000000" w:themeColor="text1"/>
        </w:rPr>
        <w:t>line with this</w:t>
      </w:r>
      <w:r w:rsidR="00C53DF0" w:rsidRPr="00476FC9">
        <w:rPr>
          <w:color w:val="000000" w:themeColor="text1"/>
        </w:rPr>
        <w:t>, different media interface</w:t>
      </w:r>
      <w:r w:rsidR="00265266" w:rsidRPr="00476FC9">
        <w:rPr>
          <w:color w:val="000000" w:themeColor="text1"/>
        </w:rPr>
        <w:t>s</w:t>
      </w:r>
      <w:r w:rsidR="00C53DF0" w:rsidRPr="00476FC9">
        <w:rPr>
          <w:color w:val="000000" w:themeColor="text1"/>
        </w:rPr>
        <w:t xml:space="preserve"> call for different consideration of risk disclosure presentation</w:t>
      </w:r>
      <w:r w:rsidR="00F83CE5" w:rsidRPr="00476FC9">
        <w:rPr>
          <w:color w:val="000000" w:themeColor="text1"/>
        </w:rPr>
        <w:t xml:space="preserve"> (Hoy &amp; Andrews, 2004)</w:t>
      </w:r>
      <w:r w:rsidR="00C53DF0" w:rsidRPr="00476FC9">
        <w:rPr>
          <w:color w:val="000000" w:themeColor="text1"/>
        </w:rPr>
        <w:t xml:space="preserve">. For instance, </w:t>
      </w:r>
      <w:r w:rsidR="00541DE7" w:rsidRPr="00476FC9">
        <w:rPr>
          <w:color w:val="000000" w:themeColor="text1"/>
        </w:rPr>
        <w:t>interactivity could be considered an important factor affecting prominence (</w:t>
      </w:r>
      <w:r w:rsidR="009318F5" w:rsidRPr="00476FC9">
        <w:rPr>
          <w:color w:val="000000" w:themeColor="text1"/>
        </w:rPr>
        <w:t>Cauberghe &amp; Pelsmacker, 2010</w:t>
      </w:r>
      <w:r w:rsidR="00541DE7" w:rsidRPr="00476FC9">
        <w:rPr>
          <w:color w:val="000000" w:themeColor="text1"/>
        </w:rPr>
        <w:t xml:space="preserve">). </w:t>
      </w:r>
      <w:r w:rsidR="00C53DF0" w:rsidRPr="00476FC9">
        <w:rPr>
          <w:color w:val="000000" w:themeColor="text1"/>
        </w:rPr>
        <w:t>Applying to the DTCA context, the Internet or mobile devices may lead researchers to conceptualize and operationalize risk disclosure prominence</w:t>
      </w:r>
      <w:r w:rsidR="00541DE7" w:rsidRPr="00476FC9">
        <w:rPr>
          <w:color w:val="000000" w:themeColor="text1"/>
        </w:rPr>
        <w:t xml:space="preserve"> differently. However, little research has examined the risk disclosure prominence effect</w:t>
      </w:r>
      <w:r w:rsidR="00482E2D" w:rsidRPr="00476FC9">
        <w:rPr>
          <w:color w:val="000000" w:themeColor="text1"/>
        </w:rPr>
        <w:t>s</w:t>
      </w:r>
      <w:r w:rsidR="00541DE7" w:rsidRPr="00476FC9">
        <w:rPr>
          <w:color w:val="000000" w:themeColor="text1"/>
        </w:rPr>
        <w:t xml:space="preserve"> in the rich media context</w:t>
      </w:r>
      <w:r w:rsidR="005560F5" w:rsidRPr="00476FC9">
        <w:rPr>
          <w:color w:val="000000" w:themeColor="text1"/>
        </w:rPr>
        <w:t>s</w:t>
      </w:r>
      <w:r w:rsidR="00541DE7" w:rsidRPr="00476FC9">
        <w:rPr>
          <w:color w:val="000000" w:themeColor="text1"/>
        </w:rPr>
        <w:t>. Future research can address how the different media contexts relate to varying consumer information processing mechanism of risk disclosure prominence.</w:t>
      </w:r>
    </w:p>
    <w:p w:rsidR="00766E81" w:rsidRPr="00476FC9" w:rsidRDefault="00F77BD9"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lastRenderedPageBreak/>
        <w:tab/>
        <w:t xml:space="preserve">Seventh, although the current research employed </w:t>
      </w:r>
      <w:r w:rsidR="00B200D5" w:rsidRPr="00476FC9">
        <w:rPr>
          <w:color w:val="000000" w:themeColor="text1"/>
        </w:rPr>
        <w:t xml:space="preserve">a </w:t>
      </w:r>
      <w:r w:rsidRPr="00476FC9">
        <w:rPr>
          <w:color w:val="000000" w:themeColor="text1"/>
        </w:rPr>
        <w:t xml:space="preserve">perceived attention </w:t>
      </w:r>
      <w:r w:rsidR="00B200D5" w:rsidRPr="00476FC9">
        <w:rPr>
          <w:color w:val="000000" w:themeColor="text1"/>
        </w:rPr>
        <w:t xml:space="preserve">measure </w:t>
      </w:r>
      <w:r w:rsidRPr="00476FC9">
        <w:rPr>
          <w:color w:val="000000" w:themeColor="text1"/>
        </w:rPr>
        <w:t xml:space="preserve">to assess consumer attention to risk disclosure in DTCA, a concern </w:t>
      </w:r>
      <w:r w:rsidR="00B200D5" w:rsidRPr="00476FC9">
        <w:rPr>
          <w:color w:val="000000" w:themeColor="text1"/>
        </w:rPr>
        <w:t xml:space="preserve">could be raised </w:t>
      </w:r>
      <w:r w:rsidRPr="00476FC9">
        <w:rPr>
          <w:color w:val="000000" w:themeColor="text1"/>
        </w:rPr>
        <w:t xml:space="preserve">about the self-report single-item measure for the construct. As discussed in the method section, there </w:t>
      </w:r>
      <w:r w:rsidR="00B200D5" w:rsidRPr="00476FC9">
        <w:rPr>
          <w:color w:val="000000" w:themeColor="text1"/>
        </w:rPr>
        <w:t xml:space="preserve">is a practical utility of </w:t>
      </w:r>
      <w:r w:rsidRPr="00476FC9">
        <w:rPr>
          <w:color w:val="000000" w:themeColor="text1"/>
        </w:rPr>
        <w:t>perceived attention</w:t>
      </w:r>
      <w:r w:rsidR="00B200D5" w:rsidRPr="00476FC9">
        <w:rPr>
          <w:color w:val="000000" w:themeColor="text1"/>
        </w:rPr>
        <w:t xml:space="preserve"> approach</w:t>
      </w:r>
      <w:r w:rsidRPr="00476FC9">
        <w:rPr>
          <w:color w:val="000000" w:themeColor="text1"/>
        </w:rPr>
        <w:t xml:space="preserve">. </w:t>
      </w:r>
      <w:r w:rsidR="00B200D5" w:rsidRPr="00476FC9">
        <w:rPr>
          <w:color w:val="000000" w:themeColor="text1"/>
        </w:rPr>
        <w:t xml:space="preserve">Nevertheless, a more reliable measure will be physio-psychological approaches. In addition, </w:t>
      </w:r>
      <w:r w:rsidR="00766E81" w:rsidRPr="00476FC9">
        <w:rPr>
          <w:color w:val="000000" w:themeColor="text1"/>
        </w:rPr>
        <w:t>re</w:t>
      </w:r>
      <w:r w:rsidRPr="00476FC9">
        <w:rPr>
          <w:color w:val="000000" w:themeColor="text1"/>
        </w:rPr>
        <w:t xml:space="preserve">garding </w:t>
      </w:r>
      <w:r w:rsidR="00B200D5" w:rsidRPr="00476FC9">
        <w:rPr>
          <w:color w:val="000000" w:themeColor="text1"/>
        </w:rPr>
        <w:t xml:space="preserve">the timing of measuring perceived attention, </w:t>
      </w:r>
      <w:r w:rsidRPr="00476FC9">
        <w:rPr>
          <w:color w:val="000000" w:themeColor="text1"/>
        </w:rPr>
        <w:t>there could also be a concern about demand characteristics</w:t>
      </w:r>
      <w:r w:rsidR="00B200D5" w:rsidRPr="00476FC9">
        <w:rPr>
          <w:color w:val="000000" w:themeColor="text1"/>
        </w:rPr>
        <w:t>,</w:t>
      </w:r>
      <w:r w:rsidRPr="00476FC9">
        <w:rPr>
          <w:color w:val="000000" w:themeColor="text1"/>
        </w:rPr>
        <w:t xml:space="preserve"> because </w:t>
      </w:r>
      <w:r w:rsidR="00B200D5" w:rsidRPr="00476FC9">
        <w:rPr>
          <w:color w:val="000000" w:themeColor="text1"/>
        </w:rPr>
        <w:t xml:space="preserve">some </w:t>
      </w:r>
      <w:r w:rsidRPr="00476FC9">
        <w:rPr>
          <w:color w:val="000000" w:themeColor="text1"/>
        </w:rPr>
        <w:t xml:space="preserve">manipulation checks of </w:t>
      </w:r>
      <w:r w:rsidR="00B200D5" w:rsidRPr="00476FC9">
        <w:rPr>
          <w:color w:val="000000" w:themeColor="text1"/>
        </w:rPr>
        <w:t xml:space="preserve">risk disclosure </w:t>
      </w:r>
      <w:r w:rsidRPr="00476FC9">
        <w:rPr>
          <w:color w:val="000000" w:themeColor="text1"/>
        </w:rPr>
        <w:t xml:space="preserve">prominence </w:t>
      </w:r>
      <w:r w:rsidR="00B200D5" w:rsidRPr="00476FC9">
        <w:rPr>
          <w:color w:val="000000" w:themeColor="text1"/>
        </w:rPr>
        <w:t xml:space="preserve">that may signal health risks of the drug </w:t>
      </w:r>
      <w:r w:rsidRPr="00476FC9">
        <w:rPr>
          <w:color w:val="000000" w:themeColor="text1"/>
        </w:rPr>
        <w:t xml:space="preserve">were positioned before </w:t>
      </w:r>
      <w:r w:rsidR="00B200D5" w:rsidRPr="00476FC9">
        <w:rPr>
          <w:color w:val="000000" w:themeColor="text1"/>
        </w:rPr>
        <w:t>the perceived attention measure</w:t>
      </w:r>
      <w:r w:rsidRPr="00476FC9">
        <w:rPr>
          <w:color w:val="000000" w:themeColor="text1"/>
        </w:rPr>
        <w:t>.</w:t>
      </w:r>
      <w:r w:rsidR="00DB2B6D" w:rsidRPr="00476FC9">
        <w:rPr>
          <w:color w:val="000000" w:themeColor="text1"/>
        </w:rPr>
        <w:t xml:space="preserve"> </w:t>
      </w:r>
      <w:r w:rsidR="00B200D5" w:rsidRPr="00476FC9">
        <w:rPr>
          <w:color w:val="000000" w:themeColor="text1"/>
        </w:rPr>
        <w:t>D</w:t>
      </w:r>
      <w:r w:rsidR="00C17AB3" w:rsidRPr="00476FC9">
        <w:rPr>
          <w:color w:val="000000" w:themeColor="text1"/>
        </w:rPr>
        <w:t xml:space="preserve">ue to a potential discrepancy between objective and subjective measures, </w:t>
      </w:r>
      <w:r w:rsidR="00DB2B6D" w:rsidRPr="00476FC9">
        <w:rPr>
          <w:color w:val="000000" w:themeColor="text1"/>
        </w:rPr>
        <w:t xml:space="preserve">a more objective and accurate measure to assess to what information a person attended </w:t>
      </w:r>
      <w:r w:rsidR="00C17AB3" w:rsidRPr="00476FC9">
        <w:rPr>
          <w:color w:val="000000" w:themeColor="text1"/>
        </w:rPr>
        <w:t xml:space="preserve">may be </w:t>
      </w:r>
      <w:r w:rsidR="00DB2B6D" w:rsidRPr="00476FC9">
        <w:rPr>
          <w:color w:val="000000" w:themeColor="text1"/>
        </w:rPr>
        <w:t xml:space="preserve">via eye-tracking. For instance, when subjects claim to have looked at risk disclosure information </w:t>
      </w:r>
      <w:r w:rsidR="00C17AB3" w:rsidRPr="00476FC9">
        <w:rPr>
          <w:color w:val="000000" w:themeColor="text1"/>
        </w:rPr>
        <w:t xml:space="preserve">through </w:t>
      </w:r>
      <w:r w:rsidR="00DB2B6D" w:rsidRPr="00476FC9">
        <w:rPr>
          <w:color w:val="000000" w:themeColor="text1"/>
        </w:rPr>
        <w:t>self-reported answers, it is possible that they did not look at all. This indicates that subjective self-report attention measure</w:t>
      </w:r>
      <w:r w:rsidR="00C17AB3" w:rsidRPr="00476FC9">
        <w:rPr>
          <w:color w:val="000000" w:themeColor="text1"/>
        </w:rPr>
        <w:t>s</w:t>
      </w:r>
      <w:r w:rsidR="00DB2B6D" w:rsidRPr="00476FC9">
        <w:rPr>
          <w:color w:val="000000" w:themeColor="text1"/>
        </w:rPr>
        <w:t xml:space="preserve"> may have limitations and therefore could serve </w:t>
      </w:r>
      <w:r w:rsidR="00C17AB3" w:rsidRPr="00476FC9">
        <w:rPr>
          <w:color w:val="000000" w:themeColor="text1"/>
        </w:rPr>
        <w:t xml:space="preserve">only </w:t>
      </w:r>
      <w:r w:rsidR="00DB2B6D" w:rsidRPr="00476FC9">
        <w:rPr>
          <w:color w:val="000000" w:themeColor="text1"/>
        </w:rPr>
        <w:t xml:space="preserve">as a proxy measure of </w:t>
      </w:r>
      <w:r w:rsidR="00C17AB3" w:rsidRPr="00476FC9">
        <w:rPr>
          <w:color w:val="000000" w:themeColor="text1"/>
        </w:rPr>
        <w:t>actual attention.</w:t>
      </w:r>
      <w:r w:rsidR="00B200D5" w:rsidRPr="00476FC9">
        <w:rPr>
          <w:color w:val="000000" w:themeColor="text1"/>
        </w:rPr>
        <w:t xml:space="preserve"> Researchers should pay careful attention to interpret the results when using subjective measures.</w:t>
      </w:r>
    </w:p>
    <w:p w:rsidR="00C17AB3" w:rsidRPr="00476FC9" w:rsidRDefault="00C17AB3"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t xml:space="preserve">As an alternative for future research, eye tracking approach is a technique whereby subjects’ eye movements are measured so that the researcher </w:t>
      </w:r>
      <w:r w:rsidR="00B200D5" w:rsidRPr="00476FC9">
        <w:rPr>
          <w:color w:val="000000" w:themeColor="text1"/>
        </w:rPr>
        <w:t>understand</w:t>
      </w:r>
      <w:r w:rsidRPr="00476FC9">
        <w:rPr>
          <w:color w:val="000000" w:themeColor="text1"/>
        </w:rPr>
        <w:t xml:space="preserve"> where an individual is looking at any given time</w:t>
      </w:r>
      <w:r w:rsidR="00B200D5" w:rsidRPr="00476FC9">
        <w:rPr>
          <w:color w:val="000000" w:themeColor="text1"/>
        </w:rPr>
        <w:t>,</w:t>
      </w:r>
      <w:r w:rsidRPr="00476FC9">
        <w:rPr>
          <w:color w:val="000000" w:themeColor="text1"/>
        </w:rPr>
        <w:t xml:space="preserve"> and the sequence in which their eyes are shifting from one location to another (Poole &amp; Ball, 2005). This method has been used in the advertising literature to determine what advertisement designs attract the greatest attention (Lohse, 1997) and to determine if Internet users pay attention to banner advertising on websites (Albert, 2002). </w:t>
      </w:r>
      <w:r w:rsidR="0091030A" w:rsidRPr="00476FC9">
        <w:rPr>
          <w:color w:val="000000" w:themeColor="text1"/>
        </w:rPr>
        <w:t xml:space="preserve">Of course, as with every experimental methods, eye tracking </w:t>
      </w:r>
      <w:r w:rsidR="00B200D5" w:rsidRPr="00476FC9">
        <w:rPr>
          <w:color w:val="000000" w:themeColor="text1"/>
        </w:rPr>
        <w:t xml:space="preserve">does not represent </w:t>
      </w:r>
      <w:r w:rsidR="0091030A" w:rsidRPr="00476FC9">
        <w:rPr>
          <w:color w:val="000000" w:themeColor="text1"/>
        </w:rPr>
        <w:t>a perfect approach for attention research. Rather, there could be a list of cautions that researcher</w:t>
      </w:r>
      <w:r w:rsidR="00483CBE" w:rsidRPr="00476FC9">
        <w:rPr>
          <w:color w:val="000000" w:themeColor="text1"/>
        </w:rPr>
        <w:t>s</w:t>
      </w:r>
      <w:r w:rsidR="0091030A" w:rsidRPr="00476FC9">
        <w:rPr>
          <w:color w:val="000000" w:themeColor="text1"/>
        </w:rPr>
        <w:t xml:space="preserve"> should bear in </w:t>
      </w:r>
      <w:r w:rsidR="0091030A" w:rsidRPr="00476FC9">
        <w:rPr>
          <w:color w:val="000000" w:themeColor="text1"/>
        </w:rPr>
        <w:lastRenderedPageBreak/>
        <w:t>mind when applying the method. Among others, subjects should have well-defined tasks to carry out so that their eye movements can be appropriately attributed to actual cognitive processing (Poole &amp; Ball, 2005). That is, eye movements per se cannot guarantee accurate cognitive processing measure</w:t>
      </w:r>
      <w:r w:rsidR="00483CBE" w:rsidRPr="00476FC9">
        <w:rPr>
          <w:color w:val="000000" w:themeColor="text1"/>
        </w:rPr>
        <w:t>ment</w:t>
      </w:r>
      <w:r w:rsidR="0091030A" w:rsidRPr="00476FC9">
        <w:rPr>
          <w:color w:val="000000" w:themeColor="text1"/>
        </w:rPr>
        <w:t xml:space="preserve">. Eye tracking researchers can employ </w:t>
      </w:r>
      <w:r w:rsidR="00483CBE" w:rsidRPr="00476FC9">
        <w:rPr>
          <w:color w:val="000000" w:themeColor="text1"/>
        </w:rPr>
        <w:t>various</w:t>
      </w:r>
      <w:r w:rsidR="0091030A" w:rsidRPr="00476FC9">
        <w:rPr>
          <w:color w:val="000000" w:themeColor="text1"/>
        </w:rPr>
        <w:t xml:space="preserve"> methodological devices in combination to </w:t>
      </w:r>
      <w:r w:rsidR="00483CBE" w:rsidRPr="00476FC9">
        <w:rPr>
          <w:color w:val="000000" w:themeColor="text1"/>
        </w:rPr>
        <w:t xml:space="preserve">address this limitation </w:t>
      </w:r>
      <w:r w:rsidR="0091030A" w:rsidRPr="00476FC9">
        <w:rPr>
          <w:color w:val="000000" w:themeColor="text1"/>
        </w:rPr>
        <w:t>(Poole &amp; Ball, 2005).</w:t>
      </w:r>
    </w:p>
    <w:p w:rsidR="005E6EED" w:rsidRPr="00476FC9" w:rsidRDefault="00766E81" w:rsidP="007D2ACE">
      <w:pPr>
        <w:keepNext w:val="0"/>
        <w:widowControl w:val="0"/>
        <w:kinsoku w:val="0"/>
        <w:overflowPunct w:val="0"/>
        <w:autoSpaceDE w:val="0"/>
        <w:autoSpaceDN w:val="0"/>
        <w:adjustRightInd w:val="0"/>
        <w:snapToGrid w:val="0"/>
        <w:spacing w:before="0" w:after="0"/>
        <w:rPr>
          <w:color w:val="000000" w:themeColor="text1"/>
        </w:rPr>
      </w:pPr>
      <w:r w:rsidRPr="00476FC9">
        <w:rPr>
          <w:color w:val="000000" w:themeColor="text1"/>
        </w:rPr>
        <w:tab/>
      </w:r>
      <w:r w:rsidR="00B55929" w:rsidRPr="00476FC9">
        <w:rPr>
          <w:color w:val="000000" w:themeColor="text1"/>
        </w:rPr>
        <w:t xml:space="preserve">Eighth, </w:t>
      </w:r>
      <w:r w:rsidRPr="00476FC9">
        <w:rPr>
          <w:color w:val="000000" w:themeColor="text1"/>
        </w:rPr>
        <w:t>the measurement of DTCA regulatory knowledge may have limitations. The most common way to measure</w:t>
      </w:r>
      <w:r w:rsidR="00C30B98" w:rsidRPr="00476FC9">
        <w:rPr>
          <w:color w:val="000000" w:themeColor="text1"/>
        </w:rPr>
        <w:t xml:space="preserve"> knowledge has been multi-item scales¸</w:t>
      </w:r>
      <w:r w:rsidR="00E15763" w:rsidRPr="00476FC9">
        <w:rPr>
          <w:color w:val="000000" w:themeColor="text1"/>
        </w:rPr>
        <w:t xml:space="preserve"> </w:t>
      </w:r>
      <w:r w:rsidR="00C30B98" w:rsidRPr="00476FC9">
        <w:rPr>
          <w:color w:val="000000" w:themeColor="text1"/>
        </w:rPr>
        <w:t>having two to four items (e.g., Beatty &amp; Smith, 1987; Park</w:t>
      </w:r>
      <w:r w:rsidR="009F413E" w:rsidRPr="00476FC9">
        <w:rPr>
          <w:rFonts w:eastAsiaTheme="minorEastAsia" w:hint="eastAsia"/>
          <w:color w:val="000000" w:themeColor="text1"/>
        </w:rPr>
        <w:t xml:space="preserve"> et al., </w:t>
      </w:r>
      <w:r w:rsidR="00C30B98" w:rsidRPr="00476FC9">
        <w:rPr>
          <w:color w:val="000000" w:themeColor="text1"/>
        </w:rPr>
        <w:t xml:space="preserve">1994). Although good reliabilities have been reported for such multi-item scales, they were all essentially ad hoc, generated for the first time for the purpose at hand, and were not validated or employed in another study (Flynn &amp; Goldsmith, 1999). </w:t>
      </w:r>
      <w:r w:rsidR="003B1804" w:rsidRPr="00476FC9">
        <w:rPr>
          <w:color w:val="000000" w:themeColor="text1"/>
        </w:rPr>
        <w:t xml:space="preserve">This is </w:t>
      </w:r>
      <w:r w:rsidR="005E6EED" w:rsidRPr="00476FC9">
        <w:rPr>
          <w:color w:val="000000" w:themeColor="text1"/>
        </w:rPr>
        <w:t xml:space="preserve">also </w:t>
      </w:r>
      <w:r w:rsidR="003B1804" w:rsidRPr="00476FC9">
        <w:rPr>
          <w:color w:val="000000" w:themeColor="text1"/>
        </w:rPr>
        <w:t xml:space="preserve">the case in the current research. Despite the conceptual originality and its public education and health implications, the multi-item measurement </w:t>
      </w:r>
      <w:r w:rsidR="002955D1" w:rsidRPr="00476FC9">
        <w:rPr>
          <w:color w:val="000000" w:themeColor="text1"/>
        </w:rPr>
        <w:t xml:space="preserve">scale </w:t>
      </w:r>
      <w:r w:rsidR="003B1804" w:rsidRPr="00476FC9">
        <w:rPr>
          <w:color w:val="000000" w:themeColor="text1"/>
        </w:rPr>
        <w:t xml:space="preserve">of DTCA regulatory knowledge in </w:t>
      </w:r>
      <w:r w:rsidR="002955D1" w:rsidRPr="00476FC9">
        <w:rPr>
          <w:color w:val="000000" w:themeColor="text1"/>
        </w:rPr>
        <w:t xml:space="preserve">the current </w:t>
      </w:r>
      <w:r w:rsidR="003B1804" w:rsidRPr="00476FC9">
        <w:rPr>
          <w:color w:val="000000" w:themeColor="text1"/>
        </w:rPr>
        <w:t>research shows low reliability (Chronbach’s α = .29). Statistically speaking, when true/false type test</w:t>
      </w:r>
      <w:r w:rsidR="002955D1" w:rsidRPr="00476FC9">
        <w:rPr>
          <w:color w:val="000000" w:themeColor="text1"/>
        </w:rPr>
        <w:t xml:space="preserve"> answers are </w:t>
      </w:r>
      <w:r w:rsidR="003B1804" w:rsidRPr="00476FC9">
        <w:rPr>
          <w:color w:val="000000" w:themeColor="text1"/>
        </w:rPr>
        <w:t xml:space="preserve">coded as dummy variables </w:t>
      </w:r>
      <w:r w:rsidR="002955D1" w:rsidRPr="00476FC9">
        <w:rPr>
          <w:color w:val="000000" w:themeColor="text1"/>
        </w:rPr>
        <w:t xml:space="preserve">to form </w:t>
      </w:r>
      <w:r w:rsidR="003B1804" w:rsidRPr="00476FC9">
        <w:rPr>
          <w:color w:val="000000" w:themeColor="text1"/>
        </w:rPr>
        <w:t xml:space="preserve">a composite score to represent </w:t>
      </w:r>
      <w:r w:rsidR="002955D1" w:rsidRPr="00476FC9">
        <w:rPr>
          <w:color w:val="000000" w:themeColor="text1"/>
        </w:rPr>
        <w:t xml:space="preserve">varying </w:t>
      </w:r>
      <w:r w:rsidR="003B1804" w:rsidRPr="00476FC9">
        <w:rPr>
          <w:color w:val="000000" w:themeColor="text1"/>
        </w:rPr>
        <w:t xml:space="preserve">knowledge levels, it is likely that </w:t>
      </w:r>
      <w:r w:rsidR="002955D1" w:rsidRPr="00476FC9">
        <w:rPr>
          <w:color w:val="000000" w:themeColor="text1"/>
        </w:rPr>
        <w:t xml:space="preserve">the internal consistency value (i.e., </w:t>
      </w:r>
      <w:r w:rsidR="003B1804" w:rsidRPr="00476FC9">
        <w:rPr>
          <w:color w:val="000000" w:themeColor="text1"/>
        </w:rPr>
        <w:t>Cronbach’s alpha</w:t>
      </w:r>
      <w:r w:rsidR="002955D1" w:rsidRPr="00476FC9">
        <w:rPr>
          <w:color w:val="000000" w:themeColor="text1"/>
        </w:rPr>
        <w:t>)</w:t>
      </w:r>
      <w:r w:rsidR="003B1804" w:rsidRPr="00476FC9">
        <w:rPr>
          <w:color w:val="000000" w:themeColor="text1"/>
        </w:rPr>
        <w:t xml:space="preserve"> for the categorical items </w:t>
      </w:r>
      <w:r w:rsidR="005E6EED" w:rsidRPr="00476FC9">
        <w:rPr>
          <w:color w:val="000000" w:themeColor="text1"/>
        </w:rPr>
        <w:t xml:space="preserve">is </w:t>
      </w:r>
      <w:r w:rsidR="003B1804" w:rsidRPr="00476FC9">
        <w:rPr>
          <w:color w:val="000000" w:themeColor="text1"/>
        </w:rPr>
        <w:t xml:space="preserve">low. For instance, </w:t>
      </w:r>
      <w:r w:rsidR="001442D8" w:rsidRPr="00476FC9">
        <w:rPr>
          <w:color w:val="000000" w:themeColor="text1"/>
        </w:rPr>
        <w:t>House et al.</w:t>
      </w:r>
      <w:r w:rsidR="003821F8" w:rsidRPr="00476FC9">
        <w:rPr>
          <w:color w:val="000000" w:themeColor="text1"/>
        </w:rPr>
        <w:t xml:space="preserve"> (2004)</w:t>
      </w:r>
      <w:r w:rsidR="001442D8" w:rsidRPr="00476FC9">
        <w:rPr>
          <w:color w:val="000000" w:themeColor="text1"/>
        </w:rPr>
        <w:t xml:space="preserve"> measured </w:t>
      </w:r>
      <w:r w:rsidR="003821F8" w:rsidRPr="00476FC9">
        <w:rPr>
          <w:color w:val="000000" w:themeColor="text1"/>
        </w:rPr>
        <w:t xml:space="preserve">consumers’ objective knowledge about the facts and issues concerning genetic modification in food production </w:t>
      </w:r>
      <w:r w:rsidR="002955D1" w:rsidRPr="00476FC9">
        <w:rPr>
          <w:color w:val="000000" w:themeColor="text1"/>
        </w:rPr>
        <w:t xml:space="preserve">in order </w:t>
      </w:r>
      <w:r w:rsidR="003821F8" w:rsidRPr="00476FC9">
        <w:rPr>
          <w:color w:val="000000" w:themeColor="text1"/>
        </w:rPr>
        <w:t xml:space="preserve">to examine its effects on </w:t>
      </w:r>
      <w:r w:rsidR="002955D1" w:rsidRPr="00476FC9">
        <w:rPr>
          <w:color w:val="000000" w:themeColor="text1"/>
        </w:rPr>
        <w:t xml:space="preserve">consumers’ </w:t>
      </w:r>
      <w:r w:rsidR="003821F8" w:rsidRPr="00476FC9">
        <w:rPr>
          <w:color w:val="000000" w:themeColor="text1"/>
        </w:rPr>
        <w:t>willingness to accept genetically modified foods</w:t>
      </w:r>
      <w:r w:rsidR="002955D1" w:rsidRPr="00476FC9">
        <w:rPr>
          <w:color w:val="000000" w:themeColor="text1"/>
        </w:rPr>
        <w:t>,</w:t>
      </w:r>
      <w:r w:rsidR="003821F8" w:rsidRPr="00476FC9">
        <w:rPr>
          <w:color w:val="000000" w:themeColor="text1"/>
        </w:rPr>
        <w:t xml:space="preserve"> and found significant knowledge effects. </w:t>
      </w:r>
      <w:r w:rsidR="002955D1" w:rsidRPr="00476FC9">
        <w:rPr>
          <w:color w:val="000000" w:themeColor="text1"/>
        </w:rPr>
        <w:t xml:space="preserve">They employed four-item true/false type questions. </w:t>
      </w:r>
      <w:r w:rsidR="003821F8" w:rsidRPr="00476FC9">
        <w:rPr>
          <w:color w:val="000000" w:themeColor="text1"/>
        </w:rPr>
        <w:t xml:space="preserve">However, </w:t>
      </w:r>
      <w:r w:rsidR="002955D1" w:rsidRPr="00476FC9">
        <w:rPr>
          <w:color w:val="000000" w:themeColor="text1"/>
        </w:rPr>
        <w:t xml:space="preserve">its </w:t>
      </w:r>
      <w:r w:rsidR="003821F8" w:rsidRPr="00476FC9">
        <w:rPr>
          <w:color w:val="000000" w:themeColor="text1"/>
        </w:rPr>
        <w:t xml:space="preserve">measurement </w:t>
      </w:r>
      <w:r w:rsidR="002955D1" w:rsidRPr="00476FC9">
        <w:rPr>
          <w:color w:val="000000" w:themeColor="text1"/>
        </w:rPr>
        <w:t xml:space="preserve">scale </w:t>
      </w:r>
      <w:r w:rsidR="003821F8" w:rsidRPr="00476FC9">
        <w:rPr>
          <w:color w:val="000000" w:themeColor="text1"/>
        </w:rPr>
        <w:t xml:space="preserve">reliability was relatively low (i.e., Cronbach’s α= .54). </w:t>
      </w:r>
    </w:p>
    <w:p w:rsidR="00766E81" w:rsidRPr="00476FC9" w:rsidRDefault="002955D1" w:rsidP="007D2ACE">
      <w:pPr>
        <w:keepNext w:val="0"/>
        <w:widowControl w:val="0"/>
        <w:kinsoku w:val="0"/>
        <w:overflowPunct w:val="0"/>
        <w:autoSpaceDE w:val="0"/>
        <w:autoSpaceDN w:val="0"/>
        <w:adjustRightInd w:val="0"/>
        <w:snapToGrid w:val="0"/>
        <w:spacing w:before="0" w:after="0"/>
        <w:ind w:firstLine="720"/>
        <w:rPr>
          <w:color w:val="000000" w:themeColor="text1"/>
        </w:rPr>
      </w:pPr>
      <w:r w:rsidRPr="00476FC9">
        <w:rPr>
          <w:color w:val="000000" w:themeColor="text1"/>
        </w:rPr>
        <w:t>In this case, a more appropriate description for such type of measurement items may be the percentage of correct answers for each item. In that regard, the current research illustrate</w:t>
      </w:r>
      <w:r w:rsidR="005E6EED" w:rsidRPr="00476FC9">
        <w:rPr>
          <w:color w:val="000000" w:themeColor="text1"/>
        </w:rPr>
        <w:t>s</w:t>
      </w:r>
      <w:r w:rsidRPr="00476FC9">
        <w:rPr>
          <w:color w:val="000000" w:themeColor="text1"/>
        </w:rPr>
        <w:t xml:space="preserve"> the </w:t>
      </w:r>
      <w:r w:rsidRPr="00476FC9">
        <w:rPr>
          <w:color w:val="000000" w:themeColor="text1"/>
        </w:rPr>
        <w:lastRenderedPageBreak/>
        <w:t>descriptive statistics for each item. Nevertheless, i</w:t>
      </w:r>
      <w:r w:rsidR="003821F8" w:rsidRPr="00476FC9">
        <w:rPr>
          <w:color w:val="000000" w:themeColor="text1"/>
        </w:rPr>
        <w:t>t is suggested that future research develop</w:t>
      </w:r>
      <w:r w:rsidRPr="00476FC9">
        <w:rPr>
          <w:color w:val="000000" w:themeColor="text1"/>
        </w:rPr>
        <w:t>s</w:t>
      </w:r>
      <w:r w:rsidR="003821F8" w:rsidRPr="00476FC9">
        <w:rPr>
          <w:color w:val="000000" w:themeColor="text1"/>
        </w:rPr>
        <w:t xml:space="preserve"> a </w:t>
      </w:r>
      <w:r w:rsidRPr="00476FC9">
        <w:rPr>
          <w:color w:val="000000" w:themeColor="text1"/>
        </w:rPr>
        <w:t>reliable measurement scale for D</w:t>
      </w:r>
      <w:r w:rsidR="003821F8" w:rsidRPr="00476FC9">
        <w:rPr>
          <w:color w:val="000000" w:themeColor="text1"/>
        </w:rPr>
        <w:t xml:space="preserve">TCA regulatory knowledge so that some degree of measurement standardization in DTCA research can be attained. </w:t>
      </w:r>
      <w:r w:rsidRPr="00476FC9">
        <w:rPr>
          <w:color w:val="000000" w:themeColor="text1"/>
        </w:rPr>
        <w:t>At this moment in time</w:t>
      </w:r>
      <w:r w:rsidR="003821F8" w:rsidRPr="00476FC9">
        <w:rPr>
          <w:color w:val="000000" w:themeColor="text1"/>
        </w:rPr>
        <w:t>, considering that there is a dearth of research on this construct in the DTCA literature</w:t>
      </w:r>
      <w:r w:rsidRPr="00476FC9">
        <w:rPr>
          <w:color w:val="000000" w:themeColor="text1"/>
        </w:rPr>
        <w:t>, t</w:t>
      </w:r>
      <w:r w:rsidR="003821F8" w:rsidRPr="00476FC9">
        <w:rPr>
          <w:color w:val="000000" w:themeColor="text1"/>
        </w:rPr>
        <w:t>he exploratory approach to measuring DTCA regulatory knowledge may be justified.</w:t>
      </w:r>
    </w:p>
    <w:p w:rsidR="004E42ED" w:rsidRPr="00476FC9" w:rsidRDefault="00DB2B6D" w:rsidP="007D2ACE">
      <w:pPr>
        <w:keepNext w:val="0"/>
        <w:widowControl w:val="0"/>
        <w:kinsoku w:val="0"/>
        <w:overflowPunct w:val="0"/>
        <w:autoSpaceDE w:val="0"/>
        <w:autoSpaceDN w:val="0"/>
        <w:adjustRightInd w:val="0"/>
        <w:snapToGrid w:val="0"/>
        <w:spacing w:before="0" w:after="0"/>
        <w:outlineLvl w:val="9"/>
        <w:rPr>
          <w:color w:val="000000" w:themeColor="text1"/>
          <w:szCs w:val="24"/>
        </w:rPr>
      </w:pPr>
      <w:r w:rsidRPr="00476FC9">
        <w:rPr>
          <w:color w:val="000000" w:themeColor="text1"/>
        </w:rPr>
        <w:tab/>
      </w:r>
      <w:r w:rsidR="004C0D99" w:rsidRPr="00476FC9">
        <w:rPr>
          <w:color w:val="000000" w:themeColor="text1"/>
        </w:rPr>
        <w:t>Ninth</w:t>
      </w:r>
      <w:r w:rsidRPr="00476FC9">
        <w:rPr>
          <w:color w:val="000000" w:themeColor="text1"/>
        </w:rPr>
        <w:t xml:space="preserve">, </w:t>
      </w:r>
      <w:r w:rsidR="004C0D99" w:rsidRPr="00476FC9">
        <w:rPr>
          <w:color w:val="000000" w:themeColor="text1"/>
        </w:rPr>
        <w:t>the subjects</w:t>
      </w:r>
      <w:r w:rsidR="00F27BB1" w:rsidRPr="00476FC9">
        <w:rPr>
          <w:color w:val="000000" w:themeColor="text1"/>
        </w:rPr>
        <w:t xml:space="preserve"> of the current research consist</w:t>
      </w:r>
      <w:r w:rsidR="00E87B77" w:rsidRPr="00476FC9">
        <w:rPr>
          <w:color w:val="000000" w:themeColor="text1"/>
        </w:rPr>
        <w:t xml:space="preserve">s </w:t>
      </w:r>
      <w:r w:rsidR="00F27BB1" w:rsidRPr="00476FC9">
        <w:rPr>
          <w:color w:val="000000" w:themeColor="text1"/>
        </w:rPr>
        <w:t>of higher percentage of males (63.6%)</w:t>
      </w:r>
      <w:r w:rsidR="00A52524" w:rsidRPr="00476FC9">
        <w:rPr>
          <w:color w:val="000000" w:themeColor="text1"/>
        </w:rPr>
        <w:t xml:space="preserve"> than that of females (36.4%)</w:t>
      </w:r>
      <w:r w:rsidR="00F27BB1" w:rsidRPr="00476FC9">
        <w:rPr>
          <w:color w:val="000000" w:themeColor="text1"/>
        </w:rPr>
        <w:t>.</w:t>
      </w:r>
      <w:r w:rsidR="00A52524" w:rsidRPr="00476FC9">
        <w:rPr>
          <w:color w:val="000000" w:themeColor="text1"/>
        </w:rPr>
        <w:t xml:space="preserve"> This could be a lack of representation of the profile of actual use</w:t>
      </w:r>
      <w:r w:rsidR="00DF593B" w:rsidRPr="00476FC9">
        <w:rPr>
          <w:color w:val="000000" w:themeColor="text1"/>
        </w:rPr>
        <w:t>r</w:t>
      </w:r>
      <w:r w:rsidR="00A52524" w:rsidRPr="00476FC9">
        <w:rPr>
          <w:color w:val="000000" w:themeColor="text1"/>
        </w:rPr>
        <w:t xml:space="preserve">s of Rx anti-depressant. </w:t>
      </w:r>
      <w:r w:rsidR="00FC2267" w:rsidRPr="00476FC9">
        <w:rPr>
          <w:color w:val="000000" w:themeColor="text1"/>
          <w:szCs w:val="24"/>
        </w:rPr>
        <w:t>Future research may employ a more representative sample profile to better represent the current antidepressant users. However, it is noteworthy that a</w:t>
      </w:r>
      <w:r w:rsidR="00A52524" w:rsidRPr="00476FC9">
        <w:rPr>
          <w:color w:val="000000" w:themeColor="text1"/>
        </w:rPr>
        <w:t>ccording to CDC, i</w:t>
      </w:r>
      <w:r w:rsidR="00A52524" w:rsidRPr="00476FC9">
        <w:rPr>
          <w:color w:val="000000" w:themeColor="text1"/>
          <w:szCs w:val="24"/>
        </w:rPr>
        <w:t xml:space="preserve">n terms of gender, </w:t>
      </w:r>
      <w:r w:rsidR="004E42ED" w:rsidRPr="00476FC9">
        <w:rPr>
          <w:color w:val="000000" w:themeColor="text1"/>
          <w:szCs w:val="24"/>
        </w:rPr>
        <w:t xml:space="preserve">during 2007-2010 </w:t>
      </w:r>
      <w:r w:rsidR="00A52524" w:rsidRPr="00476FC9">
        <w:rPr>
          <w:color w:val="000000" w:themeColor="text1"/>
          <w:szCs w:val="24"/>
        </w:rPr>
        <w:t xml:space="preserve">5.3% of male respondents reported that they have used antidepressants, while 11.9% have used antidepressants in past 30 days (CDC, National Center for Health Statistics. Health, United States, 2012). </w:t>
      </w:r>
      <w:r w:rsidR="00FC2267" w:rsidRPr="00476FC9">
        <w:rPr>
          <w:color w:val="000000" w:themeColor="text1"/>
          <w:szCs w:val="24"/>
        </w:rPr>
        <w:t>The</w:t>
      </w:r>
      <w:r w:rsidR="00A52524" w:rsidRPr="00476FC9">
        <w:rPr>
          <w:color w:val="000000" w:themeColor="text1"/>
          <w:szCs w:val="24"/>
        </w:rPr>
        <w:t xml:space="preserve"> percentage of male users have rapidly increased from 1.2% during 1988-1994, to 4.4% during 1999-2002, and to 5.3% during 2007-2010. </w:t>
      </w:r>
      <w:r w:rsidR="00FC2267" w:rsidRPr="00476FC9">
        <w:rPr>
          <w:color w:val="000000" w:themeColor="text1"/>
          <w:szCs w:val="24"/>
        </w:rPr>
        <w:t xml:space="preserve">Considering the educational role of DTCA, the current research finding may provide insight into potential antidepressant users’ (i.e., males) response to </w:t>
      </w:r>
      <w:r w:rsidR="004C3F14" w:rsidRPr="00476FC9">
        <w:rPr>
          <w:color w:val="000000" w:themeColor="text1"/>
          <w:szCs w:val="24"/>
        </w:rPr>
        <w:t xml:space="preserve">antidepressant </w:t>
      </w:r>
      <w:r w:rsidR="00FC2267" w:rsidRPr="00476FC9">
        <w:rPr>
          <w:color w:val="000000" w:themeColor="text1"/>
          <w:szCs w:val="24"/>
        </w:rPr>
        <w:t>DTCA.</w:t>
      </w:r>
    </w:p>
    <w:p w:rsidR="00F62156" w:rsidRPr="00476FC9" w:rsidRDefault="004E42ED" w:rsidP="007D2ACE">
      <w:pPr>
        <w:keepNext w:val="0"/>
        <w:widowControl w:val="0"/>
        <w:kinsoku w:val="0"/>
        <w:overflowPunct w:val="0"/>
        <w:autoSpaceDE w:val="0"/>
        <w:autoSpaceDN w:val="0"/>
        <w:adjustRightInd w:val="0"/>
        <w:snapToGrid w:val="0"/>
        <w:spacing w:before="0" w:after="0"/>
        <w:outlineLvl w:val="9"/>
        <w:rPr>
          <w:color w:val="000000" w:themeColor="text1"/>
          <w:szCs w:val="24"/>
        </w:rPr>
      </w:pPr>
      <w:r w:rsidRPr="00476FC9">
        <w:rPr>
          <w:color w:val="000000" w:themeColor="text1"/>
          <w:szCs w:val="24"/>
        </w:rPr>
        <w:tab/>
      </w:r>
      <w:r w:rsidR="004C3F14" w:rsidRPr="00476FC9">
        <w:rPr>
          <w:color w:val="000000" w:themeColor="text1"/>
          <w:szCs w:val="24"/>
        </w:rPr>
        <w:t xml:space="preserve">Tenth, </w:t>
      </w:r>
      <w:r w:rsidRPr="00476FC9">
        <w:rPr>
          <w:color w:val="000000" w:themeColor="text1"/>
          <w:szCs w:val="24"/>
        </w:rPr>
        <w:t xml:space="preserve">the sample of the current research represents general adult consumers rather </w:t>
      </w:r>
      <w:r w:rsidR="004C3F14" w:rsidRPr="00476FC9">
        <w:rPr>
          <w:color w:val="000000" w:themeColor="text1"/>
          <w:szCs w:val="24"/>
        </w:rPr>
        <w:t>than</w:t>
      </w:r>
      <w:r w:rsidRPr="00476FC9">
        <w:rPr>
          <w:color w:val="000000" w:themeColor="text1"/>
          <w:szCs w:val="24"/>
        </w:rPr>
        <w:t xml:space="preserve"> individuals who have been diagnosed with the disease. Approximately 30% of subjects reported having been diagnosed with mental depression. This could be justified when considering that the major purpose of DTCA is not only to </w:t>
      </w:r>
      <w:r w:rsidR="00F8041D" w:rsidRPr="00476FC9">
        <w:rPr>
          <w:color w:val="000000" w:themeColor="text1"/>
          <w:szCs w:val="24"/>
        </w:rPr>
        <w:t xml:space="preserve">increase consumer generated prescription volume but also provoke and facilitate an initial self-diagnosis from DTC ads (Davis, 2006). In the current research, given its focus on health risk information in DTCA, a list of questions were given to subjects to probe their direct or indirect experience with adverse reactions after taking a </w:t>
      </w:r>
      <w:r w:rsidR="00F8041D" w:rsidRPr="00476FC9">
        <w:rPr>
          <w:color w:val="000000" w:themeColor="text1"/>
          <w:szCs w:val="24"/>
        </w:rPr>
        <w:lastRenderedPageBreak/>
        <w:t>prescription drug, including personal experience (48.5%), family (38.3%), relatives (35.2%), your circle of friends (31.1%), your circle of neighbors (13.6%)</w:t>
      </w:r>
      <w:r w:rsidR="008B797A" w:rsidRPr="00476FC9">
        <w:rPr>
          <w:color w:val="000000" w:themeColor="text1"/>
          <w:szCs w:val="24"/>
        </w:rPr>
        <w:t xml:space="preserve">. These results show that approximately half of the subjects have experienced any health risks from the use of prescription drugs and at least 30% of them have indirect experience with health risks regarding prescription drug use. While individuals with depression diagnosis experience could be an appropriate sample of </w:t>
      </w:r>
      <w:r w:rsidR="004C3F14" w:rsidRPr="00476FC9">
        <w:rPr>
          <w:color w:val="000000" w:themeColor="text1"/>
          <w:szCs w:val="24"/>
        </w:rPr>
        <w:t xml:space="preserve">antidepressant DTCA </w:t>
      </w:r>
      <w:r w:rsidR="008B797A" w:rsidRPr="00476FC9">
        <w:rPr>
          <w:color w:val="000000" w:themeColor="text1"/>
          <w:szCs w:val="24"/>
        </w:rPr>
        <w:t xml:space="preserve">research, given the focus of research on risk disclosure processing and the role of DTCA regulatory knowledge, the use of </w:t>
      </w:r>
      <w:r w:rsidR="004C3F14" w:rsidRPr="00476FC9">
        <w:rPr>
          <w:color w:val="000000" w:themeColor="text1"/>
          <w:szCs w:val="24"/>
        </w:rPr>
        <w:t xml:space="preserve">the </w:t>
      </w:r>
      <w:r w:rsidR="008B797A" w:rsidRPr="00476FC9">
        <w:rPr>
          <w:color w:val="000000" w:themeColor="text1"/>
          <w:szCs w:val="24"/>
        </w:rPr>
        <w:t xml:space="preserve">current sample seems plausible. Future research can employ individuals with direct depression experience to examine how DTCA regulatory knowledge and prominence work </w:t>
      </w:r>
      <w:r w:rsidR="004C3F14" w:rsidRPr="00476FC9">
        <w:rPr>
          <w:color w:val="000000" w:themeColor="text1"/>
          <w:szCs w:val="24"/>
        </w:rPr>
        <w:t xml:space="preserve">differently </w:t>
      </w:r>
      <w:r w:rsidR="008B797A" w:rsidRPr="00476FC9">
        <w:rPr>
          <w:color w:val="000000" w:themeColor="text1"/>
          <w:szCs w:val="24"/>
        </w:rPr>
        <w:t>among such consumers.</w:t>
      </w:r>
    </w:p>
    <w:p w:rsidR="00812C87" w:rsidRPr="00476FC9" w:rsidRDefault="00F62156" w:rsidP="007D2ACE">
      <w:pPr>
        <w:keepNext w:val="0"/>
        <w:widowControl w:val="0"/>
        <w:kinsoku w:val="0"/>
        <w:overflowPunct w:val="0"/>
        <w:autoSpaceDE w:val="0"/>
        <w:autoSpaceDN w:val="0"/>
        <w:adjustRightInd w:val="0"/>
        <w:snapToGrid w:val="0"/>
        <w:spacing w:before="0" w:after="0"/>
        <w:outlineLvl w:val="9"/>
        <w:rPr>
          <w:color w:val="000000" w:themeColor="text1"/>
          <w:szCs w:val="24"/>
        </w:rPr>
      </w:pPr>
      <w:r w:rsidRPr="00476FC9">
        <w:rPr>
          <w:color w:val="000000" w:themeColor="text1"/>
          <w:szCs w:val="24"/>
        </w:rPr>
        <w:tab/>
      </w:r>
      <w:r w:rsidR="004C3F14" w:rsidRPr="00476FC9">
        <w:rPr>
          <w:color w:val="000000" w:themeColor="text1"/>
          <w:szCs w:val="24"/>
        </w:rPr>
        <w:t xml:space="preserve">Eleventh, </w:t>
      </w:r>
      <w:r w:rsidR="00812C87" w:rsidRPr="00476FC9">
        <w:rPr>
          <w:color w:val="000000" w:themeColor="text1"/>
          <w:szCs w:val="24"/>
        </w:rPr>
        <w:t>f</w:t>
      </w:r>
      <w:r w:rsidRPr="00476FC9">
        <w:rPr>
          <w:color w:val="000000" w:themeColor="text1"/>
          <w:szCs w:val="24"/>
        </w:rPr>
        <w:t xml:space="preserve">uture research may need to provide basic information about clinical depression in the research instrument. </w:t>
      </w:r>
      <w:r w:rsidR="004C3F14" w:rsidRPr="00476FC9">
        <w:rPr>
          <w:color w:val="000000" w:themeColor="text1"/>
          <w:szCs w:val="24"/>
        </w:rPr>
        <w:t>According to research</w:t>
      </w:r>
      <w:r w:rsidRPr="00476FC9">
        <w:rPr>
          <w:color w:val="000000" w:themeColor="text1"/>
          <w:szCs w:val="24"/>
        </w:rPr>
        <w:t>, there was significant increase in the proportion o</w:t>
      </w:r>
      <w:r w:rsidR="003E79C8" w:rsidRPr="00476FC9">
        <w:rPr>
          <w:color w:val="000000" w:themeColor="text1"/>
          <w:szCs w:val="24"/>
        </w:rPr>
        <w:t>f people recognizing depression</w:t>
      </w:r>
      <w:r w:rsidR="00E6151B" w:rsidRPr="00476FC9">
        <w:rPr>
          <w:color w:val="000000" w:themeColor="text1"/>
          <w:szCs w:val="24"/>
        </w:rPr>
        <w:t xml:space="preserve"> in the vignette</w:t>
      </w:r>
      <w:r w:rsidR="004C3F14" w:rsidRPr="00476FC9">
        <w:rPr>
          <w:color w:val="000000" w:themeColor="text1"/>
          <w:szCs w:val="24"/>
        </w:rPr>
        <w:t xml:space="preserve"> during 1998-2004</w:t>
      </w:r>
      <w:r w:rsidR="00DD3206" w:rsidRPr="00476FC9">
        <w:rPr>
          <w:rFonts w:eastAsiaTheme="minorEastAsia" w:hint="eastAsia"/>
          <w:color w:val="000000" w:themeColor="text1"/>
          <w:szCs w:val="24"/>
        </w:rPr>
        <w:t xml:space="preserve"> in Australia</w:t>
      </w:r>
      <w:r w:rsidR="003E79C8" w:rsidRPr="00476FC9">
        <w:rPr>
          <w:color w:val="000000" w:themeColor="text1"/>
          <w:szCs w:val="24"/>
        </w:rPr>
        <w:t>. For instance, compared with 1998, in 2004 mental health literacy including depression recognition increased considerably (Goldney, Fisher, Dal Grande, &amp; Taylor, 2005).</w:t>
      </w:r>
      <w:r w:rsidR="00812C87" w:rsidRPr="00476FC9">
        <w:rPr>
          <w:color w:val="000000" w:themeColor="text1"/>
          <w:szCs w:val="24"/>
        </w:rPr>
        <w:t xml:space="preserve"> In </w:t>
      </w:r>
      <w:r w:rsidR="00D2396C" w:rsidRPr="00476FC9">
        <w:rPr>
          <w:rFonts w:eastAsiaTheme="minorEastAsia" w:hint="eastAsia"/>
          <w:color w:val="000000" w:themeColor="text1"/>
          <w:szCs w:val="24"/>
        </w:rPr>
        <w:t>a similar vein</w:t>
      </w:r>
      <w:r w:rsidR="00812C87" w:rsidRPr="00476FC9">
        <w:rPr>
          <w:color w:val="000000" w:themeColor="text1"/>
          <w:szCs w:val="24"/>
        </w:rPr>
        <w:t xml:space="preserve">, the current research subjects show a reasonably good understanding of what clinical depression </w:t>
      </w:r>
      <w:r w:rsidR="008A3046" w:rsidRPr="00476FC9">
        <w:rPr>
          <w:color w:val="000000" w:themeColor="text1"/>
          <w:szCs w:val="24"/>
        </w:rPr>
        <w:t xml:space="preserve">is </w:t>
      </w:r>
      <w:r w:rsidR="00812C87" w:rsidRPr="00476FC9">
        <w:rPr>
          <w:color w:val="000000" w:themeColor="text1"/>
          <w:szCs w:val="24"/>
        </w:rPr>
        <w:t>through perceived familiarity, subjective knowledge, and perceived importance. Nevertheless, it is possible that many US consumers may not be able to clearly differentiate between clinical depression</w:t>
      </w:r>
      <w:r w:rsidR="008A3046" w:rsidRPr="00476FC9">
        <w:rPr>
          <w:color w:val="000000" w:themeColor="text1"/>
          <w:szCs w:val="24"/>
        </w:rPr>
        <w:t xml:space="preserve"> and short periods of sadness. Future re</w:t>
      </w:r>
      <w:r w:rsidR="00812C87" w:rsidRPr="00476FC9">
        <w:rPr>
          <w:color w:val="000000" w:themeColor="text1"/>
          <w:szCs w:val="24"/>
        </w:rPr>
        <w:t>search instruments could clarify what clinical depression is</w:t>
      </w:r>
      <w:r w:rsidR="008A3046" w:rsidRPr="00476FC9">
        <w:rPr>
          <w:color w:val="000000" w:themeColor="text1"/>
          <w:szCs w:val="24"/>
        </w:rPr>
        <w:t xml:space="preserve"> to provide a foundation </w:t>
      </w:r>
      <w:r w:rsidR="00010FB6" w:rsidRPr="00476FC9">
        <w:rPr>
          <w:color w:val="000000" w:themeColor="text1"/>
          <w:szCs w:val="24"/>
        </w:rPr>
        <w:t xml:space="preserve">to </w:t>
      </w:r>
      <w:r w:rsidR="008A3046" w:rsidRPr="00476FC9">
        <w:rPr>
          <w:color w:val="000000" w:themeColor="text1"/>
          <w:szCs w:val="24"/>
        </w:rPr>
        <w:t>research participants.</w:t>
      </w:r>
    </w:p>
    <w:p w:rsidR="0040499C" w:rsidRPr="00476FC9" w:rsidRDefault="00812C87" w:rsidP="007D2ACE">
      <w:pPr>
        <w:keepNext w:val="0"/>
        <w:widowControl w:val="0"/>
        <w:kinsoku w:val="0"/>
        <w:overflowPunct w:val="0"/>
        <w:autoSpaceDE w:val="0"/>
        <w:autoSpaceDN w:val="0"/>
        <w:adjustRightInd w:val="0"/>
        <w:snapToGrid w:val="0"/>
        <w:spacing w:before="0" w:after="0"/>
        <w:outlineLvl w:val="9"/>
        <w:rPr>
          <w:color w:val="000000" w:themeColor="text1"/>
          <w:szCs w:val="24"/>
        </w:rPr>
      </w:pPr>
      <w:r w:rsidRPr="00476FC9">
        <w:rPr>
          <w:color w:val="000000" w:themeColor="text1"/>
          <w:szCs w:val="24"/>
        </w:rPr>
        <w:tab/>
      </w:r>
      <w:r w:rsidR="0040499C" w:rsidRPr="00476FC9">
        <w:rPr>
          <w:color w:val="000000" w:themeColor="text1"/>
        </w:rPr>
        <w:br w:type="page"/>
      </w:r>
    </w:p>
    <w:p w:rsidR="009318F5" w:rsidRPr="00476FC9" w:rsidRDefault="009318F5" w:rsidP="007D2ACE">
      <w:pPr>
        <w:pStyle w:val="Heading1"/>
        <w:rPr>
          <w:color w:val="000000" w:themeColor="text1"/>
        </w:rPr>
      </w:pPr>
      <w:bookmarkStart w:id="65" w:name="_Toc393800696"/>
      <w:r w:rsidRPr="00476FC9">
        <w:rPr>
          <w:color w:val="000000" w:themeColor="text1"/>
        </w:rPr>
        <w:lastRenderedPageBreak/>
        <w:t>LIST OF REFERENCES</w:t>
      </w:r>
      <w:bookmarkEnd w:id="65"/>
    </w:p>
    <w:p w:rsidR="009318F5" w:rsidRPr="00476FC9" w:rsidRDefault="009318F5" w:rsidP="007D2ACE">
      <w:pPr>
        <w:keepNext w:val="0"/>
        <w:widowControl w:val="0"/>
        <w:kinsoku w:val="0"/>
        <w:overflowPunct w:val="0"/>
        <w:autoSpaceDE w:val="0"/>
        <w:autoSpaceDN w:val="0"/>
        <w:adjustRightInd w:val="0"/>
        <w:snapToGrid w:val="0"/>
        <w:rPr>
          <w:color w:val="000000" w:themeColor="text1"/>
          <w:szCs w:val="24"/>
        </w:rPr>
      </w:pPr>
      <w:r w:rsidRPr="00476FC9">
        <w:rPr>
          <w:color w:val="000000" w:themeColor="text1"/>
          <w:szCs w:val="24"/>
        </w:rPr>
        <w:br w:type="page"/>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lastRenderedPageBreak/>
        <w:t>Aiken, L. S., &amp; West, S. G. (1991). Multiple regression: Testing and interpreting interactions: Sage.</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Aikin, K. J., O’Donoghue, A. C., Swasy, J. L., &amp; Sullivan, H. W. (2011). Randomized trial of risk information formats in direct-to-consumer prescription drug advertisements. </w:t>
      </w:r>
      <w:r w:rsidRPr="00476FC9">
        <w:rPr>
          <w:i/>
          <w:color w:val="000000" w:themeColor="text1"/>
        </w:rPr>
        <w:t>Medical Decision Making, 31</w:t>
      </w:r>
      <w:r w:rsidRPr="00476FC9">
        <w:rPr>
          <w:color w:val="000000" w:themeColor="text1"/>
        </w:rPr>
        <w:t xml:space="preserve">(6), E23-E33. </w:t>
      </w:r>
    </w:p>
    <w:p w:rsidR="006C50CA" w:rsidRPr="00476FC9" w:rsidRDefault="006C50CA" w:rsidP="007D2ACE">
      <w:pPr>
        <w:keepNext w:val="0"/>
        <w:widowControl w:val="0"/>
        <w:kinsoku w:val="0"/>
        <w:overflowPunct w:val="0"/>
        <w:autoSpaceDE w:val="0"/>
        <w:autoSpaceDN w:val="0"/>
        <w:adjustRightInd w:val="0"/>
        <w:snapToGrid w:val="0"/>
        <w:ind w:left="720" w:hanging="720"/>
        <w:rPr>
          <w:rFonts w:eastAsiaTheme="minorEastAsia"/>
          <w:color w:val="000000" w:themeColor="text1"/>
        </w:rPr>
      </w:pPr>
      <w:r w:rsidRPr="00476FC9">
        <w:rPr>
          <w:color w:val="000000" w:themeColor="text1"/>
        </w:rPr>
        <w:t xml:space="preserve">Albert, W. (2002). </w:t>
      </w:r>
      <w:r w:rsidRPr="00476FC9">
        <w:rPr>
          <w:i/>
          <w:iCs/>
          <w:color w:val="000000" w:themeColor="text1"/>
        </w:rPr>
        <w:t>Do web users actually look at ads? A case study of banner ads and eye-tracking technology.</w:t>
      </w:r>
      <w:r w:rsidRPr="00476FC9">
        <w:rPr>
          <w:color w:val="000000" w:themeColor="text1"/>
        </w:rPr>
        <w:t xml:space="preserve"> Paper presented at the Proceedings of the 11th Annual Conference of the Usability Professionals’ Association.</w:t>
      </w:r>
    </w:p>
    <w:p w:rsidR="006C50CA" w:rsidRPr="00476FC9" w:rsidRDefault="006C50CA" w:rsidP="007D2ACE">
      <w:pPr>
        <w:keepNext w:val="0"/>
        <w:widowControl w:val="0"/>
        <w:kinsoku w:val="0"/>
        <w:overflowPunct w:val="0"/>
        <w:autoSpaceDE w:val="0"/>
        <w:autoSpaceDN w:val="0"/>
        <w:adjustRightInd w:val="0"/>
        <w:snapToGrid w:val="0"/>
        <w:ind w:left="720" w:hanging="720"/>
        <w:rPr>
          <w:rFonts w:eastAsiaTheme="minorEastAsia"/>
          <w:color w:val="000000" w:themeColor="text1"/>
        </w:rPr>
      </w:pPr>
      <w:r w:rsidRPr="00476FC9">
        <w:rPr>
          <w:color w:val="000000" w:themeColor="text1"/>
        </w:rPr>
        <w:t xml:space="preserve">Alwitt, L. F., Anderson, D. R., Lorch, E. P., &amp; Levin, S. R. (1980). Preschool children's visual attention to attributes of television. </w:t>
      </w:r>
      <w:r w:rsidRPr="00476FC9">
        <w:rPr>
          <w:i/>
          <w:iCs/>
          <w:color w:val="000000" w:themeColor="text1"/>
        </w:rPr>
        <w:t>Human Communication Research, 7</w:t>
      </w:r>
      <w:r w:rsidRPr="00476FC9">
        <w:rPr>
          <w:color w:val="000000" w:themeColor="text1"/>
        </w:rPr>
        <w:t xml:space="preserve">(1), 52-67.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Alba, J. W., &amp; Hutchinson, J. W. (1987). Dimensions of consumer expertise. </w:t>
      </w:r>
      <w:r w:rsidRPr="00476FC9">
        <w:rPr>
          <w:i/>
          <w:color w:val="000000" w:themeColor="text1"/>
        </w:rPr>
        <w:t xml:space="preserve">Journal of Consumer Research, </w:t>
      </w:r>
      <w:r w:rsidRPr="00476FC9">
        <w:rPr>
          <w:color w:val="000000" w:themeColor="text1"/>
        </w:rPr>
        <w:t>411-454.</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Alba, J. W., &amp; Hutchinson, J. W. (2000). Knowledge calibration: What consumers know and what they think they know. </w:t>
      </w:r>
      <w:r w:rsidRPr="00476FC9">
        <w:rPr>
          <w:i/>
          <w:color w:val="000000" w:themeColor="text1"/>
        </w:rPr>
        <w:t>Journal of Consumer Research, 27</w:t>
      </w:r>
      <w:r w:rsidRPr="00476FC9">
        <w:rPr>
          <w:color w:val="000000" w:themeColor="text1"/>
        </w:rPr>
        <w:t xml:space="preserve">(2), 123-156.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Almond, P. (2001). What is consumerism and has it had an impact on health visiting provision? A literature review. </w:t>
      </w:r>
      <w:r w:rsidRPr="00476FC9">
        <w:rPr>
          <w:i/>
          <w:color w:val="000000" w:themeColor="text1"/>
        </w:rPr>
        <w:t>Journal of advanced nursing, 35</w:t>
      </w:r>
      <w:r w:rsidRPr="00476FC9">
        <w:rPr>
          <w:color w:val="000000" w:themeColor="text1"/>
        </w:rPr>
        <w:t xml:space="preserve">(6), 893-901.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An, S. (2007). Attitude toward direct-to-consumer advertising and drug inquiry intention: The moderating role of perceived knowledge. </w:t>
      </w:r>
      <w:r w:rsidRPr="00476FC9">
        <w:rPr>
          <w:i/>
          <w:color w:val="000000" w:themeColor="text1"/>
        </w:rPr>
        <w:t>Journal of Health Communication, 12</w:t>
      </w:r>
      <w:r w:rsidRPr="00476FC9">
        <w:rPr>
          <w:color w:val="000000" w:themeColor="text1"/>
        </w:rPr>
        <w:t xml:space="preserve">(6), 567-580.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lastRenderedPageBreak/>
        <w:t xml:space="preserve">An, S., Jin, H. S., &amp; Brown, J. D. (2009). Direct-to-consumer antidepressant ads and young adults' beliefs about depression. </w:t>
      </w:r>
      <w:r w:rsidRPr="00476FC9">
        <w:rPr>
          <w:i/>
          <w:color w:val="000000" w:themeColor="text1"/>
        </w:rPr>
        <w:t>Health marketing quarterly, 26</w:t>
      </w:r>
      <w:r w:rsidRPr="00476FC9">
        <w:rPr>
          <w:color w:val="000000" w:themeColor="text1"/>
        </w:rPr>
        <w:t xml:space="preserve">(4), 259-278.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An, S., &amp; Kang, H. (2011). Stigma-reducing components in direct-to-consumer prescription ads: Onset controllability, offset controllability, and recategorization. H</w:t>
      </w:r>
      <w:r w:rsidRPr="00476FC9">
        <w:rPr>
          <w:i/>
          <w:color w:val="000000" w:themeColor="text1"/>
        </w:rPr>
        <w:t>ealth Communication, 26</w:t>
      </w:r>
      <w:r w:rsidRPr="00476FC9">
        <w:rPr>
          <w:color w:val="000000" w:themeColor="text1"/>
        </w:rPr>
        <w:t>(5), 468-478.</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An, S., &amp; Muturi, N. (2011). Subjective Health Literacy and Older Adults' Assessment of Direct-to-Consumer Prescription Drug Ads. </w:t>
      </w:r>
      <w:r w:rsidRPr="00476FC9">
        <w:rPr>
          <w:i/>
          <w:color w:val="000000" w:themeColor="text1"/>
        </w:rPr>
        <w:t>Journal of Health Communication, 16</w:t>
      </w:r>
      <w:r w:rsidRPr="00476FC9">
        <w:rPr>
          <w:color w:val="000000" w:themeColor="text1"/>
        </w:rPr>
        <w:t>(sup3), 242-255.</w:t>
      </w:r>
    </w:p>
    <w:p w:rsidR="006C50CA" w:rsidRPr="00476FC9" w:rsidRDefault="006C50CA" w:rsidP="007D2ACE">
      <w:pPr>
        <w:keepNext w:val="0"/>
        <w:widowControl w:val="0"/>
        <w:kinsoku w:val="0"/>
        <w:overflowPunct w:val="0"/>
        <w:autoSpaceDE w:val="0"/>
        <w:autoSpaceDN w:val="0"/>
        <w:adjustRightInd w:val="0"/>
        <w:snapToGrid w:val="0"/>
        <w:ind w:left="720" w:hanging="720"/>
        <w:rPr>
          <w:i/>
          <w:color w:val="000000" w:themeColor="text1"/>
        </w:rPr>
      </w:pPr>
      <w:r w:rsidRPr="00476FC9">
        <w:rPr>
          <w:color w:val="000000" w:themeColor="text1"/>
        </w:rPr>
        <w:t>Andrews, C. (1998). Warnings and disclosures: special editor’s note</w:t>
      </w:r>
      <w:r w:rsidRPr="00476FC9">
        <w:rPr>
          <w:i/>
          <w:color w:val="000000" w:themeColor="text1"/>
        </w:rPr>
        <w:t>. Journal of Public Policy and Marketing.</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Andrews, J. C. (2011). Warnings and disclosures. Communicating Risks and Benefits: An Evidence-Based User’s Guide.</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Andrews, J. C., Burton, S., &amp; Netemeyer, R. G. (2000). Are some comparative nutrition claims misleading? The role of nutrition knowledge, ad claim type and disclosure conditions. </w:t>
      </w:r>
      <w:r w:rsidRPr="00476FC9">
        <w:rPr>
          <w:i/>
          <w:color w:val="000000" w:themeColor="text1"/>
        </w:rPr>
        <w:t>Journal of Advertising, 29</w:t>
      </w:r>
      <w:r w:rsidRPr="00476FC9">
        <w:rPr>
          <w:color w:val="000000" w:themeColor="text1"/>
        </w:rPr>
        <w:t xml:space="preserve">(3), 29-42.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Andrews, J. C., Netemeyer, R. G., &amp; Burton, S. (2009). The nutrition elite: do only the highest levels of caloric knowledge, obesity knowledge, and motivation matter in processing nutrition ad claims and disclosures? </w:t>
      </w:r>
      <w:r w:rsidRPr="00476FC9">
        <w:rPr>
          <w:i/>
          <w:color w:val="000000" w:themeColor="text1"/>
        </w:rPr>
        <w:t>Journal of Public Policy &amp; Marketing, 28</w:t>
      </w:r>
      <w:r w:rsidRPr="00476FC9">
        <w:rPr>
          <w:color w:val="000000" w:themeColor="text1"/>
        </w:rPr>
        <w:t>(1), 41-55.</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Anolli, L., Balconi, M., &amp; Ciceri, R. (2002). Deceptive miscommunication theory (DeMiT): A </w:t>
      </w:r>
      <w:r w:rsidRPr="00476FC9">
        <w:rPr>
          <w:color w:val="000000" w:themeColor="text1"/>
        </w:rPr>
        <w:lastRenderedPageBreak/>
        <w:t xml:space="preserve">new model for the analysis of deceptive communication. </w:t>
      </w:r>
      <w:r w:rsidRPr="00476FC9">
        <w:rPr>
          <w:i/>
          <w:color w:val="000000" w:themeColor="text1"/>
        </w:rPr>
        <w:t>Emerging Communication, 3</w:t>
      </w:r>
      <w:r w:rsidRPr="00476FC9">
        <w:rPr>
          <w:color w:val="000000" w:themeColor="text1"/>
        </w:rPr>
        <w:t xml:space="preserve">, 73-100.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Argo, J. J., &amp; Main, K. J. (2004). Meta-analyses of the effectiveness of warning labels. </w:t>
      </w:r>
      <w:r w:rsidRPr="00476FC9">
        <w:rPr>
          <w:i/>
          <w:color w:val="000000" w:themeColor="text1"/>
        </w:rPr>
        <w:t xml:space="preserve">Journal of Public Policy &amp; Marketing, </w:t>
      </w:r>
      <w:r w:rsidRPr="00476FC9">
        <w:rPr>
          <w:color w:val="000000" w:themeColor="text1"/>
        </w:rPr>
        <w:t xml:space="preserve">193-208.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Aronson, E., &amp; Carlsmith, J. M. (1968). Experimentation in social psychology. </w:t>
      </w:r>
      <w:r w:rsidRPr="00476FC9">
        <w:rPr>
          <w:i/>
          <w:iCs/>
          <w:color w:val="000000" w:themeColor="text1"/>
        </w:rPr>
        <w:t>The handbook of social psychology, 2</w:t>
      </w:r>
      <w:r w:rsidRPr="00476FC9">
        <w:rPr>
          <w:color w:val="000000" w:themeColor="text1"/>
        </w:rPr>
        <w:t xml:space="preserve">(2), 1-79.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Artz, N., &amp; Tybout, A. M. (1999). The moderating impact of quantitative information on the relationship between source credibility and persuasion: A persuasion knowledge model interpretation. </w:t>
      </w:r>
      <w:r w:rsidRPr="00476FC9">
        <w:rPr>
          <w:i/>
          <w:color w:val="000000" w:themeColor="text1"/>
        </w:rPr>
        <w:t>Marketing Letters, 10</w:t>
      </w:r>
      <w:r w:rsidRPr="00476FC9">
        <w:rPr>
          <w:color w:val="000000" w:themeColor="text1"/>
        </w:rPr>
        <w:t xml:space="preserve">(1), 51-63.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Auton, F. (2007). The patient as consumer: The advertising of pharmaceuticals directly to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ab/>
        <w:t xml:space="preserve">consumers should be allowed and encouraged. </w:t>
      </w:r>
      <w:r w:rsidRPr="00476FC9">
        <w:rPr>
          <w:i/>
          <w:color w:val="000000" w:themeColor="text1"/>
        </w:rPr>
        <w:t>Institute of Economic Affairs</w:t>
      </w:r>
      <w:r w:rsidRPr="00476FC9">
        <w:rPr>
          <w:color w:val="000000" w:themeColor="text1"/>
        </w:rPr>
        <w:t>, June, 2007. 64-72.</w:t>
      </w:r>
    </w:p>
    <w:p w:rsidR="006C50CA" w:rsidRPr="00476FC9" w:rsidRDefault="006C50CA" w:rsidP="007D2ACE">
      <w:pPr>
        <w:keepNext w:val="0"/>
        <w:widowControl w:val="0"/>
        <w:kinsoku w:val="0"/>
        <w:overflowPunct w:val="0"/>
        <w:autoSpaceDE w:val="0"/>
        <w:autoSpaceDN w:val="0"/>
        <w:adjustRightInd w:val="0"/>
        <w:snapToGrid w:val="0"/>
        <w:ind w:left="720" w:hanging="720"/>
        <w:rPr>
          <w:i/>
          <w:color w:val="000000" w:themeColor="text1"/>
        </w:rPr>
      </w:pPr>
      <w:r w:rsidRPr="00476FC9">
        <w:rPr>
          <w:color w:val="000000" w:themeColor="text1"/>
        </w:rPr>
        <w:t xml:space="preserve">Avery, R. J., Eisenberg, M., &amp; Simon, K. I. (2012). The impact of direct-to-consumer television and magazine advertising on antidepressant use. </w:t>
      </w:r>
      <w:r w:rsidRPr="00476FC9">
        <w:rPr>
          <w:i/>
          <w:color w:val="000000" w:themeColor="text1"/>
        </w:rPr>
        <w:t xml:space="preserve">Journal of Health Economics.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Baer, H., Allen, S., &amp; Braun, L. (2000). Knowledge of human papillomavirus infection among young adult men and women: implications for health education and research. </w:t>
      </w:r>
      <w:r w:rsidRPr="00476FC9">
        <w:rPr>
          <w:i/>
          <w:color w:val="000000" w:themeColor="text1"/>
        </w:rPr>
        <w:t>Journal of Community Health, 25</w:t>
      </w:r>
      <w:r w:rsidRPr="00476FC9">
        <w:rPr>
          <w:color w:val="000000" w:themeColor="text1"/>
        </w:rPr>
        <w:t xml:space="preserve">(1), 67-78.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Baron, R. M., &amp; Kenny, D. A. (1986). The moderator-mediator variable distinctionin social </w:t>
      </w:r>
      <w:r w:rsidRPr="00476FC9">
        <w:rPr>
          <w:color w:val="000000" w:themeColor="text1"/>
        </w:rPr>
        <w:lastRenderedPageBreak/>
        <w:t xml:space="preserve">psychological research: Conceptual, strategic, and statisticalconsiderations. </w:t>
      </w:r>
      <w:r w:rsidRPr="00476FC9">
        <w:rPr>
          <w:i/>
          <w:color w:val="000000" w:themeColor="text1"/>
        </w:rPr>
        <w:t>Journal of Personality and Social Psychology, 51</w:t>
      </w:r>
      <w:r w:rsidRPr="00476FC9">
        <w:rPr>
          <w:color w:val="000000" w:themeColor="text1"/>
        </w:rPr>
        <w:t xml:space="preserve">(6), 1173-1182.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Beatty, S. E., &amp; Smith, S. M. (1987). External search effort: An investigation across several product categories. </w:t>
      </w:r>
      <w:r w:rsidRPr="00476FC9">
        <w:rPr>
          <w:i/>
          <w:iCs/>
          <w:color w:val="000000" w:themeColor="text1"/>
        </w:rPr>
        <w:t>Journal of Consumer research</w:t>
      </w:r>
      <w:r w:rsidRPr="00476FC9">
        <w:rPr>
          <w:color w:val="000000" w:themeColor="text1"/>
        </w:rPr>
        <w:t xml:space="preserve">, 83-95. </w:t>
      </w:r>
    </w:p>
    <w:p w:rsidR="00F00FAD" w:rsidRPr="00476FC9" w:rsidRDefault="00F00FAD"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Bell, R. A., Kravitz, R. L., &amp; Wilkes, M. S. (1999). Direct-to-consumer prescription drug advertising and the public. </w:t>
      </w:r>
      <w:r w:rsidRPr="00476FC9">
        <w:rPr>
          <w:i/>
          <w:color w:val="000000" w:themeColor="text1"/>
        </w:rPr>
        <w:t>Journal of Gen Intern Med, 14</w:t>
      </w:r>
      <w:r w:rsidRPr="00476FC9">
        <w:rPr>
          <w:color w:val="000000" w:themeColor="text1"/>
        </w:rPr>
        <w:t>, 651-657.</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Beltramini, R. (2006). Consumer believability of information in direct-to-consumer (DTC) advertising of prescription drugs. </w:t>
      </w:r>
      <w:r w:rsidRPr="00476FC9">
        <w:rPr>
          <w:i/>
          <w:color w:val="000000" w:themeColor="text1"/>
        </w:rPr>
        <w:t>Journal of Business Ethics, 63</w:t>
      </w:r>
      <w:r w:rsidRPr="00476FC9">
        <w:rPr>
          <w:color w:val="000000" w:themeColor="text1"/>
        </w:rPr>
        <w:t xml:space="preserve">(4), 333-343.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Beltramini, R. F. (2010). DTC Advertising's Programmatic Research and Its Effect on Health Communication. </w:t>
      </w:r>
      <w:r w:rsidRPr="00476FC9">
        <w:rPr>
          <w:i/>
          <w:color w:val="000000" w:themeColor="text1"/>
        </w:rPr>
        <w:t>Health Communication, 25</w:t>
      </w:r>
      <w:r w:rsidRPr="00476FC9">
        <w:rPr>
          <w:color w:val="000000" w:themeColor="text1"/>
        </w:rPr>
        <w:t>(6-7), 574-575.</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Bettman, J. R. (1975). Issues in designing consumer information environments. </w:t>
      </w:r>
      <w:r w:rsidRPr="00476FC9">
        <w:rPr>
          <w:i/>
          <w:color w:val="000000" w:themeColor="text1"/>
        </w:rPr>
        <w:t>Journal of Consumer Research,</w:t>
      </w:r>
      <w:r w:rsidRPr="00476FC9">
        <w:rPr>
          <w:color w:val="000000" w:themeColor="text1"/>
        </w:rPr>
        <w:t xml:space="preserve"> 169-177.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Bettman, J. R. (1979). Memory Factors in Consumer Choice: A Review. </w:t>
      </w:r>
      <w:r w:rsidRPr="00476FC9">
        <w:rPr>
          <w:i/>
          <w:color w:val="000000" w:themeColor="text1"/>
        </w:rPr>
        <w:t>Journal of Marketing, 43</w:t>
      </w:r>
      <w:r w:rsidRPr="00476FC9">
        <w:rPr>
          <w:color w:val="000000" w:themeColor="text1"/>
        </w:rPr>
        <w:t xml:space="preserve">(2).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Bettman, J. R., &amp; Kakkar, P. (1977). Effects of information presentation format on consumer information acquisition strategies. </w:t>
      </w:r>
      <w:r w:rsidRPr="00476FC9">
        <w:rPr>
          <w:i/>
          <w:color w:val="000000" w:themeColor="text1"/>
        </w:rPr>
        <w:t>Journal of Consumer research, 3</w:t>
      </w:r>
      <w:r w:rsidRPr="00476FC9">
        <w:rPr>
          <w:color w:val="000000" w:themeColor="text1"/>
        </w:rPr>
        <w:t xml:space="preserve">(4), 233.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 Bettman, J. R., &amp; Zins, M. A. (1979). Information format and choice task effects in decision making. </w:t>
      </w:r>
      <w:r w:rsidRPr="00476FC9">
        <w:rPr>
          <w:i/>
          <w:color w:val="000000" w:themeColor="text1"/>
        </w:rPr>
        <w:t>Journal of Consumer Research,</w:t>
      </w:r>
      <w:r w:rsidRPr="00476FC9">
        <w:rPr>
          <w:color w:val="000000" w:themeColor="text1"/>
        </w:rPr>
        <w:t xml:space="preserve"> 141-153.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lastRenderedPageBreak/>
        <w:t xml:space="preserve">Bettman, J. R., Payne, J. W., &amp; Staelin, R. (1986). Cognitive considerations in designing effective labels for presenting risk information. </w:t>
      </w:r>
      <w:r w:rsidRPr="00476FC9">
        <w:rPr>
          <w:i/>
          <w:color w:val="000000" w:themeColor="text1"/>
        </w:rPr>
        <w:t>Journal of Public Policy &amp; Marketing,</w:t>
      </w:r>
      <w:r w:rsidRPr="00476FC9">
        <w:rPr>
          <w:color w:val="000000" w:themeColor="text1"/>
        </w:rPr>
        <w:t xml:space="preserve"> 1-28.</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Bhutada, N. S., Cook, C. L., &amp; Perri, M. (2009). Consumers Responses to Coupons in Direct-to-Consumer Advertising of Prescription Drugs. </w:t>
      </w:r>
      <w:r w:rsidRPr="00476FC9">
        <w:rPr>
          <w:i/>
          <w:color w:val="000000" w:themeColor="text1"/>
        </w:rPr>
        <w:t>Health marketing quarterly, 26</w:t>
      </w:r>
      <w:r w:rsidRPr="00476FC9">
        <w:rPr>
          <w:color w:val="000000" w:themeColor="text1"/>
        </w:rPr>
        <w:t xml:space="preserve">(4), 333-346.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Boush, D. M., Friestad, M., &amp; Wright, P. (2009). Deception in the marketplace: The psychology of deceptive persuasion and consumer self-protection: Routledge Academic.</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Brucks, M. (1985). The effects of product class knowledge on information search behavior. </w:t>
      </w:r>
      <w:r w:rsidRPr="00476FC9">
        <w:rPr>
          <w:i/>
          <w:iCs/>
          <w:color w:val="000000" w:themeColor="text1"/>
        </w:rPr>
        <w:t>Journal of Consumer research</w:t>
      </w:r>
      <w:r w:rsidRPr="00476FC9">
        <w:rPr>
          <w:color w:val="000000" w:themeColor="text1"/>
        </w:rPr>
        <w:t xml:space="preserve">, 1-16.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Calfee, J. E. (2002). Public policy issues in direct-to-consumer advertising of prescription drugs. </w:t>
      </w:r>
      <w:r w:rsidRPr="00476FC9">
        <w:rPr>
          <w:i/>
          <w:color w:val="000000" w:themeColor="text1"/>
        </w:rPr>
        <w:t>Journal of Public Policy &amp; Marketing</w:t>
      </w:r>
      <w:r w:rsidRPr="00476FC9">
        <w:rPr>
          <w:color w:val="000000" w:themeColor="text1"/>
        </w:rPr>
        <w:t xml:space="preserve">, 174-193.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Carpenter, C. J. (2010). A meta-analysis of the effectiveness of health belief model variables in predicting behavior. </w:t>
      </w:r>
      <w:r w:rsidRPr="00476FC9">
        <w:rPr>
          <w:i/>
          <w:color w:val="000000" w:themeColor="text1"/>
        </w:rPr>
        <w:t>Health communication, 25</w:t>
      </w:r>
      <w:r w:rsidRPr="00476FC9">
        <w:rPr>
          <w:color w:val="000000" w:themeColor="text1"/>
        </w:rPr>
        <w:t xml:space="preserve">(8), 661-669.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Cauberghe, V., &amp; De Pelsmacker, P. (2010). Advergames. </w:t>
      </w:r>
      <w:r w:rsidRPr="00476FC9">
        <w:rPr>
          <w:i/>
          <w:color w:val="000000" w:themeColor="text1"/>
        </w:rPr>
        <w:t>Journal of Advertising, 39</w:t>
      </w:r>
      <w:r w:rsidRPr="00476FC9">
        <w:rPr>
          <w:color w:val="000000" w:themeColor="text1"/>
        </w:rPr>
        <w:t>(1), 5-18.</w:t>
      </w:r>
    </w:p>
    <w:p w:rsidR="006C50CA" w:rsidRPr="00476FC9" w:rsidRDefault="006C50CA" w:rsidP="007D2ACE">
      <w:pPr>
        <w:keepNext w:val="0"/>
        <w:widowControl w:val="0"/>
        <w:kinsoku w:val="0"/>
        <w:overflowPunct w:val="0"/>
        <w:autoSpaceDE w:val="0"/>
        <w:autoSpaceDN w:val="0"/>
        <w:adjustRightInd w:val="0"/>
        <w:snapToGrid w:val="0"/>
        <w:ind w:left="720" w:hanging="720"/>
        <w:rPr>
          <w:rFonts w:eastAsiaTheme="minorEastAsia"/>
          <w:color w:val="000000" w:themeColor="text1"/>
        </w:rPr>
      </w:pPr>
      <w:r w:rsidRPr="00476FC9">
        <w:rPr>
          <w:color w:val="000000" w:themeColor="text1"/>
        </w:rPr>
        <w:t>Centers for Disease Control and Prevention. (201</w:t>
      </w:r>
      <w:r w:rsidRPr="00476FC9">
        <w:rPr>
          <w:rFonts w:eastAsiaTheme="minorEastAsia" w:hint="eastAsia"/>
          <w:color w:val="000000" w:themeColor="text1"/>
        </w:rPr>
        <w:t>0</w:t>
      </w:r>
      <w:r w:rsidRPr="00476FC9">
        <w:rPr>
          <w:color w:val="000000" w:themeColor="text1"/>
        </w:rPr>
        <w:t>).</w:t>
      </w:r>
      <w:r w:rsidRPr="00476FC9">
        <w:rPr>
          <w:rFonts w:eastAsiaTheme="minorEastAsia" w:hint="eastAsia"/>
          <w:color w:val="000000" w:themeColor="text1"/>
        </w:rPr>
        <w:t xml:space="preserve"> Current depression among adults: United States, 2006-2008.</w:t>
      </w:r>
      <w:r w:rsidRPr="00476FC9">
        <w:rPr>
          <w:color w:val="000000" w:themeColor="text1"/>
        </w:rPr>
        <w:t xml:space="preserve"> </w:t>
      </w:r>
      <w:r w:rsidRPr="00476FC9">
        <w:rPr>
          <w:rFonts w:eastAsiaTheme="minorEastAsia" w:hint="eastAsia"/>
          <w:color w:val="000000" w:themeColor="text1"/>
        </w:rPr>
        <w:t xml:space="preserve">Retrieved from </w:t>
      </w:r>
      <w:r w:rsidRPr="00476FC9">
        <w:rPr>
          <w:rFonts w:eastAsiaTheme="minorEastAsia"/>
          <w:color w:val="000000" w:themeColor="text1"/>
        </w:rPr>
        <w:t>http://www.cdc.gov/mmwr/preview/mmwrhtml/mm5938a2.htm?s_cid=mm5938a2_e%0d%0a</w:t>
      </w:r>
      <w:r w:rsidRPr="00476FC9">
        <w:rPr>
          <w:rFonts w:eastAsiaTheme="minorEastAsia" w:hint="eastAsia"/>
          <w:color w:val="000000" w:themeColor="text1"/>
        </w:rPr>
        <w:t>.</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lastRenderedPageBreak/>
        <w:t>Centers for Disease Control and Prevention. (2014). Prevalence of current depression among persons aged ≥ 12 years, by age group and sex – United States, National Health and Nutrition Examination Survey, 2007-2010. Retrieved from http://www.cdc.gov/mmwr/preview/mmwrhtml/mm6051a7.htm?s_cid=mm6051a7_w.</w:t>
      </w:r>
    </w:p>
    <w:p w:rsidR="006C50CA" w:rsidRPr="00476FC9" w:rsidRDefault="006C50CA" w:rsidP="007D2ACE">
      <w:pPr>
        <w:keepNext w:val="0"/>
        <w:widowControl w:val="0"/>
        <w:kinsoku w:val="0"/>
        <w:overflowPunct w:val="0"/>
        <w:autoSpaceDE w:val="0"/>
        <w:autoSpaceDN w:val="0"/>
        <w:adjustRightInd w:val="0"/>
        <w:snapToGrid w:val="0"/>
        <w:ind w:left="720" w:hanging="720"/>
        <w:rPr>
          <w:rFonts w:eastAsiaTheme="minorEastAsia"/>
          <w:color w:val="000000" w:themeColor="text1"/>
        </w:rPr>
      </w:pPr>
      <w:r w:rsidRPr="00476FC9">
        <w:rPr>
          <w:color w:val="000000" w:themeColor="text1"/>
        </w:rPr>
        <w:t xml:space="preserve">Chaffee, S. H., &amp; Schleuder, J. (1986). Measurement and effects of attention to media news. </w:t>
      </w:r>
      <w:r w:rsidRPr="00476FC9">
        <w:rPr>
          <w:i/>
          <w:iCs/>
          <w:color w:val="000000" w:themeColor="text1"/>
        </w:rPr>
        <w:t>Human Communication Research, 13</w:t>
      </w:r>
      <w:r w:rsidRPr="00476FC9">
        <w:rPr>
          <w:color w:val="000000" w:themeColor="text1"/>
        </w:rPr>
        <w:t xml:space="preserve">(1), 76-107.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Chang, C. (2008). Increasing mental health literacy via narrative advertising. </w:t>
      </w:r>
      <w:r w:rsidRPr="00476FC9">
        <w:rPr>
          <w:i/>
          <w:color w:val="000000" w:themeColor="text1"/>
        </w:rPr>
        <w:t>Journal of health Communication, 13</w:t>
      </w:r>
      <w:r w:rsidRPr="00476FC9">
        <w:rPr>
          <w:color w:val="000000" w:themeColor="text1"/>
        </w:rPr>
        <w:t xml:space="preserve">(1), 37-55.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Collins, R. L., Taylor, S. E., Wood, J. V., &amp; Thompson, S. C. (1988). The vividness effect: Elusive or illusory? </w:t>
      </w:r>
      <w:r w:rsidRPr="00476FC9">
        <w:rPr>
          <w:i/>
          <w:color w:val="000000" w:themeColor="text1"/>
        </w:rPr>
        <w:t>Journal of Experimental Social Psychology, 24</w:t>
      </w:r>
      <w:r w:rsidRPr="00476FC9">
        <w:rPr>
          <w:color w:val="000000" w:themeColor="text1"/>
        </w:rPr>
        <w:t>, 1–18.</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Cook, M. P. (2006). Visual representations in science education: The influence of prior knowledge and cognitive load theory on instructional design principles. </w:t>
      </w:r>
      <w:r w:rsidRPr="00476FC9">
        <w:rPr>
          <w:i/>
          <w:color w:val="000000" w:themeColor="text1"/>
        </w:rPr>
        <w:t>Science education, 90</w:t>
      </w:r>
      <w:r w:rsidRPr="00476FC9">
        <w:rPr>
          <w:color w:val="000000" w:themeColor="text1"/>
        </w:rPr>
        <w:t xml:space="preserve">(6), 1073-1091.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Cowley, E., &amp; Barron, C. (2008). When product placement goes wrong: The effects of program liking and placement prominence. </w:t>
      </w:r>
      <w:r w:rsidRPr="00476FC9">
        <w:rPr>
          <w:i/>
          <w:color w:val="000000" w:themeColor="text1"/>
        </w:rPr>
        <w:t>Journal of Advertising, 37</w:t>
      </w:r>
      <w:r w:rsidRPr="00476FC9">
        <w:rPr>
          <w:color w:val="000000" w:themeColor="text1"/>
        </w:rPr>
        <w:t xml:space="preserve">(1), 89-98.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Cox, A. D., Cox, D., &amp; Mantel, S. P. (2010). Consumer Response to Drug Risk Information:The Role of Positive Affect. </w:t>
      </w:r>
      <w:r w:rsidRPr="00476FC9">
        <w:rPr>
          <w:i/>
          <w:color w:val="000000" w:themeColor="text1"/>
        </w:rPr>
        <w:t>Journal of Marketing, 74</w:t>
      </w:r>
      <w:r w:rsidRPr="00476FC9">
        <w:rPr>
          <w:color w:val="000000" w:themeColor="text1"/>
        </w:rPr>
        <w:t>(4), 31-44.</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Cox, A. D., Cox, D., &amp; Zimet, G. (2006). Understanding consumer responses to product risk information. </w:t>
      </w:r>
      <w:r w:rsidRPr="00476FC9">
        <w:rPr>
          <w:i/>
          <w:color w:val="000000" w:themeColor="text1"/>
        </w:rPr>
        <w:t>Journal of Marketing, 70</w:t>
      </w:r>
      <w:r w:rsidRPr="00476FC9">
        <w:rPr>
          <w:color w:val="000000" w:themeColor="text1"/>
        </w:rPr>
        <w:t xml:space="preserve">(1), 79-91.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lastRenderedPageBreak/>
        <w:t xml:space="preserve">Crowley, A. E., &amp; Hoyer, W. D. (1994). An integrative framework for understanding two-sided persuasion. </w:t>
      </w:r>
      <w:r w:rsidRPr="00476FC9">
        <w:rPr>
          <w:i/>
          <w:color w:val="000000" w:themeColor="text1"/>
        </w:rPr>
        <w:t>Journal of Consumer research, 20</w:t>
      </w:r>
      <w:r w:rsidRPr="00476FC9">
        <w:rPr>
          <w:color w:val="000000" w:themeColor="text1"/>
        </w:rPr>
        <w:t xml:space="preserve">(4), 561-574.. </w:t>
      </w:r>
    </w:p>
    <w:p w:rsidR="006C50CA" w:rsidRPr="00476FC9" w:rsidRDefault="006C50CA" w:rsidP="007D2ACE">
      <w:pPr>
        <w:keepNext w:val="0"/>
        <w:widowControl w:val="0"/>
        <w:kinsoku w:val="0"/>
        <w:overflowPunct w:val="0"/>
        <w:autoSpaceDE w:val="0"/>
        <w:autoSpaceDN w:val="0"/>
        <w:adjustRightInd w:val="0"/>
        <w:snapToGrid w:val="0"/>
        <w:ind w:left="720" w:hanging="720"/>
        <w:rPr>
          <w:rFonts w:eastAsiaTheme="minorEastAsia"/>
          <w:color w:val="000000" w:themeColor="text1"/>
        </w:rPr>
      </w:pPr>
      <w:r w:rsidRPr="00476FC9">
        <w:rPr>
          <w:color w:val="000000" w:themeColor="text1"/>
        </w:rPr>
        <w:t xml:space="preserve">Cutrell, E., &amp; Guan, Z. (2007). </w:t>
      </w:r>
      <w:r w:rsidRPr="00476FC9">
        <w:rPr>
          <w:i/>
          <w:iCs/>
          <w:color w:val="000000" w:themeColor="text1"/>
        </w:rPr>
        <w:t>What are you looking for?: an eye-tracking study of information usage in web search.</w:t>
      </w:r>
      <w:r w:rsidRPr="00476FC9">
        <w:rPr>
          <w:color w:val="000000" w:themeColor="text1"/>
        </w:rPr>
        <w:t xml:space="preserve"> Paper presented at the Proceedings of the SIGCHI conference on Human factors in computing systems.</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Darke, P. R., &amp; Ritchie, R. J. B. (2007). The defensive consumer: Advertising deception, defensive processing, and distrust. </w:t>
      </w:r>
      <w:r w:rsidRPr="00476FC9">
        <w:rPr>
          <w:i/>
          <w:color w:val="000000" w:themeColor="text1"/>
        </w:rPr>
        <w:t>Journal of Marketing Research, 44</w:t>
      </w:r>
      <w:r w:rsidRPr="00476FC9">
        <w:rPr>
          <w:color w:val="000000" w:themeColor="text1"/>
        </w:rPr>
        <w:t xml:space="preserve">(1), 114-127.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Davis, J. J. (2000). Riskier than we think? The relationship between risk statement completeness and perceptions of direct to consumer advertised prescription drugs. </w:t>
      </w:r>
      <w:r w:rsidRPr="00476FC9">
        <w:rPr>
          <w:i/>
          <w:color w:val="000000" w:themeColor="text1"/>
        </w:rPr>
        <w:t>Journal of Health Communication, 5</w:t>
      </w:r>
      <w:r w:rsidRPr="00476FC9">
        <w:rPr>
          <w:color w:val="000000" w:themeColor="text1"/>
        </w:rPr>
        <w:t xml:space="preserve">(4), 349-369. </w:t>
      </w:r>
    </w:p>
    <w:p w:rsidR="006C50CA" w:rsidRPr="00476FC9" w:rsidRDefault="006C50CA" w:rsidP="007D2ACE">
      <w:pPr>
        <w:keepNext w:val="0"/>
        <w:widowControl w:val="0"/>
        <w:kinsoku w:val="0"/>
        <w:overflowPunct w:val="0"/>
        <w:autoSpaceDE w:val="0"/>
        <w:autoSpaceDN w:val="0"/>
        <w:adjustRightInd w:val="0"/>
        <w:snapToGrid w:val="0"/>
        <w:ind w:left="720" w:hanging="720"/>
        <w:rPr>
          <w:rFonts w:eastAsiaTheme="minorEastAsia"/>
          <w:color w:val="000000" w:themeColor="text1"/>
        </w:rPr>
      </w:pPr>
      <w:r w:rsidRPr="00476FC9">
        <w:rPr>
          <w:color w:val="000000" w:themeColor="text1"/>
        </w:rPr>
        <w:t xml:space="preserve">Davis, J. E. (2006). Suffering, pharmaceutical advertising, and the face of mental illness. </w:t>
      </w:r>
      <w:r w:rsidRPr="00476FC9">
        <w:rPr>
          <w:i/>
          <w:iCs/>
          <w:color w:val="000000" w:themeColor="text1"/>
        </w:rPr>
        <w:t>HEDGEHOG REVIEW, 8</w:t>
      </w:r>
      <w:r w:rsidRPr="00476FC9">
        <w:rPr>
          <w:color w:val="000000" w:themeColor="text1"/>
        </w:rPr>
        <w:t xml:space="preserve">(3), 62.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Davis, J. J. (2007). Consumers’ preferences for the communication of risk information in drug advertising. </w:t>
      </w:r>
      <w:r w:rsidRPr="00476FC9">
        <w:rPr>
          <w:i/>
          <w:color w:val="000000" w:themeColor="text1"/>
        </w:rPr>
        <w:t>Health Affairs, 26</w:t>
      </w:r>
      <w:r w:rsidRPr="00476FC9">
        <w:rPr>
          <w:color w:val="000000" w:themeColor="text1"/>
        </w:rPr>
        <w:t xml:space="preserve">(3), 863-870.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Davis, J. J. (2010). The effect of placement and modality on the recall of information from pharmaceutical web sites. </w:t>
      </w:r>
      <w:r w:rsidRPr="00476FC9">
        <w:rPr>
          <w:i/>
          <w:color w:val="000000" w:themeColor="text1"/>
        </w:rPr>
        <w:t>Journal of Medical Marketing: Device, Diagnostic and Pharmaceutical Marketing, 10</w:t>
      </w:r>
      <w:r w:rsidRPr="00476FC9">
        <w:rPr>
          <w:color w:val="000000" w:themeColor="text1"/>
        </w:rPr>
        <w:t xml:space="preserve">(2), 99-114.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Davis, J. J., Cross, E., &amp; Crowley, J. (2007). Pharmaceutical websites and the communication of risk information. </w:t>
      </w:r>
      <w:r w:rsidRPr="00476FC9">
        <w:rPr>
          <w:i/>
          <w:color w:val="000000" w:themeColor="text1"/>
        </w:rPr>
        <w:t>Journal of health communication, 12</w:t>
      </w:r>
      <w:r w:rsidRPr="00476FC9">
        <w:rPr>
          <w:color w:val="000000" w:themeColor="text1"/>
        </w:rPr>
        <w:t xml:space="preserve">(1), 29-39.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lastRenderedPageBreak/>
        <w:t xml:space="preserve">Davis, J. J., &amp; Meader, A. (2009). Beyond content analysis: Assessing fair balance in DTC pharmaceutical advertising. </w:t>
      </w:r>
      <w:r w:rsidRPr="00476FC9">
        <w:rPr>
          <w:i/>
          <w:color w:val="000000" w:themeColor="text1"/>
        </w:rPr>
        <w:t>Journal of Medical Marketing: Device, Diagnostic and Pharmaceutical Marketing, 9</w:t>
      </w:r>
      <w:r w:rsidRPr="00476FC9">
        <w:rPr>
          <w:color w:val="000000" w:themeColor="text1"/>
        </w:rPr>
        <w:t xml:space="preserve">(1), 57-66.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DeLorme, D. E., Huh, J., &amp; Reid, L. N. (2009). Direct-to-consumer advertising skepticism and the use and perceived usefulness of prescription drug information sources. </w:t>
      </w:r>
      <w:r w:rsidRPr="00476FC9">
        <w:rPr>
          <w:i/>
          <w:iCs/>
          <w:color w:val="000000" w:themeColor="text1"/>
        </w:rPr>
        <w:t>Health marketing quarterly, 26</w:t>
      </w:r>
      <w:r w:rsidRPr="00476FC9">
        <w:rPr>
          <w:color w:val="000000" w:themeColor="text1"/>
        </w:rPr>
        <w:t xml:space="preserve">(4), 293-314.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Deshpande, R., &amp; Krishnan, S. (1981). A consumer based approach for establishing priorities in consumer information programs: implications for public policy. </w:t>
      </w:r>
      <w:r w:rsidRPr="00476FC9">
        <w:rPr>
          <w:i/>
          <w:color w:val="000000" w:themeColor="text1"/>
        </w:rPr>
        <w:t>Advances in consumer research, 8</w:t>
      </w:r>
      <w:r w:rsidRPr="00476FC9">
        <w:rPr>
          <w:color w:val="000000" w:themeColor="text1"/>
        </w:rPr>
        <w:t xml:space="preserve">(1).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Deshpande, A., Menon, A., Perri III, M., &amp; Zinkhan, G. (2004). Direct-to-consumer advertising and its utility in health care decision making: a consumer perspective. </w:t>
      </w:r>
      <w:r w:rsidRPr="00476FC9">
        <w:rPr>
          <w:i/>
          <w:color w:val="000000" w:themeColor="text1"/>
        </w:rPr>
        <w:t>Journal of Health Communication, 9</w:t>
      </w:r>
      <w:r w:rsidRPr="00476FC9">
        <w:rPr>
          <w:color w:val="000000" w:themeColor="text1"/>
        </w:rPr>
        <w:t xml:space="preserve">(6), 499-513.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DHHS. (2010). Fed Reg. 75, 59 (proposed Mar. 29, 2010) (to be codified at 21 C.F.R. pt. 202).</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Donohue, J. M., &amp; Berndt, E. R. (2004). Effects of direct-to-consumer advertising on medication choice: The case of antidepressants. </w:t>
      </w:r>
      <w:r w:rsidRPr="00476FC9">
        <w:rPr>
          <w:i/>
          <w:color w:val="000000" w:themeColor="text1"/>
        </w:rPr>
        <w:t>Journal of Public Policy and Marketing, 23</w:t>
      </w:r>
      <w:r w:rsidRPr="00476FC9">
        <w:rPr>
          <w:color w:val="000000" w:themeColor="text1"/>
        </w:rPr>
        <w:t xml:space="preserve">(2), 115-127.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Dutta-Bergman, M. J. (2004). Primary sources of health information: Comparisons in the domain of health attitudes, health cognitions, and health behaviors. </w:t>
      </w:r>
      <w:r w:rsidRPr="00476FC9">
        <w:rPr>
          <w:i/>
          <w:color w:val="000000" w:themeColor="text1"/>
        </w:rPr>
        <w:t>Health communication, 16</w:t>
      </w:r>
      <w:r w:rsidRPr="00476FC9">
        <w:rPr>
          <w:color w:val="000000" w:themeColor="text1"/>
        </w:rPr>
        <w:t>(3), 273-288.</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lastRenderedPageBreak/>
        <w:t xml:space="preserve">Dyer, R. F., &amp; Shimp, T. A. (1977). Enhancing the role of marketing research in public policy decision making. </w:t>
      </w:r>
      <w:r w:rsidRPr="00476FC9">
        <w:rPr>
          <w:i/>
          <w:color w:val="000000" w:themeColor="text1"/>
        </w:rPr>
        <w:t>The Journal of marketing</w:t>
      </w:r>
      <w:r w:rsidRPr="00476FC9">
        <w:rPr>
          <w:color w:val="000000" w:themeColor="text1"/>
        </w:rPr>
        <w:t xml:space="preserve">, 63-67. </w:t>
      </w:r>
    </w:p>
    <w:p w:rsidR="006C50CA" w:rsidRPr="00476FC9" w:rsidRDefault="006C50CA" w:rsidP="007D2ACE">
      <w:pPr>
        <w:keepNext w:val="0"/>
        <w:widowControl w:val="0"/>
        <w:kinsoku w:val="0"/>
        <w:overflowPunct w:val="0"/>
        <w:autoSpaceDE w:val="0"/>
        <w:autoSpaceDN w:val="0"/>
        <w:adjustRightInd w:val="0"/>
        <w:snapToGrid w:val="0"/>
        <w:ind w:left="720" w:hanging="720"/>
        <w:rPr>
          <w:rFonts w:eastAsiaTheme="minorEastAsia"/>
          <w:color w:val="000000" w:themeColor="text1"/>
        </w:rPr>
      </w:pPr>
      <w:r w:rsidRPr="00476FC9">
        <w:rPr>
          <w:color w:val="000000" w:themeColor="text1"/>
        </w:rPr>
        <w:t xml:space="preserve">Ekman, P., Liebert, R. M., Friesen, W. V., Harrison, R., Zlatchin, C., Malmstrom, E. J., &amp; Baron, R. A. (1972). Facial expressions of emotion while watching televised violence as predictors of subsequent aggression. </w:t>
      </w:r>
      <w:r w:rsidRPr="00476FC9">
        <w:rPr>
          <w:i/>
          <w:iCs/>
          <w:color w:val="000000" w:themeColor="text1"/>
        </w:rPr>
        <w:t>Television and social behavior, 5</w:t>
      </w:r>
      <w:r w:rsidRPr="00476FC9">
        <w:rPr>
          <w:color w:val="000000" w:themeColor="text1"/>
        </w:rPr>
        <w:t xml:space="preserve">, 22-58.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Eisend, M. (2006). Two-sided advertising: A meta-analysis. </w:t>
      </w:r>
      <w:r w:rsidRPr="00476FC9">
        <w:rPr>
          <w:i/>
          <w:color w:val="000000" w:themeColor="text1"/>
        </w:rPr>
        <w:t>International Journal of Research in Marketing, 23</w:t>
      </w:r>
      <w:r w:rsidRPr="00476FC9">
        <w:rPr>
          <w:color w:val="000000" w:themeColor="text1"/>
        </w:rPr>
        <w:t xml:space="preserve">(2), 187-198.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rFonts w:hint="eastAsia"/>
          <w:color w:val="000000" w:themeColor="text1"/>
        </w:rPr>
        <w:t>Eisend, M. (2010). Explaining the joint effect of source credibility and negativity of information in two</w:t>
      </w:r>
      <w:r w:rsidRPr="00476FC9">
        <w:rPr>
          <w:rFonts w:hint="eastAsia"/>
          <w:color w:val="000000" w:themeColor="text1"/>
        </w:rPr>
        <w:t>‐</w:t>
      </w:r>
      <w:r w:rsidRPr="00476FC9">
        <w:rPr>
          <w:rFonts w:hint="eastAsia"/>
          <w:color w:val="000000" w:themeColor="text1"/>
        </w:rPr>
        <w:t xml:space="preserve">sided messages. </w:t>
      </w:r>
      <w:r w:rsidRPr="00476FC9">
        <w:rPr>
          <w:rFonts w:hint="eastAsia"/>
          <w:i/>
          <w:color w:val="000000" w:themeColor="text1"/>
        </w:rPr>
        <w:t>Psychology &amp; Marketing, 27</w:t>
      </w:r>
      <w:r w:rsidRPr="00476FC9">
        <w:rPr>
          <w:rFonts w:hint="eastAsia"/>
          <w:color w:val="000000" w:themeColor="text1"/>
        </w:rPr>
        <w:t xml:space="preserve">(11), 1032-1049.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Ellen, P. S. (1994). Do we know what we need to know? Objective and subjective knowledge effects on pro-ecological behaviors. </w:t>
      </w:r>
      <w:r w:rsidRPr="00476FC9">
        <w:rPr>
          <w:i/>
          <w:iCs/>
          <w:color w:val="000000" w:themeColor="text1"/>
        </w:rPr>
        <w:t>journal of Business research, 30</w:t>
      </w:r>
      <w:r w:rsidRPr="00476FC9">
        <w:rPr>
          <w:color w:val="000000" w:themeColor="text1"/>
        </w:rPr>
        <w:t xml:space="preserve">(1), 43-52. </w:t>
      </w:r>
    </w:p>
    <w:p w:rsidR="006C50CA" w:rsidRPr="00476FC9" w:rsidRDefault="006C50CA" w:rsidP="007D2ACE">
      <w:pPr>
        <w:keepNext w:val="0"/>
        <w:widowControl w:val="0"/>
        <w:kinsoku w:val="0"/>
        <w:overflowPunct w:val="0"/>
        <w:autoSpaceDE w:val="0"/>
        <w:autoSpaceDN w:val="0"/>
        <w:adjustRightInd w:val="0"/>
        <w:snapToGrid w:val="0"/>
        <w:ind w:left="720" w:hanging="720"/>
        <w:rPr>
          <w:rFonts w:eastAsiaTheme="minorEastAsia"/>
          <w:color w:val="000000" w:themeColor="text1"/>
        </w:rPr>
      </w:pPr>
      <w:r w:rsidRPr="00476FC9">
        <w:rPr>
          <w:color w:val="000000" w:themeColor="text1"/>
        </w:rPr>
        <w:t>Engel, J. F., Blackwell, R. D., &amp; Miniard, P. W. (1990). Customer behavior: Hinsdale, IL: Dryden.</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 FDA. (2009). Guidance for industry: Presenting risk information in prescription drug and medical device promotion. Retrieved from http://www.fda.gov.</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FDA. (2014a). From the manufacturers’ mouth to your eyes: Direct to consumer advertising. Retrieved from http://www.fda.gov/Drugs/ResourcesForYou/SpecialFeatures/ucm319379.htm.</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lastRenderedPageBreak/>
        <w:t>FDA. (2014b). Be smart about prescription drug advertising: A guide for consumers. Retrieved from http://www.fda.gov/Drugs/ResourcesForYou/Consumers/PrescriptionDrugAdvertising/UCM076768.htm.</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FDA Prescription Drug Advertising Rule, 21 C.F.R. § 202. 1 (2012). Retrieved from http://www.fda.gov.</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Federal Food, Drug, &amp; Cosmetic Act (2006). Retrieved from http://www.gpo.gov/fdsys/pkg/USCODE-2006-title21/pdf/USCODE-2006-title21-chap9-subchapV-partA-sec352.pdf.</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Federal Trade Commission. (1984). FTC policy statement on deception, 103 F.T.C. 110, 174. Retrieved from http://www.ftc.gov/bcp/policystmt/ad-decept.htm.</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Fitzsimons, G. J. (2008). Editorial: Death to dichotomizing. </w:t>
      </w:r>
      <w:r w:rsidRPr="00476FC9">
        <w:rPr>
          <w:i/>
          <w:color w:val="000000" w:themeColor="text1"/>
        </w:rPr>
        <w:t>Journal of Consumer research, 35</w:t>
      </w:r>
      <w:r w:rsidRPr="00476FC9">
        <w:rPr>
          <w:color w:val="000000" w:themeColor="text1"/>
        </w:rPr>
        <w:t xml:space="preserve">(1), 5-8.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Flynn, L. R., &amp; Goldsmith, R. E. (1999). A short, reliable measure of subjective knowledge. </w:t>
      </w:r>
      <w:r w:rsidRPr="00476FC9">
        <w:rPr>
          <w:i/>
          <w:iCs/>
          <w:color w:val="000000" w:themeColor="text1"/>
        </w:rPr>
        <w:t>journal of Business research, 46</w:t>
      </w:r>
      <w:r w:rsidRPr="00476FC9">
        <w:rPr>
          <w:color w:val="000000" w:themeColor="text1"/>
        </w:rPr>
        <w:t xml:space="preserve">(1), 57-66.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Folkes, V. S. (1988). The availability heuristic and perceived risk. Journal of Consumer research.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Foxman, E. R., Muehling, D. D., &amp; Moore, P. A. (1988). Disclaimer footnotes in ads: Discrepancies between purpose and performance. </w:t>
      </w:r>
      <w:r w:rsidRPr="00476FC9">
        <w:rPr>
          <w:i/>
          <w:color w:val="000000" w:themeColor="text1"/>
        </w:rPr>
        <w:t>Journal of Public Policy &amp; Marketing,</w:t>
      </w:r>
      <w:r w:rsidRPr="00476FC9">
        <w:rPr>
          <w:color w:val="000000" w:themeColor="text1"/>
        </w:rPr>
        <w:t xml:space="preserve"> 127-137.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lastRenderedPageBreak/>
        <w:t xml:space="preserve">Franke, G. R., Huhmann, B. A., &amp; Mothersbaugh, D. L. (2004). Information content and consumer readership of print ads: a comparison of search and experience products. </w:t>
      </w:r>
      <w:r w:rsidRPr="00476FC9">
        <w:rPr>
          <w:i/>
          <w:color w:val="000000" w:themeColor="text1"/>
        </w:rPr>
        <w:t>Journal of the Academy of Marketing Science, 32</w:t>
      </w:r>
      <w:r w:rsidRPr="00476FC9">
        <w:rPr>
          <w:color w:val="000000" w:themeColor="text1"/>
        </w:rPr>
        <w:t xml:space="preserve">(1), 20-31.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Frey, K. P., &amp; Eagly, A. H. (1993). Vividness can undermine the persuasiveness of messages. </w:t>
      </w:r>
      <w:r w:rsidRPr="00476FC9">
        <w:rPr>
          <w:i/>
          <w:color w:val="000000" w:themeColor="text1"/>
        </w:rPr>
        <w:t>Journal of Personality and Social Psychology, 65</w:t>
      </w:r>
      <w:r w:rsidRPr="00476FC9">
        <w:rPr>
          <w:color w:val="000000" w:themeColor="text1"/>
        </w:rPr>
        <w:t>, 32–44.</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Friestad, M., &amp; Wright, P. (1994). The Persuasion Knowledge Model: How People Cope with Persuasion Attempts. </w:t>
      </w:r>
      <w:r w:rsidRPr="00476FC9">
        <w:rPr>
          <w:i/>
          <w:color w:val="000000" w:themeColor="text1"/>
        </w:rPr>
        <w:t>Journal of Consumer Research, 21</w:t>
      </w:r>
      <w:r w:rsidRPr="00476FC9">
        <w:rPr>
          <w:color w:val="000000" w:themeColor="text1"/>
        </w:rPr>
        <w:t xml:space="preserve">(1), 1-31.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Friestad, M., &amp; Wright, P. (1995). Persuasion knowledge: Lay people's and researchers' beliefs about the psychology of advertising. </w:t>
      </w:r>
      <w:r w:rsidRPr="00476FC9">
        <w:rPr>
          <w:i/>
          <w:color w:val="000000" w:themeColor="text1"/>
        </w:rPr>
        <w:t>Journal of Consumer research</w:t>
      </w:r>
      <w:r w:rsidRPr="00476FC9">
        <w:rPr>
          <w:color w:val="000000" w:themeColor="text1"/>
        </w:rPr>
        <w:t xml:space="preserve">, 62-74.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Friestad, M., &amp; Wright, P. (1999). Everyday persuasion knowledge. </w:t>
      </w:r>
      <w:r w:rsidRPr="00476FC9">
        <w:rPr>
          <w:i/>
          <w:color w:val="000000" w:themeColor="text1"/>
        </w:rPr>
        <w:t>Psychology &amp; Marketing, 16</w:t>
      </w:r>
      <w:r w:rsidRPr="00476FC9">
        <w:rPr>
          <w:color w:val="000000" w:themeColor="text1"/>
        </w:rPr>
        <w:t xml:space="preserve">(2), 185-194.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FTC. (1984). FTC policy statement on deception, 103, F.T.C. 110, 174. Retrieved from http://www.ftc.gov/ftc-policy-statement-on-deception.</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Gibbons, R., Brown, C., Hur, K., Marcus, S., Bhaumik, D., Erkens, J., . . . Mann, J. (2007). Early evidence on the effects of regulators’ suicidality warnings on SSRI prescriptions and suicide in children and adolescents. </w:t>
      </w:r>
      <w:r w:rsidRPr="00476FC9">
        <w:rPr>
          <w:i/>
          <w:color w:val="000000" w:themeColor="text1"/>
        </w:rPr>
        <w:t>American Journal of Psychiatry, 164</w:t>
      </w:r>
      <w:r w:rsidRPr="00476FC9">
        <w:rPr>
          <w:color w:val="000000" w:themeColor="text1"/>
        </w:rPr>
        <w:t>(9), 1356-1363.</w:t>
      </w:r>
    </w:p>
    <w:p w:rsidR="006C50CA" w:rsidRPr="00476FC9" w:rsidRDefault="006C50CA" w:rsidP="007D2ACE">
      <w:pPr>
        <w:keepNext w:val="0"/>
        <w:widowControl w:val="0"/>
        <w:kinsoku w:val="0"/>
        <w:overflowPunct w:val="0"/>
        <w:autoSpaceDE w:val="0"/>
        <w:autoSpaceDN w:val="0"/>
        <w:adjustRightInd w:val="0"/>
        <w:snapToGrid w:val="0"/>
        <w:ind w:left="720" w:hanging="720"/>
        <w:rPr>
          <w:rFonts w:eastAsiaTheme="minorEastAsia"/>
          <w:color w:val="000000" w:themeColor="text1"/>
        </w:rPr>
      </w:pPr>
      <w:r w:rsidRPr="00476FC9">
        <w:rPr>
          <w:color w:val="000000" w:themeColor="text1"/>
        </w:rPr>
        <w:t xml:space="preserve">Gibbons, R., Hur, K., Bhaumik, D., &amp; Mann, J. (2006). The relationship between antidepressant prescription rates and rate of early adolescent suicide. </w:t>
      </w:r>
      <w:r w:rsidRPr="00476FC9">
        <w:rPr>
          <w:i/>
          <w:iCs/>
          <w:color w:val="000000" w:themeColor="text1"/>
        </w:rPr>
        <w:t>American Journal of Psychiatry, 163</w:t>
      </w:r>
      <w:r w:rsidRPr="00476FC9">
        <w:rPr>
          <w:color w:val="000000" w:themeColor="text1"/>
        </w:rPr>
        <w:t xml:space="preserve">(11), 1898-1904.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lastRenderedPageBreak/>
        <w:t xml:space="preserve">Glinert, L. H., &amp; Schommer, J. C. (2005). Television advertisement format and the provision of risk information about prescription drug products. </w:t>
      </w:r>
      <w:r w:rsidRPr="00476FC9">
        <w:rPr>
          <w:i/>
          <w:color w:val="000000" w:themeColor="text1"/>
        </w:rPr>
        <w:t>Research in Social and Administrative Pharmacy, 1</w:t>
      </w:r>
      <w:r w:rsidRPr="00476FC9">
        <w:rPr>
          <w:color w:val="000000" w:themeColor="text1"/>
        </w:rPr>
        <w:t xml:space="preserve">(2), 185-210.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Griffin, M., Babin, B. J., &amp; Darden, W. R. (1992). Consumer Assessments of Responsibility for Product-Related Injuries: The Impact of Regulations, Warnings, and Promotional Policies. Advances in consumer research, 19(1).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Goodstein, R. C. (1993). Category-based applications and extensions in advertising: Moticating more extensive ad processing. </w:t>
      </w:r>
      <w:r w:rsidRPr="00476FC9">
        <w:rPr>
          <w:i/>
          <w:color w:val="000000" w:themeColor="text1"/>
        </w:rPr>
        <w:t>Journal of Consumer Research, 20</w:t>
      </w:r>
      <w:r w:rsidRPr="00476FC9">
        <w:rPr>
          <w:color w:val="000000" w:themeColor="text1"/>
        </w:rPr>
        <w:t>(1), 87-99.</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Goodwin, C. J. (200</w:t>
      </w:r>
      <w:r w:rsidRPr="00476FC9">
        <w:rPr>
          <w:rFonts w:eastAsiaTheme="minorEastAsia" w:hint="eastAsia"/>
          <w:color w:val="000000" w:themeColor="text1"/>
        </w:rPr>
        <w:t>8</w:t>
      </w:r>
      <w:r w:rsidRPr="00476FC9">
        <w:rPr>
          <w:color w:val="000000" w:themeColor="text1"/>
        </w:rPr>
        <w:t xml:space="preserve">). </w:t>
      </w:r>
      <w:r w:rsidRPr="00476FC9">
        <w:rPr>
          <w:i/>
          <w:iCs/>
          <w:color w:val="000000" w:themeColor="text1"/>
        </w:rPr>
        <w:t>Research in psychology: Methods and design</w:t>
      </w:r>
      <w:r w:rsidRPr="00476FC9">
        <w:rPr>
          <w:color w:val="000000" w:themeColor="text1"/>
        </w:rPr>
        <w:t xml:space="preserve"> </w:t>
      </w:r>
      <w:r w:rsidRPr="00476FC9">
        <w:rPr>
          <w:rFonts w:eastAsiaTheme="minorEastAsia" w:hint="eastAsia"/>
          <w:color w:val="000000" w:themeColor="text1"/>
        </w:rPr>
        <w:t xml:space="preserve">NJ: </w:t>
      </w:r>
      <w:r w:rsidRPr="00476FC9">
        <w:rPr>
          <w:color w:val="000000" w:themeColor="text1"/>
        </w:rPr>
        <w:t>John Wiley &amp; Sons.</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González, H. M., Tarraf, W., Whitfield, K. E., &amp; Vega, W. A. (2010). The epidemiology of major depression and ethnicity in the United States. Journal of psychiatric research, 44(15), 1043-1051.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GAO. (2002, October). FDA oversight of direct-to-consumer advertising has limitations. (Publication No. GAO-03-177). Retrieved from GAP Reports Main Page via GPO database: http://www.gpo.gov/fdsys/search/home.action</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GAO. (2006, November). Improvement Needed in FDA’s Oversight of Direct-to-Consumer Advertising. (Publication No. GAO-07-54). Retrieved from GAO Reports Main Page via GPO database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GAO. (2008). Trends in FDA’s Oversight of Direct-to-Consumer Advertising.  (Publication No. </w:t>
      </w:r>
      <w:r w:rsidRPr="00476FC9">
        <w:rPr>
          <w:color w:val="000000" w:themeColor="text1"/>
        </w:rPr>
        <w:lastRenderedPageBreak/>
        <w:t>GAO-08-758T). Retrieved from GAO Reports Main Page via GPO database: http://www.gpo.gov/fdsys/search/home.action</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Grenard, J. L., Uy, V., Pagán, J. A., &amp; Frosch, D. L. (2011). Seniors’ perceptions of prescription drug advertisements: A pilot study of the potential impact on informed decision making. </w:t>
      </w:r>
      <w:r w:rsidRPr="00476FC9">
        <w:rPr>
          <w:i/>
          <w:color w:val="000000" w:themeColor="text1"/>
        </w:rPr>
        <w:t>Patient Education and Counseling, 85</w:t>
      </w:r>
      <w:r w:rsidRPr="00476FC9">
        <w:rPr>
          <w:color w:val="000000" w:themeColor="text1"/>
        </w:rPr>
        <w:t xml:space="preserve">(1), 79-84. </w:t>
      </w:r>
    </w:p>
    <w:p w:rsidR="006C50CA" w:rsidRPr="00476FC9" w:rsidRDefault="006C50CA" w:rsidP="007D2ACE">
      <w:pPr>
        <w:keepNext w:val="0"/>
        <w:widowControl w:val="0"/>
        <w:kinsoku w:val="0"/>
        <w:overflowPunct w:val="0"/>
        <w:autoSpaceDE w:val="0"/>
        <w:autoSpaceDN w:val="0"/>
        <w:adjustRightInd w:val="0"/>
        <w:snapToGrid w:val="0"/>
        <w:ind w:left="720" w:hanging="720"/>
        <w:rPr>
          <w:rFonts w:eastAsiaTheme="minorEastAsia"/>
          <w:color w:val="000000" w:themeColor="text1"/>
        </w:rPr>
      </w:pPr>
      <w:r w:rsidRPr="00476FC9">
        <w:rPr>
          <w:color w:val="000000" w:themeColor="text1"/>
        </w:rPr>
        <w:t xml:space="preserve">Goldney, R. D., Fisher, L. J., Grande, E., &amp; Taylor, A. W. (2005). Changes in mental health literacy about depression: South Australia, 1998 to 2004. </w:t>
      </w:r>
      <w:r w:rsidRPr="00476FC9">
        <w:rPr>
          <w:i/>
          <w:iCs/>
          <w:color w:val="000000" w:themeColor="text1"/>
        </w:rPr>
        <w:t>Medical Journal of Australia, 183</w:t>
      </w:r>
      <w:r w:rsidRPr="00476FC9">
        <w:rPr>
          <w:color w:val="000000" w:themeColor="text1"/>
        </w:rPr>
        <w:t xml:space="preserve">(3), 134. </w:t>
      </w:r>
    </w:p>
    <w:p w:rsidR="006C50CA" w:rsidRPr="00476FC9" w:rsidRDefault="006C50CA" w:rsidP="007D2ACE">
      <w:pPr>
        <w:keepNext w:val="0"/>
        <w:widowControl w:val="0"/>
        <w:kinsoku w:val="0"/>
        <w:overflowPunct w:val="0"/>
        <w:autoSpaceDE w:val="0"/>
        <w:autoSpaceDN w:val="0"/>
        <w:adjustRightInd w:val="0"/>
        <w:snapToGrid w:val="0"/>
        <w:ind w:left="720" w:hanging="720"/>
        <w:rPr>
          <w:rFonts w:eastAsiaTheme="minorEastAsia"/>
          <w:color w:val="000000" w:themeColor="text1"/>
        </w:rPr>
      </w:pPr>
      <w:r w:rsidRPr="00476FC9">
        <w:rPr>
          <w:color w:val="000000" w:themeColor="text1"/>
        </w:rPr>
        <w:t xml:space="preserve">Goodrich, K. (2011). Anarchy of effects? Exploring attention to online advertising and multiple outcomes. </w:t>
      </w:r>
      <w:r w:rsidRPr="00476FC9">
        <w:rPr>
          <w:i/>
          <w:iCs/>
          <w:color w:val="000000" w:themeColor="text1"/>
        </w:rPr>
        <w:t>Psychology &amp; Marketing, 28</w:t>
      </w:r>
      <w:r w:rsidRPr="00476FC9">
        <w:rPr>
          <w:color w:val="000000" w:themeColor="text1"/>
        </w:rPr>
        <w:t>(4), 417-440.</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Gupta, P. B., &amp; Lord, K. R. (1998). Product placement in movies: The effect of prominence and mode on audience recall. </w:t>
      </w:r>
      <w:r w:rsidRPr="00476FC9">
        <w:rPr>
          <w:i/>
          <w:color w:val="000000" w:themeColor="text1"/>
        </w:rPr>
        <w:t>Journal of Current Issues &amp; Research in Advertising, 20</w:t>
      </w:r>
      <w:r w:rsidRPr="00476FC9">
        <w:rPr>
          <w:color w:val="000000" w:themeColor="text1"/>
        </w:rPr>
        <w:t xml:space="preserve">(1), 47-59.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Haugtvedt, C. P., &amp; Wegener, D. T. (1994). Message order effects in persuasion: An attitude strength perspective. </w:t>
      </w:r>
      <w:r w:rsidRPr="00476FC9">
        <w:rPr>
          <w:i/>
          <w:color w:val="000000" w:themeColor="text1"/>
        </w:rPr>
        <w:t>Journal of Consumer research</w:t>
      </w:r>
      <w:r w:rsidRPr="00476FC9">
        <w:rPr>
          <w:color w:val="000000" w:themeColor="text1"/>
        </w:rPr>
        <w:t xml:space="preserve">, 205-218.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Hair, J. F., Anderson, R. E., Tathan, R. L., &amp; Black, W. C. (1998). Multivariate Date Analysis. Upper Saddle River, NJ: Prentice Hall.</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Harker, M., &amp; Harker, D. (2007). Direct-to-consumer advertising of prescription medicines: A systematic review of the evidence from the perspective of the consumer. </w:t>
      </w:r>
      <w:r w:rsidRPr="00476FC9">
        <w:rPr>
          <w:i/>
          <w:color w:val="000000" w:themeColor="text1"/>
        </w:rPr>
        <w:t xml:space="preserve">Journal of </w:t>
      </w:r>
      <w:r w:rsidRPr="00476FC9">
        <w:rPr>
          <w:i/>
          <w:color w:val="000000" w:themeColor="text1"/>
        </w:rPr>
        <w:lastRenderedPageBreak/>
        <w:t>Medical Marketing: Device, Diagnostic and Pharmaceutical Marketing, 7</w:t>
      </w:r>
      <w:r w:rsidRPr="00476FC9">
        <w:rPr>
          <w:color w:val="000000" w:themeColor="text1"/>
        </w:rPr>
        <w:t xml:space="preserve">(1), 45-54.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Hibbard, J. H., &amp; Weeks, E. C. (1987). Consumerism in health care: Prevalence and predictors. </w:t>
      </w:r>
      <w:r w:rsidRPr="00476FC9">
        <w:rPr>
          <w:i/>
          <w:color w:val="000000" w:themeColor="text1"/>
        </w:rPr>
        <w:t>Medical Care,</w:t>
      </w:r>
      <w:r w:rsidRPr="00476FC9">
        <w:rPr>
          <w:color w:val="000000" w:themeColor="text1"/>
        </w:rPr>
        <w:t xml:space="preserve"> 1019-1032.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Hilsenrath, P. (2011). Health expenditure efficiency: implications for pharmaceutical marketing. </w:t>
      </w:r>
      <w:r w:rsidRPr="00476FC9">
        <w:rPr>
          <w:i/>
          <w:color w:val="000000" w:themeColor="text1"/>
        </w:rPr>
        <w:t>International Journal of Pharmaceutical and Healthcare Marketing, 5</w:t>
      </w:r>
      <w:r w:rsidRPr="00476FC9">
        <w:rPr>
          <w:color w:val="000000" w:themeColor="text1"/>
        </w:rPr>
        <w:t xml:space="preserve">(2), 118-134.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Hoek, J., Gendall, P., Rapson, L., &amp; Louviere, J. (2011). Information Accessibility and Consumers' Knowledge of Prescription Drug Benefits and Risks. </w:t>
      </w:r>
      <w:r w:rsidRPr="00476FC9">
        <w:rPr>
          <w:i/>
          <w:color w:val="000000" w:themeColor="text1"/>
        </w:rPr>
        <w:t>Journal of Consumer Affairs, 45</w:t>
      </w:r>
      <w:r w:rsidRPr="00476FC9">
        <w:rPr>
          <w:color w:val="000000" w:themeColor="text1"/>
        </w:rPr>
        <w:t xml:space="preserve">(2), 248-274.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Holmer, A. F. (1999). Direct-to-consumer prescription drug advertising builds bridges between patients and physicians. </w:t>
      </w:r>
      <w:r w:rsidRPr="00476FC9">
        <w:rPr>
          <w:i/>
          <w:color w:val="000000" w:themeColor="text1"/>
        </w:rPr>
        <w:t>JAMA, 281</w:t>
      </w:r>
      <w:r w:rsidRPr="00476FC9">
        <w:rPr>
          <w:color w:val="000000" w:themeColor="text1"/>
        </w:rPr>
        <w:t xml:space="preserve">(4), 380-382.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Homburg, C., Wieseke, J., &amp; Bornemann, T. (2009). Implementing the marketing concept at the employee-customer interface: the role of customer need knowledge. </w:t>
      </w:r>
      <w:r w:rsidRPr="00476FC9">
        <w:rPr>
          <w:i/>
          <w:color w:val="000000" w:themeColor="text1"/>
        </w:rPr>
        <w:t>Journal of Marketing, 73</w:t>
      </w:r>
      <w:r w:rsidRPr="00476FC9">
        <w:rPr>
          <w:color w:val="000000" w:themeColor="text1"/>
        </w:rPr>
        <w:t xml:space="preserve">(4), 64-81. </w:t>
      </w:r>
    </w:p>
    <w:p w:rsidR="006C50CA" w:rsidRPr="00476FC9" w:rsidRDefault="006C50CA" w:rsidP="007D2ACE">
      <w:pPr>
        <w:keepNext w:val="0"/>
        <w:widowControl w:val="0"/>
        <w:kinsoku w:val="0"/>
        <w:overflowPunct w:val="0"/>
        <w:autoSpaceDE w:val="0"/>
        <w:autoSpaceDN w:val="0"/>
        <w:adjustRightInd w:val="0"/>
        <w:snapToGrid w:val="0"/>
        <w:ind w:left="720" w:hanging="720"/>
        <w:rPr>
          <w:rFonts w:eastAsiaTheme="minorEastAsia"/>
          <w:color w:val="000000" w:themeColor="text1"/>
        </w:rPr>
      </w:pPr>
      <w:r w:rsidRPr="00476FC9">
        <w:rPr>
          <w:color w:val="000000" w:themeColor="text1"/>
        </w:rPr>
        <w:t xml:space="preserve">House, L., Lusk, J., Jaeger, S., Traill, W.B., Moore, M., Valli, C., Morrow, B., &amp; Yee, W.M.S. (2004). Objective and subjective knowledge: Impacts on consumer demand for genetically modified foods in the United States and the European Union. </w:t>
      </w:r>
      <w:r w:rsidRPr="00476FC9">
        <w:rPr>
          <w:i/>
          <w:iCs/>
          <w:color w:val="000000" w:themeColor="text1"/>
        </w:rPr>
        <w:t>AgBioForum</w:t>
      </w:r>
      <w:r w:rsidRPr="00476FC9">
        <w:rPr>
          <w:color w:val="000000" w:themeColor="text1"/>
        </w:rPr>
        <w:t xml:space="preserve">, </w:t>
      </w:r>
      <w:r w:rsidRPr="00476FC9">
        <w:rPr>
          <w:i/>
          <w:iCs/>
          <w:color w:val="000000" w:themeColor="text1"/>
        </w:rPr>
        <w:t>7</w:t>
      </w:r>
      <w:r w:rsidRPr="00476FC9">
        <w:rPr>
          <w:color w:val="000000" w:themeColor="text1"/>
        </w:rPr>
        <w:t>(3), 113-123.</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 Hoy, M. G., &amp; Andrews, J. C. (2004). Adherence of Prime-Time Televised Advertising Disclosures to the" Clear and Conspicuous" Standard: 1990 versus 2002. </w:t>
      </w:r>
      <w:r w:rsidRPr="00476FC9">
        <w:rPr>
          <w:i/>
          <w:color w:val="000000" w:themeColor="text1"/>
        </w:rPr>
        <w:t xml:space="preserve">Journal of </w:t>
      </w:r>
      <w:r w:rsidRPr="00476FC9">
        <w:rPr>
          <w:i/>
          <w:color w:val="000000" w:themeColor="text1"/>
        </w:rPr>
        <w:lastRenderedPageBreak/>
        <w:t xml:space="preserve">Public Policy &amp; Marketing, </w:t>
      </w:r>
      <w:r w:rsidRPr="00476FC9">
        <w:rPr>
          <w:color w:val="000000" w:themeColor="text1"/>
        </w:rPr>
        <w:t xml:space="preserve">170-182.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Hoy, M. G., &amp; Stankey, M. J. (1993). Structural characteristics of televised advertising disclosures: A comparison with the FTC clear and conspicuous standard. </w:t>
      </w:r>
      <w:r w:rsidRPr="00476FC9">
        <w:rPr>
          <w:i/>
          <w:color w:val="000000" w:themeColor="text1"/>
        </w:rPr>
        <w:t>Journal of Advertising, 22</w:t>
      </w:r>
      <w:r w:rsidRPr="00476FC9">
        <w:rPr>
          <w:color w:val="000000" w:themeColor="text1"/>
        </w:rPr>
        <w:t xml:space="preserve">(2), 47-58.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Huh, J., &amp; Becker, L. B. (2005). Direct-to-consumer prescription drug advertising: Understanding its consequences. </w:t>
      </w:r>
      <w:r w:rsidRPr="00476FC9">
        <w:rPr>
          <w:i/>
          <w:color w:val="000000" w:themeColor="text1"/>
        </w:rPr>
        <w:t>International Journal of Advertising, 24</w:t>
      </w:r>
      <w:r w:rsidRPr="00476FC9">
        <w:rPr>
          <w:color w:val="000000" w:themeColor="text1"/>
        </w:rPr>
        <w:t>(4), 441-466.</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Huh, J., &amp; Cude, B. J. (2004). Is the information “fair and balanced” in direct-to-consumer prescription drug websites? </w:t>
      </w:r>
      <w:r w:rsidRPr="00476FC9">
        <w:rPr>
          <w:i/>
          <w:color w:val="000000" w:themeColor="text1"/>
        </w:rPr>
        <w:t>Journal of Health Communication, 9</w:t>
      </w:r>
      <w:r w:rsidRPr="00476FC9">
        <w:rPr>
          <w:color w:val="000000" w:themeColor="text1"/>
        </w:rPr>
        <w:t xml:space="preserve">(6), 529-540.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Hyönä, J., &amp; Lorch, R. F. (2004). Effects of topic headings on text processing: Evidence from adult readers’ eye fixation patterns. </w:t>
      </w:r>
      <w:r w:rsidRPr="00476FC9">
        <w:rPr>
          <w:i/>
          <w:color w:val="000000" w:themeColor="text1"/>
        </w:rPr>
        <w:t>Learning and instruction, 14</w:t>
      </w:r>
      <w:r w:rsidRPr="00476FC9">
        <w:rPr>
          <w:color w:val="000000" w:themeColor="text1"/>
        </w:rPr>
        <w:t xml:space="preserve">(2), 131-152.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IMS Health. (2011). U.S. promotion information. Retrieved from http://www.imshealth.com/portal/site/ims/menuitem.5ad1c081663fdf9b41d84b903208c22a/?vgnextoid=fbc65890d33ee210VgnVCM10000071812ca2RCRD&amp;vgnextfmt=default.</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Jackson, S. A. (1992). Message effects research: Principles of design and analysis: Guilford Press New York.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Jacoby, J., &amp; Small, C. (1975). The FDA approach to defining misleading advertising. </w:t>
      </w:r>
      <w:r w:rsidRPr="00476FC9">
        <w:rPr>
          <w:i/>
          <w:color w:val="000000" w:themeColor="text1"/>
        </w:rPr>
        <w:t xml:space="preserve">The Journal of Marketing, </w:t>
      </w:r>
      <w:r w:rsidRPr="00476FC9">
        <w:rPr>
          <w:color w:val="000000" w:themeColor="text1"/>
        </w:rPr>
        <w:t xml:space="preserve">65-68.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Jacoby, J., &amp; Hoyer, W. D. (1987). The comprehension and miscomprehension of print </w:t>
      </w:r>
      <w:r w:rsidRPr="00476FC9">
        <w:rPr>
          <w:color w:val="000000" w:themeColor="text1"/>
        </w:rPr>
        <w:lastRenderedPageBreak/>
        <w:t>communications: an investigation of mass media magazines: Routledge.</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Jorm, A. F., Barney, L. J., Christensen, H., Highet, N. J., Kelly, C. M., &amp; Kitchener, B. A. (2006). Research on mental health literacy: what we know and what we still need to know. </w:t>
      </w:r>
      <w:r w:rsidRPr="00476FC9">
        <w:rPr>
          <w:i/>
          <w:color w:val="000000" w:themeColor="text1"/>
        </w:rPr>
        <w:t>Australian and New Zealand Journal of Psychiatry, 40</w:t>
      </w:r>
      <w:r w:rsidRPr="00476FC9">
        <w:rPr>
          <w:color w:val="000000" w:themeColor="text1"/>
        </w:rPr>
        <w:t xml:space="preserve">(1), 3-5.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Ju, I., &amp; Park, J. S. (2013). When numbers count: Framing, subjective numeracy, and the effects of message quantification in direct-to-consumer prescription drug advertisements," </w:t>
      </w:r>
      <w:r w:rsidRPr="00476FC9">
        <w:rPr>
          <w:i/>
          <w:color w:val="000000" w:themeColor="text1"/>
        </w:rPr>
        <w:t>Journal of Promotion Management, 19</w:t>
      </w:r>
      <w:r w:rsidRPr="00476FC9">
        <w:rPr>
          <w:color w:val="000000" w:themeColor="text1"/>
        </w:rPr>
        <w:t>(4), 488-506.</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Kaiser Family Foundation. (2010). Prescription drug trends. Retrieved from http://www.kff.org/rxdrugs/upload/3057-08.pdf</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Kamins, M. A., Brand, M. J., Hoeke, S. A., &amp; Moe, J. C. (1989). Two-sided versus one-sided celebrity endorsements: the impact on advertising effectiveness and credibility. Journal of Advertising, 4-10.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Kaphingst, K. A., &amp; DeJong, W. (2004). The educational potential of direct-to-consumer prescription drug advertising. </w:t>
      </w:r>
      <w:r w:rsidRPr="00476FC9">
        <w:rPr>
          <w:i/>
          <w:color w:val="000000" w:themeColor="text1"/>
        </w:rPr>
        <w:t>Health Affairs, 23</w:t>
      </w:r>
      <w:r w:rsidRPr="00476FC9">
        <w:rPr>
          <w:color w:val="000000" w:themeColor="text1"/>
        </w:rPr>
        <w:t xml:space="preserve">(4), 143-150.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Kaphingst, K. A., Rudd, R. E., DeJong, W., &amp; Daltroy, L. H. (2004). Literacy demands of product information intended to supplement television direct-to-consumer prescription drug advertisements. </w:t>
      </w:r>
      <w:r w:rsidRPr="00476FC9">
        <w:rPr>
          <w:i/>
          <w:color w:val="000000" w:themeColor="text1"/>
        </w:rPr>
        <w:t>Patient education and counseling, 55</w:t>
      </w:r>
      <w:r w:rsidRPr="00476FC9">
        <w:rPr>
          <w:color w:val="000000" w:themeColor="text1"/>
        </w:rPr>
        <w:t xml:space="preserve">(2), 293-300.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Kardes, F. R., Posavac, S. S., &amp; Cronley, M. L. (2004). Consumer inference: a review of processes, bases, and judgment contexts. </w:t>
      </w:r>
      <w:r w:rsidRPr="00476FC9">
        <w:rPr>
          <w:i/>
          <w:color w:val="000000" w:themeColor="text1"/>
        </w:rPr>
        <w:t>Journal of Consumer Psychology, 14</w:t>
      </w:r>
      <w:r w:rsidRPr="00476FC9">
        <w:rPr>
          <w:color w:val="000000" w:themeColor="text1"/>
        </w:rPr>
        <w:t>(3), 230-</w:t>
      </w:r>
      <w:r w:rsidRPr="00476FC9">
        <w:rPr>
          <w:color w:val="000000" w:themeColor="text1"/>
        </w:rPr>
        <w:lastRenderedPageBreak/>
        <w:t xml:space="preserve">256.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Kauppinen-Räisänen, H. (2011). The impact of salient product cues on aging adults. </w:t>
      </w:r>
      <w:r w:rsidRPr="00476FC9">
        <w:rPr>
          <w:i/>
          <w:color w:val="000000" w:themeColor="text1"/>
        </w:rPr>
        <w:t>Journal of Medical Marketing: Device, Diagnostic and Pharmaceutical Marketing, 11</w:t>
      </w:r>
      <w:r w:rsidRPr="00476FC9">
        <w:rPr>
          <w:color w:val="000000" w:themeColor="text1"/>
        </w:rPr>
        <w:t xml:space="preserve">(4), 294-302.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Kavadas, C., Katsanis, L. P., &amp; LeBel, J. (2007). The effects of risk disclosure and ad involvement on consumers in DTC advertising. </w:t>
      </w:r>
      <w:r w:rsidRPr="00476FC9">
        <w:rPr>
          <w:i/>
          <w:color w:val="000000" w:themeColor="text1"/>
        </w:rPr>
        <w:t>Journal of Consumer Marketing, 24</w:t>
      </w:r>
      <w:r w:rsidRPr="00476FC9">
        <w:rPr>
          <w:color w:val="000000" w:themeColor="text1"/>
        </w:rPr>
        <w:t xml:space="preserve">(3), 171-179.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rFonts w:hint="eastAsia"/>
          <w:color w:val="000000" w:themeColor="text1"/>
        </w:rPr>
        <w:t>Kees, J., Bone, P. F., Kozup, J., &amp; Ellen, P. S. (2008). Barely or fairly balancing drug risks? Content and format effects in direct</w:t>
      </w:r>
      <w:r w:rsidRPr="00476FC9">
        <w:rPr>
          <w:rFonts w:hint="eastAsia"/>
          <w:color w:val="000000" w:themeColor="text1"/>
        </w:rPr>
        <w:t>‐</w:t>
      </w:r>
      <w:r w:rsidRPr="00476FC9">
        <w:rPr>
          <w:rFonts w:hint="eastAsia"/>
          <w:color w:val="000000" w:themeColor="text1"/>
        </w:rPr>
        <w:t>to</w:t>
      </w:r>
      <w:r w:rsidRPr="00476FC9">
        <w:rPr>
          <w:rFonts w:hint="eastAsia"/>
          <w:color w:val="000000" w:themeColor="text1"/>
        </w:rPr>
        <w:t>‐</w:t>
      </w:r>
      <w:r w:rsidRPr="00476FC9">
        <w:rPr>
          <w:rFonts w:hint="eastAsia"/>
          <w:color w:val="000000" w:themeColor="text1"/>
        </w:rPr>
        <w:t xml:space="preserve">consumer online prescription drug promotions. </w:t>
      </w:r>
      <w:r w:rsidRPr="00476FC9">
        <w:rPr>
          <w:rFonts w:hint="eastAsia"/>
          <w:i/>
          <w:color w:val="000000" w:themeColor="text1"/>
        </w:rPr>
        <w:t>Psychology &amp; Marketing, 25</w:t>
      </w:r>
      <w:r w:rsidRPr="00476FC9">
        <w:rPr>
          <w:rFonts w:hint="eastAsia"/>
          <w:color w:val="000000" w:themeColor="text1"/>
        </w:rPr>
        <w:t xml:space="preserve">(7), 675-691. </w:t>
      </w:r>
    </w:p>
    <w:p w:rsidR="006C50CA" w:rsidRPr="00476FC9" w:rsidRDefault="006C50CA" w:rsidP="007D2ACE">
      <w:pPr>
        <w:keepNext w:val="0"/>
        <w:widowControl w:val="0"/>
        <w:kinsoku w:val="0"/>
        <w:overflowPunct w:val="0"/>
        <w:autoSpaceDE w:val="0"/>
        <w:autoSpaceDN w:val="0"/>
        <w:adjustRightInd w:val="0"/>
        <w:snapToGrid w:val="0"/>
        <w:ind w:left="720" w:hanging="720"/>
        <w:rPr>
          <w:rFonts w:eastAsiaTheme="minorEastAsia"/>
          <w:color w:val="000000" w:themeColor="text1"/>
        </w:rPr>
      </w:pPr>
      <w:r w:rsidRPr="00476FC9">
        <w:rPr>
          <w:color w:val="000000" w:themeColor="text1"/>
        </w:rPr>
        <w:t>Kerlinger F</w:t>
      </w:r>
      <w:r w:rsidRPr="00476FC9">
        <w:rPr>
          <w:rFonts w:eastAsiaTheme="minorEastAsia" w:hint="eastAsia"/>
          <w:color w:val="000000" w:themeColor="text1"/>
        </w:rPr>
        <w:t>.</w:t>
      </w:r>
      <w:r w:rsidRPr="00476FC9">
        <w:rPr>
          <w:color w:val="000000" w:themeColor="text1"/>
        </w:rPr>
        <w:t xml:space="preserve"> N., &amp; Lee H</w:t>
      </w:r>
      <w:r w:rsidRPr="00476FC9">
        <w:rPr>
          <w:rFonts w:eastAsiaTheme="minorEastAsia" w:hint="eastAsia"/>
          <w:color w:val="000000" w:themeColor="text1"/>
        </w:rPr>
        <w:t xml:space="preserve">. </w:t>
      </w:r>
      <w:r w:rsidRPr="00476FC9">
        <w:rPr>
          <w:color w:val="000000" w:themeColor="text1"/>
        </w:rPr>
        <w:t xml:space="preserve">B. (2000). </w:t>
      </w:r>
      <w:r w:rsidRPr="00476FC9">
        <w:rPr>
          <w:i/>
          <w:color w:val="000000" w:themeColor="text1"/>
        </w:rPr>
        <w:t>Foundations of behavioral research</w:t>
      </w:r>
      <w:r w:rsidRPr="00476FC9">
        <w:rPr>
          <w:rFonts w:eastAsiaTheme="minorEastAsia" w:hint="eastAsia"/>
          <w:color w:val="000000" w:themeColor="text1"/>
        </w:rPr>
        <w:t xml:space="preserve"> (4th ed.)</w:t>
      </w:r>
      <w:r w:rsidRPr="00476FC9">
        <w:rPr>
          <w:color w:val="000000" w:themeColor="text1"/>
        </w:rPr>
        <w:t xml:space="preserve">. </w:t>
      </w:r>
      <w:r w:rsidRPr="00476FC9">
        <w:rPr>
          <w:rFonts w:eastAsiaTheme="minorEastAsia" w:hint="eastAsia"/>
          <w:color w:val="000000" w:themeColor="text1"/>
        </w:rPr>
        <w:t>CA: Cengage Leraning</w:t>
      </w:r>
      <w:r w:rsidRPr="00476FC9">
        <w:rPr>
          <w:color w:val="000000" w:themeColor="text1"/>
        </w:rPr>
        <w:t xml:space="preserve">.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Kessler, R. C., Berglund, P., Demler, O., Jin, R., Koretz, D., Merikangas, K. R., . . . Wang, P. S. (2003). The epidemiology of major depressive disorder: results from the National Comorbidity Survey Replication (NCS-R). </w:t>
      </w:r>
      <w:r w:rsidRPr="00476FC9">
        <w:rPr>
          <w:i/>
          <w:color w:val="000000" w:themeColor="text1"/>
        </w:rPr>
        <w:t>JAMA, 289</w:t>
      </w:r>
      <w:r w:rsidRPr="00476FC9">
        <w:rPr>
          <w:color w:val="000000" w:themeColor="text1"/>
        </w:rPr>
        <w:t xml:space="preserve">(23), 3095-3105.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Kozup, J. C., Creyer, E. H., &amp; Burton, S. (2003). Making healthful food choices: The influence of health claims and nutrition information on consumers’ evaluations of packaged food products and restaurant menu items. </w:t>
      </w:r>
      <w:r w:rsidRPr="00476FC9">
        <w:rPr>
          <w:i/>
          <w:color w:val="000000" w:themeColor="text1"/>
        </w:rPr>
        <w:t>Journal of Marketing, 67</w:t>
      </w:r>
      <w:r w:rsidRPr="00476FC9">
        <w:rPr>
          <w:color w:val="000000" w:themeColor="text1"/>
        </w:rPr>
        <w:t xml:space="preserve">(2), 19-34. </w:t>
      </w:r>
    </w:p>
    <w:p w:rsidR="006C50CA" w:rsidRPr="00476FC9" w:rsidRDefault="006C50CA" w:rsidP="007D2ACE">
      <w:pPr>
        <w:keepNext w:val="0"/>
        <w:widowControl w:val="0"/>
        <w:kinsoku w:val="0"/>
        <w:overflowPunct w:val="0"/>
        <w:autoSpaceDE w:val="0"/>
        <w:autoSpaceDN w:val="0"/>
        <w:adjustRightInd w:val="0"/>
        <w:snapToGrid w:val="0"/>
        <w:ind w:left="720" w:hanging="720"/>
        <w:rPr>
          <w:rFonts w:eastAsiaTheme="minorEastAsia"/>
          <w:color w:val="000000" w:themeColor="text1"/>
        </w:rPr>
      </w:pPr>
      <w:r w:rsidRPr="00476FC9">
        <w:rPr>
          <w:color w:val="000000" w:themeColor="text1"/>
        </w:rPr>
        <w:t>Keppel, G.</w:t>
      </w:r>
      <w:r w:rsidRPr="00476FC9">
        <w:rPr>
          <w:rFonts w:eastAsiaTheme="minorEastAsia" w:hint="eastAsia"/>
          <w:color w:val="000000" w:themeColor="text1"/>
        </w:rPr>
        <w:t>,</w:t>
      </w:r>
      <w:r w:rsidRPr="00476FC9">
        <w:rPr>
          <w:color w:val="000000" w:themeColor="text1"/>
        </w:rPr>
        <w:t xml:space="preserve"> &amp; Wickens, T. D. (2004). Design and analysis: A researcher’s handbook</w:t>
      </w:r>
      <w:r w:rsidRPr="00476FC9">
        <w:rPr>
          <w:rFonts w:eastAsiaTheme="minorEastAsia" w:hint="eastAsia"/>
          <w:color w:val="000000" w:themeColor="text1"/>
        </w:rPr>
        <w:t>.</w:t>
      </w:r>
      <w:r w:rsidRPr="00476FC9">
        <w:rPr>
          <w:color w:val="000000" w:themeColor="text1"/>
        </w:rPr>
        <w:t xml:space="preserve"> NJ: </w:t>
      </w:r>
      <w:r w:rsidRPr="00476FC9">
        <w:rPr>
          <w:rFonts w:eastAsiaTheme="minorEastAsia" w:hint="eastAsia"/>
          <w:color w:val="000000" w:themeColor="text1"/>
        </w:rPr>
        <w:t xml:space="preserve">Pearson </w:t>
      </w:r>
      <w:r w:rsidRPr="00476FC9">
        <w:rPr>
          <w:color w:val="000000" w:themeColor="text1"/>
        </w:rPr>
        <w:t>Prentice-Hall.</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lastRenderedPageBreak/>
        <w:t xml:space="preserve">Knowles, E. S., &amp; Linn, J. A. (2003). Resistance and persuasion: Psychology Press.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Kickbusch, I., &amp; Ratzan, S. C. (2001). Health literacy: making a difference in the USA. Journal of health communication, 6(2), 87-88. </w:t>
      </w:r>
    </w:p>
    <w:p w:rsidR="006C50CA" w:rsidRPr="00476FC9" w:rsidRDefault="006C50CA" w:rsidP="007D2ACE">
      <w:pPr>
        <w:keepNext w:val="0"/>
        <w:widowControl w:val="0"/>
        <w:kinsoku w:val="0"/>
        <w:overflowPunct w:val="0"/>
        <w:autoSpaceDE w:val="0"/>
        <w:autoSpaceDN w:val="0"/>
        <w:adjustRightInd w:val="0"/>
        <w:snapToGrid w:val="0"/>
        <w:ind w:left="720" w:hanging="720"/>
        <w:rPr>
          <w:rFonts w:eastAsiaTheme="minorEastAsia"/>
          <w:color w:val="000000" w:themeColor="text1"/>
        </w:rPr>
      </w:pPr>
      <w:r w:rsidRPr="00476FC9">
        <w:rPr>
          <w:color w:val="000000" w:themeColor="text1"/>
        </w:rPr>
        <w:t xml:space="preserve">Kidd, R. F. (1976). Manipulation checks: advantage or disadvantage? </w:t>
      </w:r>
      <w:r w:rsidRPr="00476FC9">
        <w:rPr>
          <w:i/>
          <w:iCs/>
          <w:color w:val="000000" w:themeColor="text1"/>
        </w:rPr>
        <w:t>Representative Research in Social Psychology</w:t>
      </w:r>
      <w:r w:rsidRPr="00476FC9">
        <w:rPr>
          <w:color w:val="000000" w:themeColor="text1"/>
        </w:rPr>
        <w:t xml:space="preserve">. </w:t>
      </w:r>
      <w:r w:rsidRPr="00476FC9">
        <w:rPr>
          <w:rFonts w:eastAsiaTheme="minorEastAsia" w:hint="eastAsia"/>
          <w:color w:val="000000" w:themeColor="text1"/>
        </w:rPr>
        <w:t>7(2), 160-165.</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Kopp, S. W., &amp; Bang, H.-K. (2000). Benefit and risk information in prescription drug advertising: review of empirical studies and marketing implications. </w:t>
      </w:r>
      <w:r w:rsidRPr="00476FC9">
        <w:rPr>
          <w:i/>
          <w:color w:val="000000" w:themeColor="text1"/>
        </w:rPr>
        <w:t>Health marketing quarterly, 17</w:t>
      </w:r>
      <w:r w:rsidRPr="00476FC9">
        <w:rPr>
          <w:color w:val="000000" w:themeColor="text1"/>
        </w:rPr>
        <w:t xml:space="preserve">(3), 39-56. </w:t>
      </w:r>
    </w:p>
    <w:p w:rsidR="006C50CA" w:rsidRPr="00476FC9" w:rsidRDefault="006C50CA" w:rsidP="007D2ACE">
      <w:pPr>
        <w:keepNext w:val="0"/>
        <w:widowControl w:val="0"/>
        <w:kinsoku w:val="0"/>
        <w:overflowPunct w:val="0"/>
        <w:autoSpaceDE w:val="0"/>
        <w:autoSpaceDN w:val="0"/>
        <w:adjustRightInd w:val="0"/>
        <w:snapToGrid w:val="0"/>
        <w:ind w:left="720" w:hanging="720"/>
        <w:rPr>
          <w:rFonts w:eastAsiaTheme="minorEastAsia"/>
          <w:color w:val="000000" w:themeColor="text1"/>
        </w:rPr>
      </w:pPr>
      <w:r w:rsidRPr="00476FC9">
        <w:rPr>
          <w:color w:val="000000" w:themeColor="text1"/>
        </w:rPr>
        <w:t xml:space="preserve">Krugman, D. M., Fox, R. J., Fletcher, J. E., Fischer, P. M., &amp; Rojas, T. H. (1994). Do adolescents attend to warnings in cigarette advertising? An eye-tracking approach. </w:t>
      </w:r>
      <w:r w:rsidRPr="00476FC9">
        <w:rPr>
          <w:i/>
          <w:iCs/>
          <w:color w:val="000000" w:themeColor="text1"/>
        </w:rPr>
        <w:t>Journal of Advertising Research, 34</w:t>
      </w:r>
      <w:r w:rsidRPr="00476FC9">
        <w:rPr>
          <w:color w:val="000000" w:themeColor="text1"/>
        </w:rPr>
        <w:t xml:space="preserve">, 39-39. </w:t>
      </w:r>
    </w:p>
    <w:p w:rsidR="006C50CA" w:rsidRPr="00476FC9" w:rsidRDefault="006C50CA" w:rsidP="007D2ACE">
      <w:pPr>
        <w:keepNext w:val="0"/>
        <w:widowControl w:val="0"/>
        <w:kinsoku w:val="0"/>
        <w:overflowPunct w:val="0"/>
        <w:autoSpaceDE w:val="0"/>
        <w:autoSpaceDN w:val="0"/>
        <w:adjustRightInd w:val="0"/>
        <w:snapToGrid w:val="0"/>
        <w:ind w:left="720" w:hanging="720"/>
        <w:rPr>
          <w:rFonts w:eastAsiaTheme="minorEastAsia"/>
          <w:color w:val="000000" w:themeColor="text1"/>
        </w:rPr>
      </w:pPr>
      <w:r w:rsidRPr="00476FC9">
        <w:rPr>
          <w:color w:val="000000" w:themeColor="text1"/>
        </w:rPr>
        <w:t xml:space="preserve">Krull, R., &amp; Husson, W. (1979). Children's attention: The case of TV viewing. </w:t>
      </w:r>
      <w:r w:rsidRPr="00476FC9">
        <w:rPr>
          <w:i/>
          <w:iCs/>
          <w:color w:val="000000" w:themeColor="text1"/>
        </w:rPr>
        <w:t>Children communicating: Media and development of thought, speech, understanding, 7</w:t>
      </w:r>
      <w:r w:rsidRPr="00476FC9">
        <w:rPr>
          <w:color w:val="000000" w:themeColor="text1"/>
        </w:rPr>
        <w:t xml:space="preserve">, 83-114.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Laffrey, S. C., &amp; Isenberg, M. (1983). The relationship of internal locus of control, value placed on health, perceived importance of exercise, and participation in physical activity during leisure. </w:t>
      </w:r>
      <w:r w:rsidRPr="00476FC9">
        <w:rPr>
          <w:i/>
          <w:color w:val="000000" w:themeColor="text1"/>
        </w:rPr>
        <w:t>International Journal of Nursing Studies, 20</w:t>
      </w:r>
      <w:r w:rsidRPr="00476FC9">
        <w:rPr>
          <w:color w:val="000000" w:themeColor="text1"/>
        </w:rPr>
        <w:t xml:space="preserve">(3), 187-196.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Lavie, N. (2001) Capacity limits in selective attention: Behavioral evidence and implications for neural activity. In Braun, J., Koch, C., et al. (Eds.), Visual attention and cortical circuits. Cambridge, MA: The MIT Press (pp. 49-68)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lastRenderedPageBreak/>
        <w:t xml:space="preserve">Lee, A. L. (2009). Changing effects of direct-to-consumer broadcast drug advertising information sources on prescription drug requests. </w:t>
      </w:r>
      <w:r w:rsidRPr="00476FC9">
        <w:rPr>
          <w:i/>
          <w:color w:val="000000" w:themeColor="text1"/>
        </w:rPr>
        <w:t>Health Communication, 24</w:t>
      </w:r>
      <w:r w:rsidRPr="00476FC9">
        <w:rPr>
          <w:color w:val="000000" w:themeColor="text1"/>
        </w:rPr>
        <w:t xml:space="preserve">, 361–376.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Lee, A. Y., Aaker, J. L., &amp; Gardner, W. L. (2000). The pleasures and pains of distinct self-construals: the role of interdependence in regulatory focus. </w:t>
      </w:r>
      <w:r w:rsidRPr="00476FC9">
        <w:rPr>
          <w:i/>
          <w:color w:val="000000" w:themeColor="text1"/>
        </w:rPr>
        <w:t>Journal of personality and social psychology, 78</w:t>
      </w:r>
      <w:r w:rsidRPr="00476FC9">
        <w:rPr>
          <w:color w:val="000000" w:themeColor="text1"/>
        </w:rPr>
        <w:t xml:space="preserve">(6), 1122.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Lee, T. D., Chung, W., &amp; Taylor, R. E. (2011a). A strategic response to the financial crisis: an empirical analysis of financial services advertising before and during the financial crisis. </w:t>
      </w:r>
      <w:r w:rsidRPr="00476FC9">
        <w:rPr>
          <w:i/>
          <w:color w:val="000000" w:themeColor="text1"/>
        </w:rPr>
        <w:t>Journal of Services Marketing, 25</w:t>
      </w:r>
      <w:r w:rsidRPr="00476FC9">
        <w:rPr>
          <w:color w:val="000000" w:themeColor="text1"/>
        </w:rPr>
        <w:t xml:space="preserve">(3), 150-164.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Lee, Y. J., Park, J., &amp; Widdows, R. (2009). Exploring antecedents of consumer satisfaction and repeated search behavior on e-health information. Journal of health communication, 14(2), 160-173.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Lee, T., Taylor, R. E., &amp; Chung, W. (2011b). Changes in advertising strategies during an economic crisis: an application of Taylor's Six-Segment Message Strategy Wheel. </w:t>
      </w:r>
      <w:r w:rsidRPr="00476FC9">
        <w:rPr>
          <w:i/>
          <w:color w:val="000000" w:themeColor="text1"/>
        </w:rPr>
        <w:t>Journal of Applied Communication Research, 39</w:t>
      </w:r>
      <w:r w:rsidRPr="00476FC9">
        <w:rPr>
          <w:color w:val="000000" w:themeColor="text1"/>
        </w:rPr>
        <w:t>(1), 75-91.</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Lexchin, J., &amp; Mintzes, B. (2002). Direct-to-consumer advertising of prescription drugs: The evidence says no. </w:t>
      </w:r>
      <w:r w:rsidRPr="00476FC9">
        <w:rPr>
          <w:i/>
          <w:color w:val="000000" w:themeColor="text1"/>
        </w:rPr>
        <w:t>Journal of Public Policy &amp; Marketing, 21</w:t>
      </w:r>
      <w:r w:rsidRPr="00476FC9">
        <w:rPr>
          <w:color w:val="000000" w:themeColor="text1"/>
        </w:rPr>
        <w:t xml:space="preserve">(2), 194-201.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Liebermann, Y., &amp; Flint-Goor, A. (1996). Message strategy by product-class type: A matching model. International Journal of Research in Marketing, 13(3), 237-249.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Lohse, G. L. (1997). Consumer eye movement patterns on yellow pages advertising. </w:t>
      </w:r>
      <w:r w:rsidRPr="00476FC9">
        <w:rPr>
          <w:i/>
          <w:iCs/>
          <w:color w:val="000000" w:themeColor="text1"/>
        </w:rPr>
        <w:t xml:space="preserve">Journal of </w:t>
      </w:r>
      <w:r w:rsidRPr="00476FC9">
        <w:rPr>
          <w:i/>
          <w:iCs/>
          <w:color w:val="000000" w:themeColor="text1"/>
        </w:rPr>
        <w:lastRenderedPageBreak/>
        <w:t>Advertising, 26</w:t>
      </w:r>
      <w:r w:rsidRPr="00476FC9">
        <w:rPr>
          <w:color w:val="000000" w:themeColor="text1"/>
        </w:rPr>
        <w:t xml:space="preserve">(1), 61-73.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 Loman, N. L., &amp; Mayer, R. E. (1983). Signaling techniques that increase the understandability of expository prose. </w:t>
      </w:r>
      <w:r w:rsidRPr="00476FC9">
        <w:rPr>
          <w:i/>
          <w:color w:val="000000" w:themeColor="text1"/>
        </w:rPr>
        <w:t>Journal of Educational Psychology, 75</w:t>
      </w:r>
      <w:r w:rsidRPr="00476FC9">
        <w:rPr>
          <w:color w:val="000000" w:themeColor="text1"/>
        </w:rPr>
        <w:t xml:space="preserve">(3), 402.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Lorch, R. F., Lorch, E. P., &amp; Inman, W. E. (1993). Effects of signaling topic structure on text recall. </w:t>
      </w:r>
      <w:r w:rsidRPr="00476FC9">
        <w:rPr>
          <w:i/>
          <w:color w:val="000000" w:themeColor="text1"/>
        </w:rPr>
        <w:t>Journal of Educational Psychology, 85</w:t>
      </w:r>
      <w:r w:rsidRPr="00476FC9">
        <w:rPr>
          <w:color w:val="000000" w:themeColor="text1"/>
        </w:rPr>
        <w:t xml:space="preserve">(2), 281.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Lord, K. R., &amp; Burnkrant, R. E. (1993). Attention versus distraction: the interactive effect of program involvement and attentional devices on commercial processing. </w:t>
      </w:r>
      <w:r w:rsidRPr="00476FC9">
        <w:rPr>
          <w:i/>
          <w:iCs/>
          <w:color w:val="000000" w:themeColor="text1"/>
        </w:rPr>
        <w:t>Journal of Advertising, 22</w:t>
      </w:r>
      <w:r w:rsidRPr="00476FC9">
        <w:rPr>
          <w:color w:val="000000" w:themeColor="text1"/>
        </w:rPr>
        <w:t xml:space="preserve">(1), 47-60.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Lynch Jr, J. G., &amp; Srull, T. K. (1982). Memory and attentional factors in consumer choice: Concepts and research methods. </w:t>
      </w:r>
      <w:r w:rsidRPr="00476FC9">
        <w:rPr>
          <w:i/>
          <w:color w:val="000000" w:themeColor="text1"/>
        </w:rPr>
        <w:t>Journal of Consumer Research,</w:t>
      </w:r>
      <w:r w:rsidRPr="00476FC9">
        <w:rPr>
          <w:color w:val="000000" w:themeColor="text1"/>
        </w:rPr>
        <w:t xml:space="preserve"> 18-37.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MacInnis, D. J., Moorman, C., &amp; Jaworski, B. J. (1991). Enhancing and measuring consumers' motivation, opportunity, and ability to process brand information from ads. </w:t>
      </w:r>
      <w:r w:rsidRPr="00476FC9">
        <w:rPr>
          <w:i/>
          <w:color w:val="000000" w:themeColor="text1"/>
        </w:rPr>
        <w:t xml:space="preserve">The Journal of marketing, </w:t>
      </w:r>
      <w:r w:rsidRPr="00476FC9">
        <w:rPr>
          <w:color w:val="000000" w:themeColor="text1"/>
        </w:rPr>
        <w:t xml:space="preserve">32-53.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 Maclnnis, D. J., &amp; Jaworski, B. J. (1989). Information processing from advertisements: Toward an integrative framework. </w:t>
      </w:r>
      <w:r w:rsidRPr="00476FC9">
        <w:rPr>
          <w:i/>
          <w:color w:val="000000" w:themeColor="text1"/>
        </w:rPr>
        <w:t xml:space="preserve">The Journal of marketing, </w:t>
      </w:r>
      <w:r w:rsidRPr="00476FC9">
        <w:rPr>
          <w:color w:val="000000" w:themeColor="text1"/>
        </w:rPr>
        <w:t xml:space="preserve">1-23.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Macias, W., &amp; Lewis, L. S. (2003). A content analysis of direct-to-consumer (DTC) prescription drug web sites. </w:t>
      </w:r>
      <w:r w:rsidRPr="00476FC9">
        <w:rPr>
          <w:i/>
          <w:color w:val="000000" w:themeColor="text1"/>
        </w:rPr>
        <w:t>Journal of Advertising, 32</w:t>
      </w:r>
      <w:r w:rsidRPr="00476FC9">
        <w:rPr>
          <w:color w:val="000000" w:themeColor="text1"/>
        </w:rPr>
        <w:t xml:space="preserve">(4), 43-56.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 Macias, W., &amp; Lewis, L. S. (2006). How Well Do Direct-to-Consumer (DTC) Prescription Drug </w:t>
      </w:r>
      <w:r w:rsidRPr="00476FC9">
        <w:rPr>
          <w:color w:val="000000" w:themeColor="text1"/>
        </w:rPr>
        <w:lastRenderedPageBreak/>
        <w:t xml:space="preserve">Web Sites Meet FDA Guidelines and Public Policy Concerns? </w:t>
      </w:r>
      <w:r w:rsidRPr="00476FC9">
        <w:rPr>
          <w:i/>
          <w:color w:val="000000" w:themeColor="text1"/>
        </w:rPr>
        <w:t>Health marketing quarterly, 22</w:t>
      </w:r>
      <w:r w:rsidRPr="00476FC9">
        <w:rPr>
          <w:color w:val="000000" w:themeColor="text1"/>
        </w:rPr>
        <w:t xml:space="preserve">(4), 45-71.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Macias, W., Lewis, L. S., &amp; Baek, T. H. (2010). The Changing Face of Direct-to-Consumer Print Advertising. </w:t>
      </w:r>
      <w:r w:rsidRPr="00476FC9">
        <w:rPr>
          <w:i/>
          <w:color w:val="000000" w:themeColor="text1"/>
        </w:rPr>
        <w:t>Pharmaceutical Medicine, 24</w:t>
      </w:r>
      <w:r w:rsidRPr="00476FC9">
        <w:rPr>
          <w:color w:val="000000" w:themeColor="text1"/>
        </w:rPr>
        <w:t>(3), 165-177.</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Macias, W., Pashupati, K., &amp; Lewis, L. S. (2007). A Wonderful Life or Diarrhea and Dry Mouth? Policy Issues of Direct-to-Consumer Drug Advertising on Television. </w:t>
      </w:r>
      <w:r w:rsidRPr="00476FC9">
        <w:rPr>
          <w:i/>
          <w:color w:val="000000" w:themeColor="text1"/>
        </w:rPr>
        <w:t>Health Communication, 22</w:t>
      </w:r>
      <w:r w:rsidRPr="00476FC9">
        <w:rPr>
          <w:color w:val="000000" w:themeColor="text1"/>
        </w:rPr>
        <w:t>(3), 241-252.</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Mac</w:t>
      </w:r>
      <w:r w:rsidRPr="00476FC9">
        <w:rPr>
          <w:rFonts w:eastAsiaTheme="minorEastAsia" w:hint="eastAsia"/>
          <w:color w:val="000000" w:themeColor="text1"/>
        </w:rPr>
        <w:t>k</w:t>
      </w:r>
      <w:r w:rsidRPr="00476FC9">
        <w:rPr>
          <w:color w:val="000000" w:themeColor="text1"/>
        </w:rPr>
        <w:t xml:space="preserve">enzie, S. B. (1986). The role of attention in mediating the effect of advertising on attribute importance. </w:t>
      </w:r>
      <w:r w:rsidRPr="00476FC9">
        <w:rPr>
          <w:i/>
          <w:iCs/>
          <w:color w:val="000000" w:themeColor="text1"/>
        </w:rPr>
        <w:t>Journal of Consumer research</w:t>
      </w:r>
      <w:r w:rsidRPr="00476FC9">
        <w:rPr>
          <w:color w:val="000000" w:themeColor="text1"/>
        </w:rPr>
        <w:t xml:space="preserve">, 174-195.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MacInnis, D. J., Moorman, C., &amp; Jaworski, B. J. (1991). Enhancing and measuring consumers' motivation, opportunity, and ability to process brand information from ads. </w:t>
      </w:r>
      <w:r w:rsidRPr="00476FC9">
        <w:rPr>
          <w:i/>
          <w:color w:val="000000" w:themeColor="text1"/>
        </w:rPr>
        <w:t xml:space="preserve">The Journal of Marketing, </w:t>
      </w:r>
      <w:r w:rsidRPr="00476FC9">
        <w:rPr>
          <w:color w:val="000000" w:themeColor="text1"/>
        </w:rPr>
        <w:t>32-53.</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Mackert, M. (2011). Health literacy knowledge among direct-to-consumer pharmaceutical advertising professionals. </w:t>
      </w:r>
      <w:r w:rsidRPr="00476FC9">
        <w:rPr>
          <w:i/>
          <w:color w:val="000000" w:themeColor="text1"/>
        </w:rPr>
        <w:t>Health Communication, 26</w:t>
      </w:r>
      <w:r w:rsidRPr="00476FC9">
        <w:rPr>
          <w:color w:val="000000" w:themeColor="text1"/>
        </w:rPr>
        <w:t xml:space="preserve">(6), 525-533.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Mayer, R.E., &amp; Moreno, R. (2003) Nine ways to reduce cognitive load in multimedia learning. </w:t>
      </w:r>
      <w:r w:rsidRPr="00476FC9">
        <w:rPr>
          <w:i/>
          <w:color w:val="000000" w:themeColor="text1"/>
        </w:rPr>
        <w:t>Educational Psychologist, 38</w:t>
      </w:r>
      <w:r w:rsidRPr="00476FC9">
        <w:rPr>
          <w:color w:val="000000" w:themeColor="text1"/>
        </w:rPr>
        <w:t xml:space="preserve">, 43-52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Main, K. J., Argo, J. J., &amp; Huhmann, B. A. (2004). Pharmaceutical advertising in the USA: information or influence? </w:t>
      </w:r>
      <w:r w:rsidRPr="00476FC9">
        <w:rPr>
          <w:i/>
          <w:color w:val="000000" w:themeColor="text1"/>
        </w:rPr>
        <w:t>International Journal of Advertising, 23</w:t>
      </w:r>
      <w:r w:rsidRPr="00476FC9">
        <w:rPr>
          <w:color w:val="000000" w:themeColor="text1"/>
        </w:rPr>
        <w:t xml:space="preserve">(1), 119-142. </w:t>
      </w:r>
    </w:p>
    <w:p w:rsidR="006C50CA" w:rsidRPr="00476FC9" w:rsidRDefault="006C50CA" w:rsidP="007D2ACE">
      <w:pPr>
        <w:keepNext w:val="0"/>
        <w:widowControl w:val="0"/>
        <w:kinsoku w:val="0"/>
        <w:overflowPunct w:val="0"/>
        <w:autoSpaceDE w:val="0"/>
        <w:autoSpaceDN w:val="0"/>
        <w:adjustRightInd w:val="0"/>
        <w:snapToGrid w:val="0"/>
        <w:ind w:left="720" w:hanging="720"/>
        <w:rPr>
          <w:rFonts w:eastAsiaTheme="minorEastAsia"/>
          <w:color w:val="000000" w:themeColor="text1"/>
        </w:rPr>
      </w:pPr>
      <w:r w:rsidRPr="00476FC9">
        <w:rPr>
          <w:color w:val="000000" w:themeColor="text1"/>
        </w:rPr>
        <w:lastRenderedPageBreak/>
        <w:t xml:space="preserve">Marcus, S. C., &amp; Olfson, M. (2010). National trends in the treatment for depression from 1998 to 2007. </w:t>
      </w:r>
      <w:r w:rsidRPr="00476FC9">
        <w:rPr>
          <w:i/>
          <w:iCs/>
          <w:color w:val="000000" w:themeColor="text1"/>
        </w:rPr>
        <w:t>Archives of General Psychiatry, 67</w:t>
      </w:r>
      <w:r w:rsidRPr="00476FC9">
        <w:rPr>
          <w:color w:val="000000" w:themeColor="text1"/>
        </w:rPr>
        <w:t xml:space="preserve">(12), 1265-1273.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Matear, M., &amp; Dacin, P. A. (2010). Marketing and societal welfare: A multiple stakeholder approach. </w:t>
      </w:r>
      <w:r w:rsidRPr="00476FC9">
        <w:rPr>
          <w:i/>
          <w:color w:val="000000" w:themeColor="text1"/>
        </w:rPr>
        <w:t>Journal of Business Research, 63</w:t>
      </w:r>
      <w:r w:rsidRPr="00476FC9">
        <w:rPr>
          <w:color w:val="000000" w:themeColor="text1"/>
        </w:rPr>
        <w:t xml:space="preserve">(11), 1173-1178.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Mazis, M. B., Morris, L. A., &amp; Swasy, J. L. (1991). An evaluation of the alcohol warning label: Initial survey results. </w:t>
      </w:r>
      <w:r w:rsidRPr="00476FC9">
        <w:rPr>
          <w:i/>
          <w:iCs/>
          <w:color w:val="000000" w:themeColor="text1"/>
        </w:rPr>
        <w:t>Journal of Public Policy &amp; Marketing</w:t>
      </w:r>
      <w:r w:rsidRPr="00476FC9">
        <w:rPr>
          <w:color w:val="000000" w:themeColor="text1"/>
        </w:rPr>
        <w:t xml:space="preserve">, 229-241. </w:t>
      </w:r>
    </w:p>
    <w:p w:rsidR="006C50CA" w:rsidRPr="00476FC9" w:rsidRDefault="006C50CA" w:rsidP="007D2ACE">
      <w:pPr>
        <w:keepNext w:val="0"/>
        <w:widowControl w:val="0"/>
        <w:kinsoku w:val="0"/>
        <w:overflowPunct w:val="0"/>
        <w:autoSpaceDE w:val="0"/>
        <w:autoSpaceDN w:val="0"/>
        <w:adjustRightInd w:val="0"/>
        <w:snapToGrid w:val="0"/>
        <w:ind w:left="720" w:hanging="720"/>
        <w:rPr>
          <w:rFonts w:eastAsiaTheme="minorEastAsia"/>
          <w:color w:val="000000" w:themeColor="text1"/>
        </w:rPr>
      </w:pPr>
      <w:r w:rsidRPr="00476FC9">
        <w:rPr>
          <w:color w:val="000000" w:themeColor="text1"/>
        </w:rPr>
        <w:t xml:space="preserve">Mazis, M. B., &amp; Staelin, R. (1982). Using information-processing principles in public policymaking. </w:t>
      </w:r>
      <w:r w:rsidRPr="00476FC9">
        <w:rPr>
          <w:i/>
          <w:color w:val="000000" w:themeColor="text1"/>
        </w:rPr>
        <w:t xml:space="preserve">Journal of Marketing &amp; Public Policy, </w:t>
      </w:r>
      <w:r w:rsidRPr="00476FC9">
        <w:rPr>
          <w:color w:val="000000" w:themeColor="text1"/>
        </w:rPr>
        <w:t>3-14</w:t>
      </w:r>
      <w:r w:rsidRPr="00476FC9">
        <w:rPr>
          <w:rFonts w:eastAsiaTheme="minorEastAsia" w:hint="eastAsia"/>
          <w:color w:val="000000" w:themeColor="text1"/>
        </w:rPr>
        <w:t>.</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rFonts w:hint="eastAsia"/>
          <w:color w:val="000000" w:themeColor="text1"/>
        </w:rPr>
        <w:t>McCarthy, M. S., &amp; Mothersbaugh, D. L. (2002). Effects of typographic factors in advertising</w:t>
      </w:r>
      <w:r w:rsidRPr="00476FC9">
        <w:rPr>
          <w:rFonts w:hint="eastAsia"/>
          <w:color w:val="000000" w:themeColor="text1"/>
        </w:rPr>
        <w:t>‐</w:t>
      </w:r>
      <w:r w:rsidRPr="00476FC9">
        <w:rPr>
          <w:rFonts w:hint="eastAsia"/>
          <w:color w:val="000000" w:themeColor="text1"/>
        </w:rPr>
        <w:t xml:space="preserve">based persuasion: A general model and initial empirical tests. </w:t>
      </w:r>
      <w:r w:rsidRPr="00476FC9">
        <w:rPr>
          <w:rFonts w:hint="eastAsia"/>
          <w:i/>
          <w:color w:val="000000" w:themeColor="text1"/>
        </w:rPr>
        <w:t>Psychology &amp; Marketing, 19</w:t>
      </w:r>
      <w:r w:rsidRPr="00476FC9">
        <w:rPr>
          <w:rFonts w:hint="eastAsia"/>
          <w:color w:val="000000" w:themeColor="text1"/>
        </w:rPr>
        <w:t>(7</w:t>
      </w:r>
      <w:r w:rsidRPr="00476FC9">
        <w:rPr>
          <w:rFonts w:hint="eastAsia"/>
          <w:color w:val="000000" w:themeColor="text1"/>
        </w:rPr>
        <w:t>‐</w:t>
      </w:r>
      <w:r w:rsidRPr="00476FC9">
        <w:rPr>
          <w:rFonts w:hint="eastAsia"/>
          <w:color w:val="000000" w:themeColor="text1"/>
        </w:rPr>
        <w:t xml:space="preserve">8), 663-691.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McGuire, W. J. (1976). Some internal psychological factors influencing consumer choice. </w:t>
      </w:r>
      <w:r w:rsidRPr="00476FC9">
        <w:rPr>
          <w:i/>
          <w:color w:val="000000" w:themeColor="text1"/>
        </w:rPr>
        <w:t>Journal of Consumer research</w:t>
      </w:r>
      <w:r w:rsidRPr="00476FC9">
        <w:rPr>
          <w:color w:val="000000" w:themeColor="text1"/>
        </w:rPr>
        <w:t xml:space="preserve">, 302-319.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McGuire, W. J. (1984). Public communication as a strategy for inducing health-promoting behavioral change. </w:t>
      </w:r>
      <w:r w:rsidRPr="00476FC9">
        <w:rPr>
          <w:i/>
          <w:color w:val="000000" w:themeColor="text1"/>
        </w:rPr>
        <w:t>Preventive Medicine, 13</w:t>
      </w:r>
      <w:r w:rsidRPr="00476FC9">
        <w:rPr>
          <w:color w:val="000000" w:themeColor="text1"/>
        </w:rPr>
        <w:t xml:space="preserve">(3), 299-319.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Menon, A. M., Deshpande, A. D., Perri III, M., &amp; Zinkhan, G. M. (2003a). Consumers' attention to the brief summary in print direct-to-consumer advertisements: Perceived usefulness in patient-physician discussions. </w:t>
      </w:r>
      <w:r w:rsidRPr="00476FC9">
        <w:rPr>
          <w:i/>
          <w:color w:val="000000" w:themeColor="text1"/>
        </w:rPr>
        <w:t xml:space="preserve">Journal of Public Policy &amp; Marketing, </w:t>
      </w:r>
      <w:r w:rsidRPr="00476FC9">
        <w:rPr>
          <w:color w:val="000000" w:themeColor="text1"/>
        </w:rPr>
        <w:t xml:space="preserve">181-191.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lastRenderedPageBreak/>
        <w:t xml:space="preserve">Menon, A. M., Deshpande, A. D., Perri III, M., &amp; Zinkhan, G. M. (2003b). Trust in online prescription drug information among Internet users: The impact on information search behavior after exposure to direct-to-consumer advertising. </w:t>
      </w:r>
      <w:r w:rsidRPr="00476FC9">
        <w:rPr>
          <w:i/>
          <w:color w:val="000000" w:themeColor="text1"/>
        </w:rPr>
        <w:t>Health marketing quarterly, 20</w:t>
      </w:r>
      <w:r w:rsidRPr="00476FC9">
        <w:rPr>
          <w:color w:val="000000" w:themeColor="text1"/>
        </w:rPr>
        <w:t xml:space="preserve">(1), 17-35.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Mayer, R. E., &amp; Moreno, R. (2003). Nine ways to reduce cognitive load in multimedia learning. </w:t>
      </w:r>
      <w:r w:rsidRPr="00476FC9">
        <w:rPr>
          <w:i/>
          <w:color w:val="000000" w:themeColor="text1"/>
        </w:rPr>
        <w:t>Educational psychologist, 38</w:t>
      </w:r>
      <w:r w:rsidRPr="00476FC9">
        <w:rPr>
          <w:color w:val="000000" w:themeColor="text1"/>
        </w:rPr>
        <w:t xml:space="preserve">(1), 43-52.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Miller, G.A. (1994) The magical number seven, plus or minus two: Some limits on our capacity for processing information. Reprinted in Gutfreund, H., &amp; Toulouse, G. (Eds.), Biology and computation: A physicist’s choice. River Edge, NJ: World Scientific Publishing Co. (pp. 207-233)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Moore, R. S., Stammerjohan, C. A., &amp; Coulter, R. A. (2005). Banner advertiser-web site context congruity and color effects on attention and attitudes. </w:t>
      </w:r>
      <w:r w:rsidRPr="00476FC9">
        <w:rPr>
          <w:i/>
          <w:iCs/>
          <w:color w:val="000000" w:themeColor="text1"/>
        </w:rPr>
        <w:t>Journal of Advertising, 34</w:t>
      </w:r>
      <w:r w:rsidRPr="00476FC9">
        <w:rPr>
          <w:color w:val="000000" w:themeColor="text1"/>
        </w:rPr>
        <w:t xml:space="preserve">(2), 71-84.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Moorman, C., Diehl, K., Brinberg, D., &amp; Kidwell, B. (2004). Subjective knowledge, search locations, and consumer choice. </w:t>
      </w:r>
      <w:r w:rsidRPr="00476FC9">
        <w:rPr>
          <w:i/>
          <w:color w:val="000000" w:themeColor="text1"/>
        </w:rPr>
        <w:t>Journal of Consumer research, 31</w:t>
      </w:r>
      <w:r w:rsidRPr="00476FC9">
        <w:rPr>
          <w:color w:val="000000" w:themeColor="text1"/>
        </w:rPr>
        <w:t xml:space="preserve">(3), 673-680.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Morris, L. A., Mazis, M. B., &amp; Brinberg, D. (1989). Risk disclosures in televised prescription drug advertising to consumers. </w:t>
      </w:r>
      <w:r w:rsidRPr="00476FC9">
        <w:rPr>
          <w:i/>
          <w:color w:val="000000" w:themeColor="text1"/>
        </w:rPr>
        <w:t xml:space="preserve">Journal of Public Policy &amp; Marketing, </w:t>
      </w:r>
      <w:r w:rsidRPr="00476FC9">
        <w:rPr>
          <w:color w:val="000000" w:themeColor="text1"/>
        </w:rPr>
        <w:t xml:space="preserve">64-80.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Morris, L. A., &amp; Millstein, L. G. (1984). Drug Advertising to Consumers: Effects of Formants for Magazine and Television Advertisments. </w:t>
      </w:r>
      <w:r w:rsidRPr="00476FC9">
        <w:rPr>
          <w:i/>
          <w:color w:val="000000" w:themeColor="text1"/>
        </w:rPr>
        <w:t>Food Drug Cosm. LJ, 39</w:t>
      </w:r>
      <w:r w:rsidRPr="00476FC9">
        <w:rPr>
          <w:color w:val="000000" w:themeColor="text1"/>
        </w:rPr>
        <w:t xml:space="preserve">, 497.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lastRenderedPageBreak/>
        <w:t xml:space="preserve">Morris, L. A., Ruffner, M., &amp; Klimberg, R. (1985). Warning disclosures for prescription drugs. </w:t>
      </w:r>
      <w:r w:rsidRPr="00476FC9">
        <w:rPr>
          <w:i/>
          <w:color w:val="000000" w:themeColor="text1"/>
        </w:rPr>
        <w:t>Journal of Advertising Research, 25</w:t>
      </w:r>
      <w:r w:rsidRPr="00476FC9">
        <w:rPr>
          <w:color w:val="000000" w:themeColor="text1"/>
        </w:rPr>
        <w:t xml:space="preserve">(5), 25-32. </w:t>
      </w:r>
    </w:p>
    <w:p w:rsidR="006C50CA" w:rsidRPr="00476FC9" w:rsidRDefault="006C50CA" w:rsidP="007D2ACE">
      <w:pPr>
        <w:keepNext w:val="0"/>
        <w:widowControl w:val="0"/>
        <w:kinsoku w:val="0"/>
        <w:overflowPunct w:val="0"/>
        <w:autoSpaceDE w:val="0"/>
        <w:autoSpaceDN w:val="0"/>
        <w:adjustRightInd w:val="0"/>
        <w:snapToGrid w:val="0"/>
        <w:ind w:left="720" w:hanging="720"/>
        <w:rPr>
          <w:rFonts w:eastAsiaTheme="minorEastAsia"/>
          <w:color w:val="000000" w:themeColor="text1"/>
        </w:rPr>
      </w:pPr>
      <w:r w:rsidRPr="00476FC9">
        <w:rPr>
          <w:color w:val="000000" w:themeColor="text1"/>
        </w:rPr>
        <w:t xml:space="preserve">Murray, C. J., &amp; Lopez, A. D. (1996). Evidence-Based Health Policy---Lessons from the Global Burden of Disease Study. </w:t>
      </w:r>
      <w:r w:rsidRPr="00476FC9">
        <w:rPr>
          <w:i/>
          <w:iCs/>
          <w:color w:val="000000" w:themeColor="text1"/>
        </w:rPr>
        <w:t>science, 274</w:t>
      </w:r>
      <w:r w:rsidRPr="00476FC9">
        <w:rPr>
          <w:color w:val="000000" w:themeColor="text1"/>
        </w:rPr>
        <w:t xml:space="preserve">(5288), 740-743.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Myers, S. D., Royne, M. B., &amp; Deitz, G. D. (2011). Direct-to-Consumer Advertising: Exposure, Behavior, and Policy Implications. </w:t>
      </w:r>
      <w:r w:rsidRPr="00476FC9">
        <w:rPr>
          <w:i/>
          <w:color w:val="000000" w:themeColor="text1"/>
        </w:rPr>
        <w:t>Journal of Public Policy &amp; Marketing, 30</w:t>
      </w:r>
      <w:r w:rsidRPr="00476FC9">
        <w:rPr>
          <w:color w:val="000000" w:themeColor="text1"/>
        </w:rPr>
        <w:t xml:space="preserve">(1), 110-118.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Nielsen. (2009). Nielsen reports 2008 U.S. ad spend down 2.6%. Retrieved from http://www.nielsen.com/us/en/newswire/2009/nielsen-reports-2008-us-ad-spend-down-26.html.</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Obermiller, C., &amp; Spangenberg, E. R. (1998). Development of a scale to measure consumer skepticism toward advertising. </w:t>
      </w:r>
      <w:r w:rsidRPr="00476FC9">
        <w:rPr>
          <w:i/>
          <w:color w:val="000000" w:themeColor="text1"/>
        </w:rPr>
        <w:t>Journal of Consumer Psychology, 7</w:t>
      </w:r>
      <w:r w:rsidRPr="00476FC9">
        <w:rPr>
          <w:color w:val="000000" w:themeColor="text1"/>
        </w:rPr>
        <w:t xml:space="preserve">(2), 159.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Obermiller, C., &amp; Spangenberg, E. R. (2000). On the origin and distinctness of skepticism toward advertising. </w:t>
      </w:r>
      <w:r w:rsidRPr="00476FC9">
        <w:rPr>
          <w:i/>
          <w:color w:val="000000" w:themeColor="text1"/>
        </w:rPr>
        <w:t>Marketing Letters, 11</w:t>
      </w:r>
      <w:r w:rsidRPr="00476FC9">
        <w:rPr>
          <w:color w:val="000000" w:themeColor="text1"/>
        </w:rPr>
        <w:t xml:space="preserve">(4), 311-322.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Obermiller, C., Spangenberg, E., &amp; MacLachlan, D. L. (2005). Ad Skepticism: The consequences of disbelief. </w:t>
      </w:r>
      <w:r w:rsidRPr="00476FC9">
        <w:rPr>
          <w:i/>
          <w:color w:val="000000" w:themeColor="text1"/>
        </w:rPr>
        <w:t>Journal of Advertising, 34</w:t>
      </w:r>
      <w:r w:rsidRPr="00476FC9">
        <w:rPr>
          <w:color w:val="000000" w:themeColor="text1"/>
        </w:rPr>
        <w:t xml:space="preserve">(3), 7-17.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Oke, A., Walumbwa, F. O., &amp; Myers, A. (2012). Innovation Strategy, Human Resource Policy, and Firms' Revenue Growth: The Roles of Environmental Uncertainty and Innovation Performance*. </w:t>
      </w:r>
      <w:r w:rsidRPr="00476FC9">
        <w:rPr>
          <w:i/>
          <w:color w:val="000000" w:themeColor="text1"/>
        </w:rPr>
        <w:t>Decision Sciences, 43</w:t>
      </w:r>
      <w:r w:rsidRPr="00476FC9">
        <w:rPr>
          <w:color w:val="000000" w:themeColor="text1"/>
        </w:rPr>
        <w:t xml:space="preserve">(2), 273-302.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lastRenderedPageBreak/>
        <w:t xml:space="preserve">Okechuku, C. (1992). The relationships of prior knowledge and involvement to advertising recall and evaluation. </w:t>
      </w:r>
      <w:r w:rsidRPr="00476FC9">
        <w:rPr>
          <w:i/>
          <w:color w:val="000000" w:themeColor="text1"/>
        </w:rPr>
        <w:t>International Journal of Research in Marketing, 9</w:t>
      </w:r>
      <w:r w:rsidRPr="00476FC9">
        <w:rPr>
          <w:color w:val="000000" w:themeColor="text1"/>
        </w:rPr>
        <w:t xml:space="preserve">(2), 115-130.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O'keefe, D. J. (2002). Persuasion (Vol. 2): SAGE Publications, Incorporated.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O'Keefe, D. J. (2003). Message properties, mediating states, and manipulation checks: Claims, evidence, and data analysis in experimental persuasive message effects research. </w:t>
      </w:r>
      <w:r w:rsidRPr="00476FC9">
        <w:rPr>
          <w:i/>
          <w:color w:val="000000" w:themeColor="text1"/>
        </w:rPr>
        <w:t>Communication Theory, 13</w:t>
      </w:r>
      <w:r w:rsidRPr="00476FC9">
        <w:rPr>
          <w:color w:val="000000" w:themeColor="text1"/>
        </w:rPr>
        <w:t>(3), 251-274.</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O'Keefe, G. J., &amp; Reid, K. (1990). The Uses and Efiects of Public Service Advertising. </w:t>
      </w:r>
      <w:r w:rsidRPr="00476FC9">
        <w:rPr>
          <w:i/>
          <w:color w:val="000000" w:themeColor="text1"/>
        </w:rPr>
        <w:t>Journal of Public Relations Research, 2</w:t>
      </w:r>
      <w:r w:rsidRPr="00476FC9">
        <w:rPr>
          <w:color w:val="000000" w:themeColor="text1"/>
        </w:rPr>
        <w:t>(1-4), 67-91.</w:t>
      </w:r>
    </w:p>
    <w:p w:rsidR="006C50CA" w:rsidRPr="00476FC9" w:rsidRDefault="006C50CA" w:rsidP="007D2ACE">
      <w:pPr>
        <w:keepNext w:val="0"/>
        <w:widowControl w:val="0"/>
        <w:kinsoku w:val="0"/>
        <w:overflowPunct w:val="0"/>
        <w:autoSpaceDE w:val="0"/>
        <w:autoSpaceDN w:val="0"/>
        <w:adjustRightInd w:val="0"/>
        <w:snapToGrid w:val="0"/>
        <w:ind w:left="720" w:hanging="720"/>
        <w:rPr>
          <w:rFonts w:eastAsiaTheme="minorEastAsia"/>
          <w:color w:val="000000" w:themeColor="text1"/>
        </w:rPr>
      </w:pPr>
      <w:r w:rsidRPr="00476FC9">
        <w:rPr>
          <w:color w:val="000000" w:themeColor="text1"/>
        </w:rPr>
        <w:t xml:space="preserve">Olfson, M., Marcus, S. C., Druss, B., Elinson, L., Tanielian, T., &amp; Pincus, H. A. (2002). National trends in the outpatient treatment of depression. </w:t>
      </w:r>
      <w:r w:rsidRPr="00476FC9">
        <w:rPr>
          <w:i/>
          <w:iCs/>
          <w:color w:val="000000" w:themeColor="text1"/>
        </w:rPr>
        <w:t>Jama, 287</w:t>
      </w:r>
      <w:r w:rsidRPr="00476FC9">
        <w:rPr>
          <w:color w:val="000000" w:themeColor="text1"/>
        </w:rPr>
        <w:t xml:space="preserve">(2), 203-209. </w:t>
      </w:r>
    </w:p>
    <w:p w:rsidR="006C50CA" w:rsidRPr="00476FC9" w:rsidRDefault="006C50CA" w:rsidP="007D2ACE">
      <w:pPr>
        <w:keepNext w:val="0"/>
        <w:widowControl w:val="0"/>
        <w:kinsoku w:val="0"/>
        <w:overflowPunct w:val="0"/>
        <w:autoSpaceDE w:val="0"/>
        <w:autoSpaceDN w:val="0"/>
        <w:adjustRightInd w:val="0"/>
        <w:snapToGrid w:val="0"/>
        <w:ind w:left="720" w:hanging="720"/>
        <w:rPr>
          <w:rFonts w:eastAsiaTheme="minorEastAsia"/>
          <w:color w:val="000000" w:themeColor="text1"/>
        </w:rPr>
      </w:pPr>
      <w:r w:rsidRPr="00476FC9">
        <w:rPr>
          <w:color w:val="000000" w:themeColor="text1"/>
        </w:rPr>
        <w:t xml:space="preserve">Olfson, M., Shaffer, D., Marcus, S. C., &amp; Greenberg, T. (2003). Relationship between antidepressant medication treatment and suicide in adolescents. </w:t>
      </w:r>
      <w:r w:rsidRPr="00476FC9">
        <w:rPr>
          <w:i/>
          <w:iCs/>
          <w:color w:val="000000" w:themeColor="text1"/>
        </w:rPr>
        <w:t>Archives of General Psychiatry, 60</w:t>
      </w:r>
      <w:r w:rsidRPr="00476FC9">
        <w:rPr>
          <w:color w:val="000000" w:themeColor="text1"/>
        </w:rPr>
        <w:t xml:space="preserve">(10), 978-982.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Oser, K. (2006, August 16). Pharmaceutical spending expected to reach $1.3 billion. Retrieved from http://www.emarketer.com/Article/Pharmaceutical-Spending-Expected-Reach-13-Billion/1004120</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Park, J. S., &amp; Grow, J. M. (2008). The social reality of depression: DTC advertising of antidepressants and perceptions of the prevalence and lifetime risk of depression. </w:t>
      </w:r>
      <w:r w:rsidRPr="00476FC9">
        <w:rPr>
          <w:i/>
          <w:color w:val="000000" w:themeColor="text1"/>
        </w:rPr>
        <w:t>Journal of Business Ethics, 79</w:t>
      </w:r>
      <w:r w:rsidRPr="00476FC9">
        <w:rPr>
          <w:color w:val="000000" w:themeColor="text1"/>
        </w:rPr>
        <w:t xml:space="preserve">(4), 379-393.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lastRenderedPageBreak/>
        <w:t xml:space="preserve">Park, J. S., Ju, I., &amp; Kim, K. E. (2013). Direct-to-consumer antidepressant advertising and consumers’ optimistic bias about the future risk of depression: The moderating role of advertising skepticism,” </w:t>
      </w:r>
      <w:r w:rsidRPr="00476FC9">
        <w:rPr>
          <w:i/>
          <w:color w:val="000000" w:themeColor="text1"/>
        </w:rPr>
        <w:t>Health Communication</w:t>
      </w:r>
      <w:r w:rsidRPr="00476FC9">
        <w:rPr>
          <w:color w:val="000000" w:themeColor="text1"/>
        </w:rPr>
        <w:t xml:space="preserve"> (ahead-of-print), 1-12.</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Park, C. W., &amp; Lessig, V. P. (1981). Familiarity and its impact on consumer decision biases and heuristics. </w:t>
      </w:r>
      <w:r w:rsidRPr="00476FC9">
        <w:rPr>
          <w:i/>
          <w:color w:val="000000" w:themeColor="text1"/>
        </w:rPr>
        <w:t>Journal of Consumer research</w:t>
      </w:r>
      <w:r w:rsidRPr="00476FC9">
        <w:rPr>
          <w:color w:val="000000" w:themeColor="text1"/>
        </w:rPr>
        <w:t xml:space="preserve">, 223-231.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Park, C. W., Mothersbaugh, D. L., &amp; Feick, L. (1994). Consumer knowledge assessment. </w:t>
      </w:r>
      <w:r w:rsidRPr="00476FC9">
        <w:rPr>
          <w:i/>
          <w:iCs/>
          <w:color w:val="000000" w:themeColor="text1"/>
        </w:rPr>
        <w:t>Journal of Consumer research</w:t>
      </w:r>
      <w:r w:rsidRPr="00476FC9">
        <w:rPr>
          <w:color w:val="000000" w:themeColor="text1"/>
        </w:rPr>
        <w:t xml:space="preserve">, 71-82.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Parker, R. S., &amp; Pettijohn, C. E. (2003). Ethical considerations in the use of direct-to-consumer advertising and pharmaceutical promotions: The impact on pharmaceutical sales and physicians,” </w:t>
      </w:r>
      <w:r w:rsidRPr="00476FC9">
        <w:rPr>
          <w:i/>
          <w:color w:val="000000" w:themeColor="text1"/>
        </w:rPr>
        <w:t>Journal of Business Ethics, 48</w:t>
      </w:r>
      <w:r w:rsidRPr="00476FC9">
        <w:rPr>
          <w:color w:val="000000" w:themeColor="text1"/>
        </w:rPr>
        <w:t>, 279-290.</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Paas, F., Renkl, A., &amp; Sweller, J. (2004). Cognitive load theory: Instructional implications of the interaction between information structures and cognitive architecture. </w:t>
      </w:r>
      <w:r w:rsidRPr="00476FC9">
        <w:rPr>
          <w:i/>
          <w:color w:val="000000" w:themeColor="text1"/>
        </w:rPr>
        <w:t>Instructional science, 32</w:t>
      </w:r>
      <w:r w:rsidRPr="00476FC9">
        <w:rPr>
          <w:color w:val="000000" w:themeColor="text1"/>
        </w:rPr>
        <w:t xml:space="preserve">(1), 1-8.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Pechmann, C., &amp; Stewart, D. W. (1990). The effects of comparative advertising on attention, memory, and purchase intentions. </w:t>
      </w:r>
      <w:r w:rsidRPr="00476FC9">
        <w:rPr>
          <w:i/>
          <w:iCs/>
          <w:color w:val="000000" w:themeColor="text1"/>
        </w:rPr>
        <w:t>Journal of Consumer research</w:t>
      </w:r>
      <w:r w:rsidRPr="00476FC9">
        <w:rPr>
          <w:color w:val="000000" w:themeColor="text1"/>
        </w:rPr>
        <w:t xml:space="preserve">.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Peter, J. P., Olson, J. C., &amp; Grunert, K. G. (1999). </w:t>
      </w:r>
      <w:r w:rsidRPr="00476FC9">
        <w:rPr>
          <w:i/>
          <w:iCs/>
          <w:color w:val="000000" w:themeColor="text1"/>
        </w:rPr>
        <w:t>Consumer behavior and marketing strategy</w:t>
      </w:r>
      <w:r w:rsidRPr="00476FC9">
        <w:rPr>
          <w:color w:val="000000" w:themeColor="text1"/>
        </w:rPr>
        <w:t>: McGraw-Hill London.</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Petty, R. E., &amp; Cacioppo, J. T. (1986). Communication and persuasion: Central and peripheral routes to attitude change (pp. 1-24). New York: Springer.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lastRenderedPageBreak/>
        <w:t xml:space="preserve">Petty, R. E., Cacioppo, J. T., &amp; Schumann, D. (1983). Central and peripheral routes to advertising effectiveness: The moderating role of involvement. </w:t>
      </w:r>
      <w:r w:rsidRPr="00476FC9">
        <w:rPr>
          <w:i/>
          <w:color w:val="000000" w:themeColor="text1"/>
        </w:rPr>
        <w:t>Journal of Consumer research, 10</w:t>
      </w:r>
      <w:r w:rsidRPr="00476FC9">
        <w:rPr>
          <w:color w:val="000000" w:themeColor="text1"/>
        </w:rPr>
        <w:t xml:space="preserve">(2), 135.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Peyrot, M., Alperstein, N. M., Van Doren, D., &amp; Poli, L. G. (1998). Direct-to-consumer ads can influence behavior. Advertising increases consumer knowledge and prescription drug requests. Marketing Health Services, 18(2), 26.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PhRMA. (2009). PhRMA guiding principles: Direct to consumer advertisements about prescription medicines. Retrieved from http://www.phrma.org/sites/default/files/pdf/phrmaguidingprinciplesdec08final.pdf.</w:t>
      </w:r>
    </w:p>
    <w:p w:rsidR="006C50CA" w:rsidRPr="00476FC9" w:rsidRDefault="006C50CA" w:rsidP="007D2ACE">
      <w:pPr>
        <w:keepNext w:val="0"/>
        <w:widowControl w:val="0"/>
        <w:kinsoku w:val="0"/>
        <w:overflowPunct w:val="0"/>
        <w:autoSpaceDE w:val="0"/>
        <w:autoSpaceDN w:val="0"/>
        <w:adjustRightInd w:val="0"/>
        <w:snapToGrid w:val="0"/>
        <w:ind w:left="720" w:hanging="720"/>
        <w:rPr>
          <w:rFonts w:eastAsiaTheme="minorEastAsia"/>
          <w:color w:val="000000" w:themeColor="text1"/>
        </w:rPr>
      </w:pPr>
      <w:r w:rsidRPr="00476FC9">
        <w:rPr>
          <w:color w:val="000000" w:themeColor="text1"/>
        </w:rPr>
        <w:t xml:space="preserve">Pieters, R. (2008). A review of eye-tracking research in marketing. </w:t>
      </w:r>
      <w:r w:rsidRPr="00476FC9">
        <w:rPr>
          <w:i/>
          <w:iCs/>
          <w:color w:val="000000" w:themeColor="text1"/>
        </w:rPr>
        <w:t>Review of marketing research, 4</w:t>
      </w:r>
      <w:r w:rsidRPr="00476FC9">
        <w:rPr>
          <w:color w:val="000000" w:themeColor="text1"/>
        </w:rPr>
        <w:t xml:space="preserve">, 123-147. </w:t>
      </w:r>
    </w:p>
    <w:p w:rsidR="006C50CA" w:rsidRPr="00476FC9" w:rsidRDefault="006C50CA" w:rsidP="007D2ACE">
      <w:pPr>
        <w:keepNext w:val="0"/>
        <w:widowControl w:val="0"/>
        <w:kinsoku w:val="0"/>
        <w:overflowPunct w:val="0"/>
        <w:autoSpaceDE w:val="0"/>
        <w:autoSpaceDN w:val="0"/>
        <w:adjustRightInd w:val="0"/>
        <w:snapToGrid w:val="0"/>
        <w:ind w:left="720" w:hanging="720"/>
        <w:rPr>
          <w:rFonts w:eastAsiaTheme="minorEastAsia"/>
          <w:color w:val="000000" w:themeColor="text1"/>
        </w:rPr>
      </w:pPr>
      <w:r w:rsidRPr="00476FC9">
        <w:rPr>
          <w:color w:val="000000" w:themeColor="text1"/>
        </w:rPr>
        <w:t xml:space="preserve">Pieters, R., &amp; Wedel, M. (2004). Attention capture and transfer in advertising: Brand, pictorial, and text-size effects. </w:t>
      </w:r>
      <w:r w:rsidRPr="00476FC9">
        <w:rPr>
          <w:i/>
          <w:iCs/>
          <w:color w:val="000000" w:themeColor="text1"/>
        </w:rPr>
        <w:t>Journal of Marketing, 68</w:t>
      </w:r>
      <w:r w:rsidRPr="00476FC9">
        <w:rPr>
          <w:color w:val="000000" w:themeColor="text1"/>
        </w:rPr>
        <w:t xml:space="preserve">(2), 36-50.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Pieters, R., Rosbergen, E., &amp; Hartog, M. (1996). Visual attention to advertising: The impact of motivation and repetition. Advances in Consumer Research, 23, 242-248.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Pieters, R., Warlop, L., &amp; Wedel, M. (2002). Breaking through the clutter: Benefits of advertisement originality and familiarity for brand attention and memory. </w:t>
      </w:r>
      <w:r w:rsidRPr="00476FC9">
        <w:rPr>
          <w:i/>
          <w:iCs/>
          <w:color w:val="000000" w:themeColor="text1"/>
        </w:rPr>
        <w:t>Management Science, 48</w:t>
      </w:r>
      <w:r w:rsidRPr="00476FC9">
        <w:rPr>
          <w:color w:val="000000" w:themeColor="text1"/>
        </w:rPr>
        <w:t xml:space="preserve">(6), 765-781. </w:t>
      </w:r>
    </w:p>
    <w:p w:rsidR="006C50CA" w:rsidRPr="00476FC9" w:rsidRDefault="006C50CA" w:rsidP="007D2ACE">
      <w:pPr>
        <w:keepNext w:val="0"/>
        <w:widowControl w:val="0"/>
        <w:kinsoku w:val="0"/>
        <w:overflowPunct w:val="0"/>
        <w:autoSpaceDE w:val="0"/>
        <w:autoSpaceDN w:val="0"/>
        <w:adjustRightInd w:val="0"/>
        <w:snapToGrid w:val="0"/>
        <w:ind w:left="720" w:hanging="720"/>
        <w:rPr>
          <w:rFonts w:eastAsiaTheme="minorEastAsia"/>
          <w:color w:val="000000" w:themeColor="text1"/>
        </w:rPr>
      </w:pPr>
      <w:r w:rsidRPr="00476FC9">
        <w:rPr>
          <w:color w:val="000000" w:themeColor="text1"/>
        </w:rPr>
        <w:t xml:space="preserve">Pieters, R., &amp; Wedel, M. (2004). Attention capture and transfer in advertising: Brand, pictorial, </w:t>
      </w:r>
      <w:r w:rsidRPr="00476FC9">
        <w:rPr>
          <w:color w:val="000000" w:themeColor="text1"/>
        </w:rPr>
        <w:lastRenderedPageBreak/>
        <w:t xml:space="preserve">and text-size effects. </w:t>
      </w:r>
      <w:r w:rsidRPr="00476FC9">
        <w:rPr>
          <w:i/>
          <w:iCs/>
          <w:color w:val="000000" w:themeColor="text1"/>
        </w:rPr>
        <w:t>Journal of Marketing, 68</w:t>
      </w:r>
      <w:r w:rsidRPr="00476FC9">
        <w:rPr>
          <w:color w:val="000000" w:themeColor="text1"/>
        </w:rPr>
        <w:t xml:space="preserve">(2), 36-50. </w:t>
      </w:r>
    </w:p>
    <w:p w:rsidR="006C50CA" w:rsidRPr="00476FC9" w:rsidRDefault="006C50CA" w:rsidP="007D2ACE">
      <w:pPr>
        <w:keepNext w:val="0"/>
        <w:widowControl w:val="0"/>
        <w:kinsoku w:val="0"/>
        <w:overflowPunct w:val="0"/>
        <w:autoSpaceDE w:val="0"/>
        <w:autoSpaceDN w:val="0"/>
        <w:adjustRightInd w:val="0"/>
        <w:snapToGrid w:val="0"/>
        <w:ind w:left="720" w:hanging="720"/>
        <w:rPr>
          <w:rFonts w:eastAsiaTheme="minorEastAsia"/>
          <w:color w:val="000000" w:themeColor="text1"/>
        </w:rPr>
      </w:pPr>
      <w:r w:rsidRPr="00476FC9">
        <w:rPr>
          <w:color w:val="000000" w:themeColor="text1"/>
        </w:rPr>
        <w:t xml:space="preserve">Poole, A., &amp; Ball, L. J. (2006). Eye tracking in HCI and usability research. </w:t>
      </w:r>
      <w:r w:rsidRPr="00476FC9">
        <w:rPr>
          <w:i/>
          <w:iCs/>
          <w:color w:val="000000" w:themeColor="text1"/>
        </w:rPr>
        <w:t>Encyclopedia of Human-Computer Interaction, C. Ghaoui (ed.)</w:t>
      </w:r>
      <w:r w:rsidRPr="00476FC9">
        <w:rPr>
          <w:color w:val="000000" w:themeColor="text1"/>
        </w:rPr>
        <w:t xml:space="preserve">.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Preacher, K. J., &amp; Hayes, A. F. (2004). SPSS and SAS procedures for estimating indirect effects in simple mediation models. B</w:t>
      </w:r>
      <w:r w:rsidRPr="00476FC9">
        <w:rPr>
          <w:i/>
          <w:color w:val="000000" w:themeColor="text1"/>
        </w:rPr>
        <w:t>ehavior Research Methods, Instruments, &amp; Computers, 36</w:t>
      </w:r>
      <w:r w:rsidRPr="00476FC9">
        <w:rPr>
          <w:color w:val="000000" w:themeColor="text1"/>
        </w:rPr>
        <w:t xml:space="preserve">(4), 717-731.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Preacher, K. J., &amp; Hayes, A. F. (2008). Assessing mediation in communication research. The Sage sourcebook of advanced data analysis methods for communication research. Thousand Oaks, CA: Sage, 13-54.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Perdue, B. C., &amp; Summers, J. O. (1986). Checking the success of manipulations in marketing experiments. </w:t>
      </w:r>
      <w:r w:rsidRPr="00476FC9">
        <w:rPr>
          <w:i/>
          <w:iCs/>
          <w:color w:val="000000" w:themeColor="text1"/>
        </w:rPr>
        <w:t>Journal of Marketing Research), 23</w:t>
      </w:r>
      <w:r w:rsidRPr="00476FC9">
        <w:rPr>
          <w:color w:val="000000" w:themeColor="text1"/>
        </w:rPr>
        <w:t>(4)</w:t>
      </w:r>
      <w:r w:rsidRPr="00476FC9">
        <w:rPr>
          <w:rFonts w:eastAsiaTheme="minorEastAsia" w:hint="eastAsia"/>
          <w:color w:val="000000" w:themeColor="text1"/>
        </w:rPr>
        <w:t>, 317-326.</w:t>
      </w:r>
      <w:r w:rsidRPr="00476FC9">
        <w:rPr>
          <w:color w:val="000000" w:themeColor="text1"/>
        </w:rPr>
        <w:t xml:space="preserve">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Reeves, B., &amp; Thorson, E. (1986). Watching television: Experiments on the viewing process. </w:t>
      </w:r>
      <w:r w:rsidRPr="00476FC9">
        <w:rPr>
          <w:i/>
          <w:color w:val="000000" w:themeColor="text1"/>
        </w:rPr>
        <w:t>Communication Research, 13</w:t>
      </w:r>
      <w:r w:rsidRPr="00476FC9">
        <w:rPr>
          <w:color w:val="000000" w:themeColor="text1"/>
        </w:rPr>
        <w:t>, 343-361.</w:t>
      </w:r>
    </w:p>
    <w:p w:rsidR="006C50CA" w:rsidRPr="00476FC9" w:rsidRDefault="006C50CA" w:rsidP="007D2ACE">
      <w:pPr>
        <w:keepNext w:val="0"/>
        <w:widowControl w:val="0"/>
        <w:kinsoku w:val="0"/>
        <w:overflowPunct w:val="0"/>
        <w:autoSpaceDE w:val="0"/>
        <w:autoSpaceDN w:val="0"/>
        <w:adjustRightInd w:val="0"/>
        <w:snapToGrid w:val="0"/>
        <w:ind w:left="720" w:hanging="720"/>
        <w:rPr>
          <w:rFonts w:eastAsiaTheme="minorEastAsia"/>
          <w:color w:val="000000" w:themeColor="text1"/>
        </w:rPr>
      </w:pPr>
      <w:r w:rsidRPr="00476FC9">
        <w:rPr>
          <w:color w:val="000000" w:themeColor="text1"/>
        </w:rPr>
        <w:t xml:space="preserve">Reeves, B., Thorson, E., Rothschild, M. L., McDonald, D., Hirsch, J., &amp; Goldstein, R. (1985). Attention to television: Intrastimulus effects of movement and scene changes on alpha variation over time. </w:t>
      </w:r>
      <w:r w:rsidRPr="00476FC9">
        <w:rPr>
          <w:i/>
          <w:iCs/>
          <w:color w:val="000000" w:themeColor="text1"/>
        </w:rPr>
        <w:t>International Journal of Neuroscience, 27</w:t>
      </w:r>
      <w:r w:rsidRPr="00476FC9">
        <w:rPr>
          <w:color w:val="000000" w:themeColor="text1"/>
        </w:rPr>
        <w:t xml:space="preserve">(3-4), 241-255.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Richard, J. I. (1990). Deceptive advertising: Behavioral study of a legal concept: Routledge.</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Robinson, A. R., Hohmann, K. B., Rifkin, J. I., Topp, D., Gilroy, C. M., Pickard, J. A., &amp; </w:t>
      </w:r>
      <w:r w:rsidRPr="00476FC9">
        <w:rPr>
          <w:color w:val="000000" w:themeColor="text1"/>
        </w:rPr>
        <w:lastRenderedPageBreak/>
        <w:t xml:space="preserve">Anderson, R. J. (2004). Direct-to-consumer pharmaceutical advertising: physician and public opinion and potential effects on the physician-patient relationship. Archives of Internal Medicine, 164(4), 427-432.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Roth, M. S. (1996). Patterns in direct-to-consumer prescription drug print advertising and their public policy implications. </w:t>
      </w:r>
      <w:r w:rsidRPr="00476FC9">
        <w:rPr>
          <w:i/>
          <w:color w:val="000000" w:themeColor="text1"/>
        </w:rPr>
        <w:t>Journal of Public Policy &amp; Marketing,</w:t>
      </w:r>
      <w:r w:rsidRPr="00476FC9">
        <w:rPr>
          <w:color w:val="000000" w:themeColor="text1"/>
        </w:rPr>
        <w:t xml:space="preserve"> 63-75.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Rotfeld, H. J. (2009). Health Information Consumers Can't or Don't Want to Use. </w:t>
      </w:r>
      <w:r w:rsidRPr="00476FC9">
        <w:rPr>
          <w:i/>
          <w:color w:val="000000" w:themeColor="text1"/>
        </w:rPr>
        <w:t>Journal of Consumer Affairs, 43</w:t>
      </w:r>
      <w:r w:rsidRPr="00476FC9">
        <w:rPr>
          <w:color w:val="000000" w:themeColor="text1"/>
        </w:rPr>
        <w:t xml:space="preserve">(2), 373-377. </w:t>
      </w:r>
    </w:p>
    <w:p w:rsidR="006C50CA" w:rsidRPr="00476FC9" w:rsidRDefault="006C50CA" w:rsidP="007D2ACE">
      <w:pPr>
        <w:keepNext w:val="0"/>
        <w:widowControl w:val="0"/>
        <w:kinsoku w:val="0"/>
        <w:overflowPunct w:val="0"/>
        <w:autoSpaceDE w:val="0"/>
        <w:autoSpaceDN w:val="0"/>
        <w:adjustRightInd w:val="0"/>
        <w:snapToGrid w:val="0"/>
        <w:ind w:left="720" w:hanging="720"/>
        <w:rPr>
          <w:rFonts w:eastAsiaTheme="minorEastAsia"/>
          <w:color w:val="000000" w:themeColor="text1"/>
        </w:rPr>
      </w:pPr>
      <w:r w:rsidRPr="00476FC9">
        <w:rPr>
          <w:color w:val="000000" w:themeColor="text1"/>
        </w:rPr>
        <w:t xml:space="preserve">Rosbergen, E., Pieters, R., &amp; Wedel, M. (1997). Visual attention to advertising: A segment-level analysis. </w:t>
      </w:r>
      <w:r w:rsidRPr="00476FC9">
        <w:rPr>
          <w:i/>
          <w:iCs/>
          <w:color w:val="000000" w:themeColor="text1"/>
        </w:rPr>
        <w:t>Journal of Consumer research, 24</w:t>
      </w:r>
      <w:r w:rsidRPr="00476FC9">
        <w:rPr>
          <w:color w:val="000000" w:themeColor="text1"/>
        </w:rPr>
        <w:t xml:space="preserve">(3), 305-314.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Rosenthal, M. B., Berndt, E. R., Donohue, J. M., Frank, R. G., &amp; Epstein, A. M. (2002). Promotion of prescription drugs to consumers. </w:t>
      </w:r>
      <w:r w:rsidRPr="00476FC9">
        <w:rPr>
          <w:i/>
          <w:color w:val="000000" w:themeColor="text1"/>
        </w:rPr>
        <w:t>New England Journal of Medicine, 346</w:t>
      </w:r>
      <w:r w:rsidRPr="00476FC9">
        <w:rPr>
          <w:color w:val="000000" w:themeColor="text1"/>
        </w:rPr>
        <w:t xml:space="preserve">(7), 498-505.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Rosenthal, M. B, &amp; Donohue, J. M. (2005). Direct to consumer advertising of prescription drugs: A policy dilemma. In Ethics and the Pharmaceutical Industry. Santoro, Michael A. and Gorrie, Thomas M., eds. 169-183. New York: Cambridge University Press.</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Royne, M. B., &amp; Myers, S. D. (2008). Recognizing consumer issues in DTC pharmaceutical advertising. </w:t>
      </w:r>
      <w:r w:rsidRPr="00476FC9">
        <w:rPr>
          <w:i/>
          <w:color w:val="000000" w:themeColor="text1"/>
        </w:rPr>
        <w:t>Journal of Consumer Affairs, 42</w:t>
      </w:r>
      <w:r w:rsidRPr="00476FC9">
        <w:rPr>
          <w:color w:val="000000" w:themeColor="text1"/>
        </w:rPr>
        <w:t xml:space="preserve">(1), 60-80.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Shadish, W., Cook, T., &amp; Campbell, D. </w:t>
      </w:r>
      <w:r w:rsidRPr="00476FC9">
        <w:rPr>
          <w:rFonts w:eastAsiaTheme="minorEastAsia" w:hint="eastAsia"/>
          <w:color w:val="000000" w:themeColor="text1"/>
        </w:rPr>
        <w:t xml:space="preserve">(2002). </w:t>
      </w:r>
      <w:r w:rsidRPr="00476FC9">
        <w:rPr>
          <w:color w:val="000000" w:themeColor="text1"/>
        </w:rPr>
        <w:t>Experimental and quasi-experimental designs for generalized causal inference. Boston, New York: Houghton Mifflin Company.</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lastRenderedPageBreak/>
        <w:t xml:space="preserve">Shapiro, S., &amp; Krishnan, H. S. (2001). Memory-based measures for assessing advertising effects: a comparison of explicit and implicit memory effects. </w:t>
      </w:r>
      <w:r w:rsidRPr="00476FC9">
        <w:rPr>
          <w:i/>
          <w:iCs/>
          <w:color w:val="000000" w:themeColor="text1"/>
        </w:rPr>
        <w:t>Journal of Advertising, 30</w:t>
      </w:r>
      <w:r w:rsidRPr="00476FC9">
        <w:rPr>
          <w:color w:val="000000" w:themeColor="text1"/>
        </w:rPr>
        <w:t xml:space="preserve">(3), 1-13.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 Sheehan, K. B. (2003). Balancing acts: An analysis of food and drug administration letters about direct-to-consumer advertising violations. </w:t>
      </w:r>
      <w:r w:rsidRPr="00476FC9">
        <w:rPr>
          <w:i/>
          <w:color w:val="000000" w:themeColor="text1"/>
        </w:rPr>
        <w:t>Journal of Public Policy &amp; Marketing, 22</w:t>
      </w:r>
      <w:r w:rsidRPr="00476FC9">
        <w:rPr>
          <w:color w:val="000000" w:themeColor="text1"/>
        </w:rPr>
        <w:t>(2), 159-169.</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Sheehan, K. (2006). Consumer friendly or reader hostile? An evaluation of the readability of DTC print ads. </w:t>
      </w:r>
      <w:r w:rsidRPr="00476FC9">
        <w:rPr>
          <w:i/>
          <w:color w:val="000000" w:themeColor="text1"/>
        </w:rPr>
        <w:t>Health marketing quarterly, 23</w:t>
      </w:r>
      <w:r w:rsidRPr="00476FC9">
        <w:rPr>
          <w:color w:val="000000" w:themeColor="text1"/>
        </w:rPr>
        <w:t xml:space="preserve">(4), 1-16.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Sheehan, K. B. (2007). Direct-to-consumer (DTC) branded drug web sites. </w:t>
      </w:r>
      <w:r w:rsidRPr="00476FC9">
        <w:rPr>
          <w:i/>
          <w:color w:val="000000" w:themeColor="text1"/>
        </w:rPr>
        <w:t>Journal of Advertising, 36</w:t>
      </w:r>
      <w:r w:rsidRPr="00476FC9">
        <w:rPr>
          <w:color w:val="000000" w:themeColor="text1"/>
        </w:rPr>
        <w:t xml:space="preserve">(3), 123-135.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Sheehan, K. (2006). Consumer friendly or reader hostile? An evaluation of the readability of DTC print ads. </w:t>
      </w:r>
      <w:r w:rsidRPr="00476FC9">
        <w:rPr>
          <w:i/>
          <w:color w:val="000000" w:themeColor="text1"/>
        </w:rPr>
        <w:t>Health marketing quarterly, 23</w:t>
      </w:r>
      <w:r w:rsidRPr="00476FC9">
        <w:rPr>
          <w:color w:val="000000" w:themeColor="text1"/>
        </w:rPr>
        <w:t xml:space="preserve">(4), 1-16.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Shim, M., Cappella, J. N., &amp; Lerman, C. (2010). Familial risk cues in direct-to-consumer prescription drug advertisements: Impacts on intentions to adopt healthy lifestyles and pharmaceutical choices. </w:t>
      </w:r>
      <w:r w:rsidRPr="00476FC9">
        <w:rPr>
          <w:i/>
          <w:color w:val="000000" w:themeColor="text1"/>
        </w:rPr>
        <w:t>Journal of Applied Communication Research, 38</w:t>
      </w:r>
      <w:r w:rsidRPr="00476FC9">
        <w:rPr>
          <w:color w:val="000000" w:themeColor="text1"/>
        </w:rPr>
        <w:t xml:space="preserve">(3), 230-247.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Shrout, P. E., &amp; Bolger, N. (2002). Mediation in experimental and nonexperimental studies: new procedures and recommendations. Psychological methods, 7(4), 422.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Sobel, M. E. (1982). Asymptotic confidence intervals for indirect effects in structural equation models. </w:t>
      </w:r>
      <w:r w:rsidRPr="00476FC9">
        <w:rPr>
          <w:i/>
          <w:color w:val="000000" w:themeColor="text1"/>
        </w:rPr>
        <w:t>Sociological methodology, 13</w:t>
      </w:r>
      <w:r w:rsidRPr="00476FC9">
        <w:rPr>
          <w:color w:val="000000" w:themeColor="text1"/>
        </w:rPr>
        <w:t xml:space="preserve">(1982), 290-312.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lastRenderedPageBreak/>
        <w:t xml:space="preserve">Spyridakis, J. H., &amp; Standal, T. C. (1987). Signals in expository prose: Effects on reading comprehension. Reading Research Quarterly, 285-298.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Stewart, D. W., Folkes, V. S., &amp; Martin, I. (2001). Consumer Response to Warnings and Other Types of Product Hazard Information: Future Public Policy and Research Directions (pp. 335-371): Thousand Oaks, CA: Sage Publications.</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Stewart, D. W., &amp; Martin, I. M. (2004). Advertising disclosures: clear and conspicuous or understood and used? </w:t>
      </w:r>
      <w:r w:rsidRPr="00476FC9">
        <w:rPr>
          <w:i/>
          <w:color w:val="000000" w:themeColor="text1"/>
        </w:rPr>
        <w:t>Journal of Public Policy and Marketing, 23</w:t>
      </w:r>
      <w:r w:rsidRPr="00476FC9">
        <w:rPr>
          <w:color w:val="000000" w:themeColor="text1"/>
        </w:rPr>
        <w:t xml:space="preserve">(2), 183-192.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Suggs, L. S. (2006). A 10-year retrospective of research in new technologies for health communication. </w:t>
      </w:r>
      <w:r w:rsidRPr="00476FC9">
        <w:rPr>
          <w:i/>
          <w:color w:val="000000" w:themeColor="text1"/>
        </w:rPr>
        <w:t>Journal of health communication, 11</w:t>
      </w:r>
      <w:r w:rsidRPr="00476FC9">
        <w:rPr>
          <w:color w:val="000000" w:themeColor="text1"/>
        </w:rPr>
        <w:t xml:space="preserve">(1), 61-74.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Sumpradit, N., Ascione, F. J., &amp; Bagozzi, R. P. (2004). A cross-media content analysis of motivational themes in direct-to-consumer prescription drug advertising. </w:t>
      </w:r>
      <w:r w:rsidRPr="00476FC9">
        <w:rPr>
          <w:i/>
          <w:color w:val="000000" w:themeColor="text1"/>
        </w:rPr>
        <w:t>Clinical therapeutics, 26</w:t>
      </w:r>
      <w:r w:rsidRPr="00476FC9">
        <w:rPr>
          <w:color w:val="000000" w:themeColor="text1"/>
        </w:rPr>
        <w:t xml:space="preserve">(1), 135-154.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Sujan, M. (1985). Consumer knowledge: Effects on evaluation strategies mediating consumer judgments. </w:t>
      </w:r>
      <w:r w:rsidRPr="00476FC9">
        <w:rPr>
          <w:i/>
          <w:color w:val="000000" w:themeColor="text1"/>
        </w:rPr>
        <w:t>Journal of Consumer research</w:t>
      </w:r>
      <w:r w:rsidRPr="00476FC9">
        <w:rPr>
          <w:color w:val="000000" w:themeColor="text1"/>
        </w:rPr>
        <w:t xml:space="preserve">, 31-46.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Taylor, R. E. (1999). A six-segment message strategy wheel. </w:t>
      </w:r>
      <w:r w:rsidRPr="00476FC9">
        <w:rPr>
          <w:i/>
          <w:color w:val="000000" w:themeColor="text1"/>
        </w:rPr>
        <w:t>Journal of Advertising Research, 39</w:t>
      </w:r>
      <w:r w:rsidRPr="00476FC9">
        <w:rPr>
          <w:color w:val="000000" w:themeColor="text1"/>
        </w:rPr>
        <w:t xml:space="preserve">(6), 7-17.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Taylor, S. E., &amp; Fiske, S. T. (1978). Salience, attention, and attribution: Top of the head phenomena. </w:t>
      </w:r>
      <w:r w:rsidRPr="00476FC9">
        <w:rPr>
          <w:i/>
          <w:color w:val="000000" w:themeColor="text1"/>
        </w:rPr>
        <w:t>Advances in experimental social psychology, 11,</w:t>
      </w:r>
      <w:r w:rsidRPr="00476FC9">
        <w:rPr>
          <w:color w:val="000000" w:themeColor="text1"/>
        </w:rPr>
        <w:t xml:space="preserve"> 249-288.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lastRenderedPageBreak/>
        <w:t xml:space="preserve">Taylor, S. E., &amp; Thompson, S. C. (1982). Stalking the elusive “vividness” effect. </w:t>
      </w:r>
      <w:r w:rsidRPr="00476FC9">
        <w:rPr>
          <w:i/>
          <w:color w:val="000000" w:themeColor="text1"/>
        </w:rPr>
        <w:t>Psychological Review, 89</w:t>
      </w:r>
      <w:r w:rsidRPr="00476FC9">
        <w:rPr>
          <w:color w:val="000000" w:themeColor="text1"/>
        </w:rPr>
        <w:t>, 155–181.</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Thorson, E., Chi, A., &amp; </w:t>
      </w:r>
      <w:r w:rsidRPr="00476FC9">
        <w:rPr>
          <w:rFonts w:eastAsiaTheme="minorEastAsia" w:hint="eastAsia"/>
          <w:color w:val="000000" w:themeColor="text1"/>
        </w:rPr>
        <w:t xml:space="preserve">Leavitt, C. </w:t>
      </w:r>
      <w:r w:rsidRPr="00476FC9">
        <w:rPr>
          <w:color w:val="000000" w:themeColor="text1"/>
        </w:rPr>
        <w:t xml:space="preserve">(1992). Attention memory attitude and conation: A test of the advertising hierarchy. </w:t>
      </w:r>
      <w:r w:rsidRPr="00476FC9">
        <w:rPr>
          <w:i/>
          <w:iCs/>
          <w:color w:val="000000" w:themeColor="text1"/>
        </w:rPr>
        <w:t>NA, J Advances in Consumer Research, 19</w:t>
      </w:r>
      <w:r w:rsidRPr="00476FC9">
        <w:rPr>
          <w:color w:val="000000" w:themeColor="text1"/>
        </w:rPr>
        <w:t xml:space="preserve">, 366-379. </w:t>
      </w:r>
    </w:p>
    <w:p w:rsidR="006C50CA" w:rsidRPr="00476FC9" w:rsidRDefault="006C50CA" w:rsidP="007D2ACE">
      <w:pPr>
        <w:keepNext w:val="0"/>
        <w:widowControl w:val="0"/>
        <w:kinsoku w:val="0"/>
        <w:overflowPunct w:val="0"/>
        <w:autoSpaceDE w:val="0"/>
        <w:autoSpaceDN w:val="0"/>
        <w:adjustRightInd w:val="0"/>
        <w:snapToGrid w:val="0"/>
        <w:ind w:left="720" w:hanging="720"/>
        <w:rPr>
          <w:rFonts w:eastAsiaTheme="minorEastAsia"/>
          <w:color w:val="000000" w:themeColor="text1"/>
        </w:rPr>
      </w:pPr>
      <w:r w:rsidRPr="00476FC9">
        <w:rPr>
          <w:rFonts w:eastAsiaTheme="minorEastAsia"/>
          <w:color w:val="000000" w:themeColor="text1"/>
        </w:rPr>
        <w:t xml:space="preserve">Thorson, E., Reeves, B., &amp; Schleuder, J. (1985). Message complexity and attention to television. </w:t>
      </w:r>
      <w:r w:rsidRPr="00476FC9">
        <w:rPr>
          <w:rFonts w:eastAsiaTheme="minorEastAsia"/>
          <w:i/>
          <w:iCs/>
          <w:color w:val="000000" w:themeColor="text1"/>
        </w:rPr>
        <w:t>Communication Research, 12</w:t>
      </w:r>
      <w:r w:rsidRPr="00476FC9">
        <w:rPr>
          <w:rFonts w:eastAsiaTheme="minorEastAsia"/>
          <w:color w:val="000000" w:themeColor="text1"/>
        </w:rPr>
        <w:t>(4), 427-454.</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 Tomes, N. (2006). The patient as a policy factor: a historical case study of the consumer/survivor movement in mental health. </w:t>
      </w:r>
      <w:r w:rsidRPr="00476FC9">
        <w:rPr>
          <w:i/>
          <w:color w:val="000000" w:themeColor="text1"/>
        </w:rPr>
        <w:t>Health Affairs, 25</w:t>
      </w:r>
      <w:r w:rsidRPr="00476FC9">
        <w:rPr>
          <w:color w:val="000000" w:themeColor="text1"/>
        </w:rPr>
        <w:t xml:space="preserve">(3), 720-729.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Torres, I. M., Sierra, J. J., &amp; Heiser, R. S. (2007). The effects of warning-label placement in print ads: a social contract perspective. </w:t>
      </w:r>
      <w:r w:rsidRPr="00476FC9">
        <w:rPr>
          <w:i/>
          <w:color w:val="000000" w:themeColor="text1"/>
        </w:rPr>
        <w:t>Journal of Advertising, 36</w:t>
      </w:r>
      <w:r w:rsidRPr="00476FC9">
        <w:rPr>
          <w:color w:val="000000" w:themeColor="text1"/>
        </w:rPr>
        <w:t xml:space="preserve">(2), 49-62.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Tsai, W.-H., &amp; Lancaster, A. R. (2012). Message Strategies in Direct-to-Consumer Pharmaceutical Advertising: A Content Analysis Using Taylor's Six-Segment Message Strategy Wheel. </w:t>
      </w:r>
      <w:r w:rsidRPr="00476FC9">
        <w:rPr>
          <w:i/>
          <w:color w:val="000000" w:themeColor="text1"/>
        </w:rPr>
        <w:t>Health Marketing Quarterly, 29</w:t>
      </w:r>
      <w:r w:rsidRPr="00476FC9">
        <w:rPr>
          <w:color w:val="000000" w:themeColor="text1"/>
        </w:rPr>
        <w:t xml:space="preserve">(3), 239-255.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Tucker, G. K., &amp; Smith, M. C. (1987). Direct-to-consumer advertising: effects of different formats of warning information disclosure on cognitive reactions of adults. </w:t>
      </w:r>
      <w:r w:rsidRPr="00476FC9">
        <w:rPr>
          <w:i/>
          <w:color w:val="000000" w:themeColor="text1"/>
        </w:rPr>
        <w:t>Journal of Pharmaceutical Marketing &amp; Management, 2</w:t>
      </w:r>
      <w:r w:rsidRPr="00476FC9">
        <w:rPr>
          <w:color w:val="000000" w:themeColor="text1"/>
        </w:rPr>
        <w:t xml:space="preserve">(1), 27-41.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Tversky, A., &amp; Kahneman, D. (1973). Availability: A heuristic for judging frequency and probability. Cognitive psychology, 5(2), 207-232.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lastRenderedPageBreak/>
        <w:t>Tversky, A., &amp; Kahneman, D. (1974). Judgment under uncertainty: Heuristics and biases. Science, 28(5). 1124-113l.</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rFonts w:ascii="바탕" w:eastAsia="바탕" w:hAnsi="바탕" w:cs="바탕" w:hint="eastAsia"/>
          <w:color w:val="000000" w:themeColor="text1"/>
        </w:rPr>
        <w:t>v</w:t>
      </w:r>
      <w:r w:rsidRPr="00476FC9">
        <w:rPr>
          <w:color w:val="000000" w:themeColor="text1"/>
        </w:rPr>
        <w:t xml:space="preserve">an de Pol, P. K., &amp; de Bakker, F. G. (2010). Direct-to-Consumer Advertising of Pharmaceuticals as a Matter of Corporate Social Responsibility? Journal of Business Ethics, 94(2), 211-224.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van Reijmersdal, E. (2009). Brand placement prominence: good for memory! Bad for attitudes? </w:t>
      </w:r>
      <w:r w:rsidRPr="00476FC9">
        <w:rPr>
          <w:i/>
          <w:color w:val="000000" w:themeColor="text1"/>
        </w:rPr>
        <w:t>Journal of Advertising Research, 49</w:t>
      </w:r>
      <w:r w:rsidRPr="00476FC9">
        <w:rPr>
          <w:color w:val="000000" w:themeColor="text1"/>
        </w:rPr>
        <w:t xml:space="preserve">(2), 151-153.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Vatjanapukka, V., &amp; Waryszak, R. (2004). Relationship between consumer knowledge, prescription drug advertising exposure and attitudes towards direct-to-consumer prescription drug advertising. Journal of Medical Marketing: Device, Diagnostic and Pharmaceutical Marketing, 4(4), 350-360.</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Ventola, C. L. (2011). Direct-to-consumer pharmaceutical advertising: therapeutic or toxic? Pharmacy and Therapeutics, 36(10), 669.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Wallack, L. M. (1989). Mass media and health promotion: The promise, the problem, the challenge: School of Public Health, University of California.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Wallack, L. (1990). Media advocacy: Promoting health through mass communication. Health behavior and health education: Theory, research, and practice, 370-386. </w:t>
      </w:r>
    </w:p>
    <w:p w:rsidR="006C50CA" w:rsidRPr="00476FC9" w:rsidRDefault="006C50CA" w:rsidP="007D2ACE">
      <w:pPr>
        <w:keepNext w:val="0"/>
        <w:widowControl w:val="0"/>
        <w:kinsoku w:val="0"/>
        <w:overflowPunct w:val="0"/>
        <w:autoSpaceDE w:val="0"/>
        <w:autoSpaceDN w:val="0"/>
        <w:adjustRightInd w:val="0"/>
        <w:snapToGrid w:val="0"/>
        <w:ind w:left="720" w:hanging="720"/>
        <w:rPr>
          <w:rFonts w:eastAsiaTheme="minorEastAsia"/>
          <w:color w:val="000000" w:themeColor="text1"/>
        </w:rPr>
      </w:pPr>
      <w:r w:rsidRPr="00476FC9">
        <w:rPr>
          <w:color w:val="000000" w:themeColor="text1"/>
        </w:rPr>
        <w:t xml:space="preserve">Wetzel, C. G. (1977). Manipulation checks-reply. </w:t>
      </w:r>
      <w:r w:rsidRPr="00476FC9">
        <w:rPr>
          <w:i/>
          <w:iCs/>
          <w:color w:val="000000" w:themeColor="text1"/>
        </w:rPr>
        <w:t>Representative Research in Social Psychology, 8</w:t>
      </w:r>
      <w:r w:rsidRPr="00476FC9">
        <w:rPr>
          <w:color w:val="000000" w:themeColor="text1"/>
        </w:rPr>
        <w:t xml:space="preserve">(2), 88-93.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lastRenderedPageBreak/>
        <w:t xml:space="preserve">Wilkie, W. L. (1974). Analysis of effects of information load. Journal of Marketing Research, 462-466.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Wilkie, W. L. (1985). Affirmative disclosure at the FTC: Objectives for the remedy and outcomes of past orders. </w:t>
      </w:r>
      <w:r w:rsidRPr="00476FC9">
        <w:rPr>
          <w:i/>
          <w:color w:val="000000" w:themeColor="text1"/>
        </w:rPr>
        <w:t xml:space="preserve">Journal of Public Policy &amp; Marketing, </w:t>
      </w:r>
      <w:r w:rsidRPr="00476FC9">
        <w:rPr>
          <w:color w:val="000000" w:themeColor="text1"/>
        </w:rPr>
        <w:t>91-111.</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Wilkie, W. L. (1986). Affirmative disclosure at the FTC: Strategic dimension,” </w:t>
      </w:r>
      <w:r w:rsidRPr="00476FC9">
        <w:rPr>
          <w:i/>
          <w:color w:val="000000" w:themeColor="text1"/>
        </w:rPr>
        <w:t xml:space="preserve">Journal of Public Policy and Marketing, 5, </w:t>
      </w:r>
      <w:r w:rsidRPr="00476FC9">
        <w:rPr>
          <w:color w:val="000000" w:themeColor="text1"/>
        </w:rPr>
        <w:t xml:space="preserve">123–130.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Wilkie, W. L., &amp; Gardner, D. M. (1974). The role of marketing research in public policy decision making. </w:t>
      </w:r>
      <w:r w:rsidRPr="00476FC9">
        <w:rPr>
          <w:i/>
          <w:color w:val="000000" w:themeColor="text1"/>
        </w:rPr>
        <w:t>The Journal of marketing</w:t>
      </w:r>
      <w:r w:rsidRPr="00476FC9">
        <w:rPr>
          <w:color w:val="000000" w:themeColor="text1"/>
        </w:rPr>
        <w:t xml:space="preserve">, 38-47.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Wilkies, M. S., Bell, R. A., &amp; Kravitz, R. L. (2000). Direct-to-consumer prescription drug advertising: Trends, impact, and implications. </w:t>
      </w:r>
      <w:r w:rsidRPr="00476FC9">
        <w:rPr>
          <w:i/>
          <w:color w:val="000000" w:themeColor="text1"/>
        </w:rPr>
        <w:t>Health Affairs, 19</w:t>
      </w:r>
      <w:r w:rsidRPr="00476FC9">
        <w:rPr>
          <w:color w:val="000000" w:themeColor="text1"/>
        </w:rPr>
        <w:t>(2), 110-128.</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Williams, J. R., &amp; Hensel, P. J. (1995). Direct-to-consumer advertising of prescription drugs. </w:t>
      </w:r>
      <w:r w:rsidRPr="00476FC9">
        <w:rPr>
          <w:i/>
          <w:color w:val="000000" w:themeColor="text1"/>
        </w:rPr>
        <w:t>Journal of Health Care Marketing, 15</w:t>
      </w:r>
      <w:r w:rsidRPr="00476FC9">
        <w:rPr>
          <w:color w:val="000000" w:themeColor="text1"/>
        </w:rPr>
        <w:t>(1), 35-41.</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Wilson, E. J., &amp; Sherrell, D. L. (1993). Source effects in communication and persuasion research: A meta-analysis of effect size. Journal of the Academy of Marketing Science, 21(2), 101-112.</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Wimmer, R., &amp; Dominick, J. (2006). Mass communication research: an introduction. Belmont, CA.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Wogalter, M. (2006). Communication-human information processing (C-HIP) model. In </w:t>
      </w:r>
      <w:r w:rsidRPr="00476FC9">
        <w:rPr>
          <w:color w:val="000000" w:themeColor="text1"/>
        </w:rPr>
        <w:lastRenderedPageBreak/>
        <w:t>Wogalter, M., ed., Handbook of Warnings. Lawrence Erlbaum Associates.</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Wogalter, M. S., Conzola, V. C., &amp; Smith-Jackson, T. L. (2002). Research-based guidelines for warning design and evaluation. </w:t>
      </w:r>
      <w:r w:rsidRPr="00476FC9">
        <w:rPr>
          <w:i/>
          <w:color w:val="000000" w:themeColor="text1"/>
        </w:rPr>
        <w:t>Applied Ergonomics, 33</w:t>
      </w:r>
      <w:r w:rsidRPr="00476FC9">
        <w:rPr>
          <w:color w:val="000000" w:themeColor="text1"/>
        </w:rPr>
        <w:t xml:space="preserve">(3), 219-230.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Wogalter, M. S., &amp; Shaver, E. F. (2001). Evaluation of list vs. paragraph text format on search time for warning symptoms in a product manual. </w:t>
      </w:r>
      <w:r w:rsidRPr="00476FC9">
        <w:rPr>
          <w:i/>
          <w:color w:val="000000" w:themeColor="text1"/>
        </w:rPr>
        <w:t>Advances in Occupational Ergonomics and Safety, 4,</w:t>
      </w:r>
      <w:r w:rsidRPr="00476FC9">
        <w:rPr>
          <w:color w:val="000000" w:themeColor="text1"/>
        </w:rPr>
        <w:t xml:space="preserve"> 434-438.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Wogalter, M. S., Smith-Jackson, T. L., Mills, B. J., &amp; Paine, C. S. (2002). The Effects of Print Format in Direct-to-Consumer Prescription Drug Advertisements on Risk Knowledge and Preference*. </w:t>
      </w:r>
      <w:r w:rsidRPr="00476FC9">
        <w:rPr>
          <w:i/>
          <w:color w:val="000000" w:themeColor="text1"/>
        </w:rPr>
        <w:t>Drug Information Journal, 36</w:t>
      </w:r>
      <w:r w:rsidRPr="00476FC9">
        <w:rPr>
          <w:color w:val="000000" w:themeColor="text1"/>
        </w:rPr>
        <w:t xml:space="preserve">(3), 693-705.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Wolfe, S. M. (2002). Direct-to-consumer advertising--education or emotion promotion? </w:t>
      </w:r>
      <w:r w:rsidRPr="00476FC9">
        <w:rPr>
          <w:i/>
          <w:color w:val="000000" w:themeColor="text1"/>
        </w:rPr>
        <w:t>The New England journal of medicine, 346</w:t>
      </w:r>
      <w:r w:rsidRPr="00476FC9">
        <w:rPr>
          <w:color w:val="000000" w:themeColor="text1"/>
        </w:rPr>
        <w:t xml:space="preserve">(7), 524.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Wolf, M. S., Davis, T. C., Tilson, H. H., Bass III, P. F., &amp; Parker, R. M. (2006). Misunderstanding of prescription drug warning labels among patients with low literacy. </w:t>
      </w:r>
      <w:r w:rsidRPr="00476FC9">
        <w:rPr>
          <w:i/>
          <w:color w:val="000000" w:themeColor="text1"/>
        </w:rPr>
        <w:t>American Journal of Health-System Pharmacy, 63</w:t>
      </w:r>
      <w:r w:rsidRPr="00476FC9">
        <w:rPr>
          <w:color w:val="000000" w:themeColor="text1"/>
        </w:rPr>
        <w:t xml:space="preserve">(11).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Wosinska, M. (2005). Direct-to-consumer advertising and drug therapy compliance. </w:t>
      </w:r>
      <w:r w:rsidRPr="00476FC9">
        <w:rPr>
          <w:i/>
          <w:color w:val="000000" w:themeColor="text1"/>
        </w:rPr>
        <w:t>Journal of Marketing Research, 42</w:t>
      </w:r>
      <w:r w:rsidRPr="00476FC9">
        <w:rPr>
          <w:color w:val="000000" w:themeColor="text1"/>
        </w:rPr>
        <w:t>(3), 323-332.</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Wright, P. (1975). Consumer choice strategies: Simplifying vs. optimizing. </w:t>
      </w:r>
      <w:r w:rsidRPr="00476FC9">
        <w:rPr>
          <w:i/>
          <w:color w:val="000000" w:themeColor="text1"/>
        </w:rPr>
        <w:t xml:space="preserve">Journal of Marketing Research, </w:t>
      </w:r>
      <w:r w:rsidRPr="00476FC9">
        <w:rPr>
          <w:color w:val="000000" w:themeColor="text1"/>
        </w:rPr>
        <w:t xml:space="preserve">60-67. </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lastRenderedPageBreak/>
        <w:t xml:space="preserve">Wymer, W. (2010). Consumer perceptions of prescription drug websites: A pilot study. </w:t>
      </w:r>
      <w:r w:rsidRPr="00476FC9">
        <w:rPr>
          <w:i/>
          <w:color w:val="000000" w:themeColor="text1"/>
        </w:rPr>
        <w:t>Health Marketing Quarterly, 27</w:t>
      </w:r>
      <w:r w:rsidRPr="00476FC9">
        <w:rPr>
          <w:color w:val="000000" w:themeColor="text1"/>
        </w:rPr>
        <w:t>(2), 173-194.</w:t>
      </w:r>
    </w:p>
    <w:p w:rsidR="006C50CA" w:rsidRPr="00476FC9" w:rsidRDefault="006C50CA" w:rsidP="007D2ACE">
      <w:pPr>
        <w:keepNext w:val="0"/>
        <w:widowControl w:val="0"/>
        <w:kinsoku w:val="0"/>
        <w:overflowPunct w:val="0"/>
        <w:autoSpaceDE w:val="0"/>
        <w:autoSpaceDN w:val="0"/>
        <w:adjustRightInd w:val="0"/>
        <w:snapToGrid w:val="0"/>
        <w:ind w:left="720" w:hanging="720"/>
        <w:rPr>
          <w:color w:val="000000" w:themeColor="text1"/>
        </w:rPr>
      </w:pPr>
      <w:r w:rsidRPr="00476FC9">
        <w:rPr>
          <w:color w:val="000000" w:themeColor="text1"/>
        </w:rPr>
        <w:t xml:space="preserve">Zhao, X., Lynch, J. G., &amp; Chen, Q. (2010). Reconsidering Baron and Kenny: Myths and truths about mediation analysis. </w:t>
      </w:r>
      <w:r w:rsidRPr="00476FC9">
        <w:rPr>
          <w:i/>
          <w:color w:val="000000" w:themeColor="text1"/>
        </w:rPr>
        <w:t>Journal of Consumer research, 37</w:t>
      </w:r>
      <w:r w:rsidRPr="00476FC9">
        <w:rPr>
          <w:color w:val="000000" w:themeColor="text1"/>
        </w:rPr>
        <w:t xml:space="preserve">(2), 197-206. </w:t>
      </w:r>
    </w:p>
    <w:p w:rsidR="006C50CA" w:rsidRPr="00476FC9" w:rsidRDefault="006C50CA" w:rsidP="007D2ACE">
      <w:pPr>
        <w:keepNext w:val="0"/>
        <w:widowControl w:val="0"/>
        <w:kinsoku w:val="0"/>
        <w:overflowPunct w:val="0"/>
        <w:autoSpaceDE w:val="0"/>
        <w:autoSpaceDN w:val="0"/>
        <w:adjustRightInd w:val="0"/>
        <w:snapToGrid w:val="0"/>
        <w:rPr>
          <w:color w:val="000000" w:themeColor="text1"/>
        </w:rPr>
      </w:pPr>
      <w:r w:rsidRPr="00476FC9">
        <w:rPr>
          <w:color w:val="000000" w:themeColor="text1"/>
        </w:rPr>
        <w:t xml:space="preserve">Zillmann, D. (1982). Television viewing and arousal. </w:t>
      </w:r>
      <w:r w:rsidRPr="00476FC9">
        <w:rPr>
          <w:i/>
          <w:iCs/>
          <w:color w:val="000000" w:themeColor="text1"/>
        </w:rPr>
        <w:t>Television and behavior: Ten years of scientific progress and implications for the eighties, 2</w:t>
      </w:r>
      <w:r w:rsidRPr="00476FC9">
        <w:rPr>
          <w:color w:val="000000" w:themeColor="text1"/>
        </w:rPr>
        <w:t>, 53-67.</w:t>
      </w:r>
    </w:p>
    <w:p w:rsidR="00787C52" w:rsidRPr="00476FC9" w:rsidRDefault="00236E6D" w:rsidP="007D2ACE">
      <w:pPr>
        <w:pStyle w:val="Heading1"/>
        <w:rPr>
          <w:color w:val="000000" w:themeColor="text1"/>
        </w:rPr>
      </w:pPr>
      <w:r w:rsidRPr="00476FC9">
        <w:rPr>
          <w:color w:val="000000" w:themeColor="text1"/>
        </w:rPr>
        <w:br w:type="page"/>
      </w:r>
      <w:bookmarkStart w:id="66" w:name="_Toc393800697"/>
      <w:r w:rsidR="00787C52" w:rsidRPr="00476FC9">
        <w:rPr>
          <w:color w:val="000000" w:themeColor="text1"/>
        </w:rPr>
        <w:lastRenderedPageBreak/>
        <w:t>APPENDICES</w:t>
      </w:r>
      <w:bookmarkEnd w:id="66"/>
    </w:p>
    <w:p w:rsidR="00787C52" w:rsidRPr="00476FC9" w:rsidRDefault="00787C52" w:rsidP="007D2ACE">
      <w:pPr>
        <w:keepNext w:val="0"/>
        <w:widowControl w:val="0"/>
        <w:kinsoku w:val="0"/>
        <w:overflowPunct w:val="0"/>
        <w:autoSpaceDE w:val="0"/>
        <w:autoSpaceDN w:val="0"/>
        <w:adjustRightInd w:val="0"/>
        <w:snapToGrid w:val="0"/>
        <w:spacing w:before="0" w:after="0" w:line="240" w:lineRule="auto"/>
        <w:outlineLvl w:val="9"/>
        <w:rPr>
          <w:rFonts w:cs="Arial"/>
          <w:bCs w:val="0"/>
          <w:iCs/>
          <w:color w:val="000000" w:themeColor="text1"/>
        </w:rPr>
      </w:pPr>
      <w:r w:rsidRPr="00476FC9">
        <w:rPr>
          <w:color w:val="000000" w:themeColor="text1"/>
        </w:rPr>
        <w:br w:type="page"/>
      </w:r>
    </w:p>
    <w:p w:rsidR="009D3070" w:rsidRPr="00476FC9" w:rsidRDefault="009D3070" w:rsidP="007D2ACE">
      <w:pPr>
        <w:pStyle w:val="Heading2"/>
        <w:rPr>
          <w:color w:val="000000" w:themeColor="text1"/>
        </w:rPr>
      </w:pPr>
      <w:bookmarkStart w:id="67" w:name="_Toc393800698"/>
      <w:r w:rsidRPr="00476FC9">
        <w:rPr>
          <w:color w:val="000000" w:themeColor="text1"/>
        </w:rPr>
        <w:lastRenderedPageBreak/>
        <w:t xml:space="preserve">Appendix A: </w:t>
      </w:r>
      <w:r w:rsidR="00FB57B5" w:rsidRPr="00476FC9">
        <w:rPr>
          <w:color w:val="000000" w:themeColor="text1"/>
        </w:rPr>
        <w:t xml:space="preserve">Survey </w:t>
      </w:r>
      <w:r w:rsidRPr="00476FC9">
        <w:rPr>
          <w:color w:val="000000" w:themeColor="text1"/>
        </w:rPr>
        <w:t>Questionnaire</w:t>
      </w:r>
      <w:bookmarkEnd w:id="67"/>
    </w:p>
    <w:p w:rsidR="00650B0F" w:rsidRPr="00476FC9" w:rsidRDefault="00650B0F" w:rsidP="007D2ACE">
      <w:pPr>
        <w:keepNext w:val="0"/>
        <w:widowControl w:val="0"/>
        <w:kinsoku w:val="0"/>
        <w:overflowPunct w:val="0"/>
        <w:autoSpaceDE w:val="0"/>
        <w:autoSpaceDN w:val="0"/>
        <w:adjustRightInd w:val="0"/>
        <w:snapToGrid w:val="0"/>
        <w:spacing w:before="0" w:after="0" w:line="276" w:lineRule="auto"/>
        <w:outlineLvl w:val="9"/>
        <w:rPr>
          <w:rFonts w:eastAsia="맑은 고딕"/>
          <w:bCs w:val="0"/>
          <w:color w:val="000000" w:themeColor="text1"/>
          <w:sz w:val="22"/>
          <w:szCs w:val="22"/>
          <w:lang w:eastAsia="en-US"/>
        </w:rPr>
      </w:pPr>
      <w:r w:rsidRPr="00476FC9">
        <w:rPr>
          <w:rFonts w:eastAsia="맑은 고딕"/>
          <w:bCs w:val="0"/>
          <w:color w:val="000000" w:themeColor="text1"/>
          <w:sz w:val="22"/>
          <w:szCs w:val="22"/>
          <w:lang w:eastAsia="en-US"/>
        </w:rPr>
        <w:t xml:space="preserve">Thank you for your willingness to participate in this study. Ilwoo Ju (Doctoral Candidate) at the University of Tennessee is the primary investigator of this study, and is attempting to understand the use of health information among adults. </w:t>
      </w:r>
    </w:p>
    <w:p w:rsidR="00650B0F" w:rsidRPr="00476FC9" w:rsidRDefault="00650B0F" w:rsidP="007D2ACE">
      <w:pPr>
        <w:keepNext w:val="0"/>
        <w:widowControl w:val="0"/>
        <w:kinsoku w:val="0"/>
        <w:overflowPunct w:val="0"/>
        <w:autoSpaceDE w:val="0"/>
        <w:autoSpaceDN w:val="0"/>
        <w:adjustRightInd w:val="0"/>
        <w:snapToGrid w:val="0"/>
        <w:spacing w:before="0" w:after="0" w:line="276" w:lineRule="auto"/>
        <w:outlineLvl w:val="9"/>
        <w:rPr>
          <w:rFonts w:eastAsia="맑은 고딕"/>
          <w:bCs w:val="0"/>
          <w:color w:val="000000" w:themeColor="text1"/>
          <w:sz w:val="22"/>
          <w:szCs w:val="22"/>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76" w:lineRule="auto"/>
        <w:outlineLvl w:val="9"/>
        <w:rPr>
          <w:rFonts w:eastAsia="맑은 고딕"/>
          <w:bCs w:val="0"/>
          <w:color w:val="000000" w:themeColor="text1"/>
          <w:sz w:val="22"/>
          <w:szCs w:val="22"/>
          <w:lang w:eastAsia="en-US"/>
        </w:rPr>
      </w:pPr>
      <w:r w:rsidRPr="00476FC9">
        <w:rPr>
          <w:rFonts w:eastAsia="맑은 고딕"/>
          <w:bCs w:val="0"/>
          <w:color w:val="000000" w:themeColor="text1"/>
          <w:sz w:val="22"/>
          <w:szCs w:val="22"/>
          <w:lang w:eastAsia="en-US"/>
        </w:rPr>
        <w:t>There are no anticipated risks for study participants. However, if you do not wish to answer a question, you may skip it. Participation is voluntary. If you wish to quit the project at any time, you can simply close the survey.</w:t>
      </w:r>
    </w:p>
    <w:p w:rsidR="00650B0F" w:rsidRPr="00476FC9" w:rsidRDefault="00650B0F" w:rsidP="007D2ACE">
      <w:pPr>
        <w:keepNext w:val="0"/>
        <w:widowControl w:val="0"/>
        <w:kinsoku w:val="0"/>
        <w:overflowPunct w:val="0"/>
        <w:autoSpaceDE w:val="0"/>
        <w:autoSpaceDN w:val="0"/>
        <w:adjustRightInd w:val="0"/>
        <w:snapToGrid w:val="0"/>
        <w:spacing w:before="0" w:after="0" w:line="276" w:lineRule="auto"/>
        <w:outlineLvl w:val="9"/>
        <w:rPr>
          <w:rFonts w:eastAsia="맑은 고딕"/>
          <w:bCs w:val="0"/>
          <w:color w:val="000000" w:themeColor="text1"/>
          <w:sz w:val="22"/>
          <w:szCs w:val="22"/>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76" w:lineRule="auto"/>
        <w:outlineLvl w:val="9"/>
        <w:rPr>
          <w:rFonts w:eastAsia="맑은 고딕"/>
          <w:bCs w:val="0"/>
          <w:color w:val="000000" w:themeColor="text1"/>
          <w:sz w:val="22"/>
          <w:szCs w:val="22"/>
          <w:lang w:eastAsia="en-US"/>
        </w:rPr>
      </w:pPr>
      <w:r w:rsidRPr="00476FC9">
        <w:rPr>
          <w:rFonts w:eastAsia="맑은 고딕"/>
          <w:bCs w:val="0"/>
          <w:color w:val="000000" w:themeColor="text1"/>
          <w:sz w:val="22"/>
          <w:szCs w:val="22"/>
          <w:lang w:eastAsia="en-US"/>
        </w:rPr>
        <w:t>If you have questions about the study or the procedures, you may contact the primary researcher Ilwoo Ju by mail at 401 Student Services Building, Knoxville, TN 37996, by phone at (865) 318-4004, or by e-mail at iju@utk.edu. If you have questions about your rights as a participant, contact Brenda Lawson in the Office of Research &amp; Engagement at (865) 974-7697 or blawson@utk.edu.</w:t>
      </w:r>
    </w:p>
    <w:p w:rsidR="00650B0F" w:rsidRPr="00476FC9" w:rsidRDefault="00650B0F" w:rsidP="007D2ACE">
      <w:pPr>
        <w:keepNext w:val="0"/>
        <w:widowControl w:val="0"/>
        <w:kinsoku w:val="0"/>
        <w:overflowPunct w:val="0"/>
        <w:autoSpaceDE w:val="0"/>
        <w:autoSpaceDN w:val="0"/>
        <w:adjustRightInd w:val="0"/>
        <w:snapToGrid w:val="0"/>
        <w:spacing w:before="0" w:after="0" w:line="276" w:lineRule="auto"/>
        <w:outlineLvl w:val="9"/>
        <w:rPr>
          <w:rFonts w:eastAsia="맑은 고딕"/>
          <w:bCs w:val="0"/>
          <w:color w:val="000000" w:themeColor="text1"/>
          <w:sz w:val="22"/>
          <w:szCs w:val="22"/>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76" w:lineRule="auto"/>
        <w:outlineLvl w:val="9"/>
        <w:rPr>
          <w:rFonts w:eastAsia="맑은 고딕"/>
          <w:bCs w:val="0"/>
          <w:color w:val="000000" w:themeColor="text1"/>
          <w:sz w:val="22"/>
          <w:szCs w:val="22"/>
          <w:lang w:eastAsia="en-US"/>
        </w:rPr>
      </w:pPr>
      <w:r w:rsidRPr="00476FC9">
        <w:rPr>
          <w:rFonts w:eastAsia="맑은 고딕"/>
          <w:bCs w:val="0"/>
          <w:color w:val="000000" w:themeColor="text1"/>
          <w:sz w:val="22"/>
          <w:szCs w:val="22"/>
          <w:lang w:eastAsia="en-US"/>
        </w:rPr>
        <w:t>The information you provide will be anonymous. You will not be identified individually at any stage of the study. The data and your informed consent will be stored in a secured place (the University of Tennessee Communication College Doctoral Office) during the analysis for 3 years and will be destroyed afterwards. You must be age 18 or older to participate.</w:t>
      </w:r>
    </w:p>
    <w:p w:rsidR="00650B0F" w:rsidRPr="00476FC9" w:rsidRDefault="00650B0F" w:rsidP="007D2ACE">
      <w:pPr>
        <w:keepNext w:val="0"/>
        <w:widowControl w:val="0"/>
        <w:kinsoku w:val="0"/>
        <w:overflowPunct w:val="0"/>
        <w:autoSpaceDE w:val="0"/>
        <w:autoSpaceDN w:val="0"/>
        <w:adjustRightInd w:val="0"/>
        <w:snapToGrid w:val="0"/>
        <w:spacing w:before="0" w:after="0" w:line="276" w:lineRule="auto"/>
        <w:outlineLvl w:val="9"/>
        <w:rPr>
          <w:rFonts w:eastAsia="맑은 고딕"/>
          <w:bCs w:val="0"/>
          <w:color w:val="000000" w:themeColor="text1"/>
          <w:sz w:val="22"/>
          <w:szCs w:val="22"/>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76" w:lineRule="auto"/>
        <w:outlineLvl w:val="9"/>
        <w:rPr>
          <w:rFonts w:eastAsia="맑은 고딕"/>
          <w:bCs w:val="0"/>
          <w:color w:val="000000" w:themeColor="text1"/>
          <w:sz w:val="22"/>
          <w:szCs w:val="22"/>
          <w:lang w:eastAsia="en-US"/>
        </w:rPr>
      </w:pPr>
      <w:r w:rsidRPr="00476FC9">
        <w:rPr>
          <w:rFonts w:eastAsia="맑은 고딕"/>
          <w:bCs w:val="0"/>
          <w:color w:val="000000" w:themeColor="text1"/>
          <w:sz w:val="22"/>
          <w:szCs w:val="22"/>
          <w:lang w:eastAsia="en-US"/>
        </w:rPr>
        <w:t>By clicking this link, you indicate your consent to participate and that you are at least 18 years old.</w:t>
      </w:r>
    </w:p>
    <w:p w:rsidR="00650B0F" w:rsidRPr="00476FC9" w:rsidRDefault="00650B0F" w:rsidP="007D2ACE">
      <w:pPr>
        <w:keepNext w:val="0"/>
        <w:widowControl w:val="0"/>
        <w:kinsoku w:val="0"/>
        <w:overflowPunct w:val="0"/>
        <w:autoSpaceDE w:val="0"/>
        <w:autoSpaceDN w:val="0"/>
        <w:adjustRightInd w:val="0"/>
        <w:snapToGrid w:val="0"/>
        <w:spacing w:before="0" w:after="120" w:line="276" w:lineRule="auto"/>
        <w:outlineLvl w:val="9"/>
        <w:rPr>
          <w:rFonts w:eastAsia="맑은 고딕"/>
          <w:bCs w:val="0"/>
          <w:color w:val="000000" w:themeColor="text1"/>
          <w:sz w:val="22"/>
          <w:szCs w:val="22"/>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76" w:lineRule="auto"/>
        <w:outlineLvl w:val="9"/>
        <w:rPr>
          <w:rFonts w:eastAsia="맑은 고딕"/>
          <w:bCs w:val="0"/>
          <w:color w:val="000000" w:themeColor="text1"/>
          <w:sz w:val="22"/>
          <w:szCs w:val="22"/>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
          <w:color w:val="000000" w:themeColor="text1"/>
          <w:szCs w:val="24"/>
          <w:lang w:eastAsia="en-US"/>
        </w:rPr>
      </w:pPr>
      <w:r w:rsidRPr="00476FC9">
        <w:rPr>
          <w:rFonts w:eastAsia="맑은 고딕"/>
          <w:b/>
          <w:color w:val="000000" w:themeColor="text1"/>
          <w:szCs w:val="24"/>
        </w:rPr>
        <w:br w:type="page"/>
      </w:r>
      <w:r w:rsidRPr="00476FC9">
        <w:rPr>
          <w:rFonts w:eastAsia="맑은 고딕"/>
          <w:b/>
          <w:color w:val="000000" w:themeColor="text1"/>
          <w:szCs w:val="24"/>
          <w:lang w:eastAsia="en-US"/>
        </w:rPr>
        <w:lastRenderedPageBreak/>
        <w:t xml:space="preserve">The primary focus of this survey is on your thoughts and feelings about health issues in general. Please read carefully and answer the following questions. </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AdvSTP_PSTimR"/>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AdvSTP_PSTimR"/>
          <w:color w:val="000000" w:themeColor="text1"/>
          <w:szCs w:val="24"/>
          <w:lang w:eastAsia="en-US"/>
        </w:rPr>
      </w:pPr>
      <w:r w:rsidRPr="00476FC9">
        <w:rPr>
          <w:rFonts w:eastAsia="AdvSTP_PSTimR"/>
          <w:b/>
          <w:color w:val="000000" w:themeColor="text1"/>
          <w:szCs w:val="24"/>
          <w:lang w:eastAsia="en-US"/>
        </w:rPr>
        <w:t>Q1)</w:t>
      </w:r>
      <w:r w:rsidRPr="00476FC9">
        <w:rPr>
          <w:rFonts w:eastAsia="AdvSTP_PSTimR"/>
          <w:color w:val="000000" w:themeColor="text1"/>
          <w:szCs w:val="24"/>
          <w:lang w:eastAsia="en-US"/>
        </w:rPr>
        <w:t xml:space="preserve"> How would you rate your overall health at the present time? </w:t>
      </w:r>
    </w:p>
    <w:tbl>
      <w:tblPr>
        <w:tblW w:w="0" w:type="auto"/>
        <w:jc w:val="center"/>
        <w:tblLook w:val="04A0" w:firstRow="1" w:lastRow="0" w:firstColumn="1" w:lastColumn="0" w:noHBand="0" w:noVBand="1"/>
      </w:tblPr>
      <w:tblGrid>
        <w:gridCol w:w="1544"/>
        <w:gridCol w:w="973"/>
        <w:gridCol w:w="977"/>
        <w:gridCol w:w="1539"/>
      </w:tblGrid>
      <w:tr w:rsidR="00650B0F" w:rsidRPr="00476FC9" w:rsidTr="00650B0F">
        <w:trPr>
          <w:trHeight w:val="297"/>
          <w:jc w:val="center"/>
        </w:trPr>
        <w:tc>
          <w:tcPr>
            <w:tcW w:w="1544"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poor</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w:t>
            </w:r>
          </w:p>
        </w:tc>
        <w:tc>
          <w:tcPr>
            <w:tcW w:w="973"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fair</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w:t>
            </w:r>
          </w:p>
        </w:tc>
        <w:tc>
          <w:tcPr>
            <w:tcW w:w="977"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good</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w:t>
            </w:r>
          </w:p>
        </w:tc>
        <w:tc>
          <w:tcPr>
            <w:tcW w:w="1539"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excellent</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w:t>
            </w:r>
          </w:p>
        </w:tc>
      </w:tr>
    </w:tbl>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AdvSTP_PSTimR"/>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color w:val="000000" w:themeColor="text1"/>
          <w:szCs w:val="24"/>
          <w:lang w:eastAsia="en-US"/>
        </w:rPr>
      </w:pPr>
      <w:r w:rsidRPr="00476FC9">
        <w:rPr>
          <w:rFonts w:eastAsia="AdvSTP_PSTimR"/>
          <w:b/>
          <w:color w:val="000000" w:themeColor="text1"/>
          <w:szCs w:val="24"/>
          <w:lang w:eastAsia="en-US"/>
        </w:rPr>
        <w:t>Q2)</w:t>
      </w:r>
      <w:r w:rsidRPr="00476FC9">
        <w:rPr>
          <w:rFonts w:eastAsia="AdvSTP_PSTimR"/>
          <w:color w:val="000000" w:themeColor="text1"/>
          <w:szCs w:val="24"/>
          <w:lang w:eastAsia="en-US"/>
        </w:rPr>
        <w:t xml:space="preserve"> How familiar would you say you are with the issue of clinical depression? </w:t>
      </w:r>
    </w:p>
    <w:tbl>
      <w:tblPr>
        <w:tblW w:w="5000" w:type="pct"/>
        <w:jc w:val="center"/>
        <w:tblLook w:val="04A0" w:firstRow="1" w:lastRow="0" w:firstColumn="1" w:lastColumn="0" w:noHBand="0" w:noVBand="1"/>
      </w:tblPr>
      <w:tblGrid>
        <w:gridCol w:w="1545"/>
        <w:gridCol w:w="1021"/>
        <w:gridCol w:w="973"/>
        <w:gridCol w:w="1718"/>
        <w:gridCol w:w="977"/>
        <w:gridCol w:w="1589"/>
        <w:gridCol w:w="1537"/>
      </w:tblGrid>
      <w:tr w:rsidR="00476FC9" w:rsidRPr="00476FC9" w:rsidTr="00650B0F">
        <w:trPr>
          <w:trHeight w:val="297"/>
          <w:jc w:val="center"/>
        </w:trPr>
        <w:tc>
          <w:tcPr>
            <w:tcW w:w="825"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not at all familiar</w:t>
            </w:r>
          </w:p>
        </w:tc>
        <w:tc>
          <w:tcPr>
            <w:tcW w:w="545"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p>
        </w:tc>
        <w:tc>
          <w:tcPr>
            <w:tcW w:w="520"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p>
        </w:tc>
        <w:tc>
          <w:tcPr>
            <w:tcW w:w="918"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moderately</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familiar</w:t>
            </w:r>
          </w:p>
        </w:tc>
        <w:tc>
          <w:tcPr>
            <w:tcW w:w="522"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p>
        </w:tc>
        <w:tc>
          <w:tcPr>
            <w:tcW w:w="849"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p>
        </w:tc>
        <w:tc>
          <w:tcPr>
            <w:tcW w:w="822"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very familiar</w:t>
            </w:r>
          </w:p>
        </w:tc>
      </w:tr>
      <w:tr w:rsidR="00650B0F" w:rsidRPr="00476FC9" w:rsidTr="00650B0F">
        <w:trPr>
          <w:trHeight w:val="297"/>
          <w:jc w:val="center"/>
        </w:trPr>
        <w:tc>
          <w:tcPr>
            <w:tcW w:w="825"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w:t>
            </w:r>
          </w:p>
        </w:tc>
        <w:tc>
          <w:tcPr>
            <w:tcW w:w="545"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w:t>
            </w:r>
          </w:p>
        </w:tc>
        <w:tc>
          <w:tcPr>
            <w:tcW w:w="520"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w:t>
            </w:r>
          </w:p>
        </w:tc>
        <w:tc>
          <w:tcPr>
            <w:tcW w:w="918"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w:t>
            </w:r>
          </w:p>
        </w:tc>
        <w:tc>
          <w:tcPr>
            <w:tcW w:w="522"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w:t>
            </w:r>
          </w:p>
        </w:tc>
        <w:tc>
          <w:tcPr>
            <w:tcW w:w="849"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w:t>
            </w:r>
          </w:p>
        </w:tc>
        <w:tc>
          <w:tcPr>
            <w:tcW w:w="822"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w:t>
            </w:r>
          </w:p>
        </w:tc>
      </w:tr>
    </w:tbl>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AdvSTP_PSTimR"/>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AdvSTP_PSTimR"/>
          <w:color w:val="000000" w:themeColor="text1"/>
          <w:szCs w:val="24"/>
          <w:lang w:eastAsia="en-US"/>
        </w:rPr>
      </w:pPr>
      <w:r w:rsidRPr="00476FC9">
        <w:rPr>
          <w:rFonts w:eastAsia="AdvSTP_PSTimR"/>
          <w:b/>
          <w:color w:val="000000" w:themeColor="text1"/>
          <w:szCs w:val="24"/>
          <w:lang w:eastAsia="en-US"/>
        </w:rPr>
        <w:t>Q3)</w:t>
      </w:r>
      <w:r w:rsidRPr="00476FC9">
        <w:rPr>
          <w:rFonts w:eastAsia="AdvSTP_PSTimR"/>
          <w:color w:val="000000" w:themeColor="text1"/>
          <w:szCs w:val="24"/>
          <w:lang w:eastAsia="en-US"/>
        </w:rPr>
        <w:t xml:space="preserve"> How knowledgeable would you say you are about clinical depression? </w:t>
      </w:r>
    </w:p>
    <w:tbl>
      <w:tblPr>
        <w:tblW w:w="5000" w:type="pct"/>
        <w:tblLook w:val="04A0" w:firstRow="1" w:lastRow="0" w:firstColumn="1" w:lastColumn="0" w:noHBand="0" w:noVBand="1"/>
      </w:tblPr>
      <w:tblGrid>
        <w:gridCol w:w="1669"/>
        <w:gridCol w:w="1044"/>
        <w:gridCol w:w="1044"/>
        <w:gridCol w:w="1670"/>
        <w:gridCol w:w="1045"/>
        <w:gridCol w:w="1219"/>
        <w:gridCol w:w="1669"/>
      </w:tblGrid>
      <w:tr w:rsidR="00476FC9" w:rsidRPr="00476FC9" w:rsidTr="00650B0F">
        <w:tc>
          <w:tcPr>
            <w:tcW w:w="892"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not at all knowledgeable</w:t>
            </w:r>
          </w:p>
        </w:tc>
        <w:tc>
          <w:tcPr>
            <w:tcW w:w="558"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tc>
        <w:tc>
          <w:tcPr>
            <w:tcW w:w="558"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tc>
        <w:tc>
          <w:tcPr>
            <w:tcW w:w="892"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moderately knowledgeable</w:t>
            </w:r>
          </w:p>
        </w:tc>
        <w:tc>
          <w:tcPr>
            <w:tcW w:w="558"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tc>
        <w:tc>
          <w:tcPr>
            <w:tcW w:w="651"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tc>
        <w:tc>
          <w:tcPr>
            <w:tcW w:w="892"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very knowledgeable</w:t>
            </w:r>
          </w:p>
        </w:tc>
      </w:tr>
      <w:tr w:rsidR="00476FC9" w:rsidRPr="00476FC9" w:rsidTr="00650B0F">
        <w:tc>
          <w:tcPr>
            <w:tcW w:w="892"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w:t>
            </w:r>
          </w:p>
        </w:tc>
        <w:tc>
          <w:tcPr>
            <w:tcW w:w="558"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w:t>
            </w:r>
          </w:p>
        </w:tc>
        <w:tc>
          <w:tcPr>
            <w:tcW w:w="558"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w:t>
            </w:r>
          </w:p>
        </w:tc>
        <w:tc>
          <w:tcPr>
            <w:tcW w:w="892"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w:t>
            </w:r>
          </w:p>
        </w:tc>
        <w:tc>
          <w:tcPr>
            <w:tcW w:w="558"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w:t>
            </w:r>
          </w:p>
        </w:tc>
        <w:tc>
          <w:tcPr>
            <w:tcW w:w="651"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w:t>
            </w:r>
          </w:p>
        </w:tc>
        <w:tc>
          <w:tcPr>
            <w:tcW w:w="892"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w:t>
            </w:r>
          </w:p>
        </w:tc>
      </w:tr>
      <w:tr w:rsidR="00476FC9" w:rsidRPr="00476FC9" w:rsidTr="00650B0F">
        <w:tc>
          <w:tcPr>
            <w:tcW w:w="892"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p>
        </w:tc>
        <w:tc>
          <w:tcPr>
            <w:tcW w:w="558"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p>
        </w:tc>
        <w:tc>
          <w:tcPr>
            <w:tcW w:w="558"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p>
        </w:tc>
        <w:tc>
          <w:tcPr>
            <w:tcW w:w="892"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p>
        </w:tc>
        <w:tc>
          <w:tcPr>
            <w:tcW w:w="558"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p>
        </w:tc>
        <w:tc>
          <w:tcPr>
            <w:tcW w:w="651"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p>
        </w:tc>
        <w:tc>
          <w:tcPr>
            <w:tcW w:w="892"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color w:val="000000" w:themeColor="text1"/>
                <w:szCs w:val="24"/>
                <w:lang w:eastAsia="en-US"/>
              </w:rPr>
            </w:pPr>
          </w:p>
        </w:tc>
      </w:tr>
    </w:tbl>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color w:val="000000" w:themeColor="text1"/>
          <w:szCs w:val="24"/>
          <w:lang w:eastAsia="en-US"/>
        </w:rPr>
      </w:pPr>
      <w:r w:rsidRPr="00476FC9">
        <w:rPr>
          <w:rFonts w:eastAsia="맑은 고딕"/>
          <w:b/>
          <w:color w:val="000000" w:themeColor="text1"/>
          <w:szCs w:val="24"/>
          <w:lang w:eastAsia="en-US"/>
        </w:rPr>
        <w:t>Q4)</w:t>
      </w:r>
      <w:r w:rsidRPr="00476FC9">
        <w:rPr>
          <w:rFonts w:eastAsia="맑은 고딕"/>
          <w:color w:val="000000" w:themeColor="text1"/>
          <w:szCs w:val="24"/>
          <w:lang w:eastAsia="en-US"/>
        </w:rPr>
        <w:t xml:space="preserve"> How important is the issue of clinical depression to </w:t>
      </w:r>
      <w:r w:rsidRPr="00476FC9">
        <w:rPr>
          <w:rFonts w:eastAsia="맑은 고딕"/>
          <w:color w:val="000000" w:themeColor="text1"/>
          <w:sz w:val="22"/>
          <w:szCs w:val="22"/>
          <w:lang w:eastAsia="en-US"/>
        </w:rPr>
        <w:t>you</w:t>
      </w:r>
      <w:r w:rsidRPr="00476FC9">
        <w:rPr>
          <w:rFonts w:eastAsia="맑은 고딕"/>
          <w:color w:val="000000" w:themeColor="text1"/>
          <w:szCs w:val="24"/>
          <w:lang w:eastAsia="en-US"/>
        </w:rPr>
        <w:t xml:space="preserve">? </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color w:val="000000" w:themeColor="text1"/>
          <w:szCs w:val="24"/>
          <w:lang w:eastAsia="en-US"/>
        </w:rPr>
      </w:pPr>
    </w:p>
    <w:tbl>
      <w:tblPr>
        <w:tblW w:w="5000" w:type="pct"/>
        <w:tblLook w:val="04A0" w:firstRow="1" w:lastRow="0" w:firstColumn="1" w:lastColumn="0" w:noHBand="0" w:noVBand="1"/>
      </w:tblPr>
      <w:tblGrid>
        <w:gridCol w:w="1542"/>
        <w:gridCol w:w="1024"/>
        <w:gridCol w:w="973"/>
        <w:gridCol w:w="1717"/>
        <w:gridCol w:w="975"/>
        <w:gridCol w:w="1586"/>
        <w:gridCol w:w="1543"/>
      </w:tblGrid>
      <w:tr w:rsidR="00476FC9" w:rsidRPr="00476FC9" w:rsidTr="00650B0F">
        <w:tc>
          <w:tcPr>
            <w:tcW w:w="824" w:type="pct"/>
            <w:vAlign w:val="bottom"/>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not at all important</w:t>
            </w:r>
          </w:p>
        </w:tc>
        <w:tc>
          <w:tcPr>
            <w:tcW w:w="547" w:type="pct"/>
            <w:vAlign w:val="bottom"/>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p>
        </w:tc>
        <w:tc>
          <w:tcPr>
            <w:tcW w:w="520" w:type="pct"/>
            <w:vAlign w:val="bottom"/>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p>
        </w:tc>
        <w:tc>
          <w:tcPr>
            <w:tcW w:w="917" w:type="pct"/>
            <w:vAlign w:val="bottom"/>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moderately</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important</w:t>
            </w:r>
          </w:p>
        </w:tc>
        <w:tc>
          <w:tcPr>
            <w:tcW w:w="521" w:type="pct"/>
            <w:vAlign w:val="bottom"/>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p>
        </w:tc>
        <w:tc>
          <w:tcPr>
            <w:tcW w:w="847" w:type="pct"/>
            <w:vAlign w:val="bottom"/>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p>
        </w:tc>
        <w:tc>
          <w:tcPr>
            <w:tcW w:w="824" w:type="pct"/>
            <w:vAlign w:val="bottom"/>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very important</w:t>
            </w:r>
          </w:p>
        </w:tc>
      </w:tr>
      <w:tr w:rsidR="00650B0F" w:rsidRPr="00476FC9" w:rsidTr="00650B0F">
        <w:tc>
          <w:tcPr>
            <w:tcW w:w="824" w:type="pct"/>
            <w:vAlign w:val="bottom"/>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w:t>
            </w:r>
          </w:p>
        </w:tc>
        <w:tc>
          <w:tcPr>
            <w:tcW w:w="547" w:type="pct"/>
            <w:vAlign w:val="bottom"/>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w:t>
            </w:r>
          </w:p>
        </w:tc>
        <w:tc>
          <w:tcPr>
            <w:tcW w:w="520" w:type="pct"/>
            <w:vAlign w:val="bottom"/>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w:t>
            </w:r>
          </w:p>
        </w:tc>
        <w:tc>
          <w:tcPr>
            <w:tcW w:w="917" w:type="pct"/>
            <w:vAlign w:val="bottom"/>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w:t>
            </w:r>
          </w:p>
        </w:tc>
        <w:tc>
          <w:tcPr>
            <w:tcW w:w="521" w:type="pct"/>
            <w:vAlign w:val="bottom"/>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w:t>
            </w:r>
          </w:p>
        </w:tc>
        <w:tc>
          <w:tcPr>
            <w:tcW w:w="847" w:type="pct"/>
            <w:vAlign w:val="bottom"/>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w:t>
            </w:r>
          </w:p>
        </w:tc>
        <w:tc>
          <w:tcPr>
            <w:tcW w:w="824" w:type="pct"/>
            <w:vAlign w:val="bottom"/>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lang w:eastAsia="en-US"/>
              </w:rPr>
            </w:pPr>
            <w:r w:rsidRPr="00476FC9">
              <w:rPr>
                <w:rFonts w:eastAsia="맑은 고딕"/>
                <w:color w:val="000000" w:themeColor="text1"/>
                <w:szCs w:val="24"/>
                <w:lang w:eastAsia="en-US"/>
              </w:rPr>
              <w:t></w:t>
            </w:r>
          </w:p>
        </w:tc>
      </w:tr>
    </w:tbl>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color w:val="000000" w:themeColor="text1"/>
          <w:szCs w:val="24"/>
          <w:lang w:eastAsia="en-US"/>
        </w:rPr>
      </w:pPr>
      <w:r w:rsidRPr="00476FC9">
        <w:rPr>
          <w:rFonts w:eastAsia="맑은 고딕"/>
          <w:b/>
          <w:color w:val="000000" w:themeColor="text1"/>
          <w:szCs w:val="24"/>
          <w:lang w:eastAsia="en-US"/>
        </w:rPr>
        <w:t>Q5)</w:t>
      </w:r>
      <w:r w:rsidRPr="00476FC9">
        <w:rPr>
          <w:rFonts w:eastAsia="맑은 고딕"/>
          <w:color w:val="000000" w:themeColor="text1"/>
          <w:szCs w:val="24"/>
          <w:lang w:eastAsia="en-US"/>
        </w:rPr>
        <w:t xml:space="preserve"> Have you ever been diagnosed with clinical</w:t>
      </w:r>
      <w:r w:rsidRPr="00476FC9">
        <w:rPr>
          <w:rFonts w:eastAsia="AdvSTP_PSTimR"/>
          <w:color w:val="000000" w:themeColor="text1"/>
          <w:szCs w:val="24"/>
          <w:lang w:eastAsia="en-US"/>
        </w:rPr>
        <w:t xml:space="preserve"> depression</w:t>
      </w:r>
      <w:r w:rsidRPr="00476FC9">
        <w:rPr>
          <w:rFonts w:eastAsia="맑은 고딕"/>
          <w:color w:val="000000" w:themeColor="text1"/>
          <w:szCs w:val="24"/>
          <w:lang w:eastAsia="en-US"/>
        </w:rPr>
        <w:t xml:space="preserve">?  </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color w:val="000000" w:themeColor="text1"/>
          <w:szCs w:val="24"/>
          <w:lang w:eastAsia="en-US"/>
        </w:rPr>
      </w:pPr>
      <w:r w:rsidRPr="00476FC9">
        <w:rPr>
          <w:rFonts w:eastAsia="맑은 고딕"/>
          <w:color w:val="000000" w:themeColor="text1"/>
          <w:szCs w:val="24"/>
          <w:lang w:eastAsia="en-US"/>
        </w:rPr>
        <w:t xml:space="preserve">Yes _____ No_____  </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bCs w:val="0"/>
          <w:color w:val="000000" w:themeColor="text1"/>
          <w:szCs w:val="24"/>
          <w:lang w:eastAsia="en-US"/>
        </w:rPr>
      </w:pPr>
      <w:r w:rsidRPr="00476FC9">
        <w:rPr>
          <w:b/>
          <w:bCs w:val="0"/>
          <w:color w:val="000000" w:themeColor="text1"/>
          <w:szCs w:val="24"/>
          <w:lang w:eastAsia="en-US"/>
        </w:rPr>
        <w:t>Q6)</w:t>
      </w:r>
      <w:r w:rsidRPr="00476FC9">
        <w:rPr>
          <w:bCs w:val="0"/>
          <w:color w:val="000000" w:themeColor="text1"/>
          <w:szCs w:val="24"/>
          <w:lang w:eastAsia="en-US"/>
        </w:rPr>
        <w:t xml:space="preserve"> In the following questions, please report your opinions about prescription drug advertising.</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bCs w:val="0"/>
          <w:color w:val="000000" w:themeColor="text1"/>
          <w:spacing w:val="-10"/>
          <w:szCs w:val="24"/>
          <w:lang w:eastAsia="en-US"/>
        </w:rPr>
      </w:pPr>
      <w:r w:rsidRPr="00476FC9">
        <w:rPr>
          <w:bCs w:val="0"/>
          <w:color w:val="000000" w:themeColor="text1"/>
          <w:spacing w:val="-10"/>
          <w:szCs w:val="24"/>
          <w:lang w:eastAsia="en-US"/>
        </w:rPr>
        <w:t xml:space="preserve">     </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bCs w:val="0"/>
          <w:color w:val="000000" w:themeColor="text1"/>
          <w:spacing w:val="-16"/>
          <w:szCs w:val="24"/>
          <w:lang w:eastAsia="en-US"/>
        </w:rPr>
      </w:pPr>
      <w:r w:rsidRPr="00476FC9">
        <w:rPr>
          <w:b/>
          <w:bCs w:val="0"/>
          <w:color w:val="000000" w:themeColor="text1"/>
          <w:spacing w:val="-16"/>
          <w:szCs w:val="24"/>
          <w:lang w:eastAsia="en-US"/>
        </w:rPr>
        <w:t>Note:</w:t>
      </w:r>
      <w:r w:rsidRPr="00476FC9">
        <w:rPr>
          <w:bCs w:val="0"/>
          <w:color w:val="000000" w:themeColor="text1"/>
          <w:spacing w:val="-16"/>
          <w:szCs w:val="24"/>
          <w:lang w:eastAsia="en-US"/>
        </w:rPr>
        <w:t xml:space="preserve"> “Prescription drug” refers to a drug you can get only with a doctor’s prescription. </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bCs w:val="0"/>
          <w:color w:val="000000" w:themeColor="text1"/>
          <w:spacing w:val="-10"/>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bCs w:val="0"/>
          <w:color w:val="000000" w:themeColor="text1"/>
          <w:szCs w:val="24"/>
          <w:lang w:eastAsia="en-US"/>
        </w:rPr>
      </w:pPr>
      <w:r w:rsidRPr="00476FC9">
        <w:rPr>
          <w:bCs w:val="0"/>
          <w:color w:val="000000" w:themeColor="text1"/>
          <w:szCs w:val="24"/>
          <w:lang w:eastAsia="en-US"/>
        </w:rPr>
        <w:t>6-1) Prescription drug advertising is truth well told.</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90"/>
        <w:gridCol w:w="1029"/>
        <w:gridCol w:w="1206"/>
        <w:gridCol w:w="1945"/>
        <w:gridCol w:w="1206"/>
        <w:gridCol w:w="747"/>
        <w:gridCol w:w="1337"/>
      </w:tblGrid>
      <w:tr w:rsidR="00476FC9" w:rsidRPr="00476FC9" w:rsidTr="00650B0F">
        <w:trPr>
          <w:trHeight w:val="290"/>
        </w:trPr>
        <w:tc>
          <w:tcPr>
            <w:tcW w:w="101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strongly</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disagree</w:t>
            </w:r>
          </w:p>
        </w:tc>
        <w:tc>
          <w:tcPr>
            <w:tcW w:w="55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disagree</w:t>
            </w:r>
          </w:p>
        </w:tc>
        <w:tc>
          <w:tcPr>
            <w:tcW w:w="64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somewhat disagree</w:t>
            </w:r>
          </w:p>
        </w:tc>
        <w:tc>
          <w:tcPr>
            <w:tcW w:w="103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 xml:space="preserve">neither agree nor disagree </w:t>
            </w:r>
          </w:p>
        </w:tc>
        <w:tc>
          <w:tcPr>
            <w:tcW w:w="64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somewhat agree</w:t>
            </w:r>
          </w:p>
        </w:tc>
        <w:tc>
          <w:tcPr>
            <w:tcW w:w="39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agree</w:t>
            </w:r>
          </w:p>
        </w:tc>
        <w:tc>
          <w:tcPr>
            <w:tcW w:w="71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strongly agree</w:t>
            </w:r>
          </w:p>
        </w:tc>
      </w:tr>
      <w:tr w:rsidR="00650B0F" w:rsidRPr="00476FC9" w:rsidTr="00650B0F">
        <w:trPr>
          <w:trHeight w:val="290"/>
        </w:trPr>
        <w:tc>
          <w:tcPr>
            <w:tcW w:w="101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55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64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103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64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39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71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r>
    </w:tbl>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bCs w:val="0"/>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bCs w:val="0"/>
          <w:color w:val="000000" w:themeColor="text1"/>
          <w:szCs w:val="24"/>
          <w:lang w:eastAsia="en-US"/>
        </w:rPr>
      </w:pPr>
      <w:r w:rsidRPr="00476FC9">
        <w:rPr>
          <w:bCs w:val="0"/>
          <w:color w:val="000000" w:themeColor="text1"/>
          <w:szCs w:val="24"/>
          <w:lang w:eastAsia="en-US"/>
        </w:rPr>
        <w:t>6-2) Prescription drug ads generally present a true product picture.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90"/>
        <w:gridCol w:w="1029"/>
        <w:gridCol w:w="1206"/>
        <w:gridCol w:w="1945"/>
        <w:gridCol w:w="1206"/>
        <w:gridCol w:w="747"/>
        <w:gridCol w:w="1337"/>
      </w:tblGrid>
      <w:tr w:rsidR="00476FC9" w:rsidRPr="00476FC9" w:rsidTr="00650B0F">
        <w:trPr>
          <w:trHeight w:val="290"/>
        </w:trPr>
        <w:tc>
          <w:tcPr>
            <w:tcW w:w="101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strongly</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disagree</w:t>
            </w:r>
          </w:p>
        </w:tc>
        <w:tc>
          <w:tcPr>
            <w:tcW w:w="55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disagree</w:t>
            </w:r>
          </w:p>
        </w:tc>
        <w:tc>
          <w:tcPr>
            <w:tcW w:w="64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somewhat disagree</w:t>
            </w:r>
          </w:p>
        </w:tc>
        <w:tc>
          <w:tcPr>
            <w:tcW w:w="103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neither agree nor disagree</w:t>
            </w:r>
          </w:p>
        </w:tc>
        <w:tc>
          <w:tcPr>
            <w:tcW w:w="64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somewhat agree</w:t>
            </w:r>
          </w:p>
        </w:tc>
        <w:tc>
          <w:tcPr>
            <w:tcW w:w="39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agree</w:t>
            </w:r>
          </w:p>
        </w:tc>
        <w:tc>
          <w:tcPr>
            <w:tcW w:w="71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strongly agree</w:t>
            </w:r>
          </w:p>
        </w:tc>
      </w:tr>
      <w:tr w:rsidR="00650B0F" w:rsidRPr="00476FC9" w:rsidTr="00650B0F">
        <w:trPr>
          <w:trHeight w:val="290"/>
        </w:trPr>
        <w:tc>
          <w:tcPr>
            <w:tcW w:w="101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55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64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103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64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39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71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r>
    </w:tbl>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bCs w:val="0"/>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bCs w:val="0"/>
          <w:color w:val="000000" w:themeColor="text1"/>
          <w:szCs w:val="24"/>
          <w:lang w:eastAsia="en-US"/>
        </w:rPr>
      </w:pPr>
      <w:r w:rsidRPr="00476FC9">
        <w:rPr>
          <w:bCs w:val="0"/>
          <w:color w:val="000000" w:themeColor="text1"/>
          <w:szCs w:val="24"/>
          <w:lang w:eastAsia="en-US"/>
        </w:rPr>
        <w:t>6-3) We can depend on getting the truth in most prescription drug advertising.</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90"/>
        <w:gridCol w:w="1029"/>
        <w:gridCol w:w="1206"/>
        <w:gridCol w:w="1945"/>
        <w:gridCol w:w="1206"/>
        <w:gridCol w:w="747"/>
        <w:gridCol w:w="1337"/>
      </w:tblGrid>
      <w:tr w:rsidR="00476FC9" w:rsidRPr="00476FC9" w:rsidTr="00650B0F">
        <w:trPr>
          <w:trHeight w:val="290"/>
        </w:trPr>
        <w:tc>
          <w:tcPr>
            <w:tcW w:w="101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strongly</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lastRenderedPageBreak/>
              <w:t>disagree</w:t>
            </w:r>
          </w:p>
        </w:tc>
        <w:tc>
          <w:tcPr>
            <w:tcW w:w="55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lastRenderedPageBreak/>
              <w:t>disagree</w:t>
            </w:r>
          </w:p>
        </w:tc>
        <w:tc>
          <w:tcPr>
            <w:tcW w:w="64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 xml:space="preserve">somewhat </w:t>
            </w:r>
            <w:r w:rsidRPr="00476FC9">
              <w:rPr>
                <w:rFonts w:eastAsia="맑은 고딕"/>
                <w:bCs w:val="0"/>
                <w:color w:val="000000" w:themeColor="text1"/>
                <w:szCs w:val="24"/>
                <w:lang w:eastAsia="en-US"/>
              </w:rPr>
              <w:lastRenderedPageBreak/>
              <w:t>disagree</w:t>
            </w:r>
          </w:p>
        </w:tc>
        <w:tc>
          <w:tcPr>
            <w:tcW w:w="103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lastRenderedPageBreak/>
              <w:t xml:space="preserve">neither agree nor </w:t>
            </w:r>
            <w:r w:rsidRPr="00476FC9">
              <w:rPr>
                <w:rFonts w:eastAsia="맑은 고딕"/>
                <w:bCs w:val="0"/>
                <w:color w:val="000000" w:themeColor="text1"/>
                <w:szCs w:val="24"/>
                <w:lang w:eastAsia="en-US"/>
              </w:rPr>
              <w:lastRenderedPageBreak/>
              <w:t>disagree</w:t>
            </w:r>
          </w:p>
        </w:tc>
        <w:tc>
          <w:tcPr>
            <w:tcW w:w="64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lastRenderedPageBreak/>
              <w:t xml:space="preserve">somewhat </w:t>
            </w:r>
            <w:r w:rsidRPr="00476FC9">
              <w:rPr>
                <w:rFonts w:eastAsia="맑은 고딕"/>
                <w:bCs w:val="0"/>
                <w:color w:val="000000" w:themeColor="text1"/>
                <w:szCs w:val="24"/>
                <w:lang w:eastAsia="en-US"/>
              </w:rPr>
              <w:lastRenderedPageBreak/>
              <w:t>agree</w:t>
            </w:r>
          </w:p>
        </w:tc>
        <w:tc>
          <w:tcPr>
            <w:tcW w:w="39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lastRenderedPageBreak/>
              <w:t>agree</w:t>
            </w:r>
          </w:p>
        </w:tc>
        <w:tc>
          <w:tcPr>
            <w:tcW w:w="71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 xml:space="preserve">strongly </w:t>
            </w:r>
            <w:r w:rsidRPr="00476FC9">
              <w:rPr>
                <w:rFonts w:eastAsia="맑은 고딕"/>
                <w:bCs w:val="0"/>
                <w:color w:val="000000" w:themeColor="text1"/>
                <w:szCs w:val="24"/>
                <w:lang w:eastAsia="en-US"/>
              </w:rPr>
              <w:lastRenderedPageBreak/>
              <w:t>agree</w:t>
            </w:r>
          </w:p>
        </w:tc>
      </w:tr>
      <w:tr w:rsidR="00650B0F" w:rsidRPr="00476FC9" w:rsidTr="00650B0F">
        <w:trPr>
          <w:trHeight w:val="290"/>
        </w:trPr>
        <w:tc>
          <w:tcPr>
            <w:tcW w:w="101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lastRenderedPageBreak/>
              <w:t></w:t>
            </w:r>
          </w:p>
        </w:tc>
        <w:tc>
          <w:tcPr>
            <w:tcW w:w="55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64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103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64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39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71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r>
    </w:tbl>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bCs w:val="0"/>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bCs w:val="0"/>
          <w:color w:val="000000" w:themeColor="text1"/>
          <w:szCs w:val="24"/>
          <w:lang w:eastAsia="en-US"/>
        </w:rPr>
      </w:pPr>
      <w:r w:rsidRPr="00476FC9">
        <w:rPr>
          <w:bCs w:val="0"/>
          <w:color w:val="000000" w:themeColor="text1"/>
          <w:szCs w:val="24"/>
          <w:lang w:eastAsia="en-US"/>
        </w:rPr>
        <w:t>6-4) I am accurately informed by most prescription drug ads.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90"/>
        <w:gridCol w:w="1029"/>
        <w:gridCol w:w="1206"/>
        <w:gridCol w:w="1945"/>
        <w:gridCol w:w="1206"/>
        <w:gridCol w:w="747"/>
        <w:gridCol w:w="1337"/>
      </w:tblGrid>
      <w:tr w:rsidR="00476FC9" w:rsidRPr="00476FC9" w:rsidTr="00650B0F">
        <w:trPr>
          <w:trHeight w:val="290"/>
        </w:trPr>
        <w:tc>
          <w:tcPr>
            <w:tcW w:w="101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strongly</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disagree</w:t>
            </w:r>
          </w:p>
        </w:tc>
        <w:tc>
          <w:tcPr>
            <w:tcW w:w="55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disagree</w:t>
            </w:r>
          </w:p>
        </w:tc>
        <w:tc>
          <w:tcPr>
            <w:tcW w:w="64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somewhat disagree</w:t>
            </w:r>
          </w:p>
        </w:tc>
        <w:tc>
          <w:tcPr>
            <w:tcW w:w="103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neither agree nor disagree</w:t>
            </w:r>
          </w:p>
        </w:tc>
        <w:tc>
          <w:tcPr>
            <w:tcW w:w="64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somewhat agree</w:t>
            </w:r>
          </w:p>
        </w:tc>
        <w:tc>
          <w:tcPr>
            <w:tcW w:w="39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agree</w:t>
            </w:r>
          </w:p>
        </w:tc>
        <w:tc>
          <w:tcPr>
            <w:tcW w:w="71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strongly agree</w:t>
            </w:r>
          </w:p>
        </w:tc>
      </w:tr>
      <w:tr w:rsidR="00650B0F" w:rsidRPr="00476FC9" w:rsidTr="00650B0F">
        <w:trPr>
          <w:trHeight w:val="290"/>
        </w:trPr>
        <w:tc>
          <w:tcPr>
            <w:tcW w:w="101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55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64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103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64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39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71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r>
    </w:tbl>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bCs w:val="0"/>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bCs w:val="0"/>
          <w:color w:val="000000" w:themeColor="text1"/>
          <w:szCs w:val="24"/>
          <w:lang w:eastAsia="en-US"/>
        </w:rPr>
      </w:pPr>
      <w:r w:rsidRPr="00476FC9">
        <w:rPr>
          <w:bCs w:val="0"/>
          <w:color w:val="000000" w:themeColor="text1"/>
          <w:szCs w:val="24"/>
          <w:lang w:eastAsia="en-US"/>
        </w:rPr>
        <w:t>6-5) Prescription drug advertising is a reliable source of information.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90"/>
        <w:gridCol w:w="1029"/>
        <w:gridCol w:w="1206"/>
        <w:gridCol w:w="1945"/>
        <w:gridCol w:w="1206"/>
        <w:gridCol w:w="747"/>
        <w:gridCol w:w="1337"/>
      </w:tblGrid>
      <w:tr w:rsidR="00476FC9" w:rsidRPr="00476FC9" w:rsidTr="00650B0F">
        <w:trPr>
          <w:trHeight w:val="290"/>
        </w:trPr>
        <w:tc>
          <w:tcPr>
            <w:tcW w:w="101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strongly</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disagree</w:t>
            </w:r>
          </w:p>
        </w:tc>
        <w:tc>
          <w:tcPr>
            <w:tcW w:w="55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disagree</w:t>
            </w:r>
          </w:p>
        </w:tc>
        <w:tc>
          <w:tcPr>
            <w:tcW w:w="64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somewhat disagree</w:t>
            </w:r>
          </w:p>
        </w:tc>
        <w:tc>
          <w:tcPr>
            <w:tcW w:w="103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neither agree nor disagree</w:t>
            </w:r>
          </w:p>
        </w:tc>
        <w:tc>
          <w:tcPr>
            <w:tcW w:w="64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somewhat agree</w:t>
            </w:r>
          </w:p>
        </w:tc>
        <w:tc>
          <w:tcPr>
            <w:tcW w:w="39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agree</w:t>
            </w:r>
          </w:p>
        </w:tc>
        <w:tc>
          <w:tcPr>
            <w:tcW w:w="71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strongly agree</w:t>
            </w:r>
          </w:p>
        </w:tc>
      </w:tr>
      <w:tr w:rsidR="00650B0F" w:rsidRPr="00476FC9" w:rsidTr="00650B0F">
        <w:trPr>
          <w:trHeight w:val="290"/>
        </w:trPr>
        <w:tc>
          <w:tcPr>
            <w:tcW w:w="101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55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64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103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64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39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71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r>
    </w:tbl>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bCs w:val="0"/>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bCs w:val="0"/>
          <w:color w:val="000000" w:themeColor="text1"/>
          <w:szCs w:val="24"/>
          <w:lang w:eastAsia="en-US"/>
        </w:rPr>
      </w:pPr>
      <w:r w:rsidRPr="00476FC9">
        <w:rPr>
          <w:bCs w:val="0"/>
          <w:color w:val="000000" w:themeColor="text1"/>
          <w:szCs w:val="24"/>
          <w:lang w:eastAsia="en-US"/>
        </w:rPr>
        <w:t>6-6) Prescription drug advertising’s aim is to inform the consumer.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90"/>
        <w:gridCol w:w="1029"/>
        <w:gridCol w:w="1206"/>
        <w:gridCol w:w="1945"/>
        <w:gridCol w:w="1206"/>
        <w:gridCol w:w="747"/>
        <w:gridCol w:w="1337"/>
      </w:tblGrid>
      <w:tr w:rsidR="00476FC9" w:rsidRPr="00476FC9" w:rsidTr="00650B0F">
        <w:trPr>
          <w:trHeight w:val="290"/>
        </w:trPr>
        <w:tc>
          <w:tcPr>
            <w:tcW w:w="101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strongly</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disagree</w:t>
            </w:r>
          </w:p>
        </w:tc>
        <w:tc>
          <w:tcPr>
            <w:tcW w:w="55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disagree</w:t>
            </w:r>
          </w:p>
        </w:tc>
        <w:tc>
          <w:tcPr>
            <w:tcW w:w="64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somewhat disagree</w:t>
            </w:r>
          </w:p>
        </w:tc>
        <w:tc>
          <w:tcPr>
            <w:tcW w:w="103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neither agree nor disagree</w:t>
            </w:r>
          </w:p>
        </w:tc>
        <w:tc>
          <w:tcPr>
            <w:tcW w:w="64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somewhat agree</w:t>
            </w:r>
          </w:p>
        </w:tc>
        <w:tc>
          <w:tcPr>
            <w:tcW w:w="39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agree</w:t>
            </w:r>
          </w:p>
        </w:tc>
        <w:tc>
          <w:tcPr>
            <w:tcW w:w="71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strongly agree</w:t>
            </w:r>
          </w:p>
        </w:tc>
      </w:tr>
      <w:tr w:rsidR="00650B0F" w:rsidRPr="00476FC9" w:rsidTr="00650B0F">
        <w:trPr>
          <w:trHeight w:val="290"/>
        </w:trPr>
        <w:tc>
          <w:tcPr>
            <w:tcW w:w="101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55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64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103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64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39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71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r>
    </w:tbl>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bCs w:val="0"/>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bCs w:val="0"/>
          <w:color w:val="000000" w:themeColor="text1"/>
          <w:spacing w:val="-6"/>
          <w:szCs w:val="24"/>
          <w:lang w:eastAsia="en-US"/>
        </w:rPr>
      </w:pPr>
      <w:r w:rsidRPr="00476FC9">
        <w:rPr>
          <w:bCs w:val="0"/>
          <w:color w:val="000000" w:themeColor="text1"/>
          <w:spacing w:val="-6"/>
          <w:szCs w:val="24"/>
          <w:lang w:eastAsia="en-US"/>
        </w:rPr>
        <w:t>6-7) Most prescription drug advertising provides consumers with essential information.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17"/>
        <w:gridCol w:w="1016"/>
        <w:gridCol w:w="1190"/>
        <w:gridCol w:w="1869"/>
        <w:gridCol w:w="1190"/>
        <w:gridCol w:w="995"/>
        <w:gridCol w:w="1283"/>
      </w:tblGrid>
      <w:tr w:rsidR="00476FC9" w:rsidRPr="00476FC9" w:rsidTr="00650B0F">
        <w:trPr>
          <w:trHeight w:val="290"/>
        </w:trPr>
        <w:tc>
          <w:tcPr>
            <w:tcW w:w="976"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strongly</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disagree</w:t>
            </w:r>
          </w:p>
        </w:tc>
        <w:tc>
          <w:tcPr>
            <w:tcW w:w="53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disagree</w:t>
            </w:r>
          </w:p>
        </w:tc>
        <w:tc>
          <w:tcPr>
            <w:tcW w:w="621"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somewhat disagree</w:t>
            </w:r>
          </w:p>
        </w:tc>
        <w:tc>
          <w:tcPr>
            <w:tcW w:w="100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neither agree nor disagree</w:t>
            </w:r>
          </w:p>
        </w:tc>
        <w:tc>
          <w:tcPr>
            <w:tcW w:w="63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somewhat agree</w:t>
            </w:r>
          </w:p>
        </w:tc>
        <w:tc>
          <w:tcPr>
            <w:tcW w:w="53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agree</w:t>
            </w:r>
          </w:p>
        </w:tc>
        <w:tc>
          <w:tcPr>
            <w:tcW w:w="69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strongly agree</w:t>
            </w:r>
          </w:p>
        </w:tc>
      </w:tr>
      <w:tr w:rsidR="00650B0F" w:rsidRPr="00476FC9" w:rsidTr="00650B0F">
        <w:trPr>
          <w:trHeight w:val="290"/>
        </w:trPr>
        <w:tc>
          <w:tcPr>
            <w:tcW w:w="976"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53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621"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100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63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53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69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r>
    </w:tbl>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bCs w:val="0"/>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bCs w:val="0"/>
          <w:color w:val="000000" w:themeColor="text1"/>
          <w:szCs w:val="24"/>
          <w:lang w:eastAsia="en-US"/>
        </w:rPr>
      </w:pPr>
      <w:r w:rsidRPr="00476FC9">
        <w:rPr>
          <w:bCs w:val="0"/>
          <w:color w:val="000000" w:themeColor="text1"/>
          <w:szCs w:val="24"/>
          <w:lang w:eastAsia="en-US"/>
        </w:rPr>
        <w:t>6-8) Prescription drug advertising is informative.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17"/>
        <w:gridCol w:w="1016"/>
        <w:gridCol w:w="1190"/>
        <w:gridCol w:w="1869"/>
        <w:gridCol w:w="1190"/>
        <w:gridCol w:w="995"/>
        <w:gridCol w:w="1283"/>
      </w:tblGrid>
      <w:tr w:rsidR="00476FC9" w:rsidRPr="00476FC9" w:rsidTr="00650B0F">
        <w:trPr>
          <w:trHeight w:val="290"/>
        </w:trPr>
        <w:tc>
          <w:tcPr>
            <w:tcW w:w="976"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strongly</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disagree</w:t>
            </w:r>
          </w:p>
        </w:tc>
        <w:tc>
          <w:tcPr>
            <w:tcW w:w="53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disagree</w:t>
            </w:r>
          </w:p>
        </w:tc>
        <w:tc>
          <w:tcPr>
            <w:tcW w:w="621"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somewhat disagree</w:t>
            </w:r>
          </w:p>
        </w:tc>
        <w:tc>
          <w:tcPr>
            <w:tcW w:w="100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neither agree nor disagree</w:t>
            </w:r>
          </w:p>
        </w:tc>
        <w:tc>
          <w:tcPr>
            <w:tcW w:w="63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somewhat agree</w:t>
            </w:r>
          </w:p>
        </w:tc>
        <w:tc>
          <w:tcPr>
            <w:tcW w:w="53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agree</w:t>
            </w:r>
          </w:p>
        </w:tc>
        <w:tc>
          <w:tcPr>
            <w:tcW w:w="69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strongly agree</w:t>
            </w:r>
          </w:p>
        </w:tc>
      </w:tr>
      <w:tr w:rsidR="00650B0F" w:rsidRPr="00476FC9" w:rsidTr="00650B0F">
        <w:trPr>
          <w:trHeight w:val="290"/>
        </w:trPr>
        <w:tc>
          <w:tcPr>
            <w:tcW w:w="976"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53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621"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100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63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53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69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r>
    </w:tbl>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b/>
          <w:bCs w:val="0"/>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bCs w:val="0"/>
          <w:color w:val="000000" w:themeColor="text1"/>
          <w:szCs w:val="24"/>
          <w:lang w:eastAsia="en-US"/>
        </w:rPr>
      </w:pPr>
      <w:r w:rsidRPr="00476FC9">
        <w:rPr>
          <w:b/>
          <w:bCs w:val="0"/>
          <w:color w:val="000000" w:themeColor="text1"/>
          <w:szCs w:val="24"/>
          <w:lang w:eastAsia="en-US"/>
        </w:rPr>
        <w:t>Q7)</w:t>
      </w:r>
      <w:r w:rsidRPr="00476FC9">
        <w:rPr>
          <w:bCs w:val="0"/>
          <w:color w:val="000000" w:themeColor="text1"/>
          <w:szCs w:val="24"/>
          <w:lang w:eastAsia="en-US"/>
        </w:rPr>
        <w:t xml:space="preserve"> For each statement, please check a box to report your beliefs about prescription drug advertising.</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bCs w:val="0"/>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bCs w:val="0"/>
          <w:color w:val="000000" w:themeColor="text1"/>
          <w:spacing w:val="-16"/>
          <w:szCs w:val="24"/>
          <w:lang w:eastAsia="en-US"/>
        </w:rPr>
      </w:pPr>
      <w:r w:rsidRPr="00476FC9">
        <w:rPr>
          <w:bCs w:val="0"/>
          <w:color w:val="000000" w:themeColor="text1"/>
          <w:spacing w:val="-10"/>
          <w:szCs w:val="24"/>
          <w:lang w:eastAsia="en-US"/>
        </w:rPr>
        <w:t xml:space="preserve">     </w:t>
      </w:r>
      <w:r w:rsidRPr="00476FC9">
        <w:rPr>
          <w:b/>
          <w:bCs w:val="0"/>
          <w:color w:val="000000" w:themeColor="text1"/>
          <w:spacing w:val="-16"/>
          <w:szCs w:val="24"/>
          <w:lang w:eastAsia="en-US"/>
        </w:rPr>
        <w:t>Note:</w:t>
      </w:r>
      <w:r w:rsidRPr="00476FC9">
        <w:rPr>
          <w:bCs w:val="0"/>
          <w:color w:val="000000" w:themeColor="text1"/>
          <w:spacing w:val="-16"/>
          <w:szCs w:val="24"/>
          <w:lang w:eastAsia="en-US"/>
        </w:rPr>
        <w:t xml:space="preserve"> “Prescription drug” refers to a drug you can get only with a doctor’s prescription.</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bCs w:val="0"/>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Cs w:val="24"/>
          <w:lang w:eastAsia="en-US"/>
        </w:rPr>
      </w:pPr>
      <w:r w:rsidRPr="00476FC9">
        <w:rPr>
          <w:bCs w:val="0"/>
          <w:color w:val="000000" w:themeColor="text1"/>
          <w:szCs w:val="24"/>
          <w:lang w:eastAsia="en-US"/>
        </w:rPr>
        <w:t xml:space="preserve">7-1) </w:t>
      </w:r>
      <w:hyperlink r:id="rId18" w:anchor="law" w:history="1">
        <w:r w:rsidRPr="00476FC9">
          <w:rPr>
            <w:color w:val="000000" w:themeColor="text1"/>
            <w:szCs w:val="24"/>
            <w:lang w:eastAsia="en-US"/>
          </w:rPr>
          <w:t>The FDA bans consumer-directed ads for prescription drugs that have serious health risks</w:t>
        </w:r>
      </w:hyperlink>
      <w:r w:rsidRPr="00476FC9">
        <w:rPr>
          <w:color w:val="000000" w:themeColor="text1"/>
          <w:szCs w:val="24"/>
          <w:lang w:eastAsia="en-US"/>
        </w:rPr>
        <w:t>.</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Yes______   No______    Don’t know ______</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bCs w:val="0"/>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Cs w:val="24"/>
          <w:lang w:eastAsia="en-US"/>
        </w:rPr>
      </w:pPr>
      <w:r w:rsidRPr="00476FC9">
        <w:rPr>
          <w:bCs w:val="0"/>
          <w:color w:val="000000" w:themeColor="text1"/>
          <w:szCs w:val="24"/>
          <w:lang w:eastAsia="en-US"/>
        </w:rPr>
        <w:t xml:space="preserve">7-2) </w:t>
      </w:r>
      <w:hyperlink r:id="rId19" w:anchor="language" w:history="1">
        <w:r w:rsidRPr="00476FC9">
          <w:rPr>
            <w:color w:val="000000" w:themeColor="text1"/>
            <w:szCs w:val="24"/>
            <w:lang w:eastAsia="en-US"/>
          </w:rPr>
          <w:t>The FDA requires drug companies to use hard-to-understand medical language in prescription drug ads directed to consumers</w:t>
        </w:r>
      </w:hyperlink>
      <w:r w:rsidRPr="00476FC9">
        <w:rPr>
          <w:color w:val="000000" w:themeColor="text1"/>
          <w:szCs w:val="24"/>
          <w:lang w:eastAsia="en-US"/>
        </w:rPr>
        <w:t xml:space="preserve">. </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Yes______   No______    Don’t know ______</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b/>
          <w:bCs w:val="0"/>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Cs w:val="24"/>
          <w:lang w:eastAsia="en-US"/>
        </w:rPr>
      </w:pPr>
      <w:r w:rsidRPr="00476FC9">
        <w:rPr>
          <w:bCs w:val="0"/>
          <w:color w:val="000000" w:themeColor="text1"/>
          <w:szCs w:val="24"/>
          <w:lang w:eastAsia="en-US"/>
        </w:rPr>
        <w:t xml:space="preserve">7-3) </w:t>
      </w:r>
      <w:hyperlink r:id="rId20" w:anchor="work_with_drug_companies" w:history="1">
        <w:r w:rsidRPr="00476FC9">
          <w:rPr>
            <w:color w:val="000000" w:themeColor="text1"/>
            <w:szCs w:val="24"/>
            <w:lang w:eastAsia="en-US"/>
          </w:rPr>
          <w:t>The FDA works with drug companies to create prescription drug ads</w:t>
        </w:r>
      </w:hyperlink>
      <w:r w:rsidRPr="00476FC9">
        <w:rPr>
          <w:color w:val="000000" w:themeColor="text1"/>
          <w:szCs w:val="24"/>
          <w:lang w:eastAsia="en-US"/>
        </w:rPr>
        <w:t xml:space="preserve"> directed to consumers. </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Yes______   No______    Don’t know ______</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bCs w:val="0"/>
          <w:color w:val="000000" w:themeColor="text1"/>
          <w:szCs w:val="24"/>
          <w:lang w:eastAsia="en-US"/>
        </w:rPr>
      </w:pPr>
      <w:r w:rsidRPr="00476FC9">
        <w:rPr>
          <w:bCs w:val="0"/>
          <w:color w:val="000000" w:themeColor="text1"/>
          <w:szCs w:val="24"/>
          <w:lang w:eastAsia="en-US"/>
        </w:rPr>
        <w:lastRenderedPageBreak/>
        <w:t xml:space="preserve">        </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bCs w:val="0"/>
          <w:color w:val="000000" w:themeColor="text1"/>
          <w:szCs w:val="24"/>
          <w:lang w:eastAsia="en-US"/>
        </w:rPr>
      </w:pPr>
      <w:r w:rsidRPr="00476FC9">
        <w:rPr>
          <w:bCs w:val="0"/>
          <w:color w:val="000000" w:themeColor="text1"/>
          <w:spacing w:val="-6"/>
          <w:szCs w:val="24"/>
          <w:lang w:eastAsia="en-US"/>
        </w:rPr>
        <w:t xml:space="preserve">7-4) </w:t>
      </w:r>
      <w:hyperlink r:id="rId21" w:anchor="fda_approval" w:history="1">
        <w:r w:rsidRPr="00476FC9">
          <w:rPr>
            <w:color w:val="000000" w:themeColor="text1"/>
            <w:szCs w:val="24"/>
            <w:lang w:eastAsia="en-US"/>
          </w:rPr>
          <w:t>The FDA approves prescription drug ads before they are seen by the public</w:t>
        </w:r>
      </w:hyperlink>
      <w:r w:rsidRPr="00476FC9">
        <w:rPr>
          <w:color w:val="000000" w:themeColor="text1"/>
          <w:szCs w:val="24"/>
          <w:lang w:eastAsia="en-US"/>
        </w:rPr>
        <w:t>.</w:t>
      </w:r>
      <w:r w:rsidRPr="00476FC9">
        <w:rPr>
          <w:bCs w:val="0"/>
          <w:color w:val="000000" w:themeColor="text1"/>
          <w:szCs w:val="24"/>
          <w:lang w:eastAsia="en-US"/>
        </w:rPr>
        <w:t xml:space="preserve"> </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Yes______   No______    Don’t know ______</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bCs w:val="0"/>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Cs w:val="24"/>
          <w:lang w:eastAsia="en-US"/>
        </w:rPr>
      </w:pPr>
      <w:r w:rsidRPr="00476FC9">
        <w:rPr>
          <w:bCs w:val="0"/>
          <w:color w:val="000000" w:themeColor="text1"/>
          <w:szCs w:val="24"/>
          <w:lang w:eastAsia="en-US"/>
        </w:rPr>
        <w:t xml:space="preserve">7-5) </w:t>
      </w:r>
      <w:hyperlink r:id="rId22" w:anchor="prescription_drugs" w:history="1">
        <w:r w:rsidRPr="00476FC9">
          <w:rPr>
            <w:color w:val="000000" w:themeColor="text1"/>
            <w:szCs w:val="24"/>
            <w:lang w:eastAsia="en-US"/>
          </w:rPr>
          <w:t>The FDA regulates the design of prescription drug</w:t>
        </w:r>
      </w:hyperlink>
      <w:r w:rsidRPr="00476FC9">
        <w:rPr>
          <w:color w:val="000000" w:themeColor="text1"/>
          <w:szCs w:val="24"/>
          <w:lang w:eastAsia="en-US"/>
        </w:rPr>
        <w:t xml:space="preserve"> ads directed to consumers. </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Yes______   No______    Don’t know ______</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bCs w:val="0"/>
          <w:color w:val="000000" w:themeColor="text1"/>
          <w:szCs w:val="24"/>
          <w:lang w:eastAsia="en-US"/>
        </w:rPr>
      </w:pPr>
      <w:r w:rsidRPr="00476FC9">
        <w:rPr>
          <w:bCs w:val="0"/>
          <w:color w:val="000000" w:themeColor="text1"/>
          <w:szCs w:val="24"/>
          <w:lang w:eastAsia="en-US"/>
        </w:rPr>
        <w:t xml:space="preserve">7-6) </w:t>
      </w:r>
      <w:hyperlink r:id="rId23" w:anchor="research_dtc_advertising" w:history="1">
        <w:r w:rsidRPr="00476FC9">
          <w:rPr>
            <w:bCs w:val="0"/>
            <w:color w:val="000000" w:themeColor="text1"/>
            <w:szCs w:val="24"/>
            <w:lang w:eastAsia="en-US"/>
          </w:rPr>
          <w:t xml:space="preserve">The FDA conducts research to examine </w:t>
        </w:r>
        <w:r w:rsidRPr="00476FC9">
          <w:rPr>
            <w:rFonts w:eastAsia="맑은 고딕"/>
            <w:bCs w:val="0"/>
            <w:color w:val="000000" w:themeColor="text1"/>
            <w:szCs w:val="24"/>
            <w:lang w:eastAsia="en-US"/>
          </w:rPr>
          <w:t xml:space="preserve">consumer attitudes and behaviors toward </w:t>
        </w:r>
        <w:r w:rsidRPr="00476FC9">
          <w:rPr>
            <w:bCs w:val="0"/>
            <w:color w:val="000000" w:themeColor="text1"/>
            <w:szCs w:val="24"/>
            <w:lang w:eastAsia="en-US"/>
          </w:rPr>
          <w:t>prescription drug advertising</w:t>
        </w:r>
      </w:hyperlink>
      <w:r w:rsidRPr="00476FC9">
        <w:rPr>
          <w:bCs w:val="0"/>
          <w:color w:val="000000" w:themeColor="text1"/>
          <w:szCs w:val="24"/>
          <w:lang w:eastAsia="en-US"/>
        </w:rPr>
        <w:t>.</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Yes______   No______    Don’t know ______</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b/>
          <w:bCs w:val="0"/>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
          <w:bCs w:val="0"/>
          <w:color w:val="000000" w:themeColor="text1"/>
          <w:szCs w:val="24"/>
          <w:lang w:eastAsia="en-US"/>
        </w:rPr>
        <w:t xml:space="preserve">Q8) </w:t>
      </w:r>
      <w:r w:rsidRPr="00476FC9">
        <w:rPr>
          <w:rFonts w:eastAsia="맑은 고딕"/>
          <w:bCs w:val="0"/>
          <w:color w:val="000000" w:themeColor="text1"/>
          <w:szCs w:val="24"/>
          <w:lang w:eastAsia="en-US"/>
        </w:rPr>
        <w:t xml:space="preserve">Please report your past experiences with prescription drugs. </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
          <w:bCs w:val="0"/>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 xml:space="preserve">Q8-1) Have you </w:t>
      </w:r>
      <w:r w:rsidRPr="00476FC9">
        <w:rPr>
          <w:rFonts w:eastAsia="맑은 고딕"/>
          <w:bCs w:val="0"/>
          <w:color w:val="000000" w:themeColor="text1"/>
          <w:szCs w:val="24"/>
        </w:rPr>
        <w:t>ever experienced adverse reactions after taking a prescription drug?</w:t>
      </w:r>
      <w:r w:rsidRPr="00476FC9">
        <w:rPr>
          <w:rFonts w:eastAsia="맑은 고딕"/>
          <w:bCs w:val="0"/>
          <w:color w:val="000000" w:themeColor="text1"/>
          <w:szCs w:val="24"/>
          <w:lang w:eastAsia="en-US"/>
        </w:rPr>
        <w:t xml:space="preserve"> </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Yes______   No______    Don’t know ______</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
          <w:bCs w:val="0"/>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 xml:space="preserve">Q8-2) Has anyone in your family </w:t>
      </w:r>
      <w:r w:rsidRPr="00476FC9">
        <w:rPr>
          <w:rFonts w:eastAsia="맑은 고딕"/>
          <w:bCs w:val="0"/>
          <w:color w:val="000000" w:themeColor="text1"/>
          <w:szCs w:val="24"/>
        </w:rPr>
        <w:t>experienced prescription drug adverse reactions?</w:t>
      </w:r>
      <w:r w:rsidRPr="00476FC9">
        <w:rPr>
          <w:rFonts w:eastAsia="맑은 고딕"/>
          <w:bCs w:val="0"/>
          <w:color w:val="000000" w:themeColor="text1"/>
          <w:szCs w:val="24"/>
          <w:lang w:eastAsia="en-US"/>
        </w:rPr>
        <w:t xml:space="preserve"> </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
          <w:bCs w:val="0"/>
          <w:color w:val="000000" w:themeColor="text1"/>
          <w:szCs w:val="24"/>
          <w:lang w:eastAsia="en-US"/>
        </w:rPr>
        <w:t xml:space="preserve"> </w:t>
      </w:r>
      <w:r w:rsidRPr="00476FC9">
        <w:rPr>
          <w:rFonts w:eastAsia="맑은 고딕"/>
          <w:bCs w:val="0"/>
          <w:color w:val="000000" w:themeColor="text1"/>
          <w:szCs w:val="24"/>
          <w:lang w:eastAsia="en-US"/>
        </w:rPr>
        <w:t>Yes______   No______    Don’t know ______</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ab/>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Q8-3) Has anyone among your relatives</w:t>
      </w:r>
      <w:r w:rsidRPr="00476FC9">
        <w:rPr>
          <w:rFonts w:eastAsia="맑은 고딕"/>
          <w:bCs w:val="0"/>
          <w:color w:val="000000" w:themeColor="text1"/>
          <w:szCs w:val="24"/>
        </w:rPr>
        <w:t xml:space="preserve"> experienced prescription drug adverse reactions?</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Yes______   No______    Don’t know ______</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Cs w:val="0"/>
          <w:color w:val="000000" w:themeColor="text1"/>
          <w:szCs w:val="24"/>
        </w:rPr>
        <w:t>Q8-4</w:t>
      </w:r>
      <w:r w:rsidRPr="00476FC9">
        <w:rPr>
          <w:rFonts w:eastAsia="맑은 고딕"/>
          <w:bCs w:val="0"/>
          <w:color w:val="000000" w:themeColor="text1"/>
          <w:szCs w:val="24"/>
          <w:lang w:eastAsia="en-US"/>
        </w:rPr>
        <w:t xml:space="preserve">) Has anyone within your circle of friends </w:t>
      </w:r>
      <w:r w:rsidRPr="00476FC9">
        <w:rPr>
          <w:rFonts w:eastAsia="맑은 고딕"/>
          <w:bCs w:val="0"/>
          <w:color w:val="000000" w:themeColor="text1"/>
          <w:szCs w:val="24"/>
        </w:rPr>
        <w:t>experienced prescription drug adverse reactions</w:t>
      </w:r>
      <w:r w:rsidRPr="00476FC9">
        <w:rPr>
          <w:rFonts w:eastAsia="맑은 고딕"/>
          <w:bCs w:val="0"/>
          <w:color w:val="000000" w:themeColor="text1"/>
          <w:szCs w:val="24"/>
          <w:lang w:eastAsia="en-US"/>
        </w:rPr>
        <w:t xml:space="preserve">?  </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
          <w:bCs w:val="0"/>
          <w:color w:val="000000" w:themeColor="text1"/>
          <w:szCs w:val="24"/>
          <w:lang w:eastAsia="en-US"/>
        </w:rPr>
        <w:t xml:space="preserve"> </w:t>
      </w:r>
      <w:r w:rsidRPr="00476FC9">
        <w:rPr>
          <w:rFonts w:eastAsia="맑은 고딕"/>
          <w:bCs w:val="0"/>
          <w:color w:val="000000" w:themeColor="text1"/>
          <w:szCs w:val="24"/>
          <w:lang w:eastAsia="en-US"/>
        </w:rPr>
        <w:t>Yes______   No______    Don’t know ______</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
          <w:bCs w:val="0"/>
          <w:color w:val="000000" w:themeColor="text1"/>
          <w:szCs w:val="24"/>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Cs w:val="0"/>
          <w:color w:val="000000" w:themeColor="text1"/>
          <w:szCs w:val="24"/>
        </w:rPr>
        <w:t>Q8-5</w:t>
      </w:r>
      <w:r w:rsidRPr="00476FC9">
        <w:rPr>
          <w:rFonts w:eastAsia="맑은 고딕"/>
          <w:bCs w:val="0"/>
          <w:color w:val="000000" w:themeColor="text1"/>
          <w:szCs w:val="24"/>
          <w:lang w:eastAsia="en-US"/>
        </w:rPr>
        <w:t xml:space="preserve">) Has anyone within your circle of neighbors </w:t>
      </w:r>
      <w:r w:rsidRPr="00476FC9">
        <w:rPr>
          <w:rFonts w:eastAsia="맑은 고딕"/>
          <w:bCs w:val="0"/>
          <w:color w:val="000000" w:themeColor="text1"/>
          <w:szCs w:val="24"/>
        </w:rPr>
        <w:t>experienced prescription drug adverse reactions</w:t>
      </w:r>
      <w:r w:rsidRPr="00476FC9">
        <w:rPr>
          <w:rFonts w:eastAsia="맑은 고딕"/>
          <w:bCs w:val="0"/>
          <w:color w:val="000000" w:themeColor="text1"/>
          <w:szCs w:val="24"/>
          <w:lang w:eastAsia="en-US"/>
        </w:rPr>
        <w:t xml:space="preserve">?  </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
          <w:bCs w:val="0"/>
          <w:color w:val="000000" w:themeColor="text1"/>
          <w:szCs w:val="24"/>
          <w:lang w:eastAsia="en-US"/>
        </w:rPr>
        <w:t xml:space="preserve"> </w:t>
      </w:r>
      <w:r w:rsidRPr="00476FC9">
        <w:rPr>
          <w:rFonts w:eastAsia="맑은 고딕"/>
          <w:bCs w:val="0"/>
          <w:color w:val="000000" w:themeColor="text1"/>
          <w:szCs w:val="24"/>
          <w:lang w:eastAsia="en-US"/>
        </w:rPr>
        <w:t>Yes______   No______    Don’t know ______</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
          <w:bCs w:val="0"/>
          <w:color w:val="000000" w:themeColor="text1"/>
          <w:szCs w:val="24"/>
          <w:lang w:eastAsia="en-US"/>
        </w:rPr>
        <w:t>Q9)</w:t>
      </w:r>
      <w:r w:rsidRPr="00476FC9">
        <w:rPr>
          <w:rFonts w:eastAsia="맑은 고딕"/>
          <w:bCs w:val="0"/>
          <w:color w:val="000000" w:themeColor="text1"/>
          <w:szCs w:val="24"/>
          <w:lang w:eastAsia="en-US"/>
        </w:rPr>
        <w:t xml:space="preserve"> Please check a box to indicate your agreement with the following statement. </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“If someone hasn’t experienced prescription drug adverse reactions by now, he or she is not likely to experience them later in life.”</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p>
    <w:tbl>
      <w:tblPr>
        <w:tblW w:w="5000" w:type="pct"/>
        <w:jc w:val="center"/>
        <w:tblCellMar>
          <w:left w:w="57" w:type="dxa"/>
          <w:right w:w="57" w:type="dxa"/>
        </w:tblCellMar>
        <w:tblLook w:val="01E0" w:firstRow="1" w:lastRow="1" w:firstColumn="1" w:lastColumn="1" w:noHBand="0" w:noVBand="0"/>
      </w:tblPr>
      <w:tblGrid>
        <w:gridCol w:w="1262"/>
        <w:gridCol w:w="1262"/>
        <w:gridCol w:w="1518"/>
        <w:gridCol w:w="1623"/>
        <w:gridCol w:w="1604"/>
        <w:gridCol w:w="850"/>
        <w:gridCol w:w="1241"/>
      </w:tblGrid>
      <w:tr w:rsidR="00476FC9" w:rsidRPr="00476FC9" w:rsidTr="00650B0F">
        <w:trPr>
          <w:trHeight w:hRule="exact" w:val="576"/>
          <w:jc w:val="center"/>
        </w:trPr>
        <w:tc>
          <w:tcPr>
            <w:tcW w:w="674" w:type="pct"/>
            <w:tcMar>
              <w:left w:w="28" w:type="dxa"/>
              <w:right w:w="28"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strongly disagree</w:t>
            </w:r>
          </w:p>
        </w:tc>
        <w:tc>
          <w:tcPr>
            <w:tcW w:w="674" w:type="pct"/>
            <w:tcMar>
              <w:left w:w="28" w:type="dxa"/>
              <w:right w:w="28"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disagree</w:t>
            </w:r>
          </w:p>
        </w:tc>
        <w:tc>
          <w:tcPr>
            <w:tcW w:w="811" w:type="pct"/>
            <w:tcMar>
              <w:left w:w="28" w:type="dxa"/>
              <w:right w:w="28"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somewhat disagree</w:t>
            </w:r>
          </w:p>
        </w:tc>
        <w:tc>
          <w:tcPr>
            <w:tcW w:w="867"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neither agree nor disagree</w:t>
            </w:r>
          </w:p>
        </w:tc>
        <w:tc>
          <w:tcPr>
            <w:tcW w:w="857"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somewhat agree</w:t>
            </w:r>
          </w:p>
        </w:tc>
        <w:tc>
          <w:tcPr>
            <w:tcW w:w="454" w:type="pct"/>
            <w:tcMar>
              <w:left w:w="28" w:type="dxa"/>
              <w:right w:w="28"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agree</w:t>
            </w:r>
          </w:p>
        </w:tc>
        <w:tc>
          <w:tcPr>
            <w:tcW w:w="664" w:type="pct"/>
            <w:tcMar>
              <w:left w:w="28" w:type="dxa"/>
              <w:right w:w="28"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strongly agree</w:t>
            </w:r>
          </w:p>
        </w:tc>
      </w:tr>
      <w:tr w:rsidR="00476FC9" w:rsidRPr="00476FC9" w:rsidTr="00650B0F">
        <w:trPr>
          <w:trHeight w:hRule="exact" w:val="919"/>
          <w:jc w:val="center"/>
        </w:trPr>
        <w:tc>
          <w:tcPr>
            <w:tcW w:w="674"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674"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811"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867"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857"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454"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664"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r>
    </w:tbl>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rPr>
      </w:pPr>
      <w:r w:rsidRPr="00476FC9">
        <w:rPr>
          <w:rFonts w:eastAsia="맑은 고딕"/>
          <w:b/>
          <w:bCs w:val="0"/>
          <w:color w:val="000000" w:themeColor="text1"/>
          <w:szCs w:val="24"/>
        </w:rPr>
        <w:t xml:space="preserve">Q10) </w:t>
      </w:r>
      <w:r w:rsidRPr="00476FC9">
        <w:rPr>
          <w:rFonts w:eastAsia="맑은 고딕"/>
          <w:bCs w:val="0"/>
          <w:color w:val="000000" w:themeColor="text1"/>
          <w:szCs w:val="24"/>
        </w:rPr>
        <w:t xml:space="preserve">In the past six months, how often have you seen, read, or heard instances where the health risks of prescription drugs are depicted or discussed in the following media types? </w:t>
      </w:r>
    </w:p>
    <w:tbl>
      <w:tblPr>
        <w:tblW w:w="5000" w:type="pct"/>
        <w:jc w:val="center"/>
        <w:tblLayout w:type="fixed"/>
        <w:tblCellMar>
          <w:left w:w="57" w:type="dxa"/>
          <w:right w:w="57" w:type="dxa"/>
        </w:tblCellMar>
        <w:tblLook w:val="01E0" w:firstRow="1" w:lastRow="1" w:firstColumn="1" w:lastColumn="1" w:noHBand="0" w:noVBand="0"/>
      </w:tblPr>
      <w:tblGrid>
        <w:gridCol w:w="2549"/>
        <w:gridCol w:w="974"/>
        <w:gridCol w:w="973"/>
        <w:gridCol w:w="973"/>
        <w:gridCol w:w="973"/>
        <w:gridCol w:w="973"/>
        <w:gridCol w:w="973"/>
        <w:gridCol w:w="972"/>
      </w:tblGrid>
      <w:tr w:rsidR="00476FC9" w:rsidRPr="00476FC9" w:rsidTr="00650B0F">
        <w:trPr>
          <w:trHeight w:hRule="exact" w:val="576"/>
          <w:jc w:val="center"/>
        </w:trPr>
        <w:tc>
          <w:tcPr>
            <w:tcW w:w="1361"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p>
        </w:tc>
        <w:tc>
          <w:tcPr>
            <w:tcW w:w="520" w:type="pct"/>
            <w:tcMar>
              <w:left w:w="28" w:type="dxa"/>
              <w:right w:w="28"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never</w:t>
            </w:r>
          </w:p>
        </w:tc>
        <w:tc>
          <w:tcPr>
            <w:tcW w:w="520" w:type="pct"/>
            <w:tcMar>
              <w:left w:w="28" w:type="dxa"/>
              <w:right w:w="28"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p>
        </w:tc>
        <w:tc>
          <w:tcPr>
            <w:tcW w:w="520" w:type="pct"/>
            <w:tcMar>
              <w:left w:w="28" w:type="dxa"/>
              <w:right w:w="28"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occasionally</w:t>
            </w:r>
          </w:p>
        </w:tc>
        <w:tc>
          <w:tcPr>
            <w:tcW w:w="520"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p>
        </w:tc>
        <w:tc>
          <w:tcPr>
            <w:tcW w:w="520" w:type="pct"/>
            <w:tcMar>
              <w:left w:w="28" w:type="dxa"/>
              <w:right w:w="28"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p>
        </w:tc>
        <w:tc>
          <w:tcPr>
            <w:tcW w:w="520" w:type="pct"/>
            <w:tcMar>
              <w:left w:w="28" w:type="dxa"/>
              <w:right w:w="28"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very often</w:t>
            </w:r>
          </w:p>
        </w:tc>
      </w:tr>
      <w:tr w:rsidR="00476FC9" w:rsidRPr="00476FC9" w:rsidTr="00650B0F">
        <w:trPr>
          <w:trHeight w:hRule="exact" w:val="720"/>
          <w:jc w:val="center"/>
        </w:trPr>
        <w:tc>
          <w:tcPr>
            <w:tcW w:w="1361" w:type="pct"/>
            <w:tcMar>
              <w:left w:w="113" w:type="dxa"/>
              <w:right w:w="113"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 w:val="20"/>
                <w:szCs w:val="20"/>
                <w:lang w:eastAsia="en-US"/>
              </w:rPr>
            </w:pPr>
            <w:r w:rsidRPr="00476FC9">
              <w:rPr>
                <w:rFonts w:eastAsia="맑은 고딕"/>
                <w:bCs w:val="0"/>
                <w:color w:val="000000" w:themeColor="text1"/>
                <w:sz w:val="20"/>
                <w:szCs w:val="20"/>
                <w:lang w:eastAsia="en-US"/>
              </w:rPr>
              <w:t>Television news, documentaries, and current affairs.</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r>
      <w:tr w:rsidR="00476FC9" w:rsidRPr="00476FC9" w:rsidTr="00650B0F">
        <w:trPr>
          <w:trHeight w:hRule="exact" w:val="1017"/>
          <w:jc w:val="center"/>
        </w:trPr>
        <w:tc>
          <w:tcPr>
            <w:tcW w:w="1361" w:type="pct"/>
            <w:tcMar>
              <w:left w:w="113" w:type="dxa"/>
              <w:right w:w="113"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 w:val="20"/>
                <w:szCs w:val="20"/>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 w:val="20"/>
                <w:szCs w:val="20"/>
                <w:lang w:eastAsia="en-US"/>
              </w:rPr>
            </w:pPr>
            <w:r w:rsidRPr="00476FC9">
              <w:rPr>
                <w:rFonts w:eastAsia="맑은 고딕"/>
                <w:bCs w:val="0"/>
                <w:color w:val="000000" w:themeColor="text1"/>
                <w:sz w:val="20"/>
                <w:szCs w:val="20"/>
                <w:lang w:eastAsia="en-US"/>
              </w:rPr>
              <w:t>Television entertainment programs (e.g., soap operas, sitcoms, drama, movies).</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r>
      <w:tr w:rsidR="00476FC9" w:rsidRPr="00476FC9" w:rsidTr="00650B0F">
        <w:trPr>
          <w:trHeight w:hRule="exact" w:val="720"/>
          <w:jc w:val="center"/>
        </w:trPr>
        <w:tc>
          <w:tcPr>
            <w:tcW w:w="1361" w:type="pct"/>
            <w:tcMar>
              <w:left w:w="113" w:type="dxa"/>
              <w:right w:w="113"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 w:val="20"/>
                <w:szCs w:val="20"/>
                <w:lang w:eastAsia="en-US"/>
              </w:rPr>
            </w:pPr>
            <w:r w:rsidRPr="00476FC9">
              <w:rPr>
                <w:rFonts w:eastAsia="맑은 고딕"/>
                <w:bCs w:val="0"/>
                <w:color w:val="000000" w:themeColor="text1"/>
                <w:sz w:val="20"/>
                <w:szCs w:val="20"/>
                <w:lang w:eastAsia="en-US"/>
              </w:rPr>
              <w:t>Articles in newspapers and magazines.</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r>
      <w:tr w:rsidR="00650B0F" w:rsidRPr="00476FC9" w:rsidTr="00650B0F">
        <w:trPr>
          <w:trHeight w:hRule="exact" w:val="720"/>
          <w:jc w:val="center"/>
        </w:trPr>
        <w:tc>
          <w:tcPr>
            <w:tcW w:w="1361" w:type="pct"/>
            <w:tcMar>
              <w:left w:w="113" w:type="dxa"/>
              <w:right w:w="113"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 w:val="20"/>
                <w:szCs w:val="20"/>
                <w:lang w:eastAsia="en-US"/>
              </w:rPr>
            </w:pPr>
            <w:r w:rsidRPr="00476FC9">
              <w:rPr>
                <w:rFonts w:eastAsia="맑은 고딕"/>
                <w:bCs w:val="0"/>
                <w:color w:val="000000" w:themeColor="text1"/>
                <w:sz w:val="20"/>
                <w:szCs w:val="20"/>
                <w:lang w:eastAsia="en-US"/>
              </w:rPr>
              <w:t>Non-advertising information from the Internet.</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r>
    </w:tbl>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
          <w:bCs w:val="0"/>
          <w:color w:val="000000" w:themeColor="text1"/>
          <w:szCs w:val="24"/>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b/>
          <w:bCs w:val="0"/>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 w:val="56"/>
          <w:szCs w:val="56"/>
          <w:lang w:eastAsia="en-US"/>
        </w:rPr>
      </w:pPr>
      <w:r w:rsidRPr="00476FC9">
        <w:rPr>
          <w:rFonts w:eastAsia="맑은 고딕"/>
          <w:color w:val="000000" w:themeColor="text1"/>
          <w:sz w:val="56"/>
          <w:szCs w:val="56"/>
        </w:rPr>
        <w:t>Imagine that you feel like you may be clinically depressed and have just come across</w:t>
      </w:r>
      <w:r w:rsidRPr="00476FC9">
        <w:rPr>
          <w:rFonts w:eastAsia="Times New Roman"/>
          <w:color w:val="000000" w:themeColor="text1"/>
          <w:sz w:val="56"/>
          <w:szCs w:val="56"/>
          <w:lang w:eastAsia="en-US"/>
        </w:rPr>
        <w:t xml:space="preserve"> the webpage for a new </w:t>
      </w:r>
      <w:r w:rsidRPr="00476FC9">
        <w:rPr>
          <w:rFonts w:eastAsia="맑은 고딕"/>
          <w:color w:val="000000" w:themeColor="text1"/>
          <w:sz w:val="56"/>
          <w:szCs w:val="56"/>
        </w:rPr>
        <w:t>prescription medicine for depression</w:t>
      </w:r>
      <w:r w:rsidRPr="00476FC9">
        <w:rPr>
          <w:rFonts w:eastAsia="Times New Roman"/>
          <w:color w:val="000000" w:themeColor="text1"/>
          <w:sz w:val="56"/>
          <w:szCs w:val="56"/>
          <w:lang w:eastAsia="en-US"/>
        </w:rPr>
        <w:t xml:space="preserve">. </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 w:val="56"/>
          <w:szCs w:val="56"/>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b/>
          <w:color w:val="000000" w:themeColor="text1"/>
          <w:sz w:val="56"/>
          <w:szCs w:val="56"/>
          <w:lang w:eastAsia="en-US"/>
        </w:rPr>
      </w:pPr>
      <w:r w:rsidRPr="00476FC9">
        <w:rPr>
          <w:rFonts w:eastAsia="맑은 고딕"/>
          <w:color w:val="000000" w:themeColor="text1"/>
          <w:sz w:val="56"/>
          <w:szCs w:val="56"/>
        </w:rPr>
        <w:t>P</w:t>
      </w:r>
      <w:r w:rsidRPr="00476FC9">
        <w:rPr>
          <w:rFonts w:eastAsia="Times New Roman"/>
          <w:color w:val="000000" w:themeColor="text1"/>
          <w:sz w:val="56"/>
          <w:szCs w:val="56"/>
          <w:lang w:eastAsia="en-US"/>
        </w:rPr>
        <w:t xml:space="preserve">lease read the </w:t>
      </w:r>
      <w:r w:rsidRPr="00476FC9">
        <w:rPr>
          <w:rFonts w:eastAsia="맑은 고딕"/>
          <w:color w:val="000000" w:themeColor="text1"/>
          <w:sz w:val="56"/>
          <w:szCs w:val="56"/>
        </w:rPr>
        <w:t xml:space="preserve">ad </w:t>
      </w:r>
      <w:r w:rsidRPr="00476FC9">
        <w:rPr>
          <w:rFonts w:eastAsia="Times New Roman"/>
          <w:color w:val="000000" w:themeColor="text1"/>
          <w:sz w:val="56"/>
          <w:szCs w:val="56"/>
          <w:lang w:eastAsia="en-US"/>
        </w:rPr>
        <w:t>a</w:t>
      </w:r>
      <w:r w:rsidRPr="00476FC9">
        <w:rPr>
          <w:rFonts w:eastAsia="맑은 고딕"/>
          <w:color w:val="000000" w:themeColor="text1"/>
          <w:sz w:val="56"/>
          <w:szCs w:val="56"/>
        </w:rPr>
        <w:t>s you would if you were at risk of depression in your real life.</w:t>
      </w:r>
      <w:r w:rsidRPr="00476FC9">
        <w:rPr>
          <w:rFonts w:eastAsia="Times New Roman"/>
          <w:b/>
          <w:color w:val="000000" w:themeColor="text1"/>
          <w:sz w:val="56"/>
          <w:szCs w:val="56"/>
          <w:lang w:eastAsia="en-US"/>
        </w:rPr>
        <w:t xml:space="preserve"> </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b/>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b/>
          <w:color w:val="000000" w:themeColor="text1"/>
          <w:szCs w:val="24"/>
          <w:lang w:eastAsia="en-US"/>
        </w:rPr>
      </w:pPr>
      <w:r w:rsidRPr="00476FC9">
        <w:rPr>
          <w:rFonts w:eastAsia="Times New Roman"/>
          <w:b/>
          <w:color w:val="000000" w:themeColor="text1"/>
          <w:szCs w:val="24"/>
          <w:lang w:eastAsia="en-US"/>
        </w:rPr>
        <w:br w:type="page"/>
      </w:r>
      <w:r w:rsidRPr="00476FC9">
        <w:rPr>
          <w:rFonts w:eastAsia="Times New Roman"/>
          <w:b/>
          <w:color w:val="000000" w:themeColor="text1"/>
          <w:szCs w:val="24"/>
          <w:lang w:eastAsia="en-US"/>
        </w:rPr>
        <w:lastRenderedPageBreak/>
        <w:t xml:space="preserve">The following questions are about the ad you just saw. Please read and answer them carefully. </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r w:rsidRPr="00476FC9">
        <w:rPr>
          <w:rFonts w:eastAsia="Times New Roman"/>
          <w:color w:val="000000" w:themeColor="text1"/>
          <w:szCs w:val="24"/>
          <w:lang w:eastAsia="en-US"/>
        </w:rPr>
        <w:t> </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r w:rsidRPr="00476FC9">
        <w:rPr>
          <w:rFonts w:eastAsia="Times New Roman"/>
          <w:b/>
          <w:color w:val="000000" w:themeColor="text1"/>
          <w:szCs w:val="24"/>
          <w:lang w:eastAsia="en-US"/>
        </w:rPr>
        <w:t xml:space="preserve">Q11) </w:t>
      </w:r>
      <w:r w:rsidRPr="00476FC9">
        <w:rPr>
          <w:rFonts w:eastAsia="Times New Roman"/>
          <w:color w:val="000000" w:themeColor="text1"/>
          <w:szCs w:val="24"/>
          <w:lang w:eastAsia="en-US"/>
        </w:rPr>
        <w:t xml:space="preserve">The ad presented information about the uses and health risks of </w:t>
      </w:r>
      <w:r w:rsidR="00EB1FEC" w:rsidRPr="00476FC9">
        <w:rPr>
          <w:rFonts w:eastAsia="Times New Roman"/>
          <w:color w:val="000000" w:themeColor="text1"/>
          <w:szCs w:val="24"/>
          <w:lang w:eastAsia="en-US"/>
        </w:rPr>
        <w:t>Luminexell</w:t>
      </w:r>
      <w:r w:rsidRPr="00476FC9">
        <w:rPr>
          <w:rFonts w:eastAsia="Times New Roman"/>
          <w:color w:val="000000" w:themeColor="text1"/>
          <w:szCs w:val="24"/>
          <w:lang w:eastAsia="en-US"/>
        </w:rPr>
        <w:t xml:space="preserve">. Please check a box that best represents your thoughts. </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34"/>
        <w:gridCol w:w="456"/>
      </w:tblGrid>
      <w:tr w:rsidR="00476FC9" w:rsidRPr="00476FC9" w:rsidTr="00D83DFE">
        <w:tc>
          <w:tcPr>
            <w:tcW w:w="0" w:type="auto"/>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r w:rsidRPr="00476FC9">
              <w:rPr>
                <w:rFonts w:eastAsia="Times New Roman"/>
                <w:color w:val="000000" w:themeColor="text1"/>
                <w:szCs w:val="24"/>
                <w:lang w:eastAsia="en-US"/>
              </w:rPr>
              <w:t xml:space="preserve">The ad presented the uses of </w:t>
            </w:r>
            <w:r w:rsidR="00EB1FEC" w:rsidRPr="00476FC9">
              <w:rPr>
                <w:rFonts w:eastAsia="Times New Roman"/>
                <w:color w:val="000000" w:themeColor="text1"/>
                <w:szCs w:val="24"/>
                <w:lang w:eastAsia="en-US"/>
              </w:rPr>
              <w:t>Luminexell</w:t>
            </w:r>
            <w:r w:rsidRPr="00476FC9">
              <w:rPr>
                <w:rFonts w:eastAsia="Times New Roman"/>
                <w:color w:val="000000" w:themeColor="text1"/>
                <w:szCs w:val="24"/>
                <w:lang w:eastAsia="en-US"/>
              </w:rPr>
              <w:t xml:space="preserve"> more prominently than its health risks</w:t>
            </w:r>
          </w:p>
        </w:tc>
        <w:tc>
          <w:tcPr>
            <w:tcW w:w="0" w:type="auto"/>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b/>
                <w:color w:val="000000" w:themeColor="text1"/>
                <w:szCs w:val="24"/>
                <w:lang w:eastAsia="en-US"/>
              </w:rPr>
            </w:pPr>
            <w:r w:rsidRPr="00476FC9">
              <w:rPr>
                <w:rFonts w:eastAsia="맑은 고딕"/>
                <w:color w:val="000000" w:themeColor="text1"/>
                <w:szCs w:val="24"/>
                <w:lang w:eastAsia="en-US"/>
              </w:rPr>
              <w:t></w:t>
            </w:r>
          </w:p>
        </w:tc>
      </w:tr>
      <w:tr w:rsidR="00476FC9" w:rsidRPr="00476FC9" w:rsidTr="00D83DFE">
        <w:tc>
          <w:tcPr>
            <w:tcW w:w="0" w:type="auto"/>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r w:rsidRPr="00476FC9">
              <w:rPr>
                <w:rFonts w:eastAsia="Times New Roman"/>
                <w:color w:val="000000" w:themeColor="text1"/>
                <w:szCs w:val="24"/>
                <w:lang w:eastAsia="en-US"/>
              </w:rPr>
              <w:t xml:space="preserve">The ad presented the health risks of </w:t>
            </w:r>
            <w:r w:rsidR="00EB1FEC" w:rsidRPr="00476FC9">
              <w:rPr>
                <w:rFonts w:eastAsia="Times New Roman"/>
                <w:color w:val="000000" w:themeColor="text1"/>
                <w:szCs w:val="24"/>
                <w:lang w:eastAsia="en-US"/>
              </w:rPr>
              <w:t>Luminexell</w:t>
            </w:r>
            <w:r w:rsidRPr="00476FC9">
              <w:rPr>
                <w:rFonts w:eastAsia="Times New Roman"/>
                <w:color w:val="000000" w:themeColor="text1"/>
                <w:szCs w:val="24"/>
                <w:lang w:eastAsia="en-US"/>
              </w:rPr>
              <w:t xml:space="preserve"> more prominently than its uses</w:t>
            </w:r>
          </w:p>
        </w:tc>
        <w:tc>
          <w:tcPr>
            <w:tcW w:w="0" w:type="auto"/>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b/>
                <w:color w:val="000000" w:themeColor="text1"/>
                <w:szCs w:val="24"/>
                <w:lang w:eastAsia="en-US"/>
              </w:rPr>
            </w:pPr>
            <w:r w:rsidRPr="00476FC9">
              <w:rPr>
                <w:rFonts w:eastAsia="맑은 고딕"/>
                <w:color w:val="000000" w:themeColor="text1"/>
                <w:szCs w:val="24"/>
                <w:lang w:eastAsia="en-US"/>
              </w:rPr>
              <w:t></w:t>
            </w:r>
          </w:p>
        </w:tc>
      </w:tr>
      <w:tr w:rsidR="00476FC9" w:rsidRPr="00476FC9" w:rsidTr="00D83DFE">
        <w:tc>
          <w:tcPr>
            <w:tcW w:w="0" w:type="auto"/>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r w:rsidRPr="00476FC9">
              <w:rPr>
                <w:rFonts w:eastAsia="Times New Roman"/>
                <w:color w:val="000000" w:themeColor="text1"/>
                <w:szCs w:val="24"/>
                <w:lang w:eastAsia="en-US"/>
              </w:rPr>
              <w:t xml:space="preserve">The ad presented the uses and health risks of </w:t>
            </w:r>
            <w:r w:rsidR="00EB1FEC" w:rsidRPr="00476FC9">
              <w:rPr>
                <w:rFonts w:eastAsia="Times New Roman"/>
                <w:color w:val="000000" w:themeColor="text1"/>
                <w:szCs w:val="24"/>
                <w:lang w:eastAsia="en-US"/>
              </w:rPr>
              <w:t>Luminexell</w:t>
            </w:r>
            <w:r w:rsidRPr="00476FC9">
              <w:rPr>
                <w:rFonts w:eastAsia="Times New Roman"/>
                <w:color w:val="000000" w:themeColor="text1"/>
                <w:szCs w:val="24"/>
                <w:lang w:eastAsia="en-US"/>
              </w:rPr>
              <w:t xml:space="preserve"> equally in terms of prominence</w:t>
            </w:r>
          </w:p>
        </w:tc>
        <w:tc>
          <w:tcPr>
            <w:tcW w:w="0" w:type="auto"/>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b/>
                <w:color w:val="000000" w:themeColor="text1"/>
                <w:szCs w:val="24"/>
                <w:lang w:eastAsia="en-US"/>
              </w:rPr>
            </w:pPr>
            <w:r w:rsidRPr="00476FC9">
              <w:rPr>
                <w:rFonts w:eastAsia="맑은 고딕"/>
                <w:color w:val="000000" w:themeColor="text1"/>
                <w:szCs w:val="24"/>
                <w:lang w:eastAsia="en-US"/>
              </w:rPr>
              <w:t></w:t>
            </w:r>
          </w:p>
        </w:tc>
      </w:tr>
    </w:tbl>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b/>
          <w:color w:val="000000" w:themeColor="text1"/>
          <w:szCs w:val="24"/>
          <w:lang w:eastAsia="en-US"/>
        </w:rPr>
      </w:pPr>
      <w:r w:rsidRPr="00476FC9">
        <w:rPr>
          <w:rFonts w:eastAsia="Times New Roman"/>
          <w:b/>
          <w:color w:val="000000" w:themeColor="text1"/>
          <w:szCs w:val="24"/>
          <w:lang w:eastAsia="en-US"/>
        </w:rPr>
        <w:t xml:space="preserve"> </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b/>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Cs w:val="24"/>
          <w:lang w:eastAsia="en-US"/>
        </w:rPr>
      </w:pPr>
      <w:r w:rsidRPr="00476FC9">
        <w:rPr>
          <w:rFonts w:eastAsia="맑은 고딕"/>
          <w:b/>
          <w:color w:val="000000" w:themeColor="text1"/>
          <w:szCs w:val="24"/>
          <w:lang w:eastAsia="en-US"/>
        </w:rPr>
        <w:t>Q12)</w:t>
      </w:r>
      <w:r w:rsidRPr="00476FC9">
        <w:rPr>
          <w:color w:val="000000" w:themeColor="text1"/>
          <w:szCs w:val="24"/>
          <w:lang w:eastAsia="en-US"/>
        </w:rPr>
        <w:t xml:space="preserve"> How prominently do you think the ad presented the uses of </w:t>
      </w:r>
      <w:r w:rsidR="00EB1FEC" w:rsidRPr="00476FC9">
        <w:rPr>
          <w:color w:val="000000" w:themeColor="text1"/>
          <w:szCs w:val="24"/>
          <w:lang w:eastAsia="en-US"/>
        </w:rPr>
        <w:t>Luminexell</w:t>
      </w:r>
      <w:r w:rsidRPr="00476FC9">
        <w:rPr>
          <w:color w:val="000000" w:themeColor="text1"/>
          <w:szCs w:val="24"/>
          <w:lang w:eastAsia="en-US"/>
        </w:rPr>
        <w:t xml:space="preserve">? </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Cs w:val="24"/>
          <w:lang w:eastAsia="en-US"/>
        </w:rPr>
      </w:pPr>
    </w:p>
    <w:tbl>
      <w:tblPr>
        <w:tblW w:w="0" w:type="auto"/>
        <w:tblLook w:val="04A0" w:firstRow="1" w:lastRow="0" w:firstColumn="1" w:lastColumn="0" w:noHBand="0" w:noVBand="1"/>
      </w:tblPr>
      <w:tblGrid>
        <w:gridCol w:w="1390"/>
        <w:gridCol w:w="1316"/>
        <w:gridCol w:w="1316"/>
        <w:gridCol w:w="1316"/>
        <w:gridCol w:w="1316"/>
        <w:gridCol w:w="1316"/>
        <w:gridCol w:w="1390"/>
      </w:tblGrid>
      <w:tr w:rsidR="00476FC9" w:rsidRPr="00476FC9" w:rsidTr="00650B0F">
        <w:tc>
          <w:tcPr>
            <w:tcW w:w="1368"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color w:val="000000" w:themeColor="text1"/>
                <w:szCs w:val="24"/>
                <w:lang w:eastAsia="en-US"/>
              </w:rPr>
              <w:t>not at all prominently</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1</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1325"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2</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1325"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3</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1325"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4</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1325"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5</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1325"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6</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1367"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Cs w:val="24"/>
                <w:lang w:eastAsia="en-US"/>
              </w:rPr>
            </w:pPr>
            <w:r w:rsidRPr="00476FC9">
              <w:rPr>
                <w:color w:val="000000" w:themeColor="text1"/>
                <w:szCs w:val="24"/>
                <w:lang w:eastAsia="en-US"/>
              </w:rPr>
              <w:t>extremely prominently</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7</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r>
    </w:tbl>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Cs w:val="24"/>
          <w:lang w:eastAsia="en-US"/>
        </w:rPr>
      </w:pPr>
      <w:r w:rsidRPr="00476FC9">
        <w:rPr>
          <w:color w:val="000000" w:themeColor="text1"/>
          <w:szCs w:val="24"/>
          <w:lang w:eastAsia="en-US"/>
        </w:rPr>
        <w:t xml:space="preserve"> </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Cs w:val="24"/>
          <w:lang w:eastAsia="en-US"/>
        </w:rPr>
      </w:pPr>
      <w:r w:rsidRPr="00476FC9">
        <w:rPr>
          <w:rFonts w:eastAsia="맑은 고딕"/>
          <w:b/>
          <w:color w:val="000000" w:themeColor="text1"/>
          <w:szCs w:val="24"/>
          <w:lang w:eastAsia="en-US"/>
        </w:rPr>
        <w:t>Q13)</w:t>
      </w:r>
      <w:r w:rsidRPr="00476FC9">
        <w:rPr>
          <w:color w:val="000000" w:themeColor="text1"/>
          <w:szCs w:val="24"/>
          <w:lang w:eastAsia="en-US"/>
        </w:rPr>
        <w:t xml:space="preserve"> How prominently do you think the ad presented the health risks of </w:t>
      </w:r>
      <w:r w:rsidR="00EB1FEC" w:rsidRPr="00476FC9">
        <w:rPr>
          <w:color w:val="000000" w:themeColor="text1"/>
          <w:szCs w:val="24"/>
          <w:lang w:eastAsia="en-US"/>
        </w:rPr>
        <w:t>Luminexell</w:t>
      </w:r>
      <w:r w:rsidRPr="00476FC9">
        <w:rPr>
          <w:color w:val="000000" w:themeColor="text1"/>
          <w:szCs w:val="24"/>
          <w:lang w:eastAsia="en-US"/>
        </w:rPr>
        <w:t>?</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Cs w:val="24"/>
          <w:lang w:eastAsia="en-US"/>
        </w:rPr>
      </w:pPr>
    </w:p>
    <w:tbl>
      <w:tblPr>
        <w:tblW w:w="0" w:type="auto"/>
        <w:tblLook w:val="04A0" w:firstRow="1" w:lastRow="0" w:firstColumn="1" w:lastColumn="0" w:noHBand="0" w:noVBand="1"/>
      </w:tblPr>
      <w:tblGrid>
        <w:gridCol w:w="1390"/>
        <w:gridCol w:w="1316"/>
        <w:gridCol w:w="1316"/>
        <w:gridCol w:w="1316"/>
        <w:gridCol w:w="1316"/>
        <w:gridCol w:w="1316"/>
        <w:gridCol w:w="1390"/>
      </w:tblGrid>
      <w:tr w:rsidR="00476FC9" w:rsidRPr="00476FC9" w:rsidTr="00650B0F">
        <w:tc>
          <w:tcPr>
            <w:tcW w:w="1368"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color w:val="000000" w:themeColor="text1"/>
                <w:szCs w:val="24"/>
                <w:lang w:eastAsia="en-US"/>
              </w:rPr>
              <w:t>not at all prominently</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1</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1368"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2</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1368"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3</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1368"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4</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1368"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5</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1368"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6</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1368"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color w:val="000000" w:themeColor="text1"/>
                <w:szCs w:val="24"/>
                <w:lang w:eastAsia="en-US"/>
              </w:rPr>
            </w:pPr>
            <w:r w:rsidRPr="00476FC9">
              <w:rPr>
                <w:color w:val="000000" w:themeColor="text1"/>
                <w:szCs w:val="24"/>
                <w:lang w:eastAsia="en-US"/>
              </w:rPr>
              <w:t>extremely prominently</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7</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r>
      <w:tr w:rsidR="00476FC9" w:rsidRPr="00476FC9" w:rsidTr="00650B0F">
        <w:tc>
          <w:tcPr>
            <w:tcW w:w="1368"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p>
        </w:tc>
        <w:tc>
          <w:tcPr>
            <w:tcW w:w="1368"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p>
        </w:tc>
        <w:tc>
          <w:tcPr>
            <w:tcW w:w="1368"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p>
        </w:tc>
        <w:tc>
          <w:tcPr>
            <w:tcW w:w="1368"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p>
        </w:tc>
        <w:tc>
          <w:tcPr>
            <w:tcW w:w="1368"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p>
        </w:tc>
        <w:tc>
          <w:tcPr>
            <w:tcW w:w="1368"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p>
        </w:tc>
        <w:tc>
          <w:tcPr>
            <w:tcW w:w="1368"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p>
        </w:tc>
      </w:tr>
    </w:tbl>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r w:rsidRPr="00476FC9">
        <w:rPr>
          <w:rFonts w:eastAsia="Times New Roman"/>
          <w:b/>
          <w:color w:val="000000" w:themeColor="text1"/>
          <w:szCs w:val="24"/>
          <w:lang w:eastAsia="en-US"/>
        </w:rPr>
        <w:t>Q14)</w:t>
      </w:r>
      <w:r w:rsidRPr="00476FC9">
        <w:rPr>
          <w:rFonts w:eastAsia="Times New Roman"/>
          <w:color w:val="000000" w:themeColor="text1"/>
          <w:szCs w:val="24"/>
          <w:lang w:eastAsia="en-US"/>
        </w:rPr>
        <w:t xml:space="preserve"> In the following, for each statement please check a box to indicate your level of agreement.</w:t>
      </w:r>
    </w:p>
    <w:tbl>
      <w:tblPr>
        <w:tblW w:w="5045" w:type="pct"/>
        <w:jc w:val="center"/>
        <w:tblCellMar>
          <w:left w:w="57" w:type="dxa"/>
          <w:right w:w="57" w:type="dxa"/>
        </w:tblCellMar>
        <w:tblLook w:val="01E0" w:firstRow="1" w:lastRow="1" w:firstColumn="1" w:lastColumn="1" w:noHBand="0" w:noVBand="0"/>
      </w:tblPr>
      <w:tblGrid>
        <w:gridCol w:w="3084"/>
        <w:gridCol w:w="882"/>
        <w:gridCol w:w="909"/>
        <w:gridCol w:w="1128"/>
        <w:gridCol w:w="914"/>
        <w:gridCol w:w="1069"/>
        <w:gridCol w:w="576"/>
        <w:gridCol w:w="882"/>
      </w:tblGrid>
      <w:tr w:rsidR="00476FC9" w:rsidRPr="00476FC9" w:rsidTr="00650B0F">
        <w:trPr>
          <w:trHeight w:val="576"/>
          <w:jc w:val="center"/>
        </w:trPr>
        <w:tc>
          <w:tcPr>
            <w:tcW w:w="1631"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p>
        </w:tc>
        <w:tc>
          <w:tcPr>
            <w:tcW w:w="467" w:type="pct"/>
            <w:tcMar>
              <w:left w:w="28" w:type="dxa"/>
              <w:right w:w="28"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bCs w:val="0"/>
                <w:color w:val="000000" w:themeColor="text1"/>
                <w:szCs w:val="24"/>
                <w:lang w:eastAsia="en-US"/>
              </w:rPr>
              <w:t>strongly disagree</w:t>
            </w:r>
          </w:p>
        </w:tc>
        <w:tc>
          <w:tcPr>
            <w:tcW w:w="481" w:type="pct"/>
            <w:tcMar>
              <w:left w:w="28" w:type="dxa"/>
              <w:right w:w="28"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bCs w:val="0"/>
                <w:color w:val="000000" w:themeColor="text1"/>
                <w:szCs w:val="24"/>
                <w:lang w:eastAsia="en-US"/>
              </w:rPr>
              <w:t>disagree</w:t>
            </w:r>
          </w:p>
        </w:tc>
        <w:tc>
          <w:tcPr>
            <w:tcW w:w="597"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bCs w:val="0"/>
                <w:color w:val="000000" w:themeColor="text1"/>
                <w:szCs w:val="24"/>
                <w:lang w:eastAsia="en-US"/>
              </w:rPr>
              <w:t>somewhat disagree</w:t>
            </w:r>
          </w:p>
        </w:tc>
        <w:tc>
          <w:tcPr>
            <w:tcW w:w="484"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bCs w:val="0"/>
                <w:color w:val="000000" w:themeColor="text1"/>
                <w:szCs w:val="24"/>
                <w:lang w:eastAsia="en-US"/>
              </w:rPr>
              <w:t>neither agree nor disagree</w:t>
            </w:r>
          </w:p>
        </w:tc>
        <w:tc>
          <w:tcPr>
            <w:tcW w:w="566" w:type="pct"/>
            <w:tcMar>
              <w:left w:w="28" w:type="dxa"/>
              <w:right w:w="28"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bCs w:val="0"/>
                <w:color w:val="000000" w:themeColor="text1"/>
                <w:szCs w:val="24"/>
                <w:lang w:eastAsia="en-US"/>
              </w:rPr>
              <w:t>somewhat agree</w:t>
            </w:r>
          </w:p>
        </w:tc>
        <w:tc>
          <w:tcPr>
            <w:tcW w:w="305" w:type="pct"/>
            <w:tcMar>
              <w:left w:w="28" w:type="dxa"/>
              <w:right w:w="28"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bCs w:val="0"/>
                <w:color w:val="000000" w:themeColor="text1"/>
                <w:szCs w:val="24"/>
                <w:lang w:eastAsia="en-US"/>
              </w:rPr>
              <w:t>agree</w:t>
            </w:r>
          </w:p>
        </w:tc>
        <w:tc>
          <w:tcPr>
            <w:tcW w:w="467" w:type="pct"/>
            <w:tcMar>
              <w:left w:w="28" w:type="dxa"/>
              <w:right w:w="28"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bCs w:val="0"/>
                <w:color w:val="000000" w:themeColor="text1"/>
                <w:szCs w:val="24"/>
                <w:lang w:eastAsia="en-US"/>
              </w:rPr>
              <w:t>strongly agree</w:t>
            </w:r>
          </w:p>
        </w:tc>
      </w:tr>
      <w:tr w:rsidR="00476FC9" w:rsidRPr="00476FC9" w:rsidTr="00650B0F">
        <w:trPr>
          <w:trHeight w:hRule="exact" w:val="1089"/>
          <w:jc w:val="center"/>
        </w:trPr>
        <w:tc>
          <w:tcPr>
            <w:tcW w:w="1631" w:type="pct"/>
            <w:tcMar>
              <w:left w:w="113" w:type="dxa"/>
              <w:right w:w="113"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Cs w:val="24"/>
                <w:lang w:eastAsia="en-US"/>
              </w:rPr>
            </w:pPr>
            <w:r w:rsidRPr="00476FC9">
              <w:rPr>
                <w:color w:val="000000" w:themeColor="text1"/>
                <w:szCs w:val="24"/>
                <w:lang w:eastAsia="en-US"/>
              </w:rPr>
              <w:t xml:space="preserve">It was easy to find the information about the health risks of </w:t>
            </w:r>
            <w:r w:rsidR="00EB1FEC" w:rsidRPr="00476FC9">
              <w:rPr>
                <w:color w:val="000000" w:themeColor="text1"/>
                <w:szCs w:val="24"/>
                <w:lang w:eastAsia="en-US"/>
              </w:rPr>
              <w:t>Luminexell</w:t>
            </w:r>
          </w:p>
        </w:tc>
        <w:tc>
          <w:tcPr>
            <w:tcW w:w="467"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1</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481"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2</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597"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3</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484"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4</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566"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5</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305"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6</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467"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7</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r>
      <w:tr w:rsidR="00476FC9" w:rsidRPr="00476FC9" w:rsidTr="00650B0F">
        <w:trPr>
          <w:trHeight w:hRule="exact" w:val="1089"/>
          <w:jc w:val="center"/>
        </w:trPr>
        <w:tc>
          <w:tcPr>
            <w:tcW w:w="1631" w:type="pct"/>
            <w:tcMar>
              <w:left w:w="113" w:type="dxa"/>
              <w:right w:w="113"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r w:rsidRPr="00476FC9">
              <w:rPr>
                <w:color w:val="000000" w:themeColor="text1"/>
                <w:szCs w:val="24"/>
                <w:lang w:eastAsia="en-US"/>
              </w:rPr>
              <w:t xml:space="preserve">It was easy to focus on the information about the health risks of </w:t>
            </w:r>
            <w:r w:rsidR="00EB1FEC" w:rsidRPr="00476FC9">
              <w:rPr>
                <w:color w:val="000000" w:themeColor="text1"/>
                <w:szCs w:val="24"/>
                <w:lang w:eastAsia="en-US"/>
              </w:rPr>
              <w:t>Luminexell</w:t>
            </w:r>
          </w:p>
        </w:tc>
        <w:tc>
          <w:tcPr>
            <w:tcW w:w="467"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1</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481"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2</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597"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3</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484"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4</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566"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5</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305"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6</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467"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7</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r>
      <w:tr w:rsidR="00650B0F" w:rsidRPr="00476FC9" w:rsidTr="00650B0F">
        <w:trPr>
          <w:trHeight w:hRule="exact" w:val="1251"/>
          <w:jc w:val="center"/>
        </w:trPr>
        <w:tc>
          <w:tcPr>
            <w:tcW w:w="1631" w:type="pct"/>
            <w:tcMar>
              <w:left w:w="113" w:type="dxa"/>
              <w:right w:w="113"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r w:rsidRPr="00476FC9">
              <w:rPr>
                <w:color w:val="000000" w:themeColor="text1"/>
                <w:szCs w:val="24"/>
                <w:lang w:eastAsia="en-US"/>
              </w:rPr>
              <w:lastRenderedPageBreak/>
              <w:t xml:space="preserve">I liked the way the ad presented the information about the health risks of </w:t>
            </w:r>
            <w:r w:rsidR="00EB1FEC" w:rsidRPr="00476FC9">
              <w:rPr>
                <w:color w:val="000000" w:themeColor="text1"/>
                <w:szCs w:val="24"/>
                <w:lang w:eastAsia="en-US"/>
              </w:rPr>
              <w:t>Luminexell</w:t>
            </w:r>
          </w:p>
        </w:tc>
        <w:tc>
          <w:tcPr>
            <w:tcW w:w="467"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1</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481"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2</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597"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3</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484"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4</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566"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5</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305"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6</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467"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7</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r>
    </w:tbl>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
          <w:color w:val="000000" w:themeColor="text1"/>
          <w:szCs w:val="24"/>
          <w:lang w:eastAsia="en-US"/>
        </w:rPr>
      </w:pPr>
      <w:r w:rsidRPr="00476FC9">
        <w:rPr>
          <w:rFonts w:eastAsia="맑은 고딕"/>
          <w:b/>
          <w:color w:val="000000" w:themeColor="text1"/>
          <w:szCs w:val="24"/>
          <w:lang w:eastAsia="en-US"/>
        </w:rPr>
        <w:t xml:space="preserve">Q15) </w:t>
      </w:r>
      <w:r w:rsidRPr="00476FC9">
        <w:rPr>
          <w:rFonts w:eastAsia="맑은 고딕"/>
          <w:color w:val="000000" w:themeColor="text1"/>
          <w:szCs w:val="24"/>
          <w:lang w:eastAsia="en-US"/>
        </w:rPr>
        <w:t xml:space="preserve">How much attention did you pay to the information about the health risks of </w:t>
      </w:r>
      <w:r w:rsidR="00EB1FEC" w:rsidRPr="00476FC9">
        <w:rPr>
          <w:rFonts w:eastAsia="맑은 고딕"/>
          <w:color w:val="000000" w:themeColor="text1"/>
          <w:szCs w:val="24"/>
          <w:lang w:eastAsia="en-US"/>
        </w:rPr>
        <w:t>Luminexell</w:t>
      </w:r>
      <w:r w:rsidRPr="00476FC9">
        <w:rPr>
          <w:rFonts w:eastAsia="맑은 고딕"/>
          <w:color w:val="000000" w:themeColor="text1"/>
          <w:szCs w:val="24"/>
          <w:lang w:eastAsia="en-US"/>
        </w:rPr>
        <w:t>?</w:t>
      </w:r>
    </w:p>
    <w:tbl>
      <w:tblPr>
        <w:tblW w:w="5000" w:type="pct"/>
        <w:jc w:val="center"/>
        <w:tblLayout w:type="fixed"/>
        <w:tblCellMar>
          <w:left w:w="57" w:type="dxa"/>
          <w:right w:w="57" w:type="dxa"/>
        </w:tblCellMar>
        <w:tblLook w:val="01E0" w:firstRow="1" w:lastRow="1" w:firstColumn="1" w:lastColumn="1" w:noHBand="0" w:noVBand="0"/>
      </w:tblPr>
      <w:tblGrid>
        <w:gridCol w:w="1338"/>
        <w:gridCol w:w="1337"/>
        <w:gridCol w:w="1337"/>
        <w:gridCol w:w="1337"/>
        <w:gridCol w:w="1337"/>
        <w:gridCol w:w="1337"/>
        <w:gridCol w:w="1337"/>
      </w:tblGrid>
      <w:tr w:rsidR="00476FC9" w:rsidRPr="00476FC9" w:rsidTr="00650B0F">
        <w:trPr>
          <w:trHeight w:hRule="exact" w:val="576"/>
          <w:jc w:val="center"/>
        </w:trPr>
        <w:tc>
          <w:tcPr>
            <w:tcW w:w="520" w:type="pct"/>
            <w:tcMar>
              <w:left w:w="28" w:type="dxa"/>
              <w:right w:w="28"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no attention</w:t>
            </w:r>
          </w:p>
        </w:tc>
        <w:tc>
          <w:tcPr>
            <w:tcW w:w="520" w:type="pct"/>
            <w:tcMar>
              <w:left w:w="28" w:type="dxa"/>
              <w:right w:w="28"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p>
        </w:tc>
        <w:tc>
          <w:tcPr>
            <w:tcW w:w="520" w:type="pct"/>
            <w:tcMar>
              <w:left w:w="28" w:type="dxa"/>
              <w:right w:w="28"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moderate attention</w:t>
            </w:r>
          </w:p>
        </w:tc>
        <w:tc>
          <w:tcPr>
            <w:tcW w:w="520"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p>
        </w:tc>
        <w:tc>
          <w:tcPr>
            <w:tcW w:w="520" w:type="pct"/>
            <w:tcMar>
              <w:left w:w="28" w:type="dxa"/>
              <w:right w:w="28"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p>
        </w:tc>
        <w:tc>
          <w:tcPr>
            <w:tcW w:w="520" w:type="pct"/>
            <w:tcMar>
              <w:left w:w="28" w:type="dxa"/>
              <w:right w:w="28"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great attention</w:t>
            </w:r>
          </w:p>
        </w:tc>
      </w:tr>
      <w:tr w:rsidR="00650B0F" w:rsidRPr="00476FC9" w:rsidTr="00650B0F">
        <w:trPr>
          <w:trHeight w:hRule="exact" w:val="720"/>
          <w:jc w:val="center"/>
        </w:trPr>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520"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r>
    </w:tbl>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color w:val="000000" w:themeColor="text1"/>
          <w:szCs w:val="24"/>
          <w:lang w:eastAsia="en-US"/>
        </w:rPr>
      </w:pPr>
      <w:r w:rsidRPr="00476FC9">
        <w:rPr>
          <w:rFonts w:eastAsia="맑은 고딕"/>
          <w:b/>
          <w:color w:val="000000" w:themeColor="text1"/>
          <w:szCs w:val="24"/>
          <w:lang w:eastAsia="en-US"/>
        </w:rPr>
        <w:t xml:space="preserve">Q16) </w:t>
      </w:r>
      <w:r w:rsidRPr="00476FC9">
        <w:rPr>
          <w:rFonts w:eastAsia="맑은 고딕"/>
          <w:color w:val="000000" w:themeColor="text1"/>
          <w:szCs w:val="24"/>
          <w:lang w:eastAsia="en-US"/>
        </w:rPr>
        <w:t xml:space="preserve">The ad presented the health risks of </w:t>
      </w:r>
      <w:r w:rsidR="00EB1FEC" w:rsidRPr="00476FC9">
        <w:rPr>
          <w:rFonts w:eastAsia="맑은 고딕"/>
          <w:color w:val="000000" w:themeColor="text1"/>
          <w:szCs w:val="24"/>
          <w:lang w:eastAsia="en-US"/>
        </w:rPr>
        <w:t>Luminexell</w:t>
      </w:r>
      <w:r w:rsidRPr="00476FC9">
        <w:rPr>
          <w:rFonts w:eastAsia="맑은 고딕"/>
          <w:color w:val="000000" w:themeColor="text1"/>
          <w:szCs w:val="24"/>
          <w:lang w:eastAsia="en-US"/>
        </w:rPr>
        <w:t xml:space="preserve">. In the box below, please write all the health risks of </w:t>
      </w:r>
      <w:r w:rsidR="00EB1FEC" w:rsidRPr="00476FC9">
        <w:rPr>
          <w:rFonts w:eastAsia="맑은 고딕"/>
          <w:color w:val="000000" w:themeColor="text1"/>
          <w:szCs w:val="24"/>
          <w:lang w:eastAsia="en-US"/>
        </w:rPr>
        <w:t>Luminexell</w:t>
      </w:r>
      <w:r w:rsidRPr="00476FC9">
        <w:rPr>
          <w:rFonts w:eastAsia="맑은 고딕"/>
          <w:color w:val="000000" w:themeColor="text1"/>
          <w:szCs w:val="24"/>
          <w:lang w:eastAsia="en-US"/>
        </w:rPr>
        <w:t xml:space="preserve"> you can recall from the ad.</w:t>
      </w:r>
    </w:p>
    <w:p w:rsidR="00650B0F" w:rsidRPr="00476FC9" w:rsidRDefault="00FC3987" w:rsidP="007D2ACE">
      <w:pPr>
        <w:keepNext w:val="0"/>
        <w:widowControl w:val="0"/>
        <w:kinsoku w:val="0"/>
        <w:overflowPunct w:val="0"/>
        <w:autoSpaceDE w:val="0"/>
        <w:autoSpaceDN w:val="0"/>
        <w:adjustRightInd w:val="0"/>
        <w:snapToGrid w:val="0"/>
        <w:spacing w:before="0" w:after="0" w:line="240" w:lineRule="auto"/>
        <w:outlineLvl w:val="9"/>
        <w:rPr>
          <w:rFonts w:eastAsia="맑은 고딕"/>
          <w:b/>
          <w:color w:val="000000" w:themeColor="text1"/>
          <w:szCs w:val="24"/>
          <w:lang w:eastAsia="en-US"/>
        </w:rPr>
      </w:pPr>
      <w:r w:rsidRPr="00476FC9">
        <w:rPr>
          <w:rFonts w:eastAsia="맑은 고딕"/>
          <w:b/>
          <w:noProof/>
          <w:color w:val="000000" w:themeColor="text1"/>
          <w:szCs w:val="24"/>
        </w:rPr>
        <mc:AlternateContent>
          <mc:Choice Requires="wps">
            <w:drawing>
              <wp:anchor distT="0" distB="0" distL="114300" distR="114300" simplePos="0" relativeHeight="251641344" behindDoc="0" locked="0" layoutInCell="1" allowOverlap="1" wp14:anchorId="1213C755" wp14:editId="1BD2BE34">
                <wp:simplePos x="0" y="0"/>
                <wp:positionH relativeFrom="column">
                  <wp:posOffset>63500</wp:posOffset>
                </wp:positionH>
                <wp:positionV relativeFrom="paragraph">
                  <wp:posOffset>77470</wp:posOffset>
                </wp:positionV>
                <wp:extent cx="5867400" cy="533400"/>
                <wp:effectExtent l="0" t="0" r="19050"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5334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99C9718" id="Rectangle 1" o:spid="_x0000_s1026" style="position:absolute;margin-left:5pt;margin-top:6.1pt;width:462pt;height:42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" filled="f" strokecolor="windowText" strokeweight="1pt">
                <v:path arrowok="t"/>
              </v:rect>
            </w:pict>
          </mc:Fallback>
        </mc:AlternateConten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color w:val="000000" w:themeColor="text1"/>
          <w:szCs w:val="24"/>
          <w:lang w:eastAsia="en-US"/>
        </w:rPr>
      </w:pPr>
      <w:r w:rsidRPr="00476FC9">
        <w:rPr>
          <w:rFonts w:eastAsia="맑은 고딕"/>
          <w:b/>
          <w:color w:val="000000" w:themeColor="text1"/>
          <w:szCs w:val="24"/>
          <w:lang w:eastAsia="en-US"/>
        </w:rPr>
        <w:t xml:space="preserve">Q17) </w:t>
      </w:r>
      <w:r w:rsidRPr="00476FC9">
        <w:rPr>
          <w:rFonts w:eastAsia="맑은 고딕"/>
          <w:color w:val="000000" w:themeColor="text1"/>
          <w:szCs w:val="24"/>
          <w:lang w:eastAsia="en-US"/>
        </w:rPr>
        <w:t xml:space="preserve">How easy do you feel it was to recall the health risks of </w:t>
      </w:r>
      <w:r w:rsidR="00EB1FEC" w:rsidRPr="00476FC9">
        <w:rPr>
          <w:rFonts w:eastAsia="맑은 고딕"/>
          <w:color w:val="000000" w:themeColor="text1"/>
          <w:szCs w:val="24"/>
          <w:lang w:eastAsia="en-US"/>
        </w:rPr>
        <w:t>Luminexell</w:t>
      </w:r>
      <w:r w:rsidRPr="00476FC9">
        <w:rPr>
          <w:rFonts w:eastAsia="맑은 고딕"/>
          <w:color w:val="000000" w:themeColor="text1"/>
          <w:szCs w:val="24"/>
          <w:lang w:eastAsia="en-US"/>
        </w:rPr>
        <w:t xml:space="preserve"> presented in the ad?</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color w:val="000000" w:themeColor="text1"/>
          <w:szCs w:val="24"/>
          <w:lang w:eastAsia="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90"/>
        <w:gridCol w:w="1029"/>
        <w:gridCol w:w="1206"/>
        <w:gridCol w:w="1945"/>
        <w:gridCol w:w="1206"/>
        <w:gridCol w:w="747"/>
        <w:gridCol w:w="1337"/>
      </w:tblGrid>
      <w:tr w:rsidR="00476FC9" w:rsidRPr="00476FC9" w:rsidTr="00650B0F">
        <w:trPr>
          <w:trHeight w:val="290"/>
        </w:trPr>
        <w:tc>
          <w:tcPr>
            <w:tcW w:w="101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extremely</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t>easy</w:t>
            </w:r>
          </w:p>
        </w:tc>
        <w:tc>
          <w:tcPr>
            <w:tcW w:w="55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p>
        </w:tc>
        <w:tc>
          <w:tcPr>
            <w:tcW w:w="64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p>
        </w:tc>
        <w:tc>
          <w:tcPr>
            <w:tcW w:w="103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p>
        </w:tc>
        <w:tc>
          <w:tcPr>
            <w:tcW w:w="64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p>
        </w:tc>
        <w:tc>
          <w:tcPr>
            <w:tcW w:w="39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p>
        </w:tc>
        <w:tc>
          <w:tcPr>
            <w:tcW w:w="71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바탕"/>
                <w:bCs w:val="0"/>
                <w:color w:val="000000" w:themeColor="text1"/>
                <w:szCs w:val="24"/>
                <w:lang w:eastAsia="en-US"/>
              </w:rPr>
              <w:t>extremely difficult</w:t>
            </w:r>
          </w:p>
        </w:tc>
      </w:tr>
      <w:tr w:rsidR="00650B0F" w:rsidRPr="00476FC9" w:rsidTr="00650B0F">
        <w:trPr>
          <w:trHeight w:val="290"/>
        </w:trPr>
        <w:tc>
          <w:tcPr>
            <w:tcW w:w="101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55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64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103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64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39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71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r>
    </w:tbl>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
          <w:color w:val="000000" w:themeColor="text1"/>
          <w:szCs w:val="24"/>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
          <w:color w:val="000000" w:themeColor="text1"/>
          <w:szCs w:val="24"/>
          <w:lang w:eastAsia="en-US"/>
        </w:rPr>
      </w:pPr>
      <w:r w:rsidRPr="00476FC9">
        <w:rPr>
          <w:rFonts w:eastAsia="맑은 고딕"/>
          <w:b/>
          <w:color w:val="000000" w:themeColor="text1"/>
          <w:szCs w:val="24"/>
          <w:lang w:eastAsia="en-US"/>
        </w:rPr>
        <w:t xml:space="preserve">Q18) </w:t>
      </w:r>
      <w:r w:rsidRPr="00476FC9">
        <w:rPr>
          <w:rFonts w:eastAsia="맑은 고딕"/>
          <w:color w:val="000000" w:themeColor="text1"/>
          <w:szCs w:val="24"/>
          <w:lang w:eastAsia="en-US"/>
        </w:rPr>
        <w:t xml:space="preserve">Which of the following were presented in the ad as the health risks of </w:t>
      </w:r>
      <w:r w:rsidR="00EB1FEC" w:rsidRPr="00476FC9">
        <w:rPr>
          <w:rFonts w:eastAsia="맑은 고딕"/>
          <w:color w:val="000000" w:themeColor="text1"/>
          <w:szCs w:val="24"/>
          <w:lang w:eastAsia="en-US"/>
        </w:rPr>
        <w:t>Luminexell</w:t>
      </w:r>
      <w:r w:rsidRPr="00476FC9">
        <w:rPr>
          <w:rFonts w:eastAsia="맑은 고딕"/>
          <w:color w:val="000000" w:themeColor="text1"/>
          <w:szCs w:val="24"/>
          <w:lang w:eastAsia="en-US"/>
        </w:rPr>
        <w:t>? Please check all that apply.</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
          <w:color w:val="000000" w:themeColor="text1"/>
          <w:szCs w:val="24"/>
          <w:lang w:eastAsia="en-US"/>
        </w:rPr>
      </w:pPr>
    </w:p>
    <w:p w:rsidR="00650B0F" w:rsidRPr="00476FC9" w:rsidRDefault="00650B0F" w:rsidP="007D2ACE">
      <w:pPr>
        <w:keepNext w:val="0"/>
        <w:widowControl w:val="0"/>
        <w:numPr>
          <w:ilvl w:val="0"/>
          <w:numId w:val="27"/>
        </w:numPr>
        <w:kinsoku w:val="0"/>
        <w:overflowPunct w:val="0"/>
        <w:autoSpaceDE w:val="0"/>
        <w:autoSpaceDN w:val="0"/>
        <w:adjustRightInd w:val="0"/>
        <w:snapToGrid w:val="0"/>
        <w:spacing w:before="0" w:after="0" w:line="240" w:lineRule="auto"/>
        <w:outlineLvl w:val="9"/>
        <w:rPr>
          <w:rFonts w:eastAsia="맑은 고딕"/>
          <w:color w:val="000000" w:themeColor="text1"/>
          <w:szCs w:val="24"/>
          <w:lang w:eastAsia="en-US"/>
        </w:rPr>
      </w:pPr>
      <w:r w:rsidRPr="00476FC9">
        <w:rPr>
          <w:color w:val="000000" w:themeColor="text1"/>
          <w:szCs w:val="24"/>
          <w:lang w:eastAsia="en-US"/>
        </w:rPr>
        <w:t xml:space="preserve">Seizures </w:t>
      </w:r>
      <w:r w:rsidRPr="00476FC9">
        <w:rPr>
          <w:rFonts w:eastAsia="맑은 고딕"/>
          <w:color w:val="000000" w:themeColor="text1"/>
          <w:szCs w:val="24"/>
          <w:lang w:eastAsia="en-US"/>
        </w:rPr>
        <w:tab/>
      </w:r>
    </w:p>
    <w:p w:rsidR="00650B0F" w:rsidRPr="00476FC9" w:rsidRDefault="00650B0F" w:rsidP="007D2ACE">
      <w:pPr>
        <w:keepNext w:val="0"/>
        <w:widowControl w:val="0"/>
        <w:numPr>
          <w:ilvl w:val="0"/>
          <w:numId w:val="27"/>
        </w:numPr>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r w:rsidRPr="00476FC9">
        <w:rPr>
          <w:rFonts w:eastAsia="Times New Roman"/>
          <w:color w:val="000000" w:themeColor="text1"/>
          <w:szCs w:val="24"/>
          <w:lang w:eastAsia="en-US"/>
        </w:rPr>
        <w:t>Decrease in white blood cells</w:t>
      </w:r>
    </w:p>
    <w:p w:rsidR="00650B0F" w:rsidRPr="00476FC9" w:rsidRDefault="00650B0F" w:rsidP="007D2ACE">
      <w:pPr>
        <w:keepNext w:val="0"/>
        <w:widowControl w:val="0"/>
        <w:numPr>
          <w:ilvl w:val="0"/>
          <w:numId w:val="27"/>
        </w:numPr>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r w:rsidRPr="00476FC9">
        <w:rPr>
          <w:rFonts w:eastAsia="Times New Roman"/>
          <w:color w:val="000000" w:themeColor="text1"/>
          <w:szCs w:val="24"/>
          <w:lang w:eastAsia="en-US"/>
        </w:rPr>
        <w:t>High fever</w:t>
      </w:r>
    </w:p>
    <w:p w:rsidR="00650B0F" w:rsidRPr="00476FC9" w:rsidRDefault="00650B0F" w:rsidP="007D2ACE">
      <w:pPr>
        <w:keepNext w:val="0"/>
        <w:widowControl w:val="0"/>
        <w:numPr>
          <w:ilvl w:val="0"/>
          <w:numId w:val="27"/>
        </w:numPr>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r w:rsidRPr="00476FC9">
        <w:rPr>
          <w:rFonts w:eastAsia="Times New Roman"/>
          <w:color w:val="000000" w:themeColor="text1"/>
          <w:szCs w:val="24"/>
          <w:lang w:eastAsia="en-US"/>
        </w:rPr>
        <w:t>Lightheadedness upon standing</w:t>
      </w:r>
    </w:p>
    <w:p w:rsidR="00650B0F" w:rsidRPr="00476FC9" w:rsidRDefault="00650B0F" w:rsidP="007D2ACE">
      <w:pPr>
        <w:keepNext w:val="0"/>
        <w:widowControl w:val="0"/>
        <w:numPr>
          <w:ilvl w:val="0"/>
          <w:numId w:val="27"/>
        </w:numPr>
        <w:kinsoku w:val="0"/>
        <w:overflowPunct w:val="0"/>
        <w:autoSpaceDE w:val="0"/>
        <w:autoSpaceDN w:val="0"/>
        <w:adjustRightInd w:val="0"/>
        <w:snapToGrid w:val="0"/>
        <w:spacing w:before="0" w:after="0" w:line="240" w:lineRule="auto"/>
        <w:outlineLvl w:val="9"/>
        <w:rPr>
          <w:rFonts w:eastAsia="맑은 고딕"/>
          <w:color w:val="000000" w:themeColor="text1"/>
          <w:szCs w:val="24"/>
          <w:lang w:eastAsia="en-US"/>
        </w:rPr>
      </w:pPr>
      <w:r w:rsidRPr="00476FC9">
        <w:rPr>
          <w:rFonts w:eastAsia="맑은 고딕"/>
          <w:color w:val="000000" w:themeColor="text1"/>
          <w:szCs w:val="24"/>
          <w:lang w:eastAsia="en-US"/>
        </w:rPr>
        <w:t>Trouble swallowing</w:t>
      </w:r>
    </w:p>
    <w:p w:rsidR="00650B0F" w:rsidRPr="00476FC9" w:rsidRDefault="00650B0F" w:rsidP="007D2ACE">
      <w:pPr>
        <w:keepNext w:val="0"/>
        <w:widowControl w:val="0"/>
        <w:numPr>
          <w:ilvl w:val="0"/>
          <w:numId w:val="27"/>
        </w:numPr>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r w:rsidRPr="00476FC9">
        <w:rPr>
          <w:rFonts w:eastAsia="Times New Roman"/>
          <w:color w:val="000000" w:themeColor="text1"/>
          <w:szCs w:val="24"/>
          <w:lang w:eastAsia="en-US"/>
        </w:rPr>
        <w:t>Rigid muscles</w:t>
      </w:r>
    </w:p>
    <w:p w:rsidR="00650B0F" w:rsidRPr="00476FC9" w:rsidRDefault="00650B0F" w:rsidP="007D2ACE">
      <w:pPr>
        <w:keepNext w:val="0"/>
        <w:widowControl w:val="0"/>
        <w:numPr>
          <w:ilvl w:val="0"/>
          <w:numId w:val="27"/>
        </w:numPr>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r w:rsidRPr="00476FC9">
        <w:rPr>
          <w:rFonts w:eastAsia="Arial"/>
          <w:bCs w:val="0"/>
          <w:color w:val="000000" w:themeColor="text1"/>
          <w:kern w:val="24"/>
          <w:szCs w:val="24"/>
          <w:lang w:eastAsia="en-US"/>
        </w:rPr>
        <w:t>Impairment in motor skills</w:t>
      </w:r>
    </w:p>
    <w:p w:rsidR="00650B0F" w:rsidRPr="00476FC9" w:rsidRDefault="00650B0F" w:rsidP="007D2ACE">
      <w:pPr>
        <w:keepNext w:val="0"/>
        <w:widowControl w:val="0"/>
        <w:numPr>
          <w:ilvl w:val="0"/>
          <w:numId w:val="27"/>
        </w:numPr>
        <w:kinsoku w:val="0"/>
        <w:overflowPunct w:val="0"/>
        <w:autoSpaceDE w:val="0"/>
        <w:autoSpaceDN w:val="0"/>
        <w:adjustRightInd w:val="0"/>
        <w:snapToGrid w:val="0"/>
        <w:spacing w:before="0" w:after="0" w:line="240" w:lineRule="auto"/>
        <w:outlineLvl w:val="9"/>
        <w:rPr>
          <w:rFonts w:eastAsia="맑은 고딕"/>
          <w:color w:val="000000" w:themeColor="text1"/>
          <w:szCs w:val="24"/>
          <w:lang w:eastAsia="en-US"/>
        </w:rPr>
      </w:pPr>
      <w:r w:rsidRPr="00476FC9">
        <w:rPr>
          <w:rFonts w:eastAsia="맑은 고딕"/>
          <w:color w:val="000000" w:themeColor="text1"/>
          <w:szCs w:val="24"/>
          <w:lang w:eastAsia="en-US"/>
        </w:rPr>
        <w:t xml:space="preserve">Insomnia </w:t>
      </w:r>
    </w:p>
    <w:p w:rsidR="00650B0F" w:rsidRPr="00476FC9" w:rsidRDefault="00650B0F" w:rsidP="007D2ACE">
      <w:pPr>
        <w:keepNext w:val="0"/>
        <w:widowControl w:val="0"/>
        <w:numPr>
          <w:ilvl w:val="0"/>
          <w:numId w:val="27"/>
        </w:numPr>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r w:rsidRPr="00476FC9">
        <w:rPr>
          <w:rFonts w:eastAsia="Times New Roman"/>
          <w:color w:val="000000" w:themeColor="text1"/>
          <w:szCs w:val="24"/>
          <w:lang w:eastAsia="en-US"/>
        </w:rPr>
        <w:t>Increased heart rate</w:t>
      </w:r>
    </w:p>
    <w:p w:rsidR="00650B0F" w:rsidRPr="00476FC9" w:rsidRDefault="00650B0F" w:rsidP="007D2ACE">
      <w:pPr>
        <w:keepNext w:val="0"/>
        <w:widowControl w:val="0"/>
        <w:numPr>
          <w:ilvl w:val="0"/>
          <w:numId w:val="27"/>
        </w:numPr>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r w:rsidRPr="00476FC9">
        <w:rPr>
          <w:rFonts w:eastAsia="Times New Roman"/>
          <w:color w:val="000000" w:themeColor="text1"/>
          <w:szCs w:val="24"/>
          <w:lang w:eastAsia="en-US"/>
        </w:rPr>
        <w:t>Abnormal facial movements</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b/>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color w:val="000000" w:themeColor="text1"/>
          <w:szCs w:val="24"/>
          <w:lang w:eastAsia="en-US"/>
        </w:rPr>
      </w:pPr>
      <w:r w:rsidRPr="00476FC9">
        <w:rPr>
          <w:rFonts w:eastAsia="맑은 고딕"/>
          <w:b/>
          <w:color w:val="000000" w:themeColor="text1"/>
          <w:szCs w:val="24"/>
          <w:lang w:eastAsia="en-US"/>
        </w:rPr>
        <w:t xml:space="preserve">Q19) </w:t>
      </w:r>
      <w:r w:rsidRPr="00476FC9">
        <w:rPr>
          <w:rFonts w:eastAsia="맑은 고딕"/>
          <w:color w:val="000000" w:themeColor="text1"/>
          <w:szCs w:val="24"/>
          <w:lang w:eastAsia="en-US"/>
        </w:rPr>
        <w:t xml:space="preserve">Given the above </w:t>
      </w:r>
      <w:r w:rsidRPr="00476FC9">
        <w:rPr>
          <w:rFonts w:eastAsia="맑은 고딕"/>
          <w:color w:val="000000" w:themeColor="text1"/>
          <w:szCs w:val="24"/>
        </w:rPr>
        <w:t xml:space="preserve">check </w:t>
      </w:r>
      <w:r w:rsidRPr="00476FC9">
        <w:rPr>
          <w:rFonts w:eastAsia="맑은 고딕"/>
          <w:color w:val="000000" w:themeColor="text1"/>
          <w:szCs w:val="24"/>
          <w:lang w:eastAsia="en-US"/>
        </w:rPr>
        <w:t xml:space="preserve">list, how easy do you feel it was to </w:t>
      </w:r>
      <w:r w:rsidRPr="00476FC9">
        <w:rPr>
          <w:rFonts w:eastAsia="맑은 고딕"/>
          <w:color w:val="000000" w:themeColor="text1"/>
          <w:szCs w:val="24"/>
        </w:rPr>
        <w:t>recognize</w:t>
      </w:r>
      <w:r w:rsidRPr="00476FC9">
        <w:rPr>
          <w:rFonts w:eastAsia="맑은 고딕"/>
          <w:color w:val="000000" w:themeColor="text1"/>
          <w:szCs w:val="24"/>
          <w:lang w:eastAsia="en-US"/>
        </w:rPr>
        <w:t xml:space="preserve"> the health risks of </w:t>
      </w:r>
      <w:r w:rsidR="00EB1FEC" w:rsidRPr="00476FC9">
        <w:rPr>
          <w:rFonts w:eastAsia="맑은 고딕"/>
          <w:color w:val="000000" w:themeColor="text1"/>
          <w:szCs w:val="24"/>
          <w:lang w:eastAsia="en-US"/>
        </w:rPr>
        <w:t>Luminexell</w:t>
      </w:r>
      <w:r w:rsidRPr="00476FC9">
        <w:rPr>
          <w:rFonts w:eastAsia="맑은 고딕"/>
          <w:color w:val="000000" w:themeColor="text1"/>
          <w:szCs w:val="24"/>
          <w:lang w:eastAsia="en-US"/>
        </w:rPr>
        <w:t xml:space="preserve"> presented in the ad?</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color w:val="000000" w:themeColor="text1"/>
          <w:szCs w:val="24"/>
          <w:lang w:eastAsia="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90"/>
        <w:gridCol w:w="1029"/>
        <w:gridCol w:w="1206"/>
        <w:gridCol w:w="1945"/>
        <w:gridCol w:w="1206"/>
        <w:gridCol w:w="747"/>
        <w:gridCol w:w="1337"/>
      </w:tblGrid>
      <w:tr w:rsidR="00476FC9" w:rsidRPr="00476FC9" w:rsidTr="00650B0F">
        <w:trPr>
          <w:trHeight w:val="290"/>
        </w:trPr>
        <w:tc>
          <w:tcPr>
            <w:tcW w:w="101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extremely</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맑은 고딕"/>
                <w:bCs w:val="0"/>
                <w:color w:val="000000" w:themeColor="text1"/>
                <w:szCs w:val="24"/>
                <w:lang w:eastAsia="en-US"/>
              </w:rPr>
              <w:lastRenderedPageBreak/>
              <w:t>easy</w:t>
            </w:r>
          </w:p>
        </w:tc>
        <w:tc>
          <w:tcPr>
            <w:tcW w:w="55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p>
        </w:tc>
        <w:tc>
          <w:tcPr>
            <w:tcW w:w="64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p>
        </w:tc>
        <w:tc>
          <w:tcPr>
            <w:tcW w:w="103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p>
        </w:tc>
        <w:tc>
          <w:tcPr>
            <w:tcW w:w="64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p>
        </w:tc>
        <w:tc>
          <w:tcPr>
            <w:tcW w:w="39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p>
        </w:tc>
        <w:tc>
          <w:tcPr>
            <w:tcW w:w="71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바탕"/>
                <w:bCs w:val="0"/>
                <w:color w:val="000000" w:themeColor="text1"/>
                <w:szCs w:val="24"/>
                <w:lang w:eastAsia="en-US"/>
              </w:rPr>
            </w:pPr>
            <w:r w:rsidRPr="00476FC9">
              <w:rPr>
                <w:rFonts w:eastAsia="바탕"/>
                <w:bCs w:val="0"/>
                <w:color w:val="000000" w:themeColor="text1"/>
                <w:szCs w:val="24"/>
                <w:lang w:eastAsia="en-US"/>
              </w:rPr>
              <w:t xml:space="preserve">extremely </w:t>
            </w:r>
            <w:r w:rsidRPr="00476FC9">
              <w:rPr>
                <w:rFonts w:eastAsia="바탕"/>
                <w:bCs w:val="0"/>
                <w:color w:val="000000" w:themeColor="text1"/>
                <w:szCs w:val="24"/>
                <w:lang w:eastAsia="en-US"/>
              </w:rPr>
              <w:lastRenderedPageBreak/>
              <w:t>difficult</w:t>
            </w:r>
          </w:p>
        </w:tc>
      </w:tr>
      <w:tr w:rsidR="00476FC9" w:rsidRPr="00476FC9" w:rsidTr="00650B0F">
        <w:trPr>
          <w:trHeight w:val="290"/>
        </w:trPr>
        <w:tc>
          <w:tcPr>
            <w:tcW w:w="101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lastRenderedPageBreak/>
              <w:t></w:t>
            </w:r>
          </w:p>
        </w:tc>
        <w:tc>
          <w:tcPr>
            <w:tcW w:w="550"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64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103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64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399"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c>
          <w:tcPr>
            <w:tcW w:w="714" w:type="pct"/>
            <w:tcBorders>
              <w:top w:val="nil"/>
              <w:left w:val="nil"/>
              <w:bottom w:val="nil"/>
              <w:right w:val="nil"/>
            </w:tcBorders>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SimSun"/>
                <w:bCs w:val="0"/>
                <w:color w:val="000000" w:themeColor="text1"/>
                <w:szCs w:val="24"/>
                <w:lang w:eastAsia="zh-CN"/>
              </w:rPr>
            </w:pPr>
            <w:r w:rsidRPr="00476FC9">
              <w:rPr>
                <w:rFonts w:eastAsia="맑은 고딕"/>
                <w:bCs w:val="0"/>
                <w:color w:val="000000" w:themeColor="text1"/>
                <w:szCs w:val="24"/>
                <w:lang w:eastAsia="en-US"/>
              </w:rPr>
              <w:t></w:t>
            </w:r>
          </w:p>
        </w:tc>
      </w:tr>
    </w:tbl>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
          <w:color w:val="000000" w:themeColor="text1"/>
          <w:szCs w:val="24"/>
          <w:lang w:eastAsia="en-US"/>
        </w:rPr>
        <w:t xml:space="preserve">Q20) </w:t>
      </w:r>
      <w:r w:rsidRPr="00476FC9">
        <w:rPr>
          <w:rFonts w:eastAsia="맑은 고딕"/>
          <w:color w:val="000000" w:themeColor="text1"/>
          <w:szCs w:val="24"/>
          <w:lang w:eastAsia="en-US"/>
        </w:rPr>
        <w:t>Imagine that you t</w:t>
      </w:r>
      <w:r w:rsidRPr="00476FC9">
        <w:rPr>
          <w:rFonts w:eastAsia="맑은 고딕"/>
          <w:color w:val="000000" w:themeColor="text1"/>
          <w:szCs w:val="24"/>
        </w:rPr>
        <w:t>ake</w:t>
      </w:r>
      <w:r w:rsidRPr="00476FC9">
        <w:rPr>
          <w:rFonts w:eastAsia="맑은 고딕"/>
          <w:color w:val="000000" w:themeColor="text1"/>
          <w:szCs w:val="24"/>
          <w:lang w:eastAsia="en-US"/>
        </w:rPr>
        <w:t xml:space="preserve"> </w:t>
      </w:r>
      <w:r w:rsidR="00EB1FEC" w:rsidRPr="00476FC9">
        <w:rPr>
          <w:rFonts w:eastAsia="맑은 고딕"/>
          <w:color w:val="000000" w:themeColor="text1"/>
          <w:szCs w:val="24"/>
          <w:lang w:eastAsia="en-US"/>
        </w:rPr>
        <w:t>Luminexell</w:t>
      </w:r>
      <w:r w:rsidRPr="00476FC9">
        <w:rPr>
          <w:rFonts w:eastAsia="맑은 고딕"/>
          <w:bCs w:val="0"/>
          <w:color w:val="000000" w:themeColor="text1"/>
          <w:szCs w:val="24"/>
          <w:lang w:eastAsia="en-US"/>
        </w:rPr>
        <w:t xml:space="preserve"> </w:t>
      </w:r>
      <w:r w:rsidRPr="00476FC9">
        <w:rPr>
          <w:rFonts w:eastAsia="맑은 고딕"/>
          <w:bCs w:val="0"/>
          <w:color w:val="000000" w:themeColor="text1"/>
          <w:szCs w:val="24"/>
        </w:rPr>
        <w:t>to treat clinical depression</w:t>
      </w:r>
      <w:r w:rsidRPr="00476FC9">
        <w:rPr>
          <w:rFonts w:eastAsia="맑은 고딕"/>
          <w:bCs w:val="0"/>
          <w:color w:val="000000" w:themeColor="text1"/>
          <w:szCs w:val="24"/>
          <w:lang w:eastAsia="en-US"/>
        </w:rPr>
        <w:t>. Then I would like you to think of people your own age and sex who also t</w:t>
      </w:r>
      <w:r w:rsidRPr="00476FC9">
        <w:rPr>
          <w:rFonts w:eastAsia="맑은 고딕"/>
          <w:bCs w:val="0"/>
          <w:color w:val="000000" w:themeColor="text1"/>
          <w:szCs w:val="24"/>
        </w:rPr>
        <w:t>ake</w:t>
      </w:r>
      <w:r w:rsidRPr="00476FC9">
        <w:rPr>
          <w:rFonts w:eastAsia="맑은 고딕"/>
          <w:bCs w:val="0"/>
          <w:color w:val="000000" w:themeColor="text1"/>
          <w:szCs w:val="24"/>
          <w:lang w:eastAsia="en-US"/>
        </w:rPr>
        <w:t xml:space="preserve"> the drug. </w:t>
      </w:r>
      <w:r w:rsidRPr="00476FC9">
        <w:rPr>
          <w:rFonts w:eastAsia="맑은 고딕"/>
          <w:b/>
          <w:bCs w:val="0"/>
          <w:color w:val="000000" w:themeColor="text1"/>
          <w:szCs w:val="24"/>
          <w:u w:val="single"/>
          <w:lang w:eastAsia="en-US"/>
        </w:rPr>
        <w:t>Compared with other people your age and sex</w:t>
      </w:r>
      <w:r w:rsidRPr="00476FC9">
        <w:rPr>
          <w:rFonts w:eastAsia="맑은 고딕"/>
          <w:bCs w:val="0"/>
          <w:color w:val="000000" w:themeColor="text1"/>
          <w:szCs w:val="24"/>
          <w:lang w:eastAsia="en-US"/>
        </w:rPr>
        <w:t xml:space="preserve">, how would you rate your chances of experiencing the adverse reactions of </w:t>
      </w:r>
      <w:r w:rsidR="00EB1FEC" w:rsidRPr="00476FC9">
        <w:rPr>
          <w:rFonts w:eastAsia="맑은 고딕"/>
          <w:bCs w:val="0"/>
          <w:color w:val="000000" w:themeColor="text1"/>
          <w:szCs w:val="24"/>
          <w:lang w:eastAsia="en-US"/>
        </w:rPr>
        <w:t>Luminexell</w:t>
      </w:r>
      <w:r w:rsidRPr="00476FC9">
        <w:rPr>
          <w:rFonts w:eastAsia="맑은 고딕"/>
          <w:bCs w:val="0"/>
          <w:color w:val="000000" w:themeColor="text1"/>
          <w:szCs w:val="24"/>
          <w:lang w:eastAsia="en-US"/>
        </w:rPr>
        <w:t xml:space="preserve">?  </w:t>
      </w:r>
    </w:p>
    <w:tbl>
      <w:tblPr>
        <w:tblW w:w="0" w:type="auto"/>
        <w:tblLook w:val="01E0" w:firstRow="1" w:lastRow="1" w:firstColumn="1" w:lastColumn="1" w:noHBand="0" w:noVBand="0"/>
      </w:tblPr>
      <w:tblGrid>
        <w:gridCol w:w="1295"/>
        <w:gridCol w:w="1388"/>
        <w:gridCol w:w="1273"/>
        <w:gridCol w:w="1372"/>
        <w:gridCol w:w="1335"/>
        <w:gridCol w:w="1388"/>
        <w:gridCol w:w="1309"/>
      </w:tblGrid>
      <w:tr w:rsidR="00476FC9" w:rsidRPr="00476FC9" w:rsidTr="00650B0F">
        <w:trPr>
          <w:cantSplit/>
        </w:trPr>
        <w:tc>
          <w:tcPr>
            <w:tcW w:w="1509" w:type="dxa"/>
            <w:tcMar>
              <w:top w:w="101" w:type="dxa"/>
              <w:left w:w="57" w:type="dxa"/>
              <w:right w:w="57"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rPr>
            </w:pPr>
            <w:r w:rsidRPr="00476FC9">
              <w:rPr>
                <w:rFonts w:eastAsia="맑은 고딕"/>
                <w:bCs w:val="0"/>
                <w:color w:val="000000" w:themeColor="text1"/>
                <w:szCs w:val="24"/>
              </w:rPr>
              <w:t>far less        likely</w:t>
            </w:r>
          </w:p>
        </w:tc>
        <w:tc>
          <w:tcPr>
            <w:tcW w:w="1633" w:type="dxa"/>
            <w:tcMar>
              <w:top w:w="101" w:type="dxa"/>
              <w:left w:w="57" w:type="dxa"/>
              <w:right w:w="57"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rPr>
            </w:pPr>
            <w:r w:rsidRPr="00476FC9">
              <w:rPr>
                <w:rFonts w:eastAsia="맑은 고딕"/>
                <w:bCs w:val="0"/>
                <w:color w:val="000000" w:themeColor="text1"/>
                <w:szCs w:val="24"/>
              </w:rPr>
              <w:t>less                likely</w:t>
            </w:r>
          </w:p>
        </w:tc>
        <w:tc>
          <w:tcPr>
            <w:tcW w:w="1386" w:type="dxa"/>
            <w:tcMar>
              <w:top w:w="101" w:type="dxa"/>
            </w:tcMa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rPr>
            </w:pPr>
            <w:r w:rsidRPr="00476FC9">
              <w:rPr>
                <w:rFonts w:eastAsia="맑은 고딕"/>
                <w:bCs w:val="0"/>
                <w:color w:val="000000" w:themeColor="text1"/>
                <w:szCs w:val="24"/>
              </w:rPr>
              <w:t>slightly       less likely</w:t>
            </w:r>
          </w:p>
        </w:tc>
        <w:tc>
          <w:tcPr>
            <w:tcW w:w="1433" w:type="dxa"/>
            <w:tcMar>
              <w:top w:w="101"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rPr>
            </w:pPr>
            <w:r w:rsidRPr="00476FC9">
              <w:rPr>
                <w:rFonts w:eastAsia="맑은 고딕"/>
                <w:bCs w:val="0"/>
                <w:color w:val="000000" w:themeColor="text1"/>
                <w:szCs w:val="24"/>
              </w:rPr>
              <w:t>about the same likelihood</w:t>
            </w:r>
          </w:p>
        </w:tc>
        <w:tc>
          <w:tcPr>
            <w:tcW w:w="1504" w:type="dxa"/>
            <w:tcMar>
              <w:top w:w="101" w:type="dxa"/>
              <w:left w:w="57" w:type="dxa"/>
              <w:right w:w="57"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rPr>
            </w:pPr>
            <w:r w:rsidRPr="00476FC9">
              <w:rPr>
                <w:rFonts w:eastAsia="맑은 고딕"/>
                <w:bCs w:val="0"/>
                <w:color w:val="000000" w:themeColor="text1"/>
                <w:szCs w:val="24"/>
              </w:rPr>
              <w:t>slightly         more likely</w:t>
            </w:r>
          </w:p>
        </w:tc>
        <w:tc>
          <w:tcPr>
            <w:tcW w:w="1633" w:type="dxa"/>
            <w:tcMar>
              <w:top w:w="101" w:type="dxa"/>
              <w:left w:w="57" w:type="dxa"/>
              <w:right w:w="57"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rPr>
            </w:pPr>
            <w:r w:rsidRPr="00476FC9">
              <w:rPr>
                <w:rFonts w:eastAsia="맑은 고딕"/>
                <w:bCs w:val="0"/>
                <w:color w:val="000000" w:themeColor="text1"/>
                <w:szCs w:val="24"/>
              </w:rPr>
              <w:t>more              likely</w:t>
            </w:r>
          </w:p>
        </w:tc>
        <w:tc>
          <w:tcPr>
            <w:tcW w:w="1528" w:type="dxa"/>
            <w:tcMar>
              <w:top w:w="101" w:type="dxa"/>
              <w:left w:w="57" w:type="dxa"/>
              <w:right w:w="57"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rPr>
            </w:pPr>
            <w:r w:rsidRPr="00476FC9">
              <w:rPr>
                <w:rFonts w:eastAsia="맑은 고딕"/>
                <w:bCs w:val="0"/>
                <w:color w:val="000000" w:themeColor="text1"/>
                <w:szCs w:val="24"/>
              </w:rPr>
              <w:t>far more      likely</w:t>
            </w:r>
          </w:p>
        </w:tc>
      </w:tr>
      <w:tr w:rsidR="00650B0F" w:rsidRPr="00476FC9" w:rsidTr="00650B0F">
        <w:trPr>
          <w:cantSplit/>
        </w:trPr>
        <w:tc>
          <w:tcPr>
            <w:tcW w:w="1509" w:type="dxa"/>
            <w:tcMar>
              <w:top w:w="101" w:type="dxa"/>
              <w:left w:w="57" w:type="dxa"/>
              <w:right w:w="57"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1633" w:type="dxa"/>
            <w:tcMar>
              <w:top w:w="101" w:type="dxa"/>
              <w:left w:w="57" w:type="dxa"/>
              <w:right w:w="57"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1386" w:type="dxa"/>
            <w:tcMar>
              <w:top w:w="101"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1433" w:type="dxa"/>
            <w:tcMar>
              <w:top w:w="101"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1504" w:type="dxa"/>
            <w:tcMar>
              <w:top w:w="101" w:type="dxa"/>
              <w:left w:w="57" w:type="dxa"/>
              <w:right w:w="57"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1633" w:type="dxa"/>
            <w:tcMar>
              <w:top w:w="101" w:type="dxa"/>
              <w:left w:w="57" w:type="dxa"/>
              <w:right w:w="57"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c>
          <w:tcPr>
            <w:tcW w:w="1528" w:type="dxa"/>
            <w:tcMar>
              <w:top w:w="101" w:type="dxa"/>
              <w:left w:w="57" w:type="dxa"/>
              <w:right w:w="57"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w:t>
            </w:r>
          </w:p>
        </w:tc>
      </w:tr>
    </w:tbl>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
          <w:bCs w:val="0"/>
          <w:color w:val="000000" w:themeColor="text1"/>
          <w:szCs w:val="24"/>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rPr>
      </w:pPr>
      <w:r w:rsidRPr="00476FC9">
        <w:rPr>
          <w:rFonts w:eastAsia="맑은 고딕"/>
          <w:b/>
          <w:bCs w:val="0"/>
          <w:color w:val="000000" w:themeColor="text1"/>
          <w:szCs w:val="24"/>
        </w:rPr>
        <w:t>Q21)</w:t>
      </w:r>
      <w:r w:rsidRPr="00476FC9">
        <w:rPr>
          <w:rFonts w:eastAsia="맑은 고딕"/>
          <w:bCs w:val="0"/>
          <w:color w:val="000000" w:themeColor="text1"/>
          <w:szCs w:val="24"/>
        </w:rPr>
        <w:t xml:space="preserve"> What do you believe is the chance that </w:t>
      </w:r>
      <w:r w:rsidRPr="00476FC9">
        <w:rPr>
          <w:rFonts w:eastAsia="맑은 고딕"/>
          <w:b/>
          <w:bCs w:val="0"/>
          <w:color w:val="000000" w:themeColor="text1"/>
          <w:szCs w:val="24"/>
          <w:u w:val="single"/>
        </w:rPr>
        <w:t>you</w:t>
      </w:r>
      <w:r w:rsidRPr="00476FC9">
        <w:rPr>
          <w:rFonts w:eastAsia="맑은 고딕"/>
          <w:bCs w:val="0"/>
          <w:color w:val="000000" w:themeColor="text1"/>
          <w:szCs w:val="24"/>
        </w:rPr>
        <w:t xml:space="preserve"> will experience the adverse reactions of </w:t>
      </w:r>
      <w:r w:rsidR="00EB1FEC" w:rsidRPr="00476FC9">
        <w:rPr>
          <w:rFonts w:eastAsia="맑은 고딕"/>
          <w:bCs w:val="0"/>
          <w:color w:val="000000" w:themeColor="text1"/>
          <w:szCs w:val="24"/>
        </w:rPr>
        <w:t>Luminexell</w:t>
      </w:r>
      <w:r w:rsidRPr="00476FC9">
        <w:rPr>
          <w:rFonts w:eastAsia="맑은 고딕"/>
          <w:bCs w:val="0"/>
          <w:color w:val="000000" w:themeColor="text1"/>
          <w:szCs w:val="24"/>
        </w:rPr>
        <w:t xml:space="preserve">? </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rPr>
      </w:pPr>
    </w:p>
    <w:tbl>
      <w:tblPr>
        <w:tblStyle w:val="TableGrid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1"/>
        <w:gridCol w:w="862"/>
        <w:gridCol w:w="812"/>
        <w:gridCol w:w="814"/>
        <w:gridCol w:w="814"/>
        <w:gridCol w:w="919"/>
        <w:gridCol w:w="814"/>
        <w:gridCol w:w="814"/>
        <w:gridCol w:w="814"/>
        <w:gridCol w:w="814"/>
        <w:gridCol w:w="972"/>
      </w:tblGrid>
      <w:tr w:rsidR="00476FC9" w:rsidRPr="00476FC9" w:rsidTr="00650B0F">
        <w:tc>
          <w:tcPr>
            <w:tcW w:w="486"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r w:rsidRPr="00476FC9">
              <w:rPr>
                <w:rFonts w:eastAsia="맑은 고딕"/>
                <w:color w:val="000000" w:themeColor="text1"/>
                <w:szCs w:val="24"/>
              </w:rPr>
              <w:t>no chance</w:t>
            </w:r>
          </w:p>
        </w:tc>
        <w:tc>
          <w:tcPr>
            <w:tcW w:w="460"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p>
        </w:tc>
        <w:tc>
          <w:tcPr>
            <w:tcW w:w="434"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p>
        </w:tc>
        <w:tc>
          <w:tcPr>
            <w:tcW w:w="435"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p>
        </w:tc>
        <w:tc>
          <w:tcPr>
            <w:tcW w:w="435"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p>
        </w:tc>
        <w:tc>
          <w:tcPr>
            <w:tcW w:w="491"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r w:rsidRPr="00476FC9">
              <w:rPr>
                <w:rFonts w:eastAsia="맑은 고딕"/>
                <w:color w:val="000000" w:themeColor="text1"/>
                <w:szCs w:val="24"/>
              </w:rPr>
              <w:t>50-50 chance</w:t>
            </w:r>
          </w:p>
        </w:tc>
        <w:tc>
          <w:tcPr>
            <w:tcW w:w="435"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p>
        </w:tc>
        <w:tc>
          <w:tcPr>
            <w:tcW w:w="435"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p>
        </w:tc>
        <w:tc>
          <w:tcPr>
            <w:tcW w:w="435"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p>
        </w:tc>
        <w:tc>
          <w:tcPr>
            <w:tcW w:w="435"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p>
        </w:tc>
        <w:tc>
          <w:tcPr>
            <w:tcW w:w="520"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r w:rsidRPr="00476FC9">
              <w:rPr>
                <w:rFonts w:eastAsia="맑은 고딕"/>
                <w:color w:val="000000" w:themeColor="text1"/>
                <w:szCs w:val="24"/>
              </w:rPr>
              <w:t>certain to happen</w:t>
            </w:r>
          </w:p>
        </w:tc>
      </w:tr>
      <w:tr w:rsidR="00476FC9" w:rsidRPr="00476FC9" w:rsidTr="00650B0F">
        <w:trPr>
          <w:trHeight w:val="297"/>
        </w:trPr>
        <w:tc>
          <w:tcPr>
            <w:tcW w:w="486"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0</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color w:val="000000" w:themeColor="text1"/>
                <w:szCs w:val="24"/>
                <w:lang w:eastAsia="en-US"/>
              </w:rPr>
              <w:t></w:t>
            </w:r>
          </w:p>
        </w:tc>
        <w:tc>
          <w:tcPr>
            <w:tcW w:w="460"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1</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color w:val="000000" w:themeColor="text1"/>
                <w:szCs w:val="24"/>
                <w:lang w:eastAsia="en-US"/>
              </w:rPr>
              <w:t></w:t>
            </w:r>
          </w:p>
        </w:tc>
        <w:tc>
          <w:tcPr>
            <w:tcW w:w="434"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2</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color w:val="000000" w:themeColor="text1"/>
                <w:szCs w:val="24"/>
                <w:lang w:eastAsia="en-US"/>
              </w:rPr>
              <w:t></w:t>
            </w:r>
          </w:p>
        </w:tc>
        <w:tc>
          <w:tcPr>
            <w:tcW w:w="435"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3</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color w:val="000000" w:themeColor="text1"/>
                <w:szCs w:val="24"/>
                <w:lang w:eastAsia="en-US"/>
              </w:rPr>
              <w:t></w:t>
            </w:r>
          </w:p>
        </w:tc>
        <w:tc>
          <w:tcPr>
            <w:tcW w:w="435"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4</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color w:val="000000" w:themeColor="text1"/>
                <w:szCs w:val="24"/>
                <w:lang w:eastAsia="en-US"/>
              </w:rPr>
              <w:t></w:t>
            </w:r>
          </w:p>
        </w:tc>
        <w:tc>
          <w:tcPr>
            <w:tcW w:w="491"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5</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color w:val="000000" w:themeColor="text1"/>
                <w:szCs w:val="24"/>
                <w:lang w:eastAsia="en-US"/>
              </w:rPr>
              <w:t></w:t>
            </w:r>
          </w:p>
        </w:tc>
        <w:tc>
          <w:tcPr>
            <w:tcW w:w="435"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6</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color w:val="000000" w:themeColor="text1"/>
                <w:szCs w:val="24"/>
                <w:lang w:eastAsia="en-US"/>
              </w:rPr>
              <w:t></w:t>
            </w:r>
          </w:p>
        </w:tc>
        <w:tc>
          <w:tcPr>
            <w:tcW w:w="435"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7</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color w:val="000000" w:themeColor="text1"/>
                <w:szCs w:val="24"/>
                <w:lang w:eastAsia="en-US"/>
              </w:rPr>
              <w:t></w:t>
            </w:r>
          </w:p>
        </w:tc>
        <w:tc>
          <w:tcPr>
            <w:tcW w:w="435"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8</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color w:val="000000" w:themeColor="text1"/>
                <w:szCs w:val="24"/>
                <w:lang w:eastAsia="en-US"/>
              </w:rPr>
              <w:t></w:t>
            </w:r>
          </w:p>
        </w:tc>
        <w:tc>
          <w:tcPr>
            <w:tcW w:w="435"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9</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color w:val="000000" w:themeColor="text1"/>
                <w:szCs w:val="24"/>
                <w:lang w:eastAsia="en-US"/>
              </w:rPr>
              <w:t></w:t>
            </w:r>
          </w:p>
        </w:tc>
        <w:tc>
          <w:tcPr>
            <w:tcW w:w="520"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10</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color w:val="000000" w:themeColor="text1"/>
                <w:szCs w:val="24"/>
                <w:lang w:eastAsia="en-US"/>
              </w:rPr>
              <w:t></w:t>
            </w:r>
          </w:p>
        </w:tc>
      </w:tr>
    </w:tbl>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
          <w:bCs w:val="0"/>
          <w:color w:val="000000" w:themeColor="text1"/>
          <w:szCs w:val="24"/>
        </w:rPr>
      </w:pPr>
      <w:r w:rsidRPr="00476FC9">
        <w:rPr>
          <w:rFonts w:eastAsia="맑은 고딕"/>
          <w:bCs w:val="0"/>
          <w:color w:val="000000" w:themeColor="text1"/>
          <w:szCs w:val="24"/>
        </w:rPr>
        <w:t xml:space="preserve">  </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rPr>
      </w:pPr>
      <w:r w:rsidRPr="00476FC9">
        <w:rPr>
          <w:rFonts w:eastAsia="맑은 고딕"/>
          <w:b/>
          <w:bCs w:val="0"/>
          <w:color w:val="000000" w:themeColor="text1"/>
          <w:szCs w:val="24"/>
        </w:rPr>
        <w:t>Q22)</w:t>
      </w:r>
      <w:r w:rsidRPr="00476FC9">
        <w:rPr>
          <w:rFonts w:eastAsia="맑은 고딕"/>
          <w:bCs w:val="0"/>
          <w:color w:val="000000" w:themeColor="text1"/>
          <w:szCs w:val="24"/>
        </w:rPr>
        <w:t xml:space="preserve"> What do you believe is the chance that </w:t>
      </w:r>
      <w:r w:rsidRPr="00476FC9">
        <w:rPr>
          <w:rFonts w:eastAsia="맑은 고딕"/>
          <w:b/>
          <w:bCs w:val="0"/>
          <w:color w:val="000000" w:themeColor="text1"/>
          <w:szCs w:val="24"/>
          <w:u w:val="single"/>
        </w:rPr>
        <w:t>the average person your age and sex</w:t>
      </w:r>
      <w:r w:rsidRPr="00476FC9">
        <w:rPr>
          <w:rFonts w:eastAsia="맑은 고딕"/>
          <w:bCs w:val="0"/>
          <w:color w:val="000000" w:themeColor="text1"/>
          <w:szCs w:val="24"/>
        </w:rPr>
        <w:t xml:space="preserve"> will experience the adverse reactions of </w:t>
      </w:r>
      <w:r w:rsidR="00EB1FEC" w:rsidRPr="00476FC9">
        <w:rPr>
          <w:rFonts w:eastAsia="맑은 고딕"/>
          <w:bCs w:val="0"/>
          <w:color w:val="000000" w:themeColor="text1"/>
          <w:szCs w:val="24"/>
        </w:rPr>
        <w:t>Luminexell</w:t>
      </w:r>
      <w:r w:rsidRPr="00476FC9">
        <w:rPr>
          <w:rFonts w:eastAsia="맑은 고딕"/>
          <w:bCs w:val="0"/>
          <w:color w:val="000000" w:themeColor="text1"/>
          <w:szCs w:val="24"/>
        </w:rPr>
        <w:t xml:space="preserve">?   </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rPr>
      </w:pPr>
      <w:r w:rsidRPr="00476FC9">
        <w:rPr>
          <w:rFonts w:eastAsia="맑은 고딕"/>
          <w:bCs w:val="0"/>
          <w:color w:val="000000" w:themeColor="text1"/>
          <w:szCs w:val="24"/>
        </w:rPr>
        <w:t xml:space="preserve"> </w:t>
      </w: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0"/>
        <w:gridCol w:w="851"/>
        <w:gridCol w:w="803"/>
        <w:gridCol w:w="805"/>
        <w:gridCol w:w="805"/>
        <w:gridCol w:w="944"/>
        <w:gridCol w:w="805"/>
        <w:gridCol w:w="805"/>
        <w:gridCol w:w="805"/>
        <w:gridCol w:w="805"/>
        <w:gridCol w:w="1002"/>
      </w:tblGrid>
      <w:tr w:rsidR="00476FC9" w:rsidRPr="00476FC9" w:rsidTr="00650B0F">
        <w:trPr>
          <w:trHeight w:val="297"/>
        </w:trPr>
        <w:tc>
          <w:tcPr>
            <w:tcW w:w="930"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color w:val="000000" w:themeColor="text1"/>
                <w:szCs w:val="24"/>
              </w:rPr>
              <w:t>no chance</w:t>
            </w:r>
          </w:p>
        </w:tc>
        <w:tc>
          <w:tcPr>
            <w:tcW w:w="851"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p>
        </w:tc>
        <w:tc>
          <w:tcPr>
            <w:tcW w:w="803"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p>
        </w:tc>
        <w:tc>
          <w:tcPr>
            <w:tcW w:w="805"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p>
        </w:tc>
        <w:tc>
          <w:tcPr>
            <w:tcW w:w="805"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p>
        </w:tc>
        <w:tc>
          <w:tcPr>
            <w:tcW w:w="944"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color w:val="000000" w:themeColor="text1"/>
                <w:szCs w:val="24"/>
              </w:rPr>
              <w:t>50-50 chance</w:t>
            </w:r>
          </w:p>
        </w:tc>
        <w:tc>
          <w:tcPr>
            <w:tcW w:w="805"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p>
        </w:tc>
        <w:tc>
          <w:tcPr>
            <w:tcW w:w="805"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p>
        </w:tc>
        <w:tc>
          <w:tcPr>
            <w:tcW w:w="805"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p>
        </w:tc>
        <w:tc>
          <w:tcPr>
            <w:tcW w:w="805"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p>
        </w:tc>
        <w:tc>
          <w:tcPr>
            <w:tcW w:w="1002"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color w:val="000000" w:themeColor="text1"/>
                <w:szCs w:val="24"/>
              </w:rPr>
              <w:t>certain to happen</w:t>
            </w:r>
          </w:p>
        </w:tc>
      </w:tr>
      <w:tr w:rsidR="00650B0F" w:rsidRPr="00476FC9" w:rsidTr="00650B0F">
        <w:tc>
          <w:tcPr>
            <w:tcW w:w="930"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0</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r w:rsidRPr="00476FC9">
              <w:rPr>
                <w:rFonts w:eastAsia="맑은 고딕"/>
                <w:color w:val="000000" w:themeColor="text1"/>
                <w:szCs w:val="24"/>
                <w:lang w:eastAsia="en-US"/>
              </w:rPr>
              <w:t></w:t>
            </w:r>
          </w:p>
        </w:tc>
        <w:tc>
          <w:tcPr>
            <w:tcW w:w="851"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1</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r w:rsidRPr="00476FC9">
              <w:rPr>
                <w:rFonts w:eastAsia="맑은 고딕"/>
                <w:color w:val="000000" w:themeColor="text1"/>
                <w:szCs w:val="24"/>
                <w:lang w:eastAsia="en-US"/>
              </w:rPr>
              <w:t></w:t>
            </w:r>
          </w:p>
        </w:tc>
        <w:tc>
          <w:tcPr>
            <w:tcW w:w="803"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2</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r w:rsidRPr="00476FC9">
              <w:rPr>
                <w:rFonts w:eastAsia="맑은 고딕"/>
                <w:color w:val="000000" w:themeColor="text1"/>
                <w:szCs w:val="24"/>
                <w:lang w:eastAsia="en-US"/>
              </w:rPr>
              <w:t></w:t>
            </w:r>
          </w:p>
        </w:tc>
        <w:tc>
          <w:tcPr>
            <w:tcW w:w="805"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3</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r w:rsidRPr="00476FC9">
              <w:rPr>
                <w:rFonts w:eastAsia="맑은 고딕"/>
                <w:color w:val="000000" w:themeColor="text1"/>
                <w:szCs w:val="24"/>
                <w:lang w:eastAsia="en-US"/>
              </w:rPr>
              <w:t></w:t>
            </w:r>
          </w:p>
        </w:tc>
        <w:tc>
          <w:tcPr>
            <w:tcW w:w="805"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4</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r w:rsidRPr="00476FC9">
              <w:rPr>
                <w:rFonts w:eastAsia="맑은 고딕"/>
                <w:color w:val="000000" w:themeColor="text1"/>
                <w:szCs w:val="24"/>
                <w:lang w:eastAsia="en-US"/>
              </w:rPr>
              <w:t></w:t>
            </w:r>
          </w:p>
        </w:tc>
        <w:tc>
          <w:tcPr>
            <w:tcW w:w="944"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5</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r w:rsidRPr="00476FC9">
              <w:rPr>
                <w:rFonts w:eastAsia="맑은 고딕"/>
                <w:color w:val="000000" w:themeColor="text1"/>
                <w:szCs w:val="24"/>
                <w:lang w:eastAsia="en-US"/>
              </w:rPr>
              <w:t></w:t>
            </w:r>
          </w:p>
        </w:tc>
        <w:tc>
          <w:tcPr>
            <w:tcW w:w="805"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6</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r w:rsidRPr="00476FC9">
              <w:rPr>
                <w:rFonts w:eastAsia="맑은 고딕"/>
                <w:color w:val="000000" w:themeColor="text1"/>
                <w:szCs w:val="24"/>
                <w:lang w:eastAsia="en-US"/>
              </w:rPr>
              <w:t></w:t>
            </w:r>
          </w:p>
        </w:tc>
        <w:tc>
          <w:tcPr>
            <w:tcW w:w="805"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7</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r w:rsidRPr="00476FC9">
              <w:rPr>
                <w:rFonts w:eastAsia="맑은 고딕"/>
                <w:color w:val="000000" w:themeColor="text1"/>
                <w:szCs w:val="24"/>
                <w:lang w:eastAsia="en-US"/>
              </w:rPr>
              <w:t></w:t>
            </w:r>
          </w:p>
        </w:tc>
        <w:tc>
          <w:tcPr>
            <w:tcW w:w="805"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8</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r w:rsidRPr="00476FC9">
              <w:rPr>
                <w:rFonts w:eastAsia="맑은 고딕"/>
                <w:color w:val="000000" w:themeColor="text1"/>
                <w:szCs w:val="24"/>
                <w:lang w:eastAsia="en-US"/>
              </w:rPr>
              <w:t></w:t>
            </w:r>
          </w:p>
        </w:tc>
        <w:tc>
          <w:tcPr>
            <w:tcW w:w="805"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9</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r w:rsidRPr="00476FC9">
              <w:rPr>
                <w:rFonts w:eastAsia="맑은 고딕"/>
                <w:color w:val="000000" w:themeColor="text1"/>
                <w:szCs w:val="24"/>
                <w:lang w:eastAsia="en-US"/>
              </w:rPr>
              <w:t></w:t>
            </w:r>
          </w:p>
        </w:tc>
        <w:tc>
          <w:tcPr>
            <w:tcW w:w="1002"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10</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r w:rsidRPr="00476FC9">
              <w:rPr>
                <w:rFonts w:eastAsia="맑은 고딕"/>
                <w:color w:val="000000" w:themeColor="text1"/>
                <w:szCs w:val="24"/>
                <w:lang w:eastAsia="en-US"/>
              </w:rPr>
              <w:t></w:t>
            </w:r>
          </w:p>
        </w:tc>
      </w:tr>
    </w:tbl>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rPr>
      </w:pPr>
      <w:r w:rsidRPr="00476FC9">
        <w:rPr>
          <w:rFonts w:eastAsia="맑은 고딕"/>
          <w:b/>
          <w:bCs w:val="0"/>
          <w:color w:val="000000" w:themeColor="text1"/>
          <w:szCs w:val="24"/>
        </w:rPr>
        <w:t>Q23)</w:t>
      </w:r>
      <w:r w:rsidRPr="00476FC9">
        <w:rPr>
          <w:rFonts w:eastAsia="맑은 고딕"/>
          <w:bCs w:val="0"/>
          <w:color w:val="000000" w:themeColor="text1"/>
          <w:szCs w:val="24"/>
        </w:rPr>
        <w:t xml:space="preserve"> How much personal control do you feel you have over the chances of experiencing the adverse reactions of </w:t>
      </w:r>
      <w:r w:rsidR="00EB1FEC" w:rsidRPr="00476FC9">
        <w:rPr>
          <w:rFonts w:eastAsia="맑은 고딕"/>
          <w:bCs w:val="0"/>
          <w:color w:val="000000" w:themeColor="text1"/>
          <w:szCs w:val="24"/>
        </w:rPr>
        <w:t>Luminexell</w:t>
      </w:r>
      <w:r w:rsidRPr="00476FC9">
        <w:rPr>
          <w:rFonts w:eastAsia="맑은 고딕"/>
          <w:bCs w:val="0"/>
          <w:color w:val="000000" w:themeColor="text1"/>
          <w:szCs w:val="24"/>
        </w:rPr>
        <w:t xml:space="preserve">? </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6"/>
        <w:gridCol w:w="814"/>
        <w:gridCol w:w="771"/>
        <w:gridCol w:w="774"/>
        <w:gridCol w:w="774"/>
        <w:gridCol w:w="1109"/>
        <w:gridCol w:w="774"/>
        <w:gridCol w:w="774"/>
        <w:gridCol w:w="774"/>
        <w:gridCol w:w="774"/>
        <w:gridCol w:w="1096"/>
      </w:tblGrid>
      <w:tr w:rsidR="00476FC9" w:rsidRPr="00476FC9" w:rsidTr="00D83DFE">
        <w:trPr>
          <w:trHeight w:val="297"/>
        </w:trPr>
        <w:tc>
          <w:tcPr>
            <w:tcW w:w="930"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color w:val="000000" w:themeColor="text1"/>
                <w:szCs w:val="24"/>
              </w:rPr>
              <w:t>no control</w:t>
            </w:r>
          </w:p>
        </w:tc>
        <w:tc>
          <w:tcPr>
            <w:tcW w:w="851"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p>
        </w:tc>
        <w:tc>
          <w:tcPr>
            <w:tcW w:w="803"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p>
        </w:tc>
        <w:tc>
          <w:tcPr>
            <w:tcW w:w="805"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p>
        </w:tc>
        <w:tc>
          <w:tcPr>
            <w:tcW w:w="805"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p>
        </w:tc>
        <w:tc>
          <w:tcPr>
            <w:tcW w:w="944"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color w:val="000000" w:themeColor="text1"/>
                <w:szCs w:val="24"/>
              </w:rPr>
              <w:t>moderate control</w:t>
            </w:r>
          </w:p>
        </w:tc>
        <w:tc>
          <w:tcPr>
            <w:tcW w:w="805"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p>
        </w:tc>
        <w:tc>
          <w:tcPr>
            <w:tcW w:w="805"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p>
        </w:tc>
        <w:tc>
          <w:tcPr>
            <w:tcW w:w="805"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p>
        </w:tc>
        <w:tc>
          <w:tcPr>
            <w:tcW w:w="805"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p>
        </w:tc>
        <w:tc>
          <w:tcPr>
            <w:tcW w:w="1002"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color w:val="000000" w:themeColor="text1"/>
                <w:szCs w:val="24"/>
              </w:rPr>
              <w:t>complete control</w:t>
            </w:r>
          </w:p>
        </w:tc>
      </w:tr>
      <w:tr w:rsidR="00476FC9" w:rsidRPr="00476FC9" w:rsidTr="00D83DFE">
        <w:tc>
          <w:tcPr>
            <w:tcW w:w="930"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0</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r w:rsidRPr="00476FC9">
              <w:rPr>
                <w:rFonts w:eastAsia="맑은 고딕"/>
                <w:color w:val="000000" w:themeColor="text1"/>
                <w:szCs w:val="24"/>
                <w:lang w:eastAsia="en-US"/>
              </w:rPr>
              <w:t></w:t>
            </w:r>
          </w:p>
        </w:tc>
        <w:tc>
          <w:tcPr>
            <w:tcW w:w="851"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1</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r w:rsidRPr="00476FC9">
              <w:rPr>
                <w:rFonts w:eastAsia="맑은 고딕"/>
                <w:color w:val="000000" w:themeColor="text1"/>
                <w:szCs w:val="24"/>
                <w:lang w:eastAsia="en-US"/>
              </w:rPr>
              <w:t></w:t>
            </w:r>
          </w:p>
        </w:tc>
        <w:tc>
          <w:tcPr>
            <w:tcW w:w="803"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2</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r w:rsidRPr="00476FC9">
              <w:rPr>
                <w:rFonts w:eastAsia="맑은 고딕"/>
                <w:color w:val="000000" w:themeColor="text1"/>
                <w:szCs w:val="24"/>
                <w:lang w:eastAsia="en-US"/>
              </w:rPr>
              <w:t></w:t>
            </w:r>
          </w:p>
        </w:tc>
        <w:tc>
          <w:tcPr>
            <w:tcW w:w="805"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3</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r w:rsidRPr="00476FC9">
              <w:rPr>
                <w:rFonts w:eastAsia="맑은 고딕"/>
                <w:color w:val="000000" w:themeColor="text1"/>
                <w:szCs w:val="24"/>
                <w:lang w:eastAsia="en-US"/>
              </w:rPr>
              <w:t></w:t>
            </w:r>
          </w:p>
        </w:tc>
        <w:tc>
          <w:tcPr>
            <w:tcW w:w="805"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4</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r w:rsidRPr="00476FC9">
              <w:rPr>
                <w:rFonts w:eastAsia="맑은 고딕"/>
                <w:color w:val="000000" w:themeColor="text1"/>
                <w:szCs w:val="24"/>
                <w:lang w:eastAsia="en-US"/>
              </w:rPr>
              <w:t></w:t>
            </w:r>
          </w:p>
        </w:tc>
        <w:tc>
          <w:tcPr>
            <w:tcW w:w="944"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5</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r w:rsidRPr="00476FC9">
              <w:rPr>
                <w:rFonts w:eastAsia="맑은 고딕"/>
                <w:color w:val="000000" w:themeColor="text1"/>
                <w:szCs w:val="24"/>
                <w:lang w:eastAsia="en-US"/>
              </w:rPr>
              <w:t></w:t>
            </w:r>
          </w:p>
        </w:tc>
        <w:tc>
          <w:tcPr>
            <w:tcW w:w="805"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6</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r w:rsidRPr="00476FC9">
              <w:rPr>
                <w:rFonts w:eastAsia="맑은 고딕"/>
                <w:color w:val="000000" w:themeColor="text1"/>
                <w:szCs w:val="24"/>
                <w:lang w:eastAsia="en-US"/>
              </w:rPr>
              <w:t></w:t>
            </w:r>
          </w:p>
        </w:tc>
        <w:tc>
          <w:tcPr>
            <w:tcW w:w="805"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7</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r w:rsidRPr="00476FC9">
              <w:rPr>
                <w:rFonts w:eastAsia="맑은 고딕"/>
                <w:color w:val="000000" w:themeColor="text1"/>
                <w:szCs w:val="24"/>
                <w:lang w:eastAsia="en-US"/>
              </w:rPr>
              <w:t></w:t>
            </w:r>
          </w:p>
        </w:tc>
        <w:tc>
          <w:tcPr>
            <w:tcW w:w="805"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8</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r w:rsidRPr="00476FC9">
              <w:rPr>
                <w:rFonts w:eastAsia="맑은 고딕"/>
                <w:color w:val="000000" w:themeColor="text1"/>
                <w:szCs w:val="24"/>
                <w:lang w:eastAsia="en-US"/>
              </w:rPr>
              <w:t></w:t>
            </w:r>
          </w:p>
        </w:tc>
        <w:tc>
          <w:tcPr>
            <w:tcW w:w="805"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9</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r w:rsidRPr="00476FC9">
              <w:rPr>
                <w:rFonts w:eastAsia="맑은 고딕"/>
                <w:color w:val="000000" w:themeColor="text1"/>
                <w:szCs w:val="24"/>
                <w:lang w:eastAsia="en-US"/>
              </w:rPr>
              <w:t></w:t>
            </w:r>
          </w:p>
        </w:tc>
        <w:tc>
          <w:tcPr>
            <w:tcW w:w="1002"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10</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r w:rsidRPr="00476FC9">
              <w:rPr>
                <w:rFonts w:eastAsia="맑은 고딕"/>
                <w:color w:val="000000" w:themeColor="text1"/>
                <w:szCs w:val="24"/>
                <w:lang w:eastAsia="en-US"/>
              </w:rPr>
              <w:t></w:t>
            </w:r>
          </w:p>
        </w:tc>
      </w:tr>
    </w:tbl>
    <w:tbl>
      <w:tblPr>
        <w:tblStyle w:val="TableGrid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
        <w:gridCol w:w="787"/>
        <w:gridCol w:w="788"/>
        <w:gridCol w:w="893"/>
        <w:gridCol w:w="931"/>
        <w:gridCol w:w="788"/>
        <w:gridCol w:w="880"/>
      </w:tblGrid>
      <w:tr w:rsidR="00650B0F" w:rsidRPr="00476FC9" w:rsidTr="00650B0F">
        <w:trPr>
          <w:trHeight w:val="297"/>
        </w:trPr>
        <w:tc>
          <w:tcPr>
            <w:tcW w:w="852" w:type="dxa"/>
            <w:tcMar>
              <w:left w:w="0" w:type="dxa"/>
              <w:right w:w="0" w:type="dxa"/>
            </w:tcMa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p>
        </w:tc>
        <w:tc>
          <w:tcPr>
            <w:tcW w:w="787" w:type="dxa"/>
            <w:tcMar>
              <w:left w:w="0" w:type="dxa"/>
              <w:right w:w="0" w:type="dxa"/>
            </w:tcMa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p>
        </w:tc>
        <w:tc>
          <w:tcPr>
            <w:tcW w:w="788" w:type="dxa"/>
            <w:tcMar>
              <w:left w:w="0" w:type="dxa"/>
              <w:right w:w="0" w:type="dxa"/>
            </w:tcMa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p>
        </w:tc>
        <w:tc>
          <w:tcPr>
            <w:tcW w:w="893" w:type="dxa"/>
            <w:tcMar>
              <w:left w:w="0" w:type="dxa"/>
              <w:right w:w="0" w:type="dxa"/>
            </w:tcMa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p>
        </w:tc>
        <w:tc>
          <w:tcPr>
            <w:tcW w:w="931" w:type="dxa"/>
            <w:tcMar>
              <w:left w:w="0" w:type="dxa"/>
              <w:right w:w="0" w:type="dxa"/>
            </w:tcMa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p>
        </w:tc>
        <w:tc>
          <w:tcPr>
            <w:tcW w:w="788" w:type="dxa"/>
            <w:tcMar>
              <w:left w:w="0" w:type="dxa"/>
              <w:right w:w="0" w:type="dxa"/>
            </w:tcMa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p>
        </w:tc>
        <w:tc>
          <w:tcPr>
            <w:tcW w:w="880" w:type="dxa"/>
            <w:tcMar>
              <w:left w:w="0" w:type="dxa"/>
              <w:right w:w="0" w:type="dxa"/>
            </w:tcMa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p>
        </w:tc>
      </w:tr>
    </w:tbl>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
          <w:bCs w:val="0"/>
          <w:color w:val="000000" w:themeColor="text1"/>
          <w:szCs w:val="24"/>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rPr>
      </w:pPr>
      <w:r w:rsidRPr="00476FC9">
        <w:rPr>
          <w:rFonts w:eastAsia="맑은 고딕"/>
          <w:b/>
          <w:bCs w:val="0"/>
          <w:color w:val="000000" w:themeColor="text1"/>
          <w:szCs w:val="24"/>
        </w:rPr>
        <w:t>Q24)</w:t>
      </w:r>
      <w:r w:rsidRPr="00476FC9">
        <w:rPr>
          <w:rFonts w:eastAsia="맑은 고딕"/>
          <w:bCs w:val="0"/>
          <w:color w:val="000000" w:themeColor="text1"/>
          <w:szCs w:val="24"/>
        </w:rPr>
        <w:t xml:space="preserve"> If you experience the adverse reactions of </w:t>
      </w:r>
      <w:r w:rsidR="00EB1FEC" w:rsidRPr="00476FC9">
        <w:rPr>
          <w:rFonts w:eastAsia="맑은 고딕"/>
          <w:bCs w:val="0"/>
          <w:color w:val="000000" w:themeColor="text1"/>
          <w:szCs w:val="24"/>
        </w:rPr>
        <w:t>Luminexell</w:t>
      </w:r>
      <w:r w:rsidRPr="00476FC9">
        <w:rPr>
          <w:rFonts w:eastAsia="맑은 고딕"/>
          <w:bCs w:val="0"/>
          <w:color w:val="000000" w:themeColor="text1"/>
          <w:szCs w:val="24"/>
        </w:rPr>
        <w:t xml:space="preserve">, how serious do you believe they would be? </w:t>
      </w:r>
    </w:p>
    <w:tbl>
      <w:tblPr>
        <w:tblStyle w:val="TableGrid3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8"/>
        <w:gridCol w:w="958"/>
        <w:gridCol w:w="960"/>
        <w:gridCol w:w="1885"/>
        <w:gridCol w:w="1582"/>
        <w:gridCol w:w="960"/>
        <w:gridCol w:w="1707"/>
      </w:tblGrid>
      <w:tr w:rsidR="00476FC9" w:rsidRPr="00476FC9" w:rsidTr="00650B0F">
        <w:tc>
          <w:tcPr>
            <w:tcW w:w="698"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r w:rsidRPr="00476FC9">
              <w:rPr>
                <w:rFonts w:eastAsia="맑은 고딕"/>
                <w:color w:val="000000" w:themeColor="text1"/>
                <w:szCs w:val="24"/>
              </w:rPr>
              <w:t xml:space="preserve">not at all </w:t>
            </w:r>
            <w:r w:rsidRPr="00476FC9">
              <w:rPr>
                <w:rFonts w:eastAsia="맑은 고딕"/>
                <w:color w:val="000000" w:themeColor="text1"/>
                <w:szCs w:val="24"/>
              </w:rPr>
              <w:lastRenderedPageBreak/>
              <w:t>serious</w:t>
            </w:r>
          </w:p>
        </w:tc>
        <w:tc>
          <w:tcPr>
            <w:tcW w:w="512"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p>
        </w:tc>
        <w:tc>
          <w:tcPr>
            <w:tcW w:w="513"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p>
        </w:tc>
        <w:tc>
          <w:tcPr>
            <w:tcW w:w="1007"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r w:rsidRPr="00476FC9">
              <w:rPr>
                <w:rFonts w:eastAsia="맑은 고딕"/>
                <w:color w:val="000000" w:themeColor="text1"/>
                <w:szCs w:val="24"/>
              </w:rPr>
              <w:t xml:space="preserve">moderately </w:t>
            </w:r>
            <w:r w:rsidRPr="00476FC9">
              <w:rPr>
                <w:rFonts w:eastAsia="맑은 고딕"/>
                <w:color w:val="000000" w:themeColor="text1"/>
                <w:szCs w:val="24"/>
              </w:rPr>
              <w:lastRenderedPageBreak/>
              <w:t>serious</w:t>
            </w:r>
          </w:p>
        </w:tc>
        <w:tc>
          <w:tcPr>
            <w:tcW w:w="845"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p>
        </w:tc>
        <w:tc>
          <w:tcPr>
            <w:tcW w:w="513"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p>
        </w:tc>
        <w:tc>
          <w:tcPr>
            <w:tcW w:w="913"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color w:val="000000" w:themeColor="text1"/>
                <w:szCs w:val="24"/>
              </w:rPr>
            </w:pPr>
            <w:r w:rsidRPr="00476FC9">
              <w:rPr>
                <w:rFonts w:eastAsia="맑은 고딕"/>
                <w:color w:val="000000" w:themeColor="text1"/>
                <w:szCs w:val="24"/>
              </w:rPr>
              <w:t xml:space="preserve">extremely </w:t>
            </w:r>
            <w:r w:rsidRPr="00476FC9">
              <w:rPr>
                <w:rFonts w:eastAsia="맑은 고딕"/>
                <w:color w:val="000000" w:themeColor="text1"/>
                <w:szCs w:val="24"/>
              </w:rPr>
              <w:lastRenderedPageBreak/>
              <w:t>serious</w:t>
            </w:r>
          </w:p>
        </w:tc>
      </w:tr>
      <w:tr w:rsidR="00650B0F" w:rsidRPr="00476FC9" w:rsidTr="00650B0F">
        <w:trPr>
          <w:trHeight w:val="297"/>
        </w:trPr>
        <w:tc>
          <w:tcPr>
            <w:tcW w:w="698"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lastRenderedPageBreak/>
              <w:t>1</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color w:val="000000" w:themeColor="text1"/>
                <w:szCs w:val="24"/>
                <w:lang w:eastAsia="en-US"/>
              </w:rPr>
              <w:t></w:t>
            </w:r>
          </w:p>
        </w:tc>
        <w:tc>
          <w:tcPr>
            <w:tcW w:w="512"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2</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color w:val="000000" w:themeColor="text1"/>
                <w:szCs w:val="24"/>
                <w:lang w:eastAsia="en-US"/>
              </w:rPr>
              <w:t></w:t>
            </w:r>
          </w:p>
        </w:tc>
        <w:tc>
          <w:tcPr>
            <w:tcW w:w="513"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3</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color w:val="000000" w:themeColor="text1"/>
                <w:szCs w:val="24"/>
                <w:lang w:eastAsia="en-US"/>
              </w:rPr>
              <w:t></w:t>
            </w:r>
          </w:p>
        </w:tc>
        <w:tc>
          <w:tcPr>
            <w:tcW w:w="1007"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4</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color w:val="000000" w:themeColor="text1"/>
                <w:szCs w:val="24"/>
                <w:lang w:eastAsia="en-US"/>
              </w:rPr>
              <w:t></w:t>
            </w:r>
          </w:p>
        </w:tc>
        <w:tc>
          <w:tcPr>
            <w:tcW w:w="845"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5</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color w:val="000000" w:themeColor="text1"/>
                <w:szCs w:val="24"/>
                <w:lang w:eastAsia="en-US"/>
              </w:rPr>
              <w:t></w:t>
            </w:r>
          </w:p>
        </w:tc>
        <w:tc>
          <w:tcPr>
            <w:tcW w:w="513"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6</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color w:val="000000" w:themeColor="text1"/>
                <w:szCs w:val="24"/>
                <w:lang w:eastAsia="en-US"/>
              </w:rPr>
              <w:t></w:t>
            </w:r>
          </w:p>
        </w:tc>
        <w:tc>
          <w:tcPr>
            <w:tcW w:w="913"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b/>
                <w:color w:val="000000" w:themeColor="text1"/>
                <w:szCs w:val="24"/>
              </w:rPr>
              <w:t>7</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맑은 고딕"/>
                <w:b/>
                <w:color w:val="000000" w:themeColor="text1"/>
                <w:szCs w:val="24"/>
              </w:rPr>
            </w:pPr>
            <w:r w:rsidRPr="00476FC9">
              <w:rPr>
                <w:rFonts w:eastAsia="맑은 고딕"/>
                <w:color w:val="000000" w:themeColor="text1"/>
                <w:szCs w:val="24"/>
                <w:lang w:eastAsia="en-US"/>
              </w:rPr>
              <w:t></w:t>
            </w:r>
          </w:p>
        </w:tc>
      </w:tr>
    </w:tbl>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Cs w:val="24"/>
          <w:lang w:eastAsia="en-US"/>
        </w:rPr>
      </w:pPr>
      <w:r w:rsidRPr="00476FC9">
        <w:rPr>
          <w:rFonts w:eastAsia="맑은 고딕"/>
          <w:b/>
          <w:color w:val="000000" w:themeColor="text1"/>
          <w:szCs w:val="24"/>
          <w:lang w:eastAsia="en-US"/>
        </w:rPr>
        <w:t>Q25)</w:t>
      </w:r>
      <w:r w:rsidRPr="00476FC9">
        <w:rPr>
          <w:rFonts w:eastAsia="맑은 고딕"/>
          <w:color w:val="000000" w:themeColor="text1"/>
          <w:szCs w:val="24"/>
          <w:lang w:eastAsia="en-US"/>
        </w:rPr>
        <w:t xml:space="preserve"> </w:t>
      </w:r>
      <w:r w:rsidRPr="00476FC9">
        <w:rPr>
          <w:color w:val="000000" w:themeColor="text1"/>
          <w:szCs w:val="24"/>
          <w:lang w:eastAsia="en-US"/>
        </w:rPr>
        <w:t xml:space="preserve">How safe </w:t>
      </w:r>
      <w:r w:rsidRPr="00476FC9">
        <w:rPr>
          <w:rFonts w:eastAsia="맑은 고딕"/>
          <w:color w:val="000000" w:themeColor="text1"/>
          <w:szCs w:val="24"/>
        </w:rPr>
        <w:t xml:space="preserve">would you say </w:t>
      </w:r>
      <w:r w:rsidR="00EB1FEC" w:rsidRPr="00476FC9">
        <w:rPr>
          <w:color w:val="000000" w:themeColor="text1"/>
          <w:szCs w:val="24"/>
          <w:lang w:eastAsia="en-US"/>
        </w:rPr>
        <w:t>Luminexell</w:t>
      </w:r>
      <w:r w:rsidRPr="00476FC9">
        <w:rPr>
          <w:color w:val="000000" w:themeColor="text1"/>
          <w:szCs w:val="24"/>
          <w:lang w:eastAsia="en-US"/>
        </w:rPr>
        <w:t xml:space="preserve"> is?</w:t>
      </w:r>
    </w:p>
    <w:tbl>
      <w:tblPr>
        <w:tblW w:w="0" w:type="auto"/>
        <w:tblLook w:val="04A0" w:firstRow="1" w:lastRow="0" w:firstColumn="1" w:lastColumn="0" w:noHBand="0" w:noVBand="1"/>
      </w:tblPr>
      <w:tblGrid>
        <w:gridCol w:w="1363"/>
        <w:gridCol w:w="1327"/>
        <w:gridCol w:w="1327"/>
        <w:gridCol w:w="1327"/>
        <w:gridCol w:w="1327"/>
        <w:gridCol w:w="1327"/>
        <w:gridCol w:w="1362"/>
      </w:tblGrid>
      <w:tr w:rsidR="00650B0F" w:rsidRPr="00476FC9" w:rsidTr="00650B0F">
        <w:tc>
          <w:tcPr>
            <w:tcW w:w="1363"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not at all safe</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1</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1327"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2</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1327"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3</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1327"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4</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1327"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5</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1327"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6</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1362"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extremely</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safe</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7</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r>
    </w:tbl>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color w:val="000000" w:themeColor="text1"/>
          <w:szCs w:val="24"/>
          <w:lang w:eastAsia="en-US"/>
        </w:rPr>
      </w:pPr>
      <w:r w:rsidRPr="00476FC9">
        <w:rPr>
          <w:rFonts w:eastAsia="맑은 고딕"/>
          <w:b/>
          <w:color w:val="000000" w:themeColor="text1"/>
          <w:szCs w:val="24"/>
          <w:lang w:eastAsia="en-US"/>
        </w:rPr>
        <w:t>Q26)</w:t>
      </w:r>
      <w:r w:rsidRPr="00476FC9">
        <w:rPr>
          <w:rFonts w:eastAsia="맑은 고딕"/>
          <w:color w:val="000000" w:themeColor="text1"/>
          <w:szCs w:val="24"/>
          <w:lang w:eastAsia="en-US"/>
        </w:rPr>
        <w:t xml:space="preserve"> If you were to use a prescription drug for treating depression, how likely would you be to choose </w:t>
      </w:r>
      <w:r w:rsidR="00EB1FEC" w:rsidRPr="00476FC9">
        <w:rPr>
          <w:rFonts w:eastAsia="맑은 고딕"/>
          <w:color w:val="000000" w:themeColor="text1"/>
          <w:szCs w:val="24"/>
          <w:lang w:eastAsia="en-US"/>
        </w:rPr>
        <w:t>Luminexell</w:t>
      </w:r>
      <w:r w:rsidRPr="00476FC9">
        <w:rPr>
          <w:rFonts w:eastAsia="맑은 고딕"/>
          <w:color w:val="000000" w:themeColor="text1"/>
          <w:szCs w:val="24"/>
          <w:lang w:eastAsia="en-US"/>
        </w:rPr>
        <w:t>?</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color w:val="000000" w:themeColor="text1"/>
          <w:szCs w:val="24"/>
          <w:lang w:eastAsia="en-US"/>
        </w:rPr>
      </w:pPr>
    </w:p>
    <w:tbl>
      <w:tblPr>
        <w:tblW w:w="0" w:type="auto"/>
        <w:tblLook w:val="04A0" w:firstRow="1" w:lastRow="0" w:firstColumn="1" w:lastColumn="0" w:noHBand="0" w:noVBand="1"/>
      </w:tblPr>
      <w:tblGrid>
        <w:gridCol w:w="1344"/>
        <w:gridCol w:w="1331"/>
        <w:gridCol w:w="1331"/>
        <w:gridCol w:w="1331"/>
        <w:gridCol w:w="1331"/>
        <w:gridCol w:w="1331"/>
        <w:gridCol w:w="1361"/>
      </w:tblGrid>
      <w:tr w:rsidR="00650B0F" w:rsidRPr="00476FC9" w:rsidTr="00650B0F">
        <w:tc>
          <w:tcPr>
            <w:tcW w:w="1344"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not at all likely</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1</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1331"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2</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1331"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3</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1331"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4</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1331"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5</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1331"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6</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1361" w:type="dxa"/>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extremely</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likely</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Times New Roman"/>
                <w:color w:val="000000" w:themeColor="text1"/>
                <w:szCs w:val="24"/>
                <w:lang w:eastAsia="en-US"/>
              </w:rPr>
              <w:t>7</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r>
    </w:tbl>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r w:rsidRPr="00476FC9">
        <w:rPr>
          <w:rFonts w:eastAsia="맑은 고딕"/>
          <w:b/>
          <w:color w:val="000000" w:themeColor="text1"/>
          <w:szCs w:val="24"/>
          <w:lang w:eastAsia="en-US"/>
        </w:rPr>
        <w:t xml:space="preserve">Q27) </w:t>
      </w:r>
      <w:r w:rsidRPr="00476FC9">
        <w:rPr>
          <w:rFonts w:eastAsia="맑은 고딕"/>
          <w:color w:val="000000" w:themeColor="text1"/>
          <w:szCs w:val="24"/>
          <w:lang w:eastAsia="en-US"/>
        </w:rPr>
        <w:t>Imagine that you t</w:t>
      </w:r>
      <w:r w:rsidRPr="00476FC9">
        <w:rPr>
          <w:rFonts w:eastAsia="맑은 고딕"/>
          <w:color w:val="000000" w:themeColor="text1"/>
          <w:szCs w:val="24"/>
        </w:rPr>
        <w:t>ake</w:t>
      </w:r>
      <w:r w:rsidRPr="00476FC9">
        <w:rPr>
          <w:rFonts w:eastAsia="맑은 고딕"/>
          <w:color w:val="000000" w:themeColor="text1"/>
          <w:szCs w:val="24"/>
          <w:lang w:eastAsia="en-US"/>
        </w:rPr>
        <w:t xml:space="preserve"> </w:t>
      </w:r>
      <w:r w:rsidR="00EB1FEC" w:rsidRPr="00476FC9">
        <w:rPr>
          <w:rFonts w:eastAsia="맑은 고딕"/>
          <w:color w:val="000000" w:themeColor="text1"/>
          <w:szCs w:val="24"/>
          <w:lang w:eastAsia="en-US"/>
        </w:rPr>
        <w:t>Luminexell</w:t>
      </w:r>
      <w:r w:rsidRPr="00476FC9">
        <w:rPr>
          <w:rFonts w:eastAsia="맑은 고딕"/>
          <w:bCs w:val="0"/>
          <w:color w:val="000000" w:themeColor="text1"/>
          <w:szCs w:val="24"/>
          <w:lang w:eastAsia="en-US"/>
        </w:rPr>
        <w:t xml:space="preserve"> </w:t>
      </w:r>
      <w:r w:rsidRPr="00476FC9">
        <w:rPr>
          <w:rFonts w:eastAsia="맑은 고딕"/>
          <w:bCs w:val="0"/>
          <w:color w:val="000000" w:themeColor="text1"/>
          <w:szCs w:val="24"/>
        </w:rPr>
        <w:t>to treat depression</w:t>
      </w:r>
      <w:r w:rsidRPr="00476FC9">
        <w:rPr>
          <w:rFonts w:eastAsia="맑은 고딕"/>
          <w:bCs w:val="0"/>
          <w:color w:val="000000" w:themeColor="text1"/>
          <w:szCs w:val="24"/>
          <w:lang w:eastAsia="en-US"/>
        </w:rPr>
        <w:t xml:space="preserve">. </w:t>
      </w:r>
      <w:r w:rsidRPr="00476FC9">
        <w:rPr>
          <w:rFonts w:eastAsia="Times New Roman"/>
          <w:color w:val="000000" w:themeColor="text1"/>
          <w:szCs w:val="24"/>
          <w:lang w:eastAsia="en-US"/>
        </w:rPr>
        <w:t>For each statement, please check a box to indicate your agreement.</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
          <w:color w:val="000000" w:themeColor="text1"/>
          <w:szCs w:val="24"/>
          <w:lang w:eastAsia="en-US"/>
        </w:rPr>
      </w:pPr>
    </w:p>
    <w:tbl>
      <w:tblPr>
        <w:tblW w:w="5045" w:type="pct"/>
        <w:jc w:val="center"/>
        <w:tblCellMar>
          <w:left w:w="57" w:type="dxa"/>
          <w:right w:w="57" w:type="dxa"/>
        </w:tblCellMar>
        <w:tblLook w:val="01E0" w:firstRow="1" w:lastRow="1" w:firstColumn="1" w:lastColumn="1" w:noHBand="0" w:noVBand="0"/>
      </w:tblPr>
      <w:tblGrid>
        <w:gridCol w:w="3126"/>
        <w:gridCol w:w="881"/>
        <w:gridCol w:w="856"/>
        <w:gridCol w:w="1088"/>
        <w:gridCol w:w="914"/>
        <w:gridCol w:w="1030"/>
        <w:gridCol w:w="706"/>
        <w:gridCol w:w="843"/>
      </w:tblGrid>
      <w:tr w:rsidR="00476FC9" w:rsidRPr="00476FC9" w:rsidTr="00650B0F">
        <w:trPr>
          <w:trHeight w:val="576"/>
          <w:jc w:val="center"/>
        </w:trPr>
        <w:tc>
          <w:tcPr>
            <w:tcW w:w="1697"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p>
        </w:tc>
        <w:tc>
          <w:tcPr>
            <w:tcW w:w="508" w:type="pct"/>
            <w:tcMar>
              <w:left w:w="28" w:type="dxa"/>
              <w:right w:w="28"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bCs w:val="0"/>
                <w:color w:val="000000" w:themeColor="text1"/>
                <w:szCs w:val="24"/>
                <w:lang w:eastAsia="en-US"/>
              </w:rPr>
              <w:t>strongly disagree</w:t>
            </w:r>
          </w:p>
        </w:tc>
        <w:tc>
          <w:tcPr>
            <w:tcW w:w="415" w:type="pct"/>
            <w:tcMar>
              <w:left w:w="28" w:type="dxa"/>
              <w:right w:w="28"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bCs w:val="0"/>
                <w:color w:val="000000" w:themeColor="text1"/>
                <w:szCs w:val="24"/>
                <w:lang w:eastAsia="en-US"/>
              </w:rPr>
              <w:t>disagree</w:t>
            </w:r>
          </w:p>
        </w:tc>
        <w:tc>
          <w:tcPr>
            <w:tcW w:w="503"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bCs w:val="0"/>
                <w:color w:val="000000" w:themeColor="text1"/>
                <w:szCs w:val="24"/>
                <w:lang w:eastAsia="en-US"/>
              </w:rPr>
              <w:t>somewhat disagree</w:t>
            </w:r>
          </w:p>
        </w:tc>
        <w:tc>
          <w:tcPr>
            <w:tcW w:w="517" w:type="pct"/>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bCs w:val="0"/>
                <w:color w:val="000000" w:themeColor="text1"/>
                <w:szCs w:val="24"/>
                <w:lang w:eastAsia="en-US"/>
              </w:rPr>
              <w:t>neither agree nor disagree</w:t>
            </w:r>
          </w:p>
        </w:tc>
        <w:tc>
          <w:tcPr>
            <w:tcW w:w="475" w:type="pct"/>
            <w:tcMar>
              <w:left w:w="28" w:type="dxa"/>
              <w:right w:w="28"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bCs w:val="0"/>
                <w:color w:val="000000" w:themeColor="text1"/>
                <w:szCs w:val="24"/>
                <w:lang w:eastAsia="en-US"/>
              </w:rPr>
              <w:t>somewhat agree</w:t>
            </w:r>
          </w:p>
        </w:tc>
        <w:tc>
          <w:tcPr>
            <w:tcW w:w="417" w:type="pct"/>
            <w:tcMar>
              <w:left w:w="28" w:type="dxa"/>
              <w:right w:w="28"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bCs w:val="0"/>
                <w:color w:val="000000" w:themeColor="text1"/>
                <w:szCs w:val="24"/>
                <w:lang w:eastAsia="en-US"/>
              </w:rPr>
              <w:t>agree</w:t>
            </w:r>
          </w:p>
        </w:tc>
        <w:tc>
          <w:tcPr>
            <w:tcW w:w="467" w:type="pct"/>
            <w:tcMar>
              <w:left w:w="28" w:type="dxa"/>
              <w:right w:w="28"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bCs w:val="0"/>
                <w:color w:val="000000" w:themeColor="text1"/>
                <w:szCs w:val="24"/>
                <w:lang w:eastAsia="en-US"/>
              </w:rPr>
              <w:t>strongly agree</w:t>
            </w:r>
          </w:p>
        </w:tc>
      </w:tr>
      <w:tr w:rsidR="00476FC9" w:rsidRPr="00476FC9" w:rsidTr="00650B0F">
        <w:trPr>
          <w:trHeight w:hRule="exact" w:val="819"/>
          <w:jc w:val="center"/>
        </w:trPr>
        <w:tc>
          <w:tcPr>
            <w:tcW w:w="1697" w:type="pct"/>
            <w:tcMar>
              <w:left w:w="113" w:type="dxa"/>
              <w:right w:w="113"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lang w:eastAsia="en-US"/>
              </w:rPr>
            </w:pPr>
            <w:r w:rsidRPr="00476FC9">
              <w:rPr>
                <w:rFonts w:eastAsia="Times New Roman"/>
                <w:color w:val="000000" w:themeColor="text1"/>
                <w:sz w:val="20"/>
                <w:szCs w:val="20"/>
                <w:lang w:eastAsia="en-US"/>
              </w:rPr>
              <w:t xml:space="preserve">I would like to learn more about the health risks of </w:t>
            </w:r>
            <w:r w:rsidR="00EB1FEC" w:rsidRPr="00476FC9">
              <w:rPr>
                <w:rFonts w:eastAsia="Times New Roman"/>
                <w:color w:val="000000" w:themeColor="text1"/>
                <w:sz w:val="20"/>
                <w:szCs w:val="20"/>
                <w:lang w:eastAsia="en-US"/>
              </w:rPr>
              <w:t>Luminexell</w:t>
            </w:r>
          </w:p>
        </w:tc>
        <w:tc>
          <w:tcPr>
            <w:tcW w:w="508"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415"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503"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517"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475"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417"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467"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r>
      <w:tr w:rsidR="00476FC9" w:rsidRPr="00476FC9" w:rsidTr="00650B0F">
        <w:trPr>
          <w:trHeight w:hRule="exact" w:val="1179"/>
          <w:jc w:val="center"/>
        </w:trPr>
        <w:tc>
          <w:tcPr>
            <w:tcW w:w="1697" w:type="pct"/>
            <w:tcMar>
              <w:left w:w="113" w:type="dxa"/>
              <w:right w:w="113"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 w:val="20"/>
                <w:szCs w:val="20"/>
                <w:lang w:eastAsia="en-US"/>
              </w:rPr>
            </w:pPr>
            <w:r w:rsidRPr="00476FC9">
              <w:rPr>
                <w:rFonts w:eastAsia="Times New Roman"/>
                <w:color w:val="000000" w:themeColor="text1"/>
                <w:sz w:val="20"/>
                <w:szCs w:val="20"/>
                <w:lang w:eastAsia="en-US"/>
              </w:rPr>
              <w:t xml:space="preserve">When I come across other useful information about the health risks of </w:t>
            </w:r>
            <w:r w:rsidR="00EB1FEC" w:rsidRPr="00476FC9">
              <w:rPr>
                <w:rFonts w:eastAsia="Times New Roman"/>
                <w:color w:val="000000" w:themeColor="text1"/>
                <w:sz w:val="20"/>
                <w:szCs w:val="20"/>
                <w:lang w:eastAsia="en-US"/>
              </w:rPr>
              <w:t>Luminexell</w:t>
            </w:r>
            <w:r w:rsidRPr="00476FC9">
              <w:rPr>
                <w:rFonts w:eastAsia="Times New Roman"/>
                <w:color w:val="000000" w:themeColor="text1"/>
                <w:sz w:val="20"/>
                <w:szCs w:val="20"/>
                <w:lang w:eastAsia="en-US"/>
              </w:rPr>
              <w:t>, I would like to retain it</w:t>
            </w:r>
          </w:p>
        </w:tc>
        <w:tc>
          <w:tcPr>
            <w:tcW w:w="508"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415"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503"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517"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475"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417"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467"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r>
      <w:tr w:rsidR="00650B0F" w:rsidRPr="00476FC9" w:rsidTr="00650B0F">
        <w:trPr>
          <w:trHeight w:hRule="exact" w:val="1323"/>
          <w:jc w:val="center"/>
        </w:trPr>
        <w:tc>
          <w:tcPr>
            <w:tcW w:w="1697" w:type="pct"/>
            <w:tcMar>
              <w:left w:w="113" w:type="dxa"/>
              <w:right w:w="113" w:type="dxa"/>
            </w:tcMar>
            <w:vAlign w:val="center"/>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color w:val="000000" w:themeColor="text1"/>
                <w:sz w:val="20"/>
                <w:szCs w:val="20"/>
                <w:lang w:eastAsia="en-US"/>
              </w:rPr>
            </w:pPr>
            <w:r w:rsidRPr="00476FC9">
              <w:rPr>
                <w:color w:val="000000" w:themeColor="text1"/>
                <w:sz w:val="20"/>
                <w:szCs w:val="20"/>
                <w:lang w:eastAsia="en-US"/>
              </w:rPr>
              <w:t xml:space="preserve">I would like to use various media sources to get more information about the health risks of </w:t>
            </w:r>
            <w:r w:rsidR="00EB1FEC" w:rsidRPr="00476FC9">
              <w:rPr>
                <w:color w:val="000000" w:themeColor="text1"/>
                <w:sz w:val="20"/>
                <w:szCs w:val="20"/>
                <w:lang w:eastAsia="en-US"/>
              </w:rPr>
              <w:t>Luminexell</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Times New Roman"/>
                <w:color w:val="000000" w:themeColor="text1"/>
                <w:sz w:val="20"/>
                <w:szCs w:val="20"/>
                <w:lang w:eastAsia="en-US"/>
              </w:rPr>
            </w:pPr>
          </w:p>
        </w:tc>
        <w:tc>
          <w:tcPr>
            <w:tcW w:w="508"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415"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503"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517"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475"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417"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c>
          <w:tcPr>
            <w:tcW w:w="467" w:type="pct"/>
          </w:tcPr>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jc w:val="center"/>
              <w:outlineLvl w:val="9"/>
              <w:rPr>
                <w:rFonts w:eastAsia="Times New Roman"/>
                <w:color w:val="000000" w:themeColor="text1"/>
                <w:szCs w:val="24"/>
                <w:lang w:eastAsia="en-US"/>
              </w:rPr>
            </w:pPr>
            <w:r w:rsidRPr="00476FC9">
              <w:rPr>
                <w:rFonts w:eastAsia="맑은 고딕"/>
                <w:color w:val="000000" w:themeColor="text1"/>
                <w:szCs w:val="24"/>
                <w:lang w:eastAsia="en-US"/>
              </w:rPr>
              <w:t></w:t>
            </w:r>
          </w:p>
        </w:tc>
      </w:tr>
    </w:tbl>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color w:val="000000" w:themeColor="text1"/>
          <w:szCs w:val="24"/>
          <w:lang w:eastAsia="en-US"/>
        </w:rPr>
      </w:pPr>
      <w:r w:rsidRPr="00476FC9">
        <w:rPr>
          <w:rFonts w:eastAsia="맑은 고딕"/>
          <w:b/>
          <w:color w:val="000000" w:themeColor="text1"/>
          <w:szCs w:val="24"/>
          <w:lang w:eastAsia="en-US"/>
        </w:rPr>
        <w:t>Q28)</w:t>
      </w:r>
      <w:r w:rsidRPr="00476FC9">
        <w:rPr>
          <w:rFonts w:eastAsia="맑은 고딕"/>
          <w:color w:val="000000" w:themeColor="text1"/>
          <w:szCs w:val="24"/>
          <w:lang w:eastAsia="en-US"/>
        </w:rPr>
        <w:t xml:space="preserve"> Please check your gender.  Female_____  Male_____</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color w:val="000000" w:themeColor="text1"/>
          <w:szCs w:val="24"/>
          <w:lang w:eastAsia="en-US"/>
        </w:rPr>
      </w:pPr>
      <w:r w:rsidRPr="00476FC9">
        <w:rPr>
          <w:rFonts w:eastAsia="맑은 고딕"/>
          <w:b/>
          <w:color w:val="000000" w:themeColor="text1"/>
          <w:szCs w:val="24"/>
          <w:lang w:eastAsia="en-US"/>
        </w:rPr>
        <w:t>Q29)</w:t>
      </w:r>
      <w:r w:rsidRPr="00476FC9">
        <w:rPr>
          <w:rFonts w:eastAsia="맑은 고딕"/>
          <w:color w:val="000000" w:themeColor="text1"/>
          <w:szCs w:val="24"/>
          <w:lang w:eastAsia="en-US"/>
        </w:rPr>
        <w:t xml:space="preserve"> How old are you?  ______ years old</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color w:val="000000" w:themeColor="text1"/>
          <w:szCs w:val="24"/>
          <w:lang w:eastAsia="en-US"/>
        </w:rPr>
      </w:pPr>
      <w:r w:rsidRPr="00476FC9">
        <w:rPr>
          <w:rFonts w:eastAsia="맑은 고딕"/>
          <w:b/>
          <w:color w:val="000000" w:themeColor="text1"/>
          <w:szCs w:val="24"/>
          <w:lang w:eastAsia="en-US"/>
        </w:rPr>
        <w:t>Q30)</w:t>
      </w:r>
      <w:r w:rsidRPr="00476FC9">
        <w:rPr>
          <w:rFonts w:eastAsia="맑은 고딕"/>
          <w:color w:val="000000" w:themeColor="text1"/>
          <w:szCs w:val="24"/>
          <w:lang w:eastAsia="en-US"/>
        </w:rPr>
        <w:t xml:space="preserve"> What is your ethnic background?   </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color w:val="000000" w:themeColor="text1"/>
          <w:szCs w:val="24"/>
          <w:lang w:eastAsia="en-US"/>
        </w:rPr>
      </w:pPr>
      <w:r w:rsidRPr="00476FC9">
        <w:rPr>
          <w:rFonts w:eastAsia="맑은 고딕"/>
          <w:color w:val="000000" w:themeColor="text1"/>
          <w:szCs w:val="24"/>
          <w:lang w:eastAsia="en-US"/>
        </w:rPr>
        <w:t>White, not Hispanic _____    Hispanic, of any race _____   Black, not Hispanic _____</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color w:val="000000" w:themeColor="text1"/>
          <w:szCs w:val="24"/>
          <w:lang w:eastAsia="en-US"/>
        </w:rPr>
      </w:pPr>
      <w:r w:rsidRPr="00476FC9">
        <w:rPr>
          <w:rFonts w:eastAsia="맑은 고딕"/>
          <w:color w:val="000000" w:themeColor="text1"/>
          <w:szCs w:val="24"/>
          <w:lang w:eastAsia="en-US"/>
        </w:rPr>
        <w:t xml:space="preserve">Asian or Pacific Islander ________   American Indian, Eskimo, or Aleut _______ </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color w:val="000000" w:themeColor="text1"/>
          <w:szCs w:val="24"/>
          <w:lang w:eastAsia="en-US"/>
        </w:rPr>
      </w:pPr>
      <w:r w:rsidRPr="00476FC9">
        <w:rPr>
          <w:rFonts w:eastAsia="맑은 고딕"/>
          <w:color w:val="000000" w:themeColor="text1"/>
          <w:szCs w:val="24"/>
          <w:lang w:eastAsia="en-US"/>
        </w:rPr>
        <w:t xml:space="preserve">Other (Please specify) _____   </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color w:val="000000" w:themeColor="text1"/>
          <w:szCs w:val="24"/>
          <w:lang w:eastAsia="en-US"/>
        </w:rPr>
      </w:pPr>
      <w:r w:rsidRPr="00476FC9">
        <w:rPr>
          <w:rFonts w:eastAsia="맑은 고딕"/>
          <w:b/>
          <w:color w:val="000000" w:themeColor="text1"/>
          <w:szCs w:val="24"/>
          <w:lang w:eastAsia="en-US"/>
        </w:rPr>
        <w:t>Q31)</w:t>
      </w:r>
      <w:r w:rsidRPr="00476FC9">
        <w:rPr>
          <w:rFonts w:eastAsia="맑은 고딕"/>
          <w:color w:val="000000" w:themeColor="text1"/>
          <w:szCs w:val="24"/>
          <w:lang w:eastAsia="en-US"/>
        </w:rPr>
        <w:t xml:space="preserve"> What is the highest level of education you received?</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color w:val="000000" w:themeColor="text1"/>
          <w:szCs w:val="24"/>
          <w:lang w:eastAsia="en-US"/>
        </w:rPr>
      </w:pPr>
    </w:p>
    <w:p w:rsidR="00650B0F" w:rsidRPr="00476FC9" w:rsidRDefault="00650B0F" w:rsidP="007D2ACE">
      <w:pPr>
        <w:keepNext w:val="0"/>
        <w:widowControl w:val="0"/>
        <w:numPr>
          <w:ilvl w:val="0"/>
          <w:numId w:val="25"/>
        </w:numPr>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Did not finish high school</w:t>
      </w:r>
    </w:p>
    <w:p w:rsidR="00650B0F" w:rsidRPr="00476FC9" w:rsidRDefault="00650B0F" w:rsidP="007D2ACE">
      <w:pPr>
        <w:keepNext w:val="0"/>
        <w:widowControl w:val="0"/>
        <w:numPr>
          <w:ilvl w:val="0"/>
          <w:numId w:val="25"/>
        </w:numPr>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Completed high school but no college education</w:t>
      </w:r>
    </w:p>
    <w:p w:rsidR="00650B0F" w:rsidRPr="00476FC9" w:rsidRDefault="00650B0F" w:rsidP="007D2ACE">
      <w:pPr>
        <w:keepNext w:val="0"/>
        <w:widowControl w:val="0"/>
        <w:numPr>
          <w:ilvl w:val="0"/>
          <w:numId w:val="25"/>
        </w:numPr>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Some college education but no degree</w:t>
      </w:r>
    </w:p>
    <w:p w:rsidR="00650B0F" w:rsidRPr="00476FC9" w:rsidRDefault="00650B0F" w:rsidP="007D2ACE">
      <w:pPr>
        <w:keepNext w:val="0"/>
        <w:widowControl w:val="0"/>
        <w:numPr>
          <w:ilvl w:val="0"/>
          <w:numId w:val="25"/>
        </w:numPr>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Associate’s degree (examples:  AA, AS)</w:t>
      </w:r>
    </w:p>
    <w:p w:rsidR="00650B0F" w:rsidRPr="00476FC9" w:rsidRDefault="00650B0F" w:rsidP="007D2ACE">
      <w:pPr>
        <w:keepNext w:val="0"/>
        <w:widowControl w:val="0"/>
        <w:numPr>
          <w:ilvl w:val="0"/>
          <w:numId w:val="25"/>
        </w:numPr>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Bachelor’s degree (examples:  BA, BS)</w:t>
      </w:r>
    </w:p>
    <w:p w:rsidR="00650B0F" w:rsidRPr="00476FC9" w:rsidRDefault="00650B0F" w:rsidP="007D2ACE">
      <w:pPr>
        <w:keepNext w:val="0"/>
        <w:widowControl w:val="0"/>
        <w:numPr>
          <w:ilvl w:val="0"/>
          <w:numId w:val="25"/>
        </w:numPr>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Attended graduate school but no degree</w:t>
      </w:r>
    </w:p>
    <w:p w:rsidR="00650B0F" w:rsidRPr="00476FC9" w:rsidRDefault="00650B0F" w:rsidP="007D2ACE">
      <w:pPr>
        <w:keepNext w:val="0"/>
        <w:widowControl w:val="0"/>
        <w:numPr>
          <w:ilvl w:val="0"/>
          <w:numId w:val="25"/>
        </w:numPr>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Master’s degree (examples: MA, MBA)</w:t>
      </w:r>
    </w:p>
    <w:p w:rsidR="00650B0F" w:rsidRPr="00476FC9" w:rsidRDefault="00650B0F" w:rsidP="007D2ACE">
      <w:pPr>
        <w:keepNext w:val="0"/>
        <w:widowControl w:val="0"/>
        <w:numPr>
          <w:ilvl w:val="0"/>
          <w:numId w:val="25"/>
        </w:numPr>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Professional degree (examples: JD, MD)</w:t>
      </w:r>
    </w:p>
    <w:p w:rsidR="00650B0F" w:rsidRPr="00476FC9" w:rsidRDefault="00650B0F" w:rsidP="007D2ACE">
      <w:pPr>
        <w:keepNext w:val="0"/>
        <w:widowControl w:val="0"/>
        <w:numPr>
          <w:ilvl w:val="0"/>
          <w:numId w:val="25"/>
        </w:numPr>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Doctorate degree (examples: PhD, EdD)</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
          <w:bCs w:val="0"/>
          <w:color w:val="000000" w:themeColor="text1"/>
          <w:szCs w:val="24"/>
          <w:lang w:eastAsia="en-US"/>
        </w:rPr>
        <w:t>Q32)</w:t>
      </w:r>
      <w:r w:rsidRPr="00476FC9">
        <w:rPr>
          <w:rFonts w:eastAsia="맑은 고딕"/>
          <w:bCs w:val="0"/>
          <w:color w:val="000000" w:themeColor="text1"/>
          <w:szCs w:val="24"/>
          <w:lang w:eastAsia="en-US"/>
        </w:rPr>
        <w:t xml:space="preserve"> What is your annual household income?</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p>
    <w:p w:rsidR="00650B0F" w:rsidRPr="00476FC9" w:rsidRDefault="00650B0F" w:rsidP="007D2ACE">
      <w:pPr>
        <w:keepNext w:val="0"/>
        <w:widowControl w:val="0"/>
        <w:numPr>
          <w:ilvl w:val="0"/>
          <w:numId w:val="24"/>
        </w:numPr>
        <w:kinsoku w:val="0"/>
        <w:overflowPunct w:val="0"/>
        <w:autoSpaceDE w:val="0"/>
        <w:autoSpaceDN w:val="0"/>
        <w:adjustRightInd w:val="0"/>
        <w:snapToGrid w:val="0"/>
        <w:spacing w:before="0" w:after="0" w:line="240" w:lineRule="auto"/>
        <w:outlineLvl w:val="9"/>
        <w:rPr>
          <w:rFonts w:ascii="Cambria Math" w:eastAsia="맑은 고딕" w:hAnsi="Cambria Math" w:cs="Cambria Math"/>
          <w:bCs w:val="0"/>
          <w:color w:val="000000" w:themeColor="text1"/>
          <w:szCs w:val="24"/>
          <w:lang w:eastAsia="en-US"/>
        </w:rPr>
      </w:pPr>
      <w:r w:rsidRPr="00476FC9">
        <w:rPr>
          <w:rFonts w:ascii="Cambria Math" w:eastAsia="맑은 고딕" w:hAnsi="Cambria Math" w:cs="Cambria Math"/>
          <w:bCs w:val="0"/>
          <w:color w:val="000000" w:themeColor="text1"/>
          <w:szCs w:val="24"/>
          <w:lang w:eastAsia="en-US"/>
        </w:rPr>
        <w:t>lower than $25,000</w:t>
      </w:r>
      <w:r w:rsidRPr="00476FC9">
        <w:rPr>
          <w:rFonts w:ascii="Cambria Math" w:eastAsia="맑은 고딕" w:hAnsi="Cambria Math" w:cs="Cambria Math"/>
          <w:bCs w:val="0"/>
          <w:color w:val="000000" w:themeColor="text1"/>
          <w:szCs w:val="24"/>
          <w:lang w:eastAsia="en-US"/>
        </w:rPr>
        <w:tab/>
      </w:r>
      <w:r w:rsidRPr="00476FC9">
        <w:rPr>
          <w:rFonts w:ascii="Cambria Math" w:eastAsia="맑은 고딕" w:hAnsi="Cambria Math" w:cs="Cambria Math"/>
          <w:bCs w:val="0"/>
          <w:color w:val="000000" w:themeColor="text1"/>
          <w:szCs w:val="24"/>
          <w:lang w:eastAsia="en-US"/>
        </w:rPr>
        <w:tab/>
      </w:r>
      <w:r w:rsidRPr="00476FC9">
        <w:rPr>
          <w:rFonts w:ascii="Cambria Math" w:eastAsia="맑은 고딕" w:hAnsi="Cambria Math" w:cs="Cambria Math"/>
          <w:bCs w:val="0"/>
          <w:color w:val="000000" w:themeColor="text1"/>
          <w:szCs w:val="24"/>
          <w:lang w:eastAsia="en-US"/>
        </w:rPr>
        <w:tab/>
      </w:r>
      <w:r w:rsidRPr="00476FC9">
        <w:rPr>
          <w:rFonts w:ascii="Cambria Math" w:eastAsia="맑은 고딕" w:hAnsi="Cambria Math" w:cs="Cambria Math"/>
          <w:bCs w:val="0"/>
          <w:color w:val="000000" w:themeColor="text1"/>
          <w:szCs w:val="24"/>
          <w:lang w:eastAsia="en-US"/>
        </w:rPr>
        <w:tab/>
      </w:r>
    </w:p>
    <w:p w:rsidR="00650B0F" w:rsidRPr="00476FC9" w:rsidRDefault="00650B0F" w:rsidP="007D2ACE">
      <w:pPr>
        <w:keepNext w:val="0"/>
        <w:widowControl w:val="0"/>
        <w:numPr>
          <w:ilvl w:val="0"/>
          <w:numId w:val="24"/>
        </w:numPr>
        <w:kinsoku w:val="0"/>
        <w:overflowPunct w:val="0"/>
        <w:autoSpaceDE w:val="0"/>
        <w:autoSpaceDN w:val="0"/>
        <w:adjustRightInd w:val="0"/>
        <w:snapToGrid w:val="0"/>
        <w:spacing w:before="0" w:after="0" w:line="240" w:lineRule="auto"/>
        <w:outlineLvl w:val="9"/>
        <w:rPr>
          <w:rFonts w:ascii="Cambria Math" w:eastAsia="맑은 고딕" w:hAnsi="Cambria Math" w:cs="Cambria Math"/>
          <w:bCs w:val="0"/>
          <w:color w:val="000000" w:themeColor="text1"/>
          <w:szCs w:val="24"/>
          <w:lang w:eastAsia="en-US"/>
        </w:rPr>
      </w:pPr>
      <w:r w:rsidRPr="00476FC9">
        <w:rPr>
          <w:rFonts w:ascii="Cambria Math" w:eastAsia="맑은 고딕" w:hAnsi="Cambria Math" w:cs="Cambria Math"/>
          <w:bCs w:val="0"/>
          <w:color w:val="000000" w:themeColor="text1"/>
          <w:szCs w:val="24"/>
          <w:lang w:eastAsia="en-US"/>
        </w:rPr>
        <w:t>$25,000 ~ $49,999</w:t>
      </w:r>
    </w:p>
    <w:p w:rsidR="00650B0F" w:rsidRPr="00476FC9" w:rsidRDefault="00650B0F" w:rsidP="007D2ACE">
      <w:pPr>
        <w:keepNext w:val="0"/>
        <w:widowControl w:val="0"/>
        <w:numPr>
          <w:ilvl w:val="0"/>
          <w:numId w:val="24"/>
        </w:numPr>
        <w:kinsoku w:val="0"/>
        <w:overflowPunct w:val="0"/>
        <w:autoSpaceDE w:val="0"/>
        <w:autoSpaceDN w:val="0"/>
        <w:adjustRightInd w:val="0"/>
        <w:snapToGrid w:val="0"/>
        <w:spacing w:before="0" w:after="0" w:line="240" w:lineRule="auto"/>
        <w:outlineLvl w:val="9"/>
        <w:rPr>
          <w:rFonts w:ascii="Cambria Math" w:eastAsia="맑은 고딕" w:hAnsi="Cambria Math" w:cs="Cambria Math"/>
          <w:bCs w:val="0"/>
          <w:color w:val="000000" w:themeColor="text1"/>
          <w:szCs w:val="24"/>
          <w:lang w:eastAsia="en-US"/>
        </w:rPr>
      </w:pPr>
      <w:r w:rsidRPr="00476FC9">
        <w:rPr>
          <w:rFonts w:ascii="Cambria Math" w:eastAsia="맑은 고딕" w:hAnsi="Cambria Math" w:cs="Cambria Math"/>
          <w:bCs w:val="0"/>
          <w:color w:val="000000" w:themeColor="text1"/>
          <w:szCs w:val="24"/>
          <w:lang w:eastAsia="en-US"/>
        </w:rPr>
        <w:t>$50,000 ~ $74,999</w:t>
      </w:r>
      <w:r w:rsidRPr="00476FC9">
        <w:rPr>
          <w:rFonts w:ascii="Cambria Math" w:eastAsia="맑은 고딕" w:hAnsi="Cambria Math" w:cs="Cambria Math"/>
          <w:bCs w:val="0"/>
          <w:color w:val="000000" w:themeColor="text1"/>
          <w:szCs w:val="24"/>
          <w:lang w:eastAsia="en-US"/>
        </w:rPr>
        <w:tab/>
      </w:r>
      <w:r w:rsidRPr="00476FC9">
        <w:rPr>
          <w:rFonts w:ascii="Cambria Math" w:eastAsia="맑은 고딕" w:hAnsi="Cambria Math" w:cs="Cambria Math"/>
          <w:bCs w:val="0"/>
          <w:color w:val="000000" w:themeColor="text1"/>
          <w:szCs w:val="24"/>
          <w:lang w:eastAsia="en-US"/>
        </w:rPr>
        <w:tab/>
      </w:r>
      <w:r w:rsidRPr="00476FC9">
        <w:rPr>
          <w:rFonts w:ascii="Cambria Math" w:eastAsia="맑은 고딕" w:hAnsi="Cambria Math" w:cs="Cambria Math"/>
          <w:bCs w:val="0"/>
          <w:color w:val="000000" w:themeColor="text1"/>
          <w:szCs w:val="24"/>
          <w:lang w:eastAsia="en-US"/>
        </w:rPr>
        <w:tab/>
      </w:r>
    </w:p>
    <w:p w:rsidR="00650B0F" w:rsidRPr="00476FC9" w:rsidRDefault="00650B0F" w:rsidP="007D2ACE">
      <w:pPr>
        <w:keepNext w:val="0"/>
        <w:widowControl w:val="0"/>
        <w:numPr>
          <w:ilvl w:val="0"/>
          <w:numId w:val="24"/>
        </w:numPr>
        <w:kinsoku w:val="0"/>
        <w:overflowPunct w:val="0"/>
        <w:autoSpaceDE w:val="0"/>
        <w:autoSpaceDN w:val="0"/>
        <w:adjustRightInd w:val="0"/>
        <w:snapToGrid w:val="0"/>
        <w:spacing w:before="0" w:after="0" w:line="240" w:lineRule="auto"/>
        <w:outlineLvl w:val="9"/>
        <w:rPr>
          <w:rFonts w:ascii="Cambria Math" w:eastAsia="맑은 고딕" w:hAnsi="Cambria Math" w:cs="Cambria Math"/>
          <w:bCs w:val="0"/>
          <w:color w:val="000000" w:themeColor="text1"/>
          <w:szCs w:val="24"/>
          <w:lang w:eastAsia="en-US"/>
        </w:rPr>
      </w:pPr>
      <w:r w:rsidRPr="00476FC9">
        <w:rPr>
          <w:rFonts w:ascii="Cambria Math" w:eastAsia="맑은 고딕" w:hAnsi="Cambria Math" w:cs="Cambria Math"/>
          <w:bCs w:val="0"/>
          <w:color w:val="000000" w:themeColor="text1"/>
          <w:szCs w:val="24"/>
          <w:lang w:eastAsia="en-US"/>
        </w:rPr>
        <w:t>$75,000 ~ $99,999</w:t>
      </w:r>
    </w:p>
    <w:p w:rsidR="00650B0F" w:rsidRPr="00476FC9" w:rsidRDefault="00650B0F" w:rsidP="007D2ACE">
      <w:pPr>
        <w:keepNext w:val="0"/>
        <w:widowControl w:val="0"/>
        <w:numPr>
          <w:ilvl w:val="0"/>
          <w:numId w:val="24"/>
        </w:numPr>
        <w:kinsoku w:val="0"/>
        <w:overflowPunct w:val="0"/>
        <w:autoSpaceDE w:val="0"/>
        <w:autoSpaceDN w:val="0"/>
        <w:adjustRightInd w:val="0"/>
        <w:snapToGrid w:val="0"/>
        <w:spacing w:before="0" w:after="0" w:line="240" w:lineRule="auto"/>
        <w:outlineLvl w:val="9"/>
        <w:rPr>
          <w:rFonts w:ascii="Cambria Math" w:eastAsia="맑은 고딕" w:hAnsi="Cambria Math" w:cs="Cambria Math"/>
          <w:bCs w:val="0"/>
          <w:color w:val="000000" w:themeColor="text1"/>
          <w:szCs w:val="24"/>
          <w:lang w:eastAsia="en-US"/>
        </w:rPr>
      </w:pPr>
      <w:r w:rsidRPr="00476FC9">
        <w:rPr>
          <w:rFonts w:ascii="Cambria Math" w:eastAsia="맑은 고딕" w:hAnsi="Cambria Math" w:cs="Cambria Math"/>
          <w:bCs w:val="0"/>
          <w:color w:val="000000" w:themeColor="text1"/>
          <w:szCs w:val="24"/>
          <w:lang w:eastAsia="en-US"/>
        </w:rPr>
        <w:t>$100,000 ~ $149,999</w:t>
      </w:r>
      <w:r w:rsidRPr="00476FC9">
        <w:rPr>
          <w:rFonts w:ascii="Cambria Math" w:eastAsia="맑은 고딕" w:hAnsi="Cambria Math" w:cs="Cambria Math"/>
          <w:bCs w:val="0"/>
          <w:color w:val="000000" w:themeColor="text1"/>
          <w:szCs w:val="24"/>
          <w:lang w:eastAsia="en-US"/>
        </w:rPr>
        <w:tab/>
      </w:r>
      <w:r w:rsidRPr="00476FC9">
        <w:rPr>
          <w:rFonts w:ascii="Cambria Math" w:eastAsia="맑은 고딕" w:hAnsi="Cambria Math" w:cs="Cambria Math"/>
          <w:bCs w:val="0"/>
          <w:color w:val="000000" w:themeColor="text1"/>
          <w:szCs w:val="24"/>
          <w:lang w:eastAsia="en-US"/>
        </w:rPr>
        <w:tab/>
      </w:r>
    </w:p>
    <w:p w:rsidR="00650B0F" w:rsidRPr="00476FC9" w:rsidRDefault="00650B0F" w:rsidP="007D2ACE">
      <w:pPr>
        <w:keepNext w:val="0"/>
        <w:widowControl w:val="0"/>
        <w:numPr>
          <w:ilvl w:val="0"/>
          <w:numId w:val="24"/>
        </w:numPr>
        <w:kinsoku w:val="0"/>
        <w:overflowPunct w:val="0"/>
        <w:autoSpaceDE w:val="0"/>
        <w:autoSpaceDN w:val="0"/>
        <w:adjustRightInd w:val="0"/>
        <w:snapToGrid w:val="0"/>
        <w:spacing w:before="0" w:after="0" w:line="240" w:lineRule="auto"/>
        <w:outlineLvl w:val="9"/>
        <w:rPr>
          <w:rFonts w:ascii="Cambria Math" w:eastAsia="맑은 고딕" w:hAnsi="Cambria Math" w:cs="Cambria Math"/>
          <w:bCs w:val="0"/>
          <w:color w:val="000000" w:themeColor="text1"/>
          <w:szCs w:val="24"/>
          <w:lang w:eastAsia="en-US"/>
        </w:rPr>
      </w:pPr>
      <w:r w:rsidRPr="00476FC9">
        <w:rPr>
          <w:rFonts w:ascii="Cambria Math" w:eastAsia="맑은 고딕" w:hAnsi="Cambria Math" w:cs="Cambria Math"/>
          <w:bCs w:val="0"/>
          <w:color w:val="000000" w:themeColor="text1"/>
          <w:szCs w:val="24"/>
          <w:lang w:eastAsia="en-US"/>
        </w:rPr>
        <w:t>$150,000 or higher</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ascii="Cambria Math" w:eastAsia="맑은 고딕" w:hAnsi="Cambria Math" w:cs="Cambria Math"/>
          <w:bCs w:val="0"/>
          <w:color w:val="000000" w:themeColor="text1"/>
          <w:szCs w:val="24"/>
          <w:lang w:eastAsia="en-US"/>
        </w:rPr>
      </w:pP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
          <w:bCs w:val="0"/>
          <w:color w:val="000000" w:themeColor="text1"/>
          <w:szCs w:val="24"/>
          <w:lang w:eastAsia="en-US"/>
        </w:rPr>
        <w:t>Q33)</w:t>
      </w:r>
      <w:r w:rsidRPr="00476FC9">
        <w:rPr>
          <w:rFonts w:ascii="Cambria Math" w:eastAsia="맑은 고딕" w:hAnsi="Cambria Math" w:cs="Cambria Math"/>
          <w:bCs w:val="0"/>
          <w:color w:val="000000" w:themeColor="text1"/>
          <w:szCs w:val="24"/>
          <w:lang w:eastAsia="en-US"/>
        </w:rPr>
        <w:t xml:space="preserve"> </w:t>
      </w:r>
      <w:r w:rsidRPr="00476FC9">
        <w:rPr>
          <w:rFonts w:eastAsia="맑은 고딕"/>
          <w:bCs w:val="0"/>
          <w:color w:val="000000" w:themeColor="text1"/>
          <w:szCs w:val="24"/>
          <w:lang w:eastAsia="en-US"/>
        </w:rPr>
        <w:t>What type of device did you use to participate in this survey?</w:t>
      </w:r>
    </w:p>
    <w:p w:rsidR="00650B0F" w:rsidRPr="00476FC9" w:rsidRDefault="00650B0F" w:rsidP="007D2ACE">
      <w:pPr>
        <w:keepNext w:val="0"/>
        <w:widowControl w:val="0"/>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p>
    <w:p w:rsidR="00650B0F" w:rsidRPr="00476FC9" w:rsidRDefault="00650B0F" w:rsidP="007D2ACE">
      <w:pPr>
        <w:keepNext w:val="0"/>
        <w:widowControl w:val="0"/>
        <w:numPr>
          <w:ilvl w:val="0"/>
          <w:numId w:val="28"/>
        </w:numPr>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Smartphone</w:t>
      </w:r>
    </w:p>
    <w:p w:rsidR="00650B0F" w:rsidRPr="00476FC9" w:rsidRDefault="00650B0F" w:rsidP="007D2ACE">
      <w:pPr>
        <w:keepNext w:val="0"/>
        <w:widowControl w:val="0"/>
        <w:numPr>
          <w:ilvl w:val="0"/>
          <w:numId w:val="28"/>
        </w:numPr>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Tablet PC</w:t>
      </w:r>
    </w:p>
    <w:p w:rsidR="00650B0F" w:rsidRPr="00476FC9" w:rsidRDefault="00650B0F" w:rsidP="007D2ACE">
      <w:pPr>
        <w:keepNext w:val="0"/>
        <w:widowControl w:val="0"/>
        <w:numPr>
          <w:ilvl w:val="0"/>
          <w:numId w:val="28"/>
        </w:numPr>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Laptop computer</w:t>
      </w:r>
    </w:p>
    <w:p w:rsidR="00650B0F" w:rsidRPr="00476FC9" w:rsidRDefault="00650B0F" w:rsidP="007D2ACE">
      <w:pPr>
        <w:keepNext w:val="0"/>
        <w:widowControl w:val="0"/>
        <w:numPr>
          <w:ilvl w:val="0"/>
          <w:numId w:val="28"/>
        </w:numPr>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 xml:space="preserve">Desktop computer </w:t>
      </w:r>
    </w:p>
    <w:p w:rsidR="00650B0F" w:rsidRPr="00476FC9" w:rsidRDefault="00650B0F" w:rsidP="007D2ACE">
      <w:pPr>
        <w:keepNext w:val="0"/>
        <w:widowControl w:val="0"/>
        <w:numPr>
          <w:ilvl w:val="0"/>
          <w:numId w:val="28"/>
        </w:numPr>
        <w:kinsoku w:val="0"/>
        <w:overflowPunct w:val="0"/>
        <w:autoSpaceDE w:val="0"/>
        <w:autoSpaceDN w:val="0"/>
        <w:adjustRightInd w:val="0"/>
        <w:snapToGrid w:val="0"/>
        <w:spacing w:before="0" w:after="0" w:line="240" w:lineRule="auto"/>
        <w:outlineLvl w:val="9"/>
        <w:rPr>
          <w:rFonts w:eastAsia="맑은 고딕"/>
          <w:bCs w:val="0"/>
          <w:color w:val="000000" w:themeColor="text1"/>
          <w:szCs w:val="24"/>
          <w:lang w:eastAsia="en-US"/>
        </w:rPr>
      </w:pPr>
      <w:r w:rsidRPr="00476FC9">
        <w:rPr>
          <w:rFonts w:eastAsia="맑은 고딕"/>
          <w:bCs w:val="0"/>
          <w:color w:val="000000" w:themeColor="text1"/>
          <w:szCs w:val="24"/>
          <w:lang w:eastAsia="en-US"/>
        </w:rPr>
        <w:t>Other __________________(please specify)</w:t>
      </w:r>
    </w:p>
    <w:p w:rsidR="00023EE3" w:rsidRPr="00476FC9" w:rsidRDefault="00023EE3" w:rsidP="007D2ACE">
      <w:pPr>
        <w:keepNext w:val="0"/>
        <w:widowControl w:val="0"/>
        <w:kinsoku w:val="0"/>
        <w:overflowPunct w:val="0"/>
        <w:autoSpaceDE w:val="0"/>
        <w:autoSpaceDN w:val="0"/>
        <w:adjustRightInd w:val="0"/>
        <w:snapToGrid w:val="0"/>
        <w:spacing w:before="0" w:after="0" w:line="240" w:lineRule="auto"/>
        <w:outlineLvl w:val="9"/>
        <w:rPr>
          <w:rFonts w:cs="Arial"/>
          <w:bCs w:val="0"/>
          <w:iCs/>
          <w:color w:val="000000" w:themeColor="text1"/>
        </w:rPr>
      </w:pPr>
      <w:r w:rsidRPr="00476FC9">
        <w:rPr>
          <w:color w:val="000000" w:themeColor="text1"/>
        </w:rPr>
        <w:br w:type="page"/>
      </w:r>
    </w:p>
    <w:p w:rsidR="00C879A3" w:rsidRPr="00476FC9" w:rsidRDefault="002216BA" w:rsidP="007D2ACE">
      <w:pPr>
        <w:pStyle w:val="Heading2"/>
        <w:rPr>
          <w:rFonts w:eastAsiaTheme="minorEastAsia"/>
          <w:color w:val="000000" w:themeColor="text1"/>
        </w:rPr>
      </w:pPr>
      <w:bookmarkStart w:id="68" w:name="_Toc393800699"/>
      <w:r w:rsidRPr="00476FC9">
        <w:rPr>
          <w:color w:val="000000" w:themeColor="text1"/>
        </w:rPr>
        <w:lastRenderedPageBreak/>
        <w:t xml:space="preserve">Appendix </w:t>
      </w:r>
      <w:r w:rsidR="009D3070" w:rsidRPr="00476FC9">
        <w:rPr>
          <w:color w:val="000000" w:themeColor="text1"/>
        </w:rPr>
        <w:t>B</w:t>
      </w:r>
      <w:r w:rsidRPr="00476FC9">
        <w:rPr>
          <w:color w:val="000000" w:themeColor="text1"/>
        </w:rPr>
        <w:t xml:space="preserve">: </w:t>
      </w:r>
      <w:r w:rsidR="003004CF" w:rsidRPr="00476FC9">
        <w:rPr>
          <w:color w:val="000000" w:themeColor="text1"/>
        </w:rPr>
        <w:t>Low</w:t>
      </w:r>
      <w:r w:rsidR="00650B0F" w:rsidRPr="00476FC9">
        <w:rPr>
          <w:color w:val="000000" w:themeColor="text1"/>
        </w:rPr>
        <w:t xml:space="preserve"> Prominence Ad Stimul</w:t>
      </w:r>
      <w:r w:rsidR="00A777C6" w:rsidRPr="00476FC9">
        <w:rPr>
          <w:rFonts w:eastAsiaTheme="minorEastAsia" w:hint="eastAsia"/>
          <w:color w:val="000000" w:themeColor="text1"/>
        </w:rPr>
        <w:t>us</w:t>
      </w:r>
      <w:bookmarkEnd w:id="68"/>
    </w:p>
    <w:p w:rsidR="00A926FF" w:rsidRPr="00476FC9" w:rsidRDefault="00650B0F" w:rsidP="007D2ACE">
      <w:pPr>
        <w:keepNext w:val="0"/>
        <w:widowControl w:val="0"/>
        <w:kinsoku w:val="0"/>
        <w:overflowPunct w:val="0"/>
        <w:autoSpaceDE w:val="0"/>
        <w:autoSpaceDN w:val="0"/>
        <w:adjustRightInd w:val="0"/>
        <w:snapToGrid w:val="0"/>
        <w:jc w:val="center"/>
        <w:rPr>
          <w:color w:val="000000" w:themeColor="text1"/>
        </w:rPr>
      </w:pPr>
      <w:r w:rsidRPr="00476FC9">
        <w:rPr>
          <w:noProof/>
          <w:color w:val="000000" w:themeColor="text1"/>
        </w:rPr>
        <w:drawing>
          <wp:inline distT="0" distB="0" distL="0" distR="0" wp14:anchorId="7ED79ED0" wp14:editId="30F48E2B">
            <wp:extent cx="4961744" cy="6667344"/>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imuli 2014-03-13 v2_bottom prominence 4 by 6 W 172 dpi.jpg"/>
                    <pic:cNvPicPr/>
                  </pic:nvPicPr>
                  <pic:blipFill>
                    <a:blip r:embed="rId24">
                      <a:extLst>
                        <a:ext uri="{28A0092B-C50C-407E-A947-70E740481C1C}">
                          <a14:useLocalDpi xmlns:a14="http://schemas.microsoft.com/office/drawing/2010/main" val="0"/>
                        </a:ext>
                      </a:extLst>
                    </a:blip>
                    <a:stretch>
                      <a:fillRect/>
                    </a:stretch>
                  </pic:blipFill>
                  <pic:spPr>
                    <a:xfrm>
                      <a:off x="0" y="0"/>
                      <a:ext cx="4977600" cy="6688650"/>
                    </a:xfrm>
                    <a:prstGeom prst="rect">
                      <a:avLst/>
                    </a:prstGeom>
                  </pic:spPr>
                </pic:pic>
              </a:graphicData>
            </a:graphic>
          </wp:inline>
        </w:drawing>
      </w:r>
    </w:p>
    <w:p w:rsidR="00023EE3" w:rsidRPr="00476FC9" w:rsidRDefault="00023EE3" w:rsidP="007D2ACE">
      <w:pPr>
        <w:keepNext w:val="0"/>
        <w:widowControl w:val="0"/>
        <w:kinsoku w:val="0"/>
        <w:overflowPunct w:val="0"/>
        <w:autoSpaceDE w:val="0"/>
        <w:autoSpaceDN w:val="0"/>
        <w:adjustRightInd w:val="0"/>
        <w:snapToGrid w:val="0"/>
        <w:spacing w:before="0" w:after="0" w:line="240" w:lineRule="auto"/>
        <w:outlineLvl w:val="9"/>
        <w:rPr>
          <w:rStyle w:val="Emphasis"/>
          <w:rFonts w:cs="Arial"/>
          <w:bCs w:val="0"/>
          <w:i w:val="0"/>
          <w:iCs w:val="0"/>
          <w:color w:val="000000" w:themeColor="text1"/>
        </w:rPr>
      </w:pPr>
      <w:r w:rsidRPr="00476FC9">
        <w:rPr>
          <w:rStyle w:val="Emphasis"/>
          <w:i w:val="0"/>
          <w:color w:val="000000" w:themeColor="text1"/>
        </w:rPr>
        <w:br w:type="page"/>
      </w:r>
    </w:p>
    <w:p w:rsidR="002465D0" w:rsidRPr="00476FC9" w:rsidRDefault="00650B0F" w:rsidP="007D2ACE">
      <w:pPr>
        <w:pStyle w:val="Heading2"/>
        <w:rPr>
          <w:rStyle w:val="Emphasis"/>
          <w:rFonts w:eastAsiaTheme="minorEastAsia"/>
          <w:i w:val="0"/>
          <w:color w:val="000000" w:themeColor="text1"/>
        </w:rPr>
      </w:pPr>
      <w:bookmarkStart w:id="69" w:name="_Toc393800700"/>
      <w:r w:rsidRPr="00476FC9">
        <w:rPr>
          <w:rStyle w:val="Emphasis"/>
          <w:i w:val="0"/>
          <w:color w:val="000000" w:themeColor="text1"/>
        </w:rPr>
        <w:lastRenderedPageBreak/>
        <w:t xml:space="preserve">Appendix </w:t>
      </w:r>
      <w:r w:rsidR="003004CF" w:rsidRPr="00476FC9">
        <w:rPr>
          <w:rStyle w:val="Emphasis"/>
          <w:i w:val="0"/>
          <w:color w:val="000000" w:themeColor="text1"/>
        </w:rPr>
        <w:t>C</w:t>
      </w:r>
      <w:r w:rsidRPr="00476FC9">
        <w:rPr>
          <w:rStyle w:val="Emphasis"/>
          <w:i w:val="0"/>
          <w:color w:val="000000" w:themeColor="text1"/>
        </w:rPr>
        <w:t>: High Prominence Ad Stimul</w:t>
      </w:r>
      <w:r w:rsidR="00A777C6" w:rsidRPr="00476FC9">
        <w:rPr>
          <w:rStyle w:val="Emphasis"/>
          <w:rFonts w:eastAsiaTheme="minorEastAsia" w:hint="eastAsia"/>
          <w:i w:val="0"/>
          <w:color w:val="000000" w:themeColor="text1"/>
        </w:rPr>
        <w:t>us</w:t>
      </w:r>
      <w:bookmarkEnd w:id="69"/>
    </w:p>
    <w:p w:rsidR="00650B0F" w:rsidRPr="00476FC9" w:rsidRDefault="00650B0F" w:rsidP="007D2ACE">
      <w:pPr>
        <w:keepNext w:val="0"/>
        <w:widowControl w:val="0"/>
        <w:kinsoku w:val="0"/>
        <w:overflowPunct w:val="0"/>
        <w:autoSpaceDE w:val="0"/>
        <w:autoSpaceDN w:val="0"/>
        <w:adjustRightInd w:val="0"/>
        <w:snapToGrid w:val="0"/>
        <w:jc w:val="center"/>
        <w:rPr>
          <w:rStyle w:val="Emphasis"/>
          <w:i w:val="0"/>
          <w:iCs w:val="0"/>
          <w:color w:val="000000" w:themeColor="text1"/>
        </w:rPr>
      </w:pPr>
      <w:r w:rsidRPr="00476FC9">
        <w:rPr>
          <w:noProof/>
          <w:color w:val="000000" w:themeColor="text1"/>
        </w:rPr>
        <w:drawing>
          <wp:inline distT="0" distB="0" distL="0" distR="0" wp14:anchorId="30FEE429" wp14:editId="3D83B8E2">
            <wp:extent cx="4953027" cy="665563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timuli 2014-03-13 v2_high prominence 4 by 6 W 172 dpi.jpg"/>
                    <pic:cNvPicPr/>
                  </pic:nvPicPr>
                  <pic:blipFill>
                    <a:blip r:embed="rId25">
                      <a:extLst>
                        <a:ext uri="{28A0092B-C50C-407E-A947-70E740481C1C}">
                          <a14:useLocalDpi xmlns:a14="http://schemas.microsoft.com/office/drawing/2010/main" val="0"/>
                        </a:ext>
                      </a:extLst>
                    </a:blip>
                    <a:stretch>
                      <a:fillRect/>
                    </a:stretch>
                  </pic:blipFill>
                  <pic:spPr>
                    <a:xfrm>
                      <a:off x="0" y="0"/>
                      <a:ext cx="4970666" cy="6679336"/>
                    </a:xfrm>
                    <a:prstGeom prst="rect">
                      <a:avLst/>
                    </a:prstGeom>
                  </pic:spPr>
                </pic:pic>
              </a:graphicData>
            </a:graphic>
          </wp:inline>
        </w:drawing>
      </w:r>
    </w:p>
    <w:p w:rsidR="00023EE3" w:rsidRPr="00476FC9" w:rsidRDefault="00023EE3" w:rsidP="007D2ACE">
      <w:pPr>
        <w:keepNext w:val="0"/>
        <w:widowControl w:val="0"/>
        <w:kinsoku w:val="0"/>
        <w:overflowPunct w:val="0"/>
        <w:autoSpaceDE w:val="0"/>
        <w:autoSpaceDN w:val="0"/>
        <w:adjustRightInd w:val="0"/>
        <w:snapToGrid w:val="0"/>
        <w:spacing w:before="0" w:after="0" w:line="240" w:lineRule="auto"/>
        <w:outlineLvl w:val="9"/>
        <w:rPr>
          <w:rStyle w:val="Emphasis"/>
          <w:rFonts w:cs="Arial"/>
          <w:bCs w:val="0"/>
          <w:i w:val="0"/>
          <w:iCs w:val="0"/>
          <w:color w:val="000000" w:themeColor="text1"/>
        </w:rPr>
      </w:pPr>
      <w:r w:rsidRPr="00476FC9">
        <w:rPr>
          <w:rStyle w:val="Emphasis"/>
          <w:i w:val="0"/>
          <w:color w:val="000000" w:themeColor="text1"/>
        </w:rPr>
        <w:br w:type="page"/>
      </w:r>
    </w:p>
    <w:p w:rsidR="009220E9" w:rsidRPr="00476FC9" w:rsidRDefault="009220E9" w:rsidP="007D2ACE">
      <w:pPr>
        <w:pStyle w:val="Heading2"/>
        <w:rPr>
          <w:rStyle w:val="Emphasis"/>
          <w:rFonts w:eastAsiaTheme="minorEastAsia"/>
          <w:i w:val="0"/>
          <w:color w:val="000000" w:themeColor="text1"/>
        </w:rPr>
      </w:pPr>
      <w:bookmarkStart w:id="70" w:name="_Toc393800701"/>
      <w:r w:rsidRPr="00476FC9">
        <w:rPr>
          <w:rStyle w:val="Emphasis"/>
          <w:i w:val="0"/>
          <w:color w:val="000000" w:themeColor="text1"/>
        </w:rPr>
        <w:lastRenderedPageBreak/>
        <w:t xml:space="preserve">Appendix D: </w:t>
      </w:r>
      <w:r w:rsidR="0089611D" w:rsidRPr="00476FC9">
        <w:rPr>
          <w:rStyle w:val="Emphasis"/>
          <w:rFonts w:eastAsiaTheme="minorEastAsia" w:hint="eastAsia"/>
          <w:i w:val="0"/>
          <w:color w:val="000000" w:themeColor="text1"/>
        </w:rPr>
        <w:t>Exploratory</w:t>
      </w:r>
      <w:r w:rsidRPr="00476FC9">
        <w:rPr>
          <w:rStyle w:val="Emphasis"/>
          <w:i w:val="0"/>
          <w:color w:val="000000" w:themeColor="text1"/>
        </w:rPr>
        <w:t xml:space="preserve"> Ad Stimul</w:t>
      </w:r>
      <w:r w:rsidR="00A777C6" w:rsidRPr="00476FC9">
        <w:rPr>
          <w:rStyle w:val="Emphasis"/>
          <w:i w:val="0"/>
          <w:color w:val="000000" w:themeColor="text1"/>
        </w:rPr>
        <w:t>us</w:t>
      </w:r>
      <w:bookmarkEnd w:id="70"/>
    </w:p>
    <w:p w:rsidR="0040499C" w:rsidRPr="00476FC9" w:rsidRDefault="009220E9" w:rsidP="007D2ACE">
      <w:pPr>
        <w:keepNext w:val="0"/>
        <w:widowControl w:val="0"/>
        <w:kinsoku w:val="0"/>
        <w:overflowPunct w:val="0"/>
        <w:autoSpaceDE w:val="0"/>
        <w:autoSpaceDN w:val="0"/>
        <w:adjustRightInd w:val="0"/>
        <w:snapToGrid w:val="0"/>
        <w:jc w:val="center"/>
        <w:rPr>
          <w:color w:val="000000" w:themeColor="text1"/>
        </w:rPr>
      </w:pPr>
      <w:r w:rsidRPr="00476FC9">
        <w:rPr>
          <w:noProof/>
          <w:color w:val="000000" w:themeColor="text1"/>
        </w:rPr>
        <w:drawing>
          <wp:inline distT="0" distB="0" distL="0" distR="0" wp14:anchorId="01589497" wp14:editId="3E491A34">
            <wp:extent cx="4946754" cy="6647204"/>
            <wp:effectExtent l="0" t="0" r="635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timuli 2014-03-13 v2_low prominence 4 by 6 W 172 dpi.jpg"/>
                    <pic:cNvPicPr/>
                  </pic:nvPicPr>
                  <pic:blipFill>
                    <a:blip r:embed="rId26">
                      <a:extLst>
                        <a:ext uri="{28A0092B-C50C-407E-A947-70E740481C1C}">
                          <a14:useLocalDpi xmlns:a14="http://schemas.microsoft.com/office/drawing/2010/main" val="0"/>
                        </a:ext>
                      </a:extLst>
                    </a:blip>
                    <a:stretch>
                      <a:fillRect/>
                    </a:stretch>
                  </pic:blipFill>
                  <pic:spPr>
                    <a:xfrm>
                      <a:off x="0" y="0"/>
                      <a:ext cx="4974529" cy="6684526"/>
                    </a:xfrm>
                    <a:prstGeom prst="rect">
                      <a:avLst/>
                    </a:prstGeom>
                  </pic:spPr>
                </pic:pic>
              </a:graphicData>
            </a:graphic>
          </wp:inline>
        </w:drawing>
      </w:r>
    </w:p>
    <w:p w:rsidR="00023EE3" w:rsidRPr="00476FC9" w:rsidRDefault="00023EE3" w:rsidP="007D2ACE">
      <w:pPr>
        <w:keepNext w:val="0"/>
        <w:widowControl w:val="0"/>
        <w:kinsoku w:val="0"/>
        <w:overflowPunct w:val="0"/>
        <w:autoSpaceDE w:val="0"/>
        <w:autoSpaceDN w:val="0"/>
        <w:adjustRightInd w:val="0"/>
        <w:snapToGrid w:val="0"/>
        <w:spacing w:before="0" w:after="0" w:line="240" w:lineRule="auto"/>
        <w:outlineLvl w:val="9"/>
        <w:rPr>
          <w:rFonts w:cs="Arial"/>
          <w:bCs w:val="0"/>
          <w:iCs/>
          <w:color w:val="000000" w:themeColor="text1"/>
          <w:szCs w:val="24"/>
        </w:rPr>
      </w:pPr>
      <w:r w:rsidRPr="00476FC9">
        <w:rPr>
          <w:color w:val="000000" w:themeColor="text1"/>
        </w:rPr>
        <w:br w:type="page"/>
      </w:r>
    </w:p>
    <w:p w:rsidR="00236E6D" w:rsidRPr="00476FC9" w:rsidRDefault="00817BF8" w:rsidP="007D2ACE">
      <w:pPr>
        <w:pStyle w:val="Heading1"/>
        <w:rPr>
          <w:color w:val="000000" w:themeColor="text1"/>
        </w:rPr>
      </w:pPr>
      <w:bookmarkStart w:id="71" w:name="_Toc393800702"/>
      <w:r w:rsidRPr="00476FC9">
        <w:rPr>
          <w:color w:val="000000" w:themeColor="text1"/>
        </w:rPr>
        <w:lastRenderedPageBreak/>
        <w:t>VITA</w:t>
      </w:r>
      <w:bookmarkEnd w:id="71"/>
    </w:p>
    <w:p w:rsidR="00023EE3" w:rsidRPr="00476FC9" w:rsidRDefault="00023EE3" w:rsidP="007D2ACE">
      <w:pPr>
        <w:keepNext w:val="0"/>
        <w:widowControl w:val="0"/>
        <w:kinsoku w:val="0"/>
        <w:overflowPunct w:val="0"/>
        <w:autoSpaceDE w:val="0"/>
        <w:autoSpaceDN w:val="0"/>
        <w:adjustRightInd w:val="0"/>
        <w:snapToGrid w:val="0"/>
        <w:rPr>
          <w:color w:val="000000" w:themeColor="text1"/>
        </w:rPr>
      </w:pPr>
      <w:r w:rsidRPr="00476FC9">
        <w:rPr>
          <w:color w:val="000000" w:themeColor="text1"/>
        </w:rPr>
        <w:tab/>
        <w:t>Ilwoo Ju is an Assistant Professor of Advertising at Saint Louis University. Prior to joining the SL</w:t>
      </w:r>
      <w:r w:rsidR="00D90C81" w:rsidRPr="00476FC9">
        <w:rPr>
          <w:color w:val="000000" w:themeColor="text1"/>
        </w:rPr>
        <w:t>U</w:t>
      </w:r>
      <w:r w:rsidR="00037CF4">
        <w:rPr>
          <w:color w:val="000000" w:themeColor="text1"/>
        </w:rPr>
        <w:t xml:space="preserve"> faculty in 2014, he served as a faculty member </w:t>
      </w:r>
      <w:r w:rsidRPr="00476FC9">
        <w:rPr>
          <w:color w:val="000000" w:themeColor="text1"/>
        </w:rPr>
        <w:t>at the University of Akron</w:t>
      </w:r>
      <w:r w:rsidR="00037CF4">
        <w:rPr>
          <w:color w:val="000000" w:themeColor="text1"/>
        </w:rPr>
        <w:t xml:space="preserve"> Communication</w:t>
      </w:r>
      <w:r w:rsidRPr="00476FC9">
        <w:rPr>
          <w:color w:val="000000" w:themeColor="text1"/>
        </w:rPr>
        <w:t xml:space="preserve"> </w:t>
      </w:r>
      <w:r w:rsidR="00037CF4">
        <w:rPr>
          <w:color w:val="000000" w:themeColor="text1"/>
        </w:rPr>
        <w:t xml:space="preserve">Department </w:t>
      </w:r>
      <w:r w:rsidRPr="00476FC9">
        <w:rPr>
          <w:color w:val="000000" w:themeColor="text1"/>
        </w:rPr>
        <w:t xml:space="preserve">from 2013 to 2014. In addition, he was a </w:t>
      </w:r>
      <w:r w:rsidR="007A1D21" w:rsidRPr="00476FC9">
        <w:rPr>
          <w:color w:val="000000" w:themeColor="text1"/>
        </w:rPr>
        <w:t>G</w:t>
      </w:r>
      <w:r w:rsidRPr="00476FC9">
        <w:rPr>
          <w:color w:val="000000" w:themeColor="text1"/>
        </w:rPr>
        <w:t xml:space="preserve">raduate </w:t>
      </w:r>
      <w:r w:rsidR="007A1D21" w:rsidRPr="00476FC9">
        <w:rPr>
          <w:color w:val="000000" w:themeColor="text1"/>
        </w:rPr>
        <w:t>T</w:t>
      </w:r>
      <w:r w:rsidRPr="00476FC9">
        <w:rPr>
          <w:color w:val="000000" w:themeColor="text1"/>
        </w:rPr>
        <w:t xml:space="preserve">eaching </w:t>
      </w:r>
      <w:r w:rsidR="00F4586F">
        <w:rPr>
          <w:color w:val="000000" w:themeColor="text1"/>
        </w:rPr>
        <w:t xml:space="preserve">and Research </w:t>
      </w:r>
      <w:r w:rsidR="007A1D21" w:rsidRPr="00476FC9">
        <w:rPr>
          <w:color w:val="000000" w:themeColor="text1"/>
        </w:rPr>
        <w:t>A</w:t>
      </w:r>
      <w:r w:rsidRPr="00476FC9">
        <w:rPr>
          <w:color w:val="000000" w:themeColor="text1"/>
        </w:rPr>
        <w:t>ssociate</w:t>
      </w:r>
      <w:r w:rsidR="00037CF4">
        <w:rPr>
          <w:color w:val="000000" w:themeColor="text1"/>
        </w:rPr>
        <w:t xml:space="preserve"> at the University of Tennessee </w:t>
      </w:r>
      <w:r w:rsidR="00FD59B8">
        <w:rPr>
          <w:color w:val="000000" w:themeColor="text1"/>
        </w:rPr>
        <w:t>Communication College</w:t>
      </w:r>
      <w:r w:rsidRPr="00476FC9">
        <w:rPr>
          <w:color w:val="000000" w:themeColor="text1"/>
        </w:rPr>
        <w:t xml:space="preserve"> from 2009 to 2013. Ilwoo began his </w:t>
      </w:r>
      <w:r w:rsidR="007A1D21" w:rsidRPr="00476FC9">
        <w:rPr>
          <w:color w:val="000000" w:themeColor="text1"/>
        </w:rPr>
        <w:t xml:space="preserve">higher </w:t>
      </w:r>
      <w:r w:rsidRPr="00476FC9">
        <w:rPr>
          <w:color w:val="000000" w:themeColor="text1"/>
        </w:rPr>
        <w:t>education at Dankook University in Seoul, South Korea, where he earned his B.A.</w:t>
      </w:r>
      <w:r w:rsidR="00807C06">
        <w:rPr>
          <w:color w:val="000000" w:themeColor="text1"/>
        </w:rPr>
        <w:t xml:space="preserve"> degree </w:t>
      </w:r>
      <w:r w:rsidRPr="00476FC9">
        <w:rPr>
          <w:color w:val="000000" w:themeColor="text1"/>
        </w:rPr>
        <w:t>in Journalism and Mass Communication</w:t>
      </w:r>
      <w:r w:rsidR="009411CF" w:rsidRPr="00476FC9">
        <w:rPr>
          <w:color w:val="000000" w:themeColor="text1"/>
        </w:rPr>
        <w:t xml:space="preserve"> in 2007</w:t>
      </w:r>
      <w:r w:rsidRPr="00476FC9">
        <w:rPr>
          <w:color w:val="000000" w:themeColor="text1"/>
        </w:rPr>
        <w:t xml:space="preserve">. </w:t>
      </w:r>
      <w:r w:rsidR="00CA42F9" w:rsidRPr="00476FC9">
        <w:rPr>
          <w:color w:val="000000" w:themeColor="text1"/>
        </w:rPr>
        <w:t xml:space="preserve">During the period of </w:t>
      </w:r>
      <w:r w:rsidRPr="00476FC9">
        <w:rPr>
          <w:color w:val="000000" w:themeColor="text1"/>
        </w:rPr>
        <w:t>his B.</w:t>
      </w:r>
      <w:r w:rsidR="00CA42F9" w:rsidRPr="00476FC9">
        <w:rPr>
          <w:color w:val="000000" w:themeColor="text1"/>
        </w:rPr>
        <w:t>A.</w:t>
      </w:r>
      <w:r w:rsidR="00807C06">
        <w:rPr>
          <w:color w:val="000000" w:themeColor="text1"/>
        </w:rPr>
        <w:t xml:space="preserve"> study</w:t>
      </w:r>
      <w:r w:rsidR="00CA42F9" w:rsidRPr="00476FC9">
        <w:rPr>
          <w:color w:val="000000" w:themeColor="text1"/>
        </w:rPr>
        <w:t xml:space="preserve">, he </w:t>
      </w:r>
      <w:r w:rsidR="00807C06">
        <w:rPr>
          <w:color w:val="000000" w:themeColor="text1"/>
        </w:rPr>
        <w:t xml:space="preserve">served as </w:t>
      </w:r>
      <w:r w:rsidR="00CA42F9" w:rsidRPr="00476FC9">
        <w:rPr>
          <w:color w:val="000000" w:themeColor="text1"/>
        </w:rPr>
        <w:t xml:space="preserve">a squad leader </w:t>
      </w:r>
      <w:r w:rsidR="00AC7C56">
        <w:rPr>
          <w:color w:val="000000" w:themeColor="text1"/>
        </w:rPr>
        <w:t>at</w:t>
      </w:r>
      <w:r w:rsidR="00CA42F9" w:rsidRPr="00476FC9">
        <w:rPr>
          <w:color w:val="000000" w:themeColor="text1"/>
        </w:rPr>
        <w:t xml:space="preserve"> the 28</w:t>
      </w:r>
      <w:r w:rsidR="00CA42F9" w:rsidRPr="00476FC9">
        <w:rPr>
          <w:color w:val="000000" w:themeColor="text1"/>
          <w:vertAlign w:val="superscript"/>
        </w:rPr>
        <w:t>th</w:t>
      </w:r>
      <w:r w:rsidR="00CA42F9" w:rsidRPr="00476FC9">
        <w:rPr>
          <w:color w:val="000000" w:themeColor="text1"/>
        </w:rPr>
        <w:t xml:space="preserve"> </w:t>
      </w:r>
      <w:r w:rsidR="00AC7C56" w:rsidRPr="00476FC9">
        <w:rPr>
          <w:color w:val="000000" w:themeColor="text1"/>
        </w:rPr>
        <w:t xml:space="preserve">Republic of Korea Army </w:t>
      </w:r>
      <w:r w:rsidR="007A1D21" w:rsidRPr="00476FC9">
        <w:rPr>
          <w:color w:val="000000" w:themeColor="text1"/>
        </w:rPr>
        <w:t>I</w:t>
      </w:r>
      <w:r w:rsidR="00CA42F9" w:rsidRPr="00476FC9">
        <w:rPr>
          <w:color w:val="000000" w:themeColor="text1"/>
        </w:rPr>
        <w:t xml:space="preserve">nfantry </w:t>
      </w:r>
      <w:r w:rsidR="007A1D21" w:rsidRPr="00476FC9">
        <w:rPr>
          <w:color w:val="000000" w:themeColor="text1"/>
        </w:rPr>
        <w:t>D</w:t>
      </w:r>
      <w:r w:rsidR="00CA42F9" w:rsidRPr="00476FC9">
        <w:rPr>
          <w:color w:val="000000" w:themeColor="text1"/>
        </w:rPr>
        <w:t xml:space="preserve">ivision’s </w:t>
      </w:r>
      <w:r w:rsidR="007A1D21" w:rsidRPr="00476FC9">
        <w:rPr>
          <w:color w:val="000000" w:themeColor="text1"/>
        </w:rPr>
        <w:t>T</w:t>
      </w:r>
      <w:r w:rsidR="00CA42F9" w:rsidRPr="00476FC9">
        <w:rPr>
          <w:color w:val="000000" w:themeColor="text1"/>
        </w:rPr>
        <w:t xml:space="preserve">actical </w:t>
      </w:r>
      <w:r w:rsidR="007A1D21" w:rsidRPr="00476FC9">
        <w:rPr>
          <w:color w:val="000000" w:themeColor="text1"/>
        </w:rPr>
        <w:t>C</w:t>
      </w:r>
      <w:r w:rsidR="00CA42F9" w:rsidRPr="00476FC9">
        <w:rPr>
          <w:color w:val="000000" w:themeColor="text1"/>
        </w:rPr>
        <w:t xml:space="preserve">ommunications </w:t>
      </w:r>
      <w:r w:rsidR="007A1D21" w:rsidRPr="00476FC9">
        <w:rPr>
          <w:color w:val="000000" w:themeColor="text1"/>
        </w:rPr>
        <w:t>B</w:t>
      </w:r>
      <w:r w:rsidR="00CA42F9" w:rsidRPr="00476FC9">
        <w:rPr>
          <w:color w:val="000000" w:themeColor="text1"/>
        </w:rPr>
        <w:t>attalion from 2001</w:t>
      </w:r>
      <w:r w:rsidR="00226779">
        <w:rPr>
          <w:color w:val="000000" w:themeColor="text1"/>
        </w:rPr>
        <w:t xml:space="preserve"> to 2</w:t>
      </w:r>
      <w:r w:rsidR="00CA42F9" w:rsidRPr="00476FC9">
        <w:rPr>
          <w:color w:val="000000" w:themeColor="text1"/>
        </w:rPr>
        <w:t>003. After h</w:t>
      </w:r>
      <w:r w:rsidR="00AC7C56">
        <w:rPr>
          <w:color w:val="000000" w:themeColor="text1"/>
        </w:rPr>
        <w:t>e</w:t>
      </w:r>
      <w:r w:rsidR="00CA42F9" w:rsidRPr="00476FC9">
        <w:rPr>
          <w:color w:val="000000" w:themeColor="text1"/>
        </w:rPr>
        <w:t xml:space="preserve"> </w:t>
      </w:r>
      <w:r w:rsidR="00AC7C56">
        <w:rPr>
          <w:color w:val="000000" w:themeColor="text1"/>
        </w:rPr>
        <w:t xml:space="preserve">completed his </w:t>
      </w:r>
      <w:r w:rsidR="00CA42F9" w:rsidRPr="00476FC9">
        <w:rPr>
          <w:color w:val="000000" w:themeColor="text1"/>
        </w:rPr>
        <w:t xml:space="preserve">B.A. </w:t>
      </w:r>
      <w:r w:rsidR="00AC7C56">
        <w:rPr>
          <w:color w:val="000000" w:themeColor="text1"/>
        </w:rPr>
        <w:t>study,</w:t>
      </w:r>
      <w:r w:rsidR="00CA42F9" w:rsidRPr="00476FC9">
        <w:rPr>
          <w:color w:val="000000" w:themeColor="text1"/>
        </w:rPr>
        <w:t xml:space="preserve"> he worked as a marketing </w:t>
      </w:r>
      <w:r w:rsidR="001371B3">
        <w:rPr>
          <w:color w:val="000000" w:themeColor="text1"/>
        </w:rPr>
        <w:t>analyst</w:t>
      </w:r>
      <w:r w:rsidR="00B862C6">
        <w:rPr>
          <w:color w:val="000000" w:themeColor="text1"/>
        </w:rPr>
        <w:t xml:space="preserve"> and </w:t>
      </w:r>
      <w:r w:rsidR="00B862C6">
        <w:rPr>
          <w:color w:val="000000" w:themeColor="text1"/>
        </w:rPr>
        <w:t>planner</w:t>
      </w:r>
      <w:r w:rsidR="001371B3">
        <w:rPr>
          <w:color w:val="000000" w:themeColor="text1"/>
        </w:rPr>
        <w:t xml:space="preserve"> </w:t>
      </w:r>
      <w:r w:rsidR="00CA42F9" w:rsidRPr="00476FC9">
        <w:rPr>
          <w:color w:val="000000" w:themeColor="text1"/>
        </w:rPr>
        <w:t>in the services marketing business from 2006-2007, particularly serving as a</w:t>
      </w:r>
      <w:r w:rsidR="00B862C6">
        <w:rPr>
          <w:color w:val="000000" w:themeColor="text1"/>
        </w:rPr>
        <w:t>n</w:t>
      </w:r>
      <w:r w:rsidR="00CA42F9" w:rsidRPr="00476FC9">
        <w:rPr>
          <w:color w:val="000000" w:themeColor="text1"/>
        </w:rPr>
        <w:t xml:space="preserve"> integrated marketing communications</w:t>
      </w:r>
      <w:r w:rsidR="00B862C6">
        <w:rPr>
          <w:color w:val="000000" w:themeColor="text1"/>
        </w:rPr>
        <w:t xml:space="preserve"> planner</w:t>
      </w:r>
      <w:r w:rsidR="00D259B5" w:rsidRPr="00476FC9">
        <w:rPr>
          <w:color w:val="000000" w:themeColor="text1"/>
        </w:rPr>
        <w:t>,</w:t>
      </w:r>
      <w:r w:rsidR="00CA42F9" w:rsidRPr="00476FC9">
        <w:rPr>
          <w:color w:val="000000" w:themeColor="text1"/>
        </w:rPr>
        <w:t xml:space="preserve"> until entering the Grady College of Journalism and Mass communicat</w:t>
      </w:r>
      <w:r w:rsidR="00AF3B46" w:rsidRPr="00476FC9">
        <w:rPr>
          <w:color w:val="000000" w:themeColor="text1"/>
        </w:rPr>
        <w:t xml:space="preserve">ion </w:t>
      </w:r>
      <w:r w:rsidR="00E90DB3" w:rsidRPr="00476FC9">
        <w:rPr>
          <w:color w:val="000000" w:themeColor="text1"/>
        </w:rPr>
        <w:t>at the University of Georgia</w:t>
      </w:r>
      <w:r w:rsidR="002C5B9A" w:rsidRPr="00476FC9">
        <w:rPr>
          <w:color w:val="000000" w:themeColor="text1"/>
        </w:rPr>
        <w:t xml:space="preserve"> in 2007,</w:t>
      </w:r>
      <w:r w:rsidR="00E90DB3" w:rsidRPr="00476FC9">
        <w:rPr>
          <w:color w:val="000000" w:themeColor="text1"/>
        </w:rPr>
        <w:t xml:space="preserve"> </w:t>
      </w:r>
      <w:r w:rsidR="00AF3B46" w:rsidRPr="00476FC9">
        <w:rPr>
          <w:color w:val="000000" w:themeColor="text1"/>
        </w:rPr>
        <w:t xml:space="preserve">with a focus on Advertising. In 2009, he </w:t>
      </w:r>
      <w:r w:rsidR="00B862C6">
        <w:rPr>
          <w:color w:val="000000" w:themeColor="text1"/>
        </w:rPr>
        <w:t xml:space="preserve">earned his M. A. degree from the University of Georgia Advertising Department and then </w:t>
      </w:r>
      <w:r w:rsidR="00AF3B46" w:rsidRPr="00476FC9">
        <w:rPr>
          <w:color w:val="000000" w:themeColor="text1"/>
        </w:rPr>
        <w:t>entered the Advertising doctoral program in the College of Communication and Information at the University of Tennessee</w:t>
      </w:r>
      <w:r w:rsidR="00B2336B" w:rsidRPr="00476FC9">
        <w:rPr>
          <w:color w:val="000000" w:themeColor="text1"/>
        </w:rPr>
        <w:t>-Knoxville</w:t>
      </w:r>
      <w:r w:rsidR="00AF3B46" w:rsidRPr="00476FC9">
        <w:rPr>
          <w:color w:val="000000" w:themeColor="text1"/>
        </w:rPr>
        <w:t>.</w:t>
      </w:r>
    </w:p>
    <w:sectPr w:rsidR="00023EE3" w:rsidRPr="00476FC9" w:rsidSect="0064517F">
      <w:pgSz w:w="12240" w:h="15840" w:code="1"/>
      <w:pgMar w:top="1440" w:right="1440" w:bottom="1440" w:left="1440" w:header="0" w:footer="144" w:gutter="0"/>
      <w:pgNumType w:chapStyle="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2860" w:rsidRDefault="003D2860" w:rsidP="00F258FA">
      <w:r>
        <w:separator/>
      </w:r>
    </w:p>
    <w:p w:rsidR="003D2860" w:rsidRDefault="003D2860" w:rsidP="00F258FA"/>
    <w:p w:rsidR="003D2860" w:rsidRDefault="003D2860" w:rsidP="00F258FA"/>
    <w:p w:rsidR="003D2860" w:rsidRDefault="003D2860"/>
  </w:endnote>
  <w:endnote w:type="continuationSeparator" w:id="0">
    <w:p w:rsidR="003D2860" w:rsidRDefault="003D2860" w:rsidP="00F258FA">
      <w:r>
        <w:continuationSeparator/>
      </w:r>
    </w:p>
    <w:p w:rsidR="003D2860" w:rsidRDefault="003D2860" w:rsidP="00F258FA"/>
    <w:p w:rsidR="003D2860" w:rsidRDefault="003D2860" w:rsidP="00F258FA"/>
    <w:p w:rsidR="003D2860" w:rsidRDefault="003D2860"/>
  </w:endnote>
  <w:endnote w:type="continuationNotice" w:id="1">
    <w:p w:rsidR="003D2860" w:rsidRDefault="003D2860">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2AF" w:usb1="09D77CFB" w:usb2="00000012" w:usb3="00000000" w:csb0="0008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TSYN">
    <w:altName w:val="바탕"/>
    <w:panose1 w:val="00000000000000000000"/>
    <w:charset w:val="81"/>
    <w:family w:val="auto"/>
    <w:notTrueType/>
    <w:pitch w:val="default"/>
    <w:sig w:usb0="00000001" w:usb1="09060000" w:usb2="00000010" w:usb3="00000000" w:csb0="00080000" w:csb1="00000000"/>
  </w:font>
  <w:font w:name="바탕체">
    <w:panose1 w:val="02030609000101010101"/>
    <w:charset w:val="81"/>
    <w:family w:val="roman"/>
    <w:pitch w:val="fixed"/>
    <w:sig w:usb0="B00002AF" w:usb1="69D77CFB" w:usb2="00000030" w:usb3="00000000" w:csb0="0008009F" w:csb1="00000000"/>
  </w:font>
  <w:font w:name="RMTMI">
    <w:altName w:val="바탕"/>
    <w:panose1 w:val="00000000000000000000"/>
    <w:charset w:val="81"/>
    <w:family w:val="auto"/>
    <w:notTrueType/>
    <w:pitch w:val="default"/>
    <w:sig w:usb0="00000001" w:usb1="09060000" w:usb2="00000010" w:usb3="00000000" w:csb0="00080000" w:csb1="00000000"/>
  </w:font>
  <w:font w:name="AdvSTP_PSTimR">
    <w:altName w:val="바탕"/>
    <w:panose1 w:val="00000000000000000000"/>
    <w:charset w:val="81"/>
    <w:family w:val="auto"/>
    <w:notTrueType/>
    <w:pitch w:val="default"/>
    <w:sig w:usb0="00000001" w:usb1="09060000" w:usb2="00000010" w:usb3="00000000" w:csb0="0008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7CF4" w:rsidRDefault="00037CF4" w:rsidP="00F245B5">
    <w:pPr>
      <w:pStyle w:val="Footer"/>
      <w:spacing w:before="0" w:after="0"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2860" w:rsidRDefault="003D2860" w:rsidP="00F258FA">
      <w:r>
        <w:separator/>
      </w:r>
    </w:p>
    <w:p w:rsidR="003D2860" w:rsidRDefault="003D2860" w:rsidP="00F258FA"/>
    <w:p w:rsidR="003D2860" w:rsidRDefault="003D2860" w:rsidP="00F258FA"/>
    <w:p w:rsidR="003D2860" w:rsidRDefault="003D2860"/>
  </w:footnote>
  <w:footnote w:type="continuationSeparator" w:id="0">
    <w:p w:rsidR="003D2860" w:rsidRDefault="003D2860" w:rsidP="00F258FA">
      <w:r>
        <w:continuationSeparator/>
      </w:r>
    </w:p>
    <w:p w:rsidR="003D2860" w:rsidRDefault="003D2860" w:rsidP="00F258FA"/>
    <w:p w:rsidR="003D2860" w:rsidRDefault="003D2860" w:rsidP="00F258FA"/>
    <w:p w:rsidR="003D2860" w:rsidRDefault="003D2860"/>
  </w:footnote>
  <w:footnote w:type="continuationNotice" w:id="1">
    <w:p w:rsidR="003D2860" w:rsidRDefault="003D2860">
      <w:pPr>
        <w:spacing w:before="0" w:after="0" w:line="240" w:lineRule="auto"/>
      </w:pPr>
    </w:p>
  </w:footnote>
  <w:footnote w:id="2">
    <w:p w:rsidR="00037CF4" w:rsidRDefault="00037CF4" w:rsidP="00C05A09">
      <w:pPr>
        <w:pStyle w:val="FootnoteText"/>
        <w:keepNext w:val="0"/>
        <w:widowControl w:val="0"/>
        <w:kinsoku w:val="0"/>
        <w:overflowPunct w:val="0"/>
        <w:autoSpaceDE w:val="0"/>
        <w:autoSpaceDN w:val="0"/>
        <w:adjustRightInd w:val="0"/>
        <w:snapToGrid w:val="0"/>
      </w:pPr>
      <w:r>
        <w:rPr>
          <w:rStyle w:val="FootnoteReference"/>
        </w:rPr>
        <w:footnoteRef/>
      </w:r>
      <w:r>
        <w:t xml:space="preserve"> Th</w:t>
      </w:r>
      <w:r>
        <w:rPr>
          <w:rFonts w:hint="eastAsia"/>
          <w:lang w:eastAsia="ko-KR"/>
        </w:rPr>
        <w:t>e researcher</w:t>
      </w:r>
      <w:r>
        <w:t xml:space="preserve"> originally collected the data from </w:t>
      </w:r>
      <w:r>
        <w:rPr>
          <w:rFonts w:hint="eastAsia"/>
          <w:lang w:eastAsia="ko-KR"/>
        </w:rPr>
        <w:t>420 individuals assigned to three conditions of disclosure prominence</w:t>
      </w:r>
      <w:r>
        <w:t>.</w:t>
      </w:r>
      <w:r>
        <w:rPr>
          <w:rFonts w:hint="eastAsia"/>
          <w:lang w:eastAsia="ko-KR"/>
        </w:rPr>
        <w:t xml:space="preserve"> One of </w:t>
      </w:r>
      <w:r>
        <w:rPr>
          <w:lang w:eastAsia="ko-KR"/>
        </w:rPr>
        <w:t>the</w:t>
      </w:r>
      <w:r>
        <w:rPr>
          <w:rFonts w:hint="eastAsia"/>
          <w:lang w:eastAsia="ko-KR"/>
        </w:rPr>
        <w:t xml:space="preserve">m was a </w:t>
      </w:r>
      <w:r>
        <w:t>condition</w:t>
      </w:r>
      <w:r>
        <w:rPr>
          <w:rFonts w:hint="eastAsia"/>
          <w:lang w:eastAsia="ko-KR"/>
        </w:rPr>
        <w:t xml:space="preserve"> designed for an exploratory purpose to be compared with the low prominence condition</w:t>
      </w:r>
      <w:r>
        <w:t>.</w:t>
      </w:r>
      <w:r>
        <w:rPr>
          <w:rFonts w:hint="eastAsia"/>
          <w:lang w:eastAsia="ko-KR"/>
        </w:rPr>
        <w:t xml:space="preserve"> Since responses from the exploratory condition did not differ from the low prominence </w:t>
      </w:r>
      <w:r>
        <w:rPr>
          <w:lang w:eastAsia="ko-KR"/>
        </w:rPr>
        <w:t>condition</w:t>
      </w:r>
      <w:r>
        <w:t>,</w:t>
      </w:r>
      <w:r>
        <w:rPr>
          <w:rFonts w:hint="eastAsia"/>
          <w:lang w:eastAsia="ko-KR"/>
        </w:rPr>
        <w:t xml:space="preserve"> subjects in the former group were excluded from </w:t>
      </w:r>
      <w:r>
        <w:rPr>
          <w:lang w:eastAsia="ko-KR"/>
        </w:rPr>
        <w:t>further</w:t>
      </w:r>
      <w:r>
        <w:rPr>
          <w:rFonts w:hint="eastAsia"/>
          <w:lang w:eastAsia="ko-KR"/>
        </w:rPr>
        <w:t xml:space="preserve"> analysis. </w:t>
      </w:r>
    </w:p>
    <w:p w:rsidR="00037CF4" w:rsidRDefault="00037CF4" w:rsidP="00993865">
      <w:pPr>
        <w:pStyle w:val="FootnoteText"/>
      </w:pPr>
    </w:p>
    <w:p w:rsidR="00037CF4" w:rsidRDefault="00037CF4">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7CF4" w:rsidRDefault="00037CF4">
    <w:pPr>
      <w:pStyle w:val="Header"/>
      <w:jc w:val="right"/>
    </w:pPr>
  </w:p>
  <w:p w:rsidR="00037CF4" w:rsidRDefault="00037CF4">
    <w:pPr>
      <w:pStyle w:val="Header"/>
      <w:jc w:val="right"/>
    </w:pPr>
  </w:p>
  <w:p w:rsidR="00037CF4" w:rsidRDefault="00037CF4">
    <w:pPr>
      <w:pStyle w:val="Header"/>
      <w:jc w:val="right"/>
    </w:pPr>
    <w:sdt>
      <w:sdtPr>
        <w:id w:val="-6431258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D6768">
          <w:rPr>
            <w:noProof/>
          </w:rPr>
          <w:t>xii</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23A637E"/>
    <w:lvl w:ilvl="0">
      <w:start w:val="1"/>
      <w:numFmt w:val="decimal"/>
      <w:lvlText w:val="%1."/>
      <w:lvlJc w:val="left"/>
      <w:pPr>
        <w:tabs>
          <w:tab w:val="num" w:pos="1800"/>
        </w:tabs>
        <w:ind w:left="1800" w:hanging="360"/>
      </w:pPr>
    </w:lvl>
  </w:abstractNum>
  <w:abstractNum w:abstractNumId="1">
    <w:nsid w:val="FFFFFF7D"/>
    <w:multiLevelType w:val="singleLevel"/>
    <w:tmpl w:val="7D244EA6"/>
    <w:lvl w:ilvl="0">
      <w:start w:val="1"/>
      <w:numFmt w:val="decimal"/>
      <w:lvlText w:val="%1."/>
      <w:lvlJc w:val="left"/>
      <w:pPr>
        <w:tabs>
          <w:tab w:val="num" w:pos="1440"/>
        </w:tabs>
        <w:ind w:left="1440" w:hanging="360"/>
      </w:pPr>
    </w:lvl>
  </w:abstractNum>
  <w:abstractNum w:abstractNumId="2">
    <w:nsid w:val="FFFFFF7E"/>
    <w:multiLevelType w:val="singleLevel"/>
    <w:tmpl w:val="446A03FC"/>
    <w:lvl w:ilvl="0">
      <w:start w:val="1"/>
      <w:numFmt w:val="decimal"/>
      <w:lvlText w:val="%1."/>
      <w:lvlJc w:val="left"/>
      <w:pPr>
        <w:tabs>
          <w:tab w:val="num" w:pos="1080"/>
        </w:tabs>
        <w:ind w:left="1080" w:hanging="360"/>
      </w:pPr>
    </w:lvl>
  </w:abstractNum>
  <w:abstractNum w:abstractNumId="3">
    <w:nsid w:val="FFFFFF7F"/>
    <w:multiLevelType w:val="singleLevel"/>
    <w:tmpl w:val="E5C2F8E4"/>
    <w:lvl w:ilvl="0">
      <w:start w:val="1"/>
      <w:numFmt w:val="decimal"/>
      <w:lvlText w:val="%1."/>
      <w:lvlJc w:val="left"/>
      <w:pPr>
        <w:tabs>
          <w:tab w:val="num" w:pos="720"/>
        </w:tabs>
        <w:ind w:left="720" w:hanging="360"/>
      </w:pPr>
    </w:lvl>
  </w:abstractNum>
  <w:abstractNum w:abstractNumId="4">
    <w:nsid w:val="FFFFFF80"/>
    <w:multiLevelType w:val="singleLevel"/>
    <w:tmpl w:val="F0C68F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218CA7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D62DFD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6703DB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BA6280C"/>
    <w:lvl w:ilvl="0">
      <w:start w:val="1"/>
      <w:numFmt w:val="decimal"/>
      <w:lvlText w:val="%1."/>
      <w:lvlJc w:val="left"/>
      <w:pPr>
        <w:tabs>
          <w:tab w:val="num" w:pos="360"/>
        </w:tabs>
        <w:ind w:left="360" w:hanging="360"/>
      </w:pPr>
    </w:lvl>
  </w:abstractNum>
  <w:abstractNum w:abstractNumId="9">
    <w:nsid w:val="FFFFFF89"/>
    <w:multiLevelType w:val="singleLevel"/>
    <w:tmpl w:val="EF869182"/>
    <w:lvl w:ilvl="0">
      <w:start w:val="1"/>
      <w:numFmt w:val="bullet"/>
      <w:lvlText w:val=""/>
      <w:lvlJc w:val="left"/>
      <w:pPr>
        <w:tabs>
          <w:tab w:val="num" w:pos="360"/>
        </w:tabs>
        <w:ind w:left="360" w:hanging="360"/>
      </w:pPr>
      <w:rPr>
        <w:rFonts w:ascii="Symbol" w:hAnsi="Symbol" w:hint="default"/>
      </w:rPr>
    </w:lvl>
  </w:abstractNum>
  <w:abstractNum w:abstractNumId="10">
    <w:nsid w:val="0528734C"/>
    <w:multiLevelType w:val="hybridMultilevel"/>
    <w:tmpl w:val="E3E2FE82"/>
    <w:lvl w:ilvl="0" w:tplc="AE8CAF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56947EA"/>
    <w:multiLevelType w:val="hybridMultilevel"/>
    <w:tmpl w:val="ED4C3EE6"/>
    <w:lvl w:ilvl="0" w:tplc="60A06CBC">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93F550D"/>
    <w:multiLevelType w:val="hybridMultilevel"/>
    <w:tmpl w:val="5C3006A0"/>
    <w:lvl w:ilvl="0" w:tplc="911A2CE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CEA0BF6"/>
    <w:multiLevelType w:val="multilevel"/>
    <w:tmpl w:val="0409001D"/>
    <w:numStyleLink w:val="Singlepunch"/>
  </w:abstractNum>
  <w:abstractNum w:abstractNumId="14">
    <w:nsid w:val="1C6343D4"/>
    <w:multiLevelType w:val="hybridMultilevel"/>
    <w:tmpl w:val="874AC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EE27B2B"/>
    <w:multiLevelType w:val="hybridMultilevel"/>
    <w:tmpl w:val="A60EF8D0"/>
    <w:lvl w:ilvl="0" w:tplc="ACDC1ACE">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6">
    <w:nsid w:val="1F0D6636"/>
    <w:multiLevelType w:val="hybridMultilevel"/>
    <w:tmpl w:val="D784767E"/>
    <w:lvl w:ilvl="0" w:tplc="63B2126E">
      <w:start w:val="1"/>
      <w:numFmt w:val="bullet"/>
      <w:lvlText w:val=""/>
      <w:lvlJc w:val="left"/>
      <w:pPr>
        <w:tabs>
          <w:tab w:val="num" w:pos="720"/>
        </w:tabs>
        <w:ind w:left="720" w:hanging="360"/>
      </w:pPr>
      <w:rPr>
        <w:rFonts w:ascii="Wingdings" w:hAnsi="Wingdings" w:hint="default"/>
      </w:rPr>
    </w:lvl>
    <w:lvl w:ilvl="1" w:tplc="8A7646A8">
      <w:start w:val="1"/>
      <w:numFmt w:val="bullet"/>
      <w:lvlText w:val=""/>
      <w:lvlJc w:val="left"/>
      <w:pPr>
        <w:tabs>
          <w:tab w:val="num" w:pos="1440"/>
        </w:tabs>
        <w:ind w:left="1440" w:hanging="360"/>
      </w:pPr>
      <w:rPr>
        <w:rFonts w:ascii="Wingdings" w:hAnsi="Wingdings" w:hint="default"/>
      </w:rPr>
    </w:lvl>
    <w:lvl w:ilvl="2" w:tplc="FCA28B04" w:tentative="1">
      <w:start w:val="1"/>
      <w:numFmt w:val="bullet"/>
      <w:lvlText w:val=""/>
      <w:lvlJc w:val="left"/>
      <w:pPr>
        <w:tabs>
          <w:tab w:val="num" w:pos="2160"/>
        </w:tabs>
        <w:ind w:left="2160" w:hanging="360"/>
      </w:pPr>
      <w:rPr>
        <w:rFonts w:ascii="Wingdings" w:hAnsi="Wingdings" w:hint="default"/>
      </w:rPr>
    </w:lvl>
    <w:lvl w:ilvl="3" w:tplc="8F621E84" w:tentative="1">
      <w:start w:val="1"/>
      <w:numFmt w:val="bullet"/>
      <w:lvlText w:val=""/>
      <w:lvlJc w:val="left"/>
      <w:pPr>
        <w:tabs>
          <w:tab w:val="num" w:pos="2880"/>
        </w:tabs>
        <w:ind w:left="2880" w:hanging="360"/>
      </w:pPr>
      <w:rPr>
        <w:rFonts w:ascii="Wingdings" w:hAnsi="Wingdings" w:hint="default"/>
      </w:rPr>
    </w:lvl>
    <w:lvl w:ilvl="4" w:tplc="1C4E3722" w:tentative="1">
      <w:start w:val="1"/>
      <w:numFmt w:val="bullet"/>
      <w:lvlText w:val=""/>
      <w:lvlJc w:val="left"/>
      <w:pPr>
        <w:tabs>
          <w:tab w:val="num" w:pos="3600"/>
        </w:tabs>
        <w:ind w:left="3600" w:hanging="360"/>
      </w:pPr>
      <w:rPr>
        <w:rFonts w:ascii="Wingdings" w:hAnsi="Wingdings" w:hint="default"/>
      </w:rPr>
    </w:lvl>
    <w:lvl w:ilvl="5" w:tplc="65EA5F7C" w:tentative="1">
      <w:start w:val="1"/>
      <w:numFmt w:val="bullet"/>
      <w:lvlText w:val=""/>
      <w:lvlJc w:val="left"/>
      <w:pPr>
        <w:tabs>
          <w:tab w:val="num" w:pos="4320"/>
        </w:tabs>
        <w:ind w:left="4320" w:hanging="360"/>
      </w:pPr>
      <w:rPr>
        <w:rFonts w:ascii="Wingdings" w:hAnsi="Wingdings" w:hint="default"/>
      </w:rPr>
    </w:lvl>
    <w:lvl w:ilvl="6" w:tplc="99D27672" w:tentative="1">
      <w:start w:val="1"/>
      <w:numFmt w:val="bullet"/>
      <w:lvlText w:val=""/>
      <w:lvlJc w:val="left"/>
      <w:pPr>
        <w:tabs>
          <w:tab w:val="num" w:pos="5040"/>
        </w:tabs>
        <w:ind w:left="5040" w:hanging="360"/>
      </w:pPr>
      <w:rPr>
        <w:rFonts w:ascii="Wingdings" w:hAnsi="Wingdings" w:hint="default"/>
      </w:rPr>
    </w:lvl>
    <w:lvl w:ilvl="7" w:tplc="6108E7F2" w:tentative="1">
      <w:start w:val="1"/>
      <w:numFmt w:val="bullet"/>
      <w:lvlText w:val=""/>
      <w:lvlJc w:val="left"/>
      <w:pPr>
        <w:tabs>
          <w:tab w:val="num" w:pos="5760"/>
        </w:tabs>
        <w:ind w:left="5760" w:hanging="360"/>
      </w:pPr>
      <w:rPr>
        <w:rFonts w:ascii="Wingdings" w:hAnsi="Wingdings" w:hint="default"/>
      </w:rPr>
    </w:lvl>
    <w:lvl w:ilvl="8" w:tplc="C1965438" w:tentative="1">
      <w:start w:val="1"/>
      <w:numFmt w:val="bullet"/>
      <w:lvlText w:val=""/>
      <w:lvlJc w:val="left"/>
      <w:pPr>
        <w:tabs>
          <w:tab w:val="num" w:pos="6480"/>
        </w:tabs>
        <w:ind w:left="6480" w:hanging="360"/>
      </w:pPr>
      <w:rPr>
        <w:rFonts w:ascii="Wingdings" w:hAnsi="Wingdings" w:hint="default"/>
      </w:rPr>
    </w:lvl>
  </w:abstractNum>
  <w:abstractNum w:abstractNumId="17">
    <w:nsid w:val="2101582E"/>
    <w:multiLevelType w:val="hybridMultilevel"/>
    <w:tmpl w:val="B8EA8BF8"/>
    <w:lvl w:ilvl="0" w:tplc="6CE62E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8B43F61"/>
    <w:multiLevelType w:val="hybridMultilevel"/>
    <w:tmpl w:val="64462E80"/>
    <w:lvl w:ilvl="0" w:tplc="288034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9F72FF1"/>
    <w:multiLevelType w:val="hybridMultilevel"/>
    <w:tmpl w:val="E438D418"/>
    <w:lvl w:ilvl="0" w:tplc="15A6DDCE">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0">
    <w:nsid w:val="2A623DE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3BE34157"/>
    <w:multiLevelType w:val="hybridMultilevel"/>
    <w:tmpl w:val="F11C3F84"/>
    <w:lvl w:ilvl="0" w:tplc="911A2CE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FD93790"/>
    <w:multiLevelType w:val="multilevel"/>
    <w:tmpl w:val="B99AE45C"/>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467952EC"/>
    <w:multiLevelType w:val="hybridMultilevel"/>
    <w:tmpl w:val="B05061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7B417EF"/>
    <w:multiLevelType w:val="hybridMultilevel"/>
    <w:tmpl w:val="C5722A6E"/>
    <w:lvl w:ilvl="0" w:tplc="911A2CE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53AB211C"/>
    <w:multiLevelType w:val="hybridMultilevel"/>
    <w:tmpl w:val="DD1E5E8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EA65C1A"/>
    <w:multiLevelType w:val="hybridMultilevel"/>
    <w:tmpl w:val="57EA1CBA"/>
    <w:lvl w:ilvl="0" w:tplc="911A2CE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6673F73"/>
    <w:multiLevelType w:val="hybridMultilevel"/>
    <w:tmpl w:val="C5F00A64"/>
    <w:lvl w:ilvl="0" w:tplc="288034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7491E61"/>
    <w:multiLevelType w:val="hybridMultilevel"/>
    <w:tmpl w:val="463CEECC"/>
    <w:lvl w:ilvl="0" w:tplc="911A2CE4">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BD400E8"/>
    <w:multiLevelType w:val="hybridMultilevel"/>
    <w:tmpl w:val="B05061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C1A6FD2"/>
    <w:multiLevelType w:val="hybridMultilevel"/>
    <w:tmpl w:val="D2FCAEAA"/>
    <w:lvl w:ilvl="0" w:tplc="911A2CE4">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F2B09D0"/>
    <w:multiLevelType w:val="hybridMultilevel"/>
    <w:tmpl w:val="CDB8B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43607EC"/>
    <w:multiLevelType w:val="hybridMultilevel"/>
    <w:tmpl w:val="DCE2642E"/>
    <w:lvl w:ilvl="0" w:tplc="9A0898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8326D1B"/>
    <w:multiLevelType w:val="hybridMultilevel"/>
    <w:tmpl w:val="C972B6F4"/>
    <w:lvl w:ilvl="0" w:tplc="288034A4">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5">
    <w:nsid w:val="7A04486F"/>
    <w:multiLevelType w:val="hybridMultilevel"/>
    <w:tmpl w:val="2B7ED0CA"/>
    <w:lvl w:ilvl="0" w:tplc="94061CE0">
      <w:start w:val="1"/>
      <w:numFmt w:val="bullet"/>
      <w:lvlText w:val="•"/>
      <w:lvlJc w:val="left"/>
      <w:pPr>
        <w:tabs>
          <w:tab w:val="num" w:pos="720"/>
        </w:tabs>
        <w:ind w:left="720" w:hanging="360"/>
      </w:pPr>
      <w:rPr>
        <w:rFonts w:ascii="Arial" w:hAnsi="Arial" w:hint="default"/>
      </w:rPr>
    </w:lvl>
    <w:lvl w:ilvl="1" w:tplc="1C1A9496" w:tentative="1">
      <w:start w:val="1"/>
      <w:numFmt w:val="bullet"/>
      <w:lvlText w:val="•"/>
      <w:lvlJc w:val="left"/>
      <w:pPr>
        <w:tabs>
          <w:tab w:val="num" w:pos="1440"/>
        </w:tabs>
        <w:ind w:left="1440" w:hanging="360"/>
      </w:pPr>
      <w:rPr>
        <w:rFonts w:ascii="Arial" w:hAnsi="Arial" w:hint="default"/>
      </w:rPr>
    </w:lvl>
    <w:lvl w:ilvl="2" w:tplc="BDCA61F6" w:tentative="1">
      <w:start w:val="1"/>
      <w:numFmt w:val="bullet"/>
      <w:lvlText w:val="•"/>
      <w:lvlJc w:val="left"/>
      <w:pPr>
        <w:tabs>
          <w:tab w:val="num" w:pos="2160"/>
        </w:tabs>
        <w:ind w:left="2160" w:hanging="360"/>
      </w:pPr>
      <w:rPr>
        <w:rFonts w:ascii="Arial" w:hAnsi="Arial" w:hint="default"/>
      </w:rPr>
    </w:lvl>
    <w:lvl w:ilvl="3" w:tplc="BA5011DA" w:tentative="1">
      <w:start w:val="1"/>
      <w:numFmt w:val="bullet"/>
      <w:lvlText w:val="•"/>
      <w:lvlJc w:val="left"/>
      <w:pPr>
        <w:tabs>
          <w:tab w:val="num" w:pos="2880"/>
        </w:tabs>
        <w:ind w:left="2880" w:hanging="360"/>
      </w:pPr>
      <w:rPr>
        <w:rFonts w:ascii="Arial" w:hAnsi="Arial" w:hint="default"/>
      </w:rPr>
    </w:lvl>
    <w:lvl w:ilvl="4" w:tplc="4FBEBA00" w:tentative="1">
      <w:start w:val="1"/>
      <w:numFmt w:val="bullet"/>
      <w:lvlText w:val="•"/>
      <w:lvlJc w:val="left"/>
      <w:pPr>
        <w:tabs>
          <w:tab w:val="num" w:pos="3600"/>
        </w:tabs>
        <w:ind w:left="3600" w:hanging="360"/>
      </w:pPr>
      <w:rPr>
        <w:rFonts w:ascii="Arial" w:hAnsi="Arial" w:hint="default"/>
      </w:rPr>
    </w:lvl>
    <w:lvl w:ilvl="5" w:tplc="391EC610" w:tentative="1">
      <w:start w:val="1"/>
      <w:numFmt w:val="bullet"/>
      <w:lvlText w:val="•"/>
      <w:lvlJc w:val="left"/>
      <w:pPr>
        <w:tabs>
          <w:tab w:val="num" w:pos="4320"/>
        </w:tabs>
        <w:ind w:left="4320" w:hanging="360"/>
      </w:pPr>
      <w:rPr>
        <w:rFonts w:ascii="Arial" w:hAnsi="Arial" w:hint="default"/>
      </w:rPr>
    </w:lvl>
    <w:lvl w:ilvl="6" w:tplc="005401F4" w:tentative="1">
      <w:start w:val="1"/>
      <w:numFmt w:val="bullet"/>
      <w:lvlText w:val="•"/>
      <w:lvlJc w:val="left"/>
      <w:pPr>
        <w:tabs>
          <w:tab w:val="num" w:pos="5040"/>
        </w:tabs>
        <w:ind w:left="5040" w:hanging="360"/>
      </w:pPr>
      <w:rPr>
        <w:rFonts w:ascii="Arial" w:hAnsi="Arial" w:hint="default"/>
      </w:rPr>
    </w:lvl>
    <w:lvl w:ilvl="7" w:tplc="4A40FC2E" w:tentative="1">
      <w:start w:val="1"/>
      <w:numFmt w:val="bullet"/>
      <w:lvlText w:val="•"/>
      <w:lvlJc w:val="left"/>
      <w:pPr>
        <w:tabs>
          <w:tab w:val="num" w:pos="5760"/>
        </w:tabs>
        <w:ind w:left="5760" w:hanging="360"/>
      </w:pPr>
      <w:rPr>
        <w:rFonts w:ascii="Arial" w:hAnsi="Arial" w:hint="default"/>
      </w:rPr>
    </w:lvl>
    <w:lvl w:ilvl="8" w:tplc="077466E2"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27"/>
  </w:num>
  <w:num w:numId="13">
    <w:abstractNumId w:val="35"/>
  </w:num>
  <w:num w:numId="14">
    <w:abstractNumId w:val="21"/>
  </w:num>
  <w:num w:numId="15">
    <w:abstractNumId w:val="24"/>
  </w:num>
  <w:num w:numId="16">
    <w:abstractNumId w:val="31"/>
  </w:num>
  <w:num w:numId="17">
    <w:abstractNumId w:val="16"/>
  </w:num>
  <w:num w:numId="18">
    <w:abstractNumId w:val="29"/>
  </w:num>
  <w:num w:numId="19">
    <w:abstractNumId w:val="34"/>
  </w:num>
  <w:num w:numId="20">
    <w:abstractNumId w:val="19"/>
  </w:num>
  <w:num w:numId="21">
    <w:abstractNumId w:val="15"/>
  </w:num>
  <w:num w:numId="22">
    <w:abstractNumId w:val="33"/>
  </w:num>
  <w:num w:numId="23">
    <w:abstractNumId w:val="10"/>
  </w:num>
  <w:num w:numId="24">
    <w:abstractNumId w:val="18"/>
  </w:num>
  <w:num w:numId="25">
    <w:abstractNumId w:val="28"/>
  </w:num>
  <w:num w:numId="26">
    <w:abstractNumId w:val="17"/>
  </w:num>
  <w:num w:numId="27">
    <w:abstractNumId w:val="12"/>
  </w:num>
  <w:num w:numId="28">
    <w:abstractNumId w:val="14"/>
  </w:num>
  <w:num w:numId="29">
    <w:abstractNumId w:val="32"/>
  </w:num>
  <w:num w:numId="30">
    <w:abstractNumId w:val="23"/>
  </w:num>
  <w:num w:numId="31">
    <w:abstractNumId w:val="30"/>
  </w:num>
  <w:num w:numId="32">
    <w:abstractNumId w:val="25"/>
  </w:num>
  <w:num w:numId="33">
    <w:abstractNumId w:val="13"/>
  </w:num>
  <w:num w:numId="34">
    <w:abstractNumId w:val="22"/>
  </w:num>
  <w:num w:numId="35">
    <w:abstractNumId w:val="11"/>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7"/>
  <w:removePersonalInformation/>
  <w:removeDateAndTime/>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A05"/>
    <w:rsid w:val="000001E7"/>
    <w:rsid w:val="000004C1"/>
    <w:rsid w:val="000006CD"/>
    <w:rsid w:val="000009F9"/>
    <w:rsid w:val="00001722"/>
    <w:rsid w:val="00001FBD"/>
    <w:rsid w:val="00002074"/>
    <w:rsid w:val="00002152"/>
    <w:rsid w:val="0000381E"/>
    <w:rsid w:val="000039DF"/>
    <w:rsid w:val="00003A9C"/>
    <w:rsid w:val="00003C8D"/>
    <w:rsid w:val="0000449D"/>
    <w:rsid w:val="00005042"/>
    <w:rsid w:val="0000509B"/>
    <w:rsid w:val="00005A27"/>
    <w:rsid w:val="00005C6C"/>
    <w:rsid w:val="0000601D"/>
    <w:rsid w:val="0000647F"/>
    <w:rsid w:val="000067A3"/>
    <w:rsid w:val="000067A5"/>
    <w:rsid w:val="00006AA9"/>
    <w:rsid w:val="00007348"/>
    <w:rsid w:val="000073C0"/>
    <w:rsid w:val="00007719"/>
    <w:rsid w:val="000078A7"/>
    <w:rsid w:val="000101C4"/>
    <w:rsid w:val="00010601"/>
    <w:rsid w:val="000108BD"/>
    <w:rsid w:val="00010AFA"/>
    <w:rsid w:val="00010DB0"/>
    <w:rsid w:val="00010F76"/>
    <w:rsid w:val="00010FB6"/>
    <w:rsid w:val="00011FD6"/>
    <w:rsid w:val="0001251B"/>
    <w:rsid w:val="0001258D"/>
    <w:rsid w:val="00012A17"/>
    <w:rsid w:val="00012CD8"/>
    <w:rsid w:val="0001366A"/>
    <w:rsid w:val="00013A71"/>
    <w:rsid w:val="00014120"/>
    <w:rsid w:val="000142E9"/>
    <w:rsid w:val="000143DB"/>
    <w:rsid w:val="00014A3E"/>
    <w:rsid w:val="00014A7E"/>
    <w:rsid w:val="00014A8A"/>
    <w:rsid w:val="00014D75"/>
    <w:rsid w:val="00015215"/>
    <w:rsid w:val="0001599B"/>
    <w:rsid w:val="00015DF1"/>
    <w:rsid w:val="0001600B"/>
    <w:rsid w:val="0001608C"/>
    <w:rsid w:val="000166A9"/>
    <w:rsid w:val="00016A3F"/>
    <w:rsid w:val="00016A6E"/>
    <w:rsid w:val="00017330"/>
    <w:rsid w:val="000174C7"/>
    <w:rsid w:val="000176F2"/>
    <w:rsid w:val="0001794F"/>
    <w:rsid w:val="00017AC8"/>
    <w:rsid w:val="00017C13"/>
    <w:rsid w:val="000207D7"/>
    <w:rsid w:val="00020AFB"/>
    <w:rsid w:val="00020B39"/>
    <w:rsid w:val="0002180C"/>
    <w:rsid w:val="00021F36"/>
    <w:rsid w:val="00022ADB"/>
    <w:rsid w:val="00023076"/>
    <w:rsid w:val="00023546"/>
    <w:rsid w:val="0002355C"/>
    <w:rsid w:val="00023A5C"/>
    <w:rsid w:val="00023C7A"/>
    <w:rsid w:val="00023EE3"/>
    <w:rsid w:val="00024652"/>
    <w:rsid w:val="00024A2B"/>
    <w:rsid w:val="00024C94"/>
    <w:rsid w:val="00024DA9"/>
    <w:rsid w:val="00024EA2"/>
    <w:rsid w:val="00024F44"/>
    <w:rsid w:val="00024F65"/>
    <w:rsid w:val="00024F74"/>
    <w:rsid w:val="000251F5"/>
    <w:rsid w:val="000255F4"/>
    <w:rsid w:val="0002580E"/>
    <w:rsid w:val="00025BAB"/>
    <w:rsid w:val="00025C28"/>
    <w:rsid w:val="00025F02"/>
    <w:rsid w:val="00025F15"/>
    <w:rsid w:val="00026550"/>
    <w:rsid w:val="00026A00"/>
    <w:rsid w:val="00026D10"/>
    <w:rsid w:val="00027009"/>
    <w:rsid w:val="000270B5"/>
    <w:rsid w:val="000271B7"/>
    <w:rsid w:val="0002726C"/>
    <w:rsid w:val="0002797F"/>
    <w:rsid w:val="0003080B"/>
    <w:rsid w:val="00030AB7"/>
    <w:rsid w:val="000313AF"/>
    <w:rsid w:val="00031943"/>
    <w:rsid w:val="00031952"/>
    <w:rsid w:val="00031A88"/>
    <w:rsid w:val="00031B54"/>
    <w:rsid w:val="00031BD8"/>
    <w:rsid w:val="00031E9A"/>
    <w:rsid w:val="00032BC7"/>
    <w:rsid w:val="00032FF4"/>
    <w:rsid w:val="0003315E"/>
    <w:rsid w:val="00033468"/>
    <w:rsid w:val="00033C29"/>
    <w:rsid w:val="000341F2"/>
    <w:rsid w:val="00034B63"/>
    <w:rsid w:val="00034C5C"/>
    <w:rsid w:val="0003513F"/>
    <w:rsid w:val="00035F55"/>
    <w:rsid w:val="0003650F"/>
    <w:rsid w:val="000366AD"/>
    <w:rsid w:val="00036DDD"/>
    <w:rsid w:val="0003708D"/>
    <w:rsid w:val="000370BA"/>
    <w:rsid w:val="00037585"/>
    <w:rsid w:val="000375BC"/>
    <w:rsid w:val="0003790A"/>
    <w:rsid w:val="00037923"/>
    <w:rsid w:val="00037C91"/>
    <w:rsid w:val="00037CF4"/>
    <w:rsid w:val="00037D13"/>
    <w:rsid w:val="00037E8A"/>
    <w:rsid w:val="000403DD"/>
    <w:rsid w:val="0004111C"/>
    <w:rsid w:val="00041336"/>
    <w:rsid w:val="0004174E"/>
    <w:rsid w:val="00042041"/>
    <w:rsid w:val="000422B3"/>
    <w:rsid w:val="00042952"/>
    <w:rsid w:val="000429CF"/>
    <w:rsid w:val="00042E6E"/>
    <w:rsid w:val="000434A9"/>
    <w:rsid w:val="00044190"/>
    <w:rsid w:val="000443F5"/>
    <w:rsid w:val="0004467C"/>
    <w:rsid w:val="000446B3"/>
    <w:rsid w:val="00045279"/>
    <w:rsid w:val="00045282"/>
    <w:rsid w:val="00046333"/>
    <w:rsid w:val="000476CC"/>
    <w:rsid w:val="00047D88"/>
    <w:rsid w:val="00050464"/>
    <w:rsid w:val="00050879"/>
    <w:rsid w:val="00051077"/>
    <w:rsid w:val="0005112C"/>
    <w:rsid w:val="000513DC"/>
    <w:rsid w:val="00051B70"/>
    <w:rsid w:val="00052002"/>
    <w:rsid w:val="0005298C"/>
    <w:rsid w:val="000529D9"/>
    <w:rsid w:val="00052DA8"/>
    <w:rsid w:val="00052DF4"/>
    <w:rsid w:val="000532DB"/>
    <w:rsid w:val="00053EB0"/>
    <w:rsid w:val="00054DD8"/>
    <w:rsid w:val="00054E91"/>
    <w:rsid w:val="00055E33"/>
    <w:rsid w:val="00056179"/>
    <w:rsid w:val="00056187"/>
    <w:rsid w:val="00056209"/>
    <w:rsid w:val="00056DCF"/>
    <w:rsid w:val="00057004"/>
    <w:rsid w:val="00057012"/>
    <w:rsid w:val="0005723B"/>
    <w:rsid w:val="0005761D"/>
    <w:rsid w:val="00057725"/>
    <w:rsid w:val="00057C27"/>
    <w:rsid w:val="00060032"/>
    <w:rsid w:val="0006010B"/>
    <w:rsid w:val="000605BD"/>
    <w:rsid w:val="00060A8C"/>
    <w:rsid w:val="00060B36"/>
    <w:rsid w:val="00060B9F"/>
    <w:rsid w:val="00062122"/>
    <w:rsid w:val="00062E16"/>
    <w:rsid w:val="000638E9"/>
    <w:rsid w:val="00063970"/>
    <w:rsid w:val="00063E12"/>
    <w:rsid w:val="00064161"/>
    <w:rsid w:val="00064371"/>
    <w:rsid w:val="00064728"/>
    <w:rsid w:val="000649F2"/>
    <w:rsid w:val="000653BD"/>
    <w:rsid w:val="0006571A"/>
    <w:rsid w:val="000657E2"/>
    <w:rsid w:val="000658DF"/>
    <w:rsid w:val="000659DD"/>
    <w:rsid w:val="00065F69"/>
    <w:rsid w:val="00066F04"/>
    <w:rsid w:val="000677EF"/>
    <w:rsid w:val="00067E17"/>
    <w:rsid w:val="0007044C"/>
    <w:rsid w:val="00070DA6"/>
    <w:rsid w:val="00070F72"/>
    <w:rsid w:val="0007128A"/>
    <w:rsid w:val="000715F8"/>
    <w:rsid w:val="00071627"/>
    <w:rsid w:val="00071877"/>
    <w:rsid w:val="00071957"/>
    <w:rsid w:val="00071E8D"/>
    <w:rsid w:val="00071EE8"/>
    <w:rsid w:val="00072690"/>
    <w:rsid w:val="00072979"/>
    <w:rsid w:val="00072F58"/>
    <w:rsid w:val="00073082"/>
    <w:rsid w:val="000731CD"/>
    <w:rsid w:val="000732B0"/>
    <w:rsid w:val="00073443"/>
    <w:rsid w:val="00073B2E"/>
    <w:rsid w:val="00073F6C"/>
    <w:rsid w:val="000742AA"/>
    <w:rsid w:val="00074878"/>
    <w:rsid w:val="000748AC"/>
    <w:rsid w:val="00074C49"/>
    <w:rsid w:val="000750BD"/>
    <w:rsid w:val="000754AE"/>
    <w:rsid w:val="00075C9E"/>
    <w:rsid w:val="000764EE"/>
    <w:rsid w:val="0007666C"/>
    <w:rsid w:val="000769E8"/>
    <w:rsid w:val="00076A95"/>
    <w:rsid w:val="000774E9"/>
    <w:rsid w:val="00077555"/>
    <w:rsid w:val="0007758E"/>
    <w:rsid w:val="00077995"/>
    <w:rsid w:val="000779C0"/>
    <w:rsid w:val="00080501"/>
    <w:rsid w:val="0008079D"/>
    <w:rsid w:val="00080944"/>
    <w:rsid w:val="00080B3F"/>
    <w:rsid w:val="000812FB"/>
    <w:rsid w:val="000813A9"/>
    <w:rsid w:val="00081687"/>
    <w:rsid w:val="00082CB3"/>
    <w:rsid w:val="00082DAA"/>
    <w:rsid w:val="00083390"/>
    <w:rsid w:val="0008349B"/>
    <w:rsid w:val="00083900"/>
    <w:rsid w:val="000839ED"/>
    <w:rsid w:val="00084280"/>
    <w:rsid w:val="000845E3"/>
    <w:rsid w:val="000847E4"/>
    <w:rsid w:val="000853B2"/>
    <w:rsid w:val="00085AC8"/>
    <w:rsid w:val="00085BA6"/>
    <w:rsid w:val="00085CAB"/>
    <w:rsid w:val="00085D63"/>
    <w:rsid w:val="00085E07"/>
    <w:rsid w:val="00085F3D"/>
    <w:rsid w:val="00086A44"/>
    <w:rsid w:val="00086F9C"/>
    <w:rsid w:val="000873A8"/>
    <w:rsid w:val="00087679"/>
    <w:rsid w:val="00087B5D"/>
    <w:rsid w:val="00087DB7"/>
    <w:rsid w:val="00087FA7"/>
    <w:rsid w:val="00087FF3"/>
    <w:rsid w:val="000907F1"/>
    <w:rsid w:val="00090928"/>
    <w:rsid w:val="000910B0"/>
    <w:rsid w:val="000914BA"/>
    <w:rsid w:val="000915C6"/>
    <w:rsid w:val="00091646"/>
    <w:rsid w:val="00092034"/>
    <w:rsid w:val="00092438"/>
    <w:rsid w:val="000924BB"/>
    <w:rsid w:val="00092C52"/>
    <w:rsid w:val="00092D19"/>
    <w:rsid w:val="00092D21"/>
    <w:rsid w:val="000931B9"/>
    <w:rsid w:val="00093961"/>
    <w:rsid w:val="000939E6"/>
    <w:rsid w:val="00093A45"/>
    <w:rsid w:val="00093B43"/>
    <w:rsid w:val="00093BE7"/>
    <w:rsid w:val="00093E79"/>
    <w:rsid w:val="0009427D"/>
    <w:rsid w:val="00094B48"/>
    <w:rsid w:val="00094C12"/>
    <w:rsid w:val="00094E3E"/>
    <w:rsid w:val="00095040"/>
    <w:rsid w:val="00095819"/>
    <w:rsid w:val="00095B66"/>
    <w:rsid w:val="000960A7"/>
    <w:rsid w:val="00096326"/>
    <w:rsid w:val="00096702"/>
    <w:rsid w:val="00096934"/>
    <w:rsid w:val="00097637"/>
    <w:rsid w:val="00097728"/>
    <w:rsid w:val="00097B3E"/>
    <w:rsid w:val="000A00D3"/>
    <w:rsid w:val="000A03D5"/>
    <w:rsid w:val="000A0724"/>
    <w:rsid w:val="000A08BE"/>
    <w:rsid w:val="000A0AEF"/>
    <w:rsid w:val="000A0B59"/>
    <w:rsid w:val="000A0E6D"/>
    <w:rsid w:val="000A13F4"/>
    <w:rsid w:val="000A16F3"/>
    <w:rsid w:val="000A1860"/>
    <w:rsid w:val="000A1C5D"/>
    <w:rsid w:val="000A1D0A"/>
    <w:rsid w:val="000A2356"/>
    <w:rsid w:val="000A27C6"/>
    <w:rsid w:val="000A2A95"/>
    <w:rsid w:val="000A2AE1"/>
    <w:rsid w:val="000A2ECD"/>
    <w:rsid w:val="000A338E"/>
    <w:rsid w:val="000A3604"/>
    <w:rsid w:val="000A36C9"/>
    <w:rsid w:val="000A3A26"/>
    <w:rsid w:val="000A3ADF"/>
    <w:rsid w:val="000A3D7D"/>
    <w:rsid w:val="000A3E12"/>
    <w:rsid w:val="000A40D9"/>
    <w:rsid w:val="000A4602"/>
    <w:rsid w:val="000A56D1"/>
    <w:rsid w:val="000A5AB0"/>
    <w:rsid w:val="000A5FDD"/>
    <w:rsid w:val="000A6531"/>
    <w:rsid w:val="000A6D6C"/>
    <w:rsid w:val="000A7102"/>
    <w:rsid w:val="000A74DA"/>
    <w:rsid w:val="000A7D40"/>
    <w:rsid w:val="000B0066"/>
    <w:rsid w:val="000B0197"/>
    <w:rsid w:val="000B05F0"/>
    <w:rsid w:val="000B091E"/>
    <w:rsid w:val="000B131A"/>
    <w:rsid w:val="000B18E5"/>
    <w:rsid w:val="000B293C"/>
    <w:rsid w:val="000B2AC2"/>
    <w:rsid w:val="000B2C2A"/>
    <w:rsid w:val="000B31B9"/>
    <w:rsid w:val="000B3562"/>
    <w:rsid w:val="000B3674"/>
    <w:rsid w:val="000B3D4F"/>
    <w:rsid w:val="000B3D60"/>
    <w:rsid w:val="000B4282"/>
    <w:rsid w:val="000B42C9"/>
    <w:rsid w:val="000B44B6"/>
    <w:rsid w:val="000B4B94"/>
    <w:rsid w:val="000B4CC0"/>
    <w:rsid w:val="000B50F8"/>
    <w:rsid w:val="000B5498"/>
    <w:rsid w:val="000B5696"/>
    <w:rsid w:val="000B5731"/>
    <w:rsid w:val="000B5C42"/>
    <w:rsid w:val="000B5C4C"/>
    <w:rsid w:val="000B60E2"/>
    <w:rsid w:val="000B62D4"/>
    <w:rsid w:val="000B63F3"/>
    <w:rsid w:val="000B650E"/>
    <w:rsid w:val="000B6629"/>
    <w:rsid w:val="000B703F"/>
    <w:rsid w:val="000B726A"/>
    <w:rsid w:val="000B731B"/>
    <w:rsid w:val="000B7AF9"/>
    <w:rsid w:val="000C037A"/>
    <w:rsid w:val="000C03D5"/>
    <w:rsid w:val="000C044F"/>
    <w:rsid w:val="000C0C41"/>
    <w:rsid w:val="000C0D7E"/>
    <w:rsid w:val="000C0EAD"/>
    <w:rsid w:val="000C0FC0"/>
    <w:rsid w:val="000C1A2D"/>
    <w:rsid w:val="000C2129"/>
    <w:rsid w:val="000C28F0"/>
    <w:rsid w:val="000C2907"/>
    <w:rsid w:val="000C2A5D"/>
    <w:rsid w:val="000C2D7A"/>
    <w:rsid w:val="000C3645"/>
    <w:rsid w:val="000C37DD"/>
    <w:rsid w:val="000C4C30"/>
    <w:rsid w:val="000C4D48"/>
    <w:rsid w:val="000C4FF7"/>
    <w:rsid w:val="000C51AD"/>
    <w:rsid w:val="000C5590"/>
    <w:rsid w:val="000C56B8"/>
    <w:rsid w:val="000C58E3"/>
    <w:rsid w:val="000C6077"/>
    <w:rsid w:val="000C6095"/>
    <w:rsid w:val="000C61E5"/>
    <w:rsid w:val="000C622F"/>
    <w:rsid w:val="000C6883"/>
    <w:rsid w:val="000C6EFE"/>
    <w:rsid w:val="000C7312"/>
    <w:rsid w:val="000D017D"/>
    <w:rsid w:val="000D05CB"/>
    <w:rsid w:val="000D08C7"/>
    <w:rsid w:val="000D0A51"/>
    <w:rsid w:val="000D0B3A"/>
    <w:rsid w:val="000D0C23"/>
    <w:rsid w:val="000D0F06"/>
    <w:rsid w:val="000D1A08"/>
    <w:rsid w:val="000D1A1D"/>
    <w:rsid w:val="000D1BAC"/>
    <w:rsid w:val="000D1C74"/>
    <w:rsid w:val="000D21D6"/>
    <w:rsid w:val="000D271C"/>
    <w:rsid w:val="000D2CF4"/>
    <w:rsid w:val="000D363F"/>
    <w:rsid w:val="000D3C82"/>
    <w:rsid w:val="000D4106"/>
    <w:rsid w:val="000D4278"/>
    <w:rsid w:val="000D4419"/>
    <w:rsid w:val="000D52E3"/>
    <w:rsid w:val="000D5858"/>
    <w:rsid w:val="000D5D8B"/>
    <w:rsid w:val="000D5E1C"/>
    <w:rsid w:val="000D64C4"/>
    <w:rsid w:val="000D6A58"/>
    <w:rsid w:val="000D6C36"/>
    <w:rsid w:val="000D6D4D"/>
    <w:rsid w:val="000D722C"/>
    <w:rsid w:val="000D72DE"/>
    <w:rsid w:val="000D7865"/>
    <w:rsid w:val="000D7899"/>
    <w:rsid w:val="000D79E0"/>
    <w:rsid w:val="000D7B3F"/>
    <w:rsid w:val="000D7CFD"/>
    <w:rsid w:val="000E0404"/>
    <w:rsid w:val="000E0A8E"/>
    <w:rsid w:val="000E0AF3"/>
    <w:rsid w:val="000E0EF3"/>
    <w:rsid w:val="000E1FCE"/>
    <w:rsid w:val="000E22DC"/>
    <w:rsid w:val="000E249A"/>
    <w:rsid w:val="000E3856"/>
    <w:rsid w:val="000E3BFD"/>
    <w:rsid w:val="000E4129"/>
    <w:rsid w:val="000E4EAC"/>
    <w:rsid w:val="000E4F1D"/>
    <w:rsid w:val="000E54C8"/>
    <w:rsid w:val="000E5A01"/>
    <w:rsid w:val="000E5F2D"/>
    <w:rsid w:val="000E61B5"/>
    <w:rsid w:val="000E6677"/>
    <w:rsid w:val="000E67A6"/>
    <w:rsid w:val="000E6C65"/>
    <w:rsid w:val="000E75F2"/>
    <w:rsid w:val="000E79E1"/>
    <w:rsid w:val="000E7AD0"/>
    <w:rsid w:val="000E7BE3"/>
    <w:rsid w:val="000E7C0B"/>
    <w:rsid w:val="000F0289"/>
    <w:rsid w:val="000F0FA5"/>
    <w:rsid w:val="000F17AB"/>
    <w:rsid w:val="000F1F4B"/>
    <w:rsid w:val="000F1F5B"/>
    <w:rsid w:val="000F23AF"/>
    <w:rsid w:val="000F25E2"/>
    <w:rsid w:val="000F2894"/>
    <w:rsid w:val="000F2960"/>
    <w:rsid w:val="000F2F3B"/>
    <w:rsid w:val="000F2F48"/>
    <w:rsid w:val="000F3429"/>
    <w:rsid w:val="000F380E"/>
    <w:rsid w:val="000F3D07"/>
    <w:rsid w:val="000F4774"/>
    <w:rsid w:val="000F47DC"/>
    <w:rsid w:val="000F494C"/>
    <w:rsid w:val="000F4DB0"/>
    <w:rsid w:val="000F4E85"/>
    <w:rsid w:val="000F4EB5"/>
    <w:rsid w:val="000F51D7"/>
    <w:rsid w:val="000F5F1E"/>
    <w:rsid w:val="000F6175"/>
    <w:rsid w:val="000F6208"/>
    <w:rsid w:val="000F6CFF"/>
    <w:rsid w:val="000F6E4D"/>
    <w:rsid w:val="000F7356"/>
    <w:rsid w:val="000F73E6"/>
    <w:rsid w:val="000F7926"/>
    <w:rsid w:val="000F7C06"/>
    <w:rsid w:val="000F7D2A"/>
    <w:rsid w:val="000F7F78"/>
    <w:rsid w:val="00100117"/>
    <w:rsid w:val="001005FC"/>
    <w:rsid w:val="00100719"/>
    <w:rsid w:val="00100DC6"/>
    <w:rsid w:val="0010158D"/>
    <w:rsid w:val="0010217F"/>
    <w:rsid w:val="0010219E"/>
    <w:rsid w:val="0010222C"/>
    <w:rsid w:val="00102339"/>
    <w:rsid w:val="00102980"/>
    <w:rsid w:val="00102A74"/>
    <w:rsid w:val="00102D38"/>
    <w:rsid w:val="00102ED7"/>
    <w:rsid w:val="0010393A"/>
    <w:rsid w:val="0010398E"/>
    <w:rsid w:val="001044E6"/>
    <w:rsid w:val="001045A3"/>
    <w:rsid w:val="0010479C"/>
    <w:rsid w:val="001047FC"/>
    <w:rsid w:val="00104A84"/>
    <w:rsid w:val="00104F7A"/>
    <w:rsid w:val="00105809"/>
    <w:rsid w:val="00105C10"/>
    <w:rsid w:val="00106364"/>
    <w:rsid w:val="001063F8"/>
    <w:rsid w:val="0010681A"/>
    <w:rsid w:val="00106910"/>
    <w:rsid w:val="001069A7"/>
    <w:rsid w:val="00106AF4"/>
    <w:rsid w:val="00106D9A"/>
    <w:rsid w:val="00106EF0"/>
    <w:rsid w:val="00106FE2"/>
    <w:rsid w:val="001070E1"/>
    <w:rsid w:val="001071F3"/>
    <w:rsid w:val="00107BC2"/>
    <w:rsid w:val="0011025F"/>
    <w:rsid w:val="00110426"/>
    <w:rsid w:val="00110BC4"/>
    <w:rsid w:val="00110DCB"/>
    <w:rsid w:val="001114FB"/>
    <w:rsid w:val="001115A7"/>
    <w:rsid w:val="001117E9"/>
    <w:rsid w:val="0011192B"/>
    <w:rsid w:val="00111A43"/>
    <w:rsid w:val="0011283F"/>
    <w:rsid w:val="00112B53"/>
    <w:rsid w:val="00112E40"/>
    <w:rsid w:val="00113027"/>
    <w:rsid w:val="0011331D"/>
    <w:rsid w:val="0011398C"/>
    <w:rsid w:val="00113E85"/>
    <w:rsid w:val="00114074"/>
    <w:rsid w:val="00114222"/>
    <w:rsid w:val="001143C9"/>
    <w:rsid w:val="001145B4"/>
    <w:rsid w:val="00114B21"/>
    <w:rsid w:val="00114FCF"/>
    <w:rsid w:val="00116559"/>
    <w:rsid w:val="001167F0"/>
    <w:rsid w:val="0011692C"/>
    <w:rsid w:val="00116C00"/>
    <w:rsid w:val="00116C9A"/>
    <w:rsid w:val="00116CAF"/>
    <w:rsid w:val="00117E2E"/>
    <w:rsid w:val="00120061"/>
    <w:rsid w:val="00120397"/>
    <w:rsid w:val="00120A55"/>
    <w:rsid w:val="00120AE9"/>
    <w:rsid w:val="00120BF3"/>
    <w:rsid w:val="0012113F"/>
    <w:rsid w:val="0012122D"/>
    <w:rsid w:val="001213F4"/>
    <w:rsid w:val="00121572"/>
    <w:rsid w:val="00122954"/>
    <w:rsid w:val="00122D08"/>
    <w:rsid w:val="0012321B"/>
    <w:rsid w:val="00123311"/>
    <w:rsid w:val="001233CB"/>
    <w:rsid w:val="001240BE"/>
    <w:rsid w:val="00124121"/>
    <w:rsid w:val="0012413F"/>
    <w:rsid w:val="001241B6"/>
    <w:rsid w:val="001241CE"/>
    <w:rsid w:val="0012422A"/>
    <w:rsid w:val="001247FA"/>
    <w:rsid w:val="00124E0E"/>
    <w:rsid w:val="001254AE"/>
    <w:rsid w:val="001254F1"/>
    <w:rsid w:val="00125AE5"/>
    <w:rsid w:val="00125D4D"/>
    <w:rsid w:val="00125FD9"/>
    <w:rsid w:val="00126582"/>
    <w:rsid w:val="00126EC2"/>
    <w:rsid w:val="00126F54"/>
    <w:rsid w:val="001270CA"/>
    <w:rsid w:val="00127899"/>
    <w:rsid w:val="001307ED"/>
    <w:rsid w:val="001307F4"/>
    <w:rsid w:val="00130D4C"/>
    <w:rsid w:val="00130E72"/>
    <w:rsid w:val="00131442"/>
    <w:rsid w:val="00131643"/>
    <w:rsid w:val="00131767"/>
    <w:rsid w:val="00131C81"/>
    <w:rsid w:val="00132B4A"/>
    <w:rsid w:val="00132BF3"/>
    <w:rsid w:val="0013337D"/>
    <w:rsid w:val="001334F2"/>
    <w:rsid w:val="0013445A"/>
    <w:rsid w:val="00134DB8"/>
    <w:rsid w:val="00135BBE"/>
    <w:rsid w:val="00135C5F"/>
    <w:rsid w:val="00135E48"/>
    <w:rsid w:val="00136AC8"/>
    <w:rsid w:val="00136B8F"/>
    <w:rsid w:val="00136E97"/>
    <w:rsid w:val="0013709C"/>
    <w:rsid w:val="001371B3"/>
    <w:rsid w:val="00137866"/>
    <w:rsid w:val="00140235"/>
    <w:rsid w:val="0014028E"/>
    <w:rsid w:val="00140A03"/>
    <w:rsid w:val="00140C8D"/>
    <w:rsid w:val="00141270"/>
    <w:rsid w:val="00141896"/>
    <w:rsid w:val="001418B3"/>
    <w:rsid w:val="00141912"/>
    <w:rsid w:val="00141BC5"/>
    <w:rsid w:val="0014214C"/>
    <w:rsid w:val="00142871"/>
    <w:rsid w:val="00142CB3"/>
    <w:rsid w:val="00142D97"/>
    <w:rsid w:val="00142DF4"/>
    <w:rsid w:val="00143130"/>
    <w:rsid w:val="001432A1"/>
    <w:rsid w:val="00143425"/>
    <w:rsid w:val="0014387D"/>
    <w:rsid w:val="00143BD7"/>
    <w:rsid w:val="001442D8"/>
    <w:rsid w:val="00144C02"/>
    <w:rsid w:val="00145746"/>
    <w:rsid w:val="00146580"/>
    <w:rsid w:val="001465F1"/>
    <w:rsid w:val="0014685D"/>
    <w:rsid w:val="00146D89"/>
    <w:rsid w:val="00147961"/>
    <w:rsid w:val="00147B15"/>
    <w:rsid w:val="0015036F"/>
    <w:rsid w:val="001504A4"/>
    <w:rsid w:val="001510C1"/>
    <w:rsid w:val="00151984"/>
    <w:rsid w:val="00152242"/>
    <w:rsid w:val="001526B3"/>
    <w:rsid w:val="00152881"/>
    <w:rsid w:val="00152FC9"/>
    <w:rsid w:val="0015304A"/>
    <w:rsid w:val="001535D3"/>
    <w:rsid w:val="00153DF3"/>
    <w:rsid w:val="00153F6B"/>
    <w:rsid w:val="00154199"/>
    <w:rsid w:val="001549A3"/>
    <w:rsid w:val="00154BB0"/>
    <w:rsid w:val="001568A8"/>
    <w:rsid w:val="00156EED"/>
    <w:rsid w:val="00156FCA"/>
    <w:rsid w:val="00157133"/>
    <w:rsid w:val="001573C0"/>
    <w:rsid w:val="00157732"/>
    <w:rsid w:val="001578E1"/>
    <w:rsid w:val="00157EC1"/>
    <w:rsid w:val="00160A55"/>
    <w:rsid w:val="0016136D"/>
    <w:rsid w:val="00161997"/>
    <w:rsid w:val="00161A13"/>
    <w:rsid w:val="001624A5"/>
    <w:rsid w:val="001625E1"/>
    <w:rsid w:val="00163251"/>
    <w:rsid w:val="00163322"/>
    <w:rsid w:val="0016341C"/>
    <w:rsid w:val="00163759"/>
    <w:rsid w:val="001641CA"/>
    <w:rsid w:val="0016430A"/>
    <w:rsid w:val="001647BE"/>
    <w:rsid w:val="00164880"/>
    <w:rsid w:val="00164AD8"/>
    <w:rsid w:val="00164EF5"/>
    <w:rsid w:val="00165127"/>
    <w:rsid w:val="00165643"/>
    <w:rsid w:val="001657BA"/>
    <w:rsid w:val="00165880"/>
    <w:rsid w:val="00165B30"/>
    <w:rsid w:val="00165EEE"/>
    <w:rsid w:val="0016600F"/>
    <w:rsid w:val="0016644E"/>
    <w:rsid w:val="001664C9"/>
    <w:rsid w:val="00166591"/>
    <w:rsid w:val="001665FA"/>
    <w:rsid w:val="00166995"/>
    <w:rsid w:val="001673F8"/>
    <w:rsid w:val="00167402"/>
    <w:rsid w:val="001674FC"/>
    <w:rsid w:val="00167526"/>
    <w:rsid w:val="0016769A"/>
    <w:rsid w:val="00167E1D"/>
    <w:rsid w:val="00170E4D"/>
    <w:rsid w:val="001711AC"/>
    <w:rsid w:val="00171799"/>
    <w:rsid w:val="00171936"/>
    <w:rsid w:val="00172582"/>
    <w:rsid w:val="001725AC"/>
    <w:rsid w:val="00172B22"/>
    <w:rsid w:val="00173087"/>
    <w:rsid w:val="00173219"/>
    <w:rsid w:val="001732BD"/>
    <w:rsid w:val="001735BE"/>
    <w:rsid w:val="00173683"/>
    <w:rsid w:val="001738AF"/>
    <w:rsid w:val="00173D57"/>
    <w:rsid w:val="00173DA3"/>
    <w:rsid w:val="00173DFF"/>
    <w:rsid w:val="001745C8"/>
    <w:rsid w:val="001747AA"/>
    <w:rsid w:val="00174A24"/>
    <w:rsid w:val="00174B81"/>
    <w:rsid w:val="00175355"/>
    <w:rsid w:val="00175946"/>
    <w:rsid w:val="00175C20"/>
    <w:rsid w:val="00176491"/>
    <w:rsid w:val="001774F1"/>
    <w:rsid w:val="0017797D"/>
    <w:rsid w:val="00181A82"/>
    <w:rsid w:val="00182744"/>
    <w:rsid w:val="0018289B"/>
    <w:rsid w:val="00183748"/>
    <w:rsid w:val="00183E05"/>
    <w:rsid w:val="00184005"/>
    <w:rsid w:val="001842C8"/>
    <w:rsid w:val="001844CF"/>
    <w:rsid w:val="00184F21"/>
    <w:rsid w:val="001854FB"/>
    <w:rsid w:val="001858EB"/>
    <w:rsid w:val="001863B4"/>
    <w:rsid w:val="00186549"/>
    <w:rsid w:val="0018709D"/>
    <w:rsid w:val="00187CBF"/>
    <w:rsid w:val="0019014F"/>
    <w:rsid w:val="001912E9"/>
    <w:rsid w:val="00192182"/>
    <w:rsid w:val="00192C29"/>
    <w:rsid w:val="0019307A"/>
    <w:rsid w:val="00193642"/>
    <w:rsid w:val="00193882"/>
    <w:rsid w:val="00193C5F"/>
    <w:rsid w:val="00193E6A"/>
    <w:rsid w:val="00193EF1"/>
    <w:rsid w:val="00194EC0"/>
    <w:rsid w:val="00194ECB"/>
    <w:rsid w:val="00194FDF"/>
    <w:rsid w:val="00195445"/>
    <w:rsid w:val="00195882"/>
    <w:rsid w:val="001959FB"/>
    <w:rsid w:val="00195F86"/>
    <w:rsid w:val="001961E9"/>
    <w:rsid w:val="00196209"/>
    <w:rsid w:val="001966C0"/>
    <w:rsid w:val="00196783"/>
    <w:rsid w:val="0019708A"/>
    <w:rsid w:val="00197F56"/>
    <w:rsid w:val="00197FEC"/>
    <w:rsid w:val="001A027B"/>
    <w:rsid w:val="001A0490"/>
    <w:rsid w:val="001A0BEE"/>
    <w:rsid w:val="001A0F35"/>
    <w:rsid w:val="001A0F8E"/>
    <w:rsid w:val="001A104A"/>
    <w:rsid w:val="001A12F2"/>
    <w:rsid w:val="001A1455"/>
    <w:rsid w:val="001A1938"/>
    <w:rsid w:val="001A1DD4"/>
    <w:rsid w:val="001A1DFD"/>
    <w:rsid w:val="001A21A0"/>
    <w:rsid w:val="001A2467"/>
    <w:rsid w:val="001A2822"/>
    <w:rsid w:val="001A2842"/>
    <w:rsid w:val="001A2A1D"/>
    <w:rsid w:val="001A2AF9"/>
    <w:rsid w:val="001A2F39"/>
    <w:rsid w:val="001A3245"/>
    <w:rsid w:val="001A33D9"/>
    <w:rsid w:val="001A375E"/>
    <w:rsid w:val="001A3CEB"/>
    <w:rsid w:val="001A4971"/>
    <w:rsid w:val="001A4E28"/>
    <w:rsid w:val="001A5EE5"/>
    <w:rsid w:val="001A6172"/>
    <w:rsid w:val="001A71E5"/>
    <w:rsid w:val="001A773B"/>
    <w:rsid w:val="001A77AC"/>
    <w:rsid w:val="001A780E"/>
    <w:rsid w:val="001A7AAE"/>
    <w:rsid w:val="001A7CBD"/>
    <w:rsid w:val="001A7DF3"/>
    <w:rsid w:val="001B0414"/>
    <w:rsid w:val="001B0943"/>
    <w:rsid w:val="001B0FBF"/>
    <w:rsid w:val="001B1716"/>
    <w:rsid w:val="001B1E23"/>
    <w:rsid w:val="001B1ED6"/>
    <w:rsid w:val="001B1FAE"/>
    <w:rsid w:val="001B1FFA"/>
    <w:rsid w:val="001B28D1"/>
    <w:rsid w:val="001B28FD"/>
    <w:rsid w:val="001B2C81"/>
    <w:rsid w:val="001B30C6"/>
    <w:rsid w:val="001B3CEF"/>
    <w:rsid w:val="001B3DCE"/>
    <w:rsid w:val="001B3E50"/>
    <w:rsid w:val="001B42C7"/>
    <w:rsid w:val="001B51BD"/>
    <w:rsid w:val="001B5D17"/>
    <w:rsid w:val="001B621B"/>
    <w:rsid w:val="001B62FC"/>
    <w:rsid w:val="001B6A98"/>
    <w:rsid w:val="001B741B"/>
    <w:rsid w:val="001B7895"/>
    <w:rsid w:val="001B79AA"/>
    <w:rsid w:val="001B7E2A"/>
    <w:rsid w:val="001B7FEA"/>
    <w:rsid w:val="001C00FD"/>
    <w:rsid w:val="001C082A"/>
    <w:rsid w:val="001C0857"/>
    <w:rsid w:val="001C144B"/>
    <w:rsid w:val="001C157F"/>
    <w:rsid w:val="001C1A00"/>
    <w:rsid w:val="001C1B5D"/>
    <w:rsid w:val="001C1CC7"/>
    <w:rsid w:val="001C1CD1"/>
    <w:rsid w:val="001C226C"/>
    <w:rsid w:val="001C25CA"/>
    <w:rsid w:val="001C2B42"/>
    <w:rsid w:val="001C2F4F"/>
    <w:rsid w:val="001C31AD"/>
    <w:rsid w:val="001C3962"/>
    <w:rsid w:val="001C39F6"/>
    <w:rsid w:val="001C3C98"/>
    <w:rsid w:val="001C3E4D"/>
    <w:rsid w:val="001C4066"/>
    <w:rsid w:val="001C42BE"/>
    <w:rsid w:val="001C42F9"/>
    <w:rsid w:val="001C438A"/>
    <w:rsid w:val="001C47A2"/>
    <w:rsid w:val="001C4BA2"/>
    <w:rsid w:val="001C4F91"/>
    <w:rsid w:val="001C52BC"/>
    <w:rsid w:val="001C5992"/>
    <w:rsid w:val="001C5BB6"/>
    <w:rsid w:val="001C5E9B"/>
    <w:rsid w:val="001C6073"/>
    <w:rsid w:val="001C6499"/>
    <w:rsid w:val="001C6579"/>
    <w:rsid w:val="001C66FE"/>
    <w:rsid w:val="001C6CD7"/>
    <w:rsid w:val="001C6DA0"/>
    <w:rsid w:val="001C76BB"/>
    <w:rsid w:val="001C7B2D"/>
    <w:rsid w:val="001C7D95"/>
    <w:rsid w:val="001C7E27"/>
    <w:rsid w:val="001C7EA9"/>
    <w:rsid w:val="001D014B"/>
    <w:rsid w:val="001D0221"/>
    <w:rsid w:val="001D028C"/>
    <w:rsid w:val="001D05B6"/>
    <w:rsid w:val="001D06E0"/>
    <w:rsid w:val="001D10D5"/>
    <w:rsid w:val="001D1439"/>
    <w:rsid w:val="001D1743"/>
    <w:rsid w:val="001D1DA4"/>
    <w:rsid w:val="001D1DA7"/>
    <w:rsid w:val="001D22AF"/>
    <w:rsid w:val="001D26D5"/>
    <w:rsid w:val="001D2C31"/>
    <w:rsid w:val="001D2D0E"/>
    <w:rsid w:val="001D2E01"/>
    <w:rsid w:val="001D33B0"/>
    <w:rsid w:val="001D37E9"/>
    <w:rsid w:val="001D38F7"/>
    <w:rsid w:val="001D3BCF"/>
    <w:rsid w:val="001D3C2E"/>
    <w:rsid w:val="001D3C52"/>
    <w:rsid w:val="001D405E"/>
    <w:rsid w:val="001D435E"/>
    <w:rsid w:val="001D440F"/>
    <w:rsid w:val="001D4900"/>
    <w:rsid w:val="001D4D6E"/>
    <w:rsid w:val="001D4E89"/>
    <w:rsid w:val="001D50AB"/>
    <w:rsid w:val="001D542A"/>
    <w:rsid w:val="001D5466"/>
    <w:rsid w:val="001D5A65"/>
    <w:rsid w:val="001D5C67"/>
    <w:rsid w:val="001D5D0B"/>
    <w:rsid w:val="001D5F75"/>
    <w:rsid w:val="001D6002"/>
    <w:rsid w:val="001D622A"/>
    <w:rsid w:val="001D6904"/>
    <w:rsid w:val="001D6FD3"/>
    <w:rsid w:val="001D7340"/>
    <w:rsid w:val="001D759E"/>
    <w:rsid w:val="001D7C55"/>
    <w:rsid w:val="001D7D48"/>
    <w:rsid w:val="001D7F1E"/>
    <w:rsid w:val="001E0300"/>
    <w:rsid w:val="001E04A4"/>
    <w:rsid w:val="001E0825"/>
    <w:rsid w:val="001E101E"/>
    <w:rsid w:val="001E1455"/>
    <w:rsid w:val="001E1B4F"/>
    <w:rsid w:val="001E28CD"/>
    <w:rsid w:val="001E3003"/>
    <w:rsid w:val="001E33D5"/>
    <w:rsid w:val="001E3C33"/>
    <w:rsid w:val="001E3CF1"/>
    <w:rsid w:val="001E42C0"/>
    <w:rsid w:val="001E4A63"/>
    <w:rsid w:val="001E5583"/>
    <w:rsid w:val="001E57F9"/>
    <w:rsid w:val="001E5BD7"/>
    <w:rsid w:val="001E5F99"/>
    <w:rsid w:val="001E68A0"/>
    <w:rsid w:val="001E6A19"/>
    <w:rsid w:val="001E6BA2"/>
    <w:rsid w:val="001E6C14"/>
    <w:rsid w:val="001E6C97"/>
    <w:rsid w:val="001E6EA8"/>
    <w:rsid w:val="001E7211"/>
    <w:rsid w:val="001E72C5"/>
    <w:rsid w:val="001E73BA"/>
    <w:rsid w:val="001E754C"/>
    <w:rsid w:val="001E7FCC"/>
    <w:rsid w:val="001F00D4"/>
    <w:rsid w:val="001F03AF"/>
    <w:rsid w:val="001F057E"/>
    <w:rsid w:val="001F0777"/>
    <w:rsid w:val="001F0BFB"/>
    <w:rsid w:val="001F0F98"/>
    <w:rsid w:val="001F1483"/>
    <w:rsid w:val="001F1985"/>
    <w:rsid w:val="001F25F8"/>
    <w:rsid w:val="001F31CE"/>
    <w:rsid w:val="001F365A"/>
    <w:rsid w:val="001F3788"/>
    <w:rsid w:val="001F395B"/>
    <w:rsid w:val="001F47C7"/>
    <w:rsid w:val="001F4EB2"/>
    <w:rsid w:val="001F5304"/>
    <w:rsid w:val="001F5537"/>
    <w:rsid w:val="001F5753"/>
    <w:rsid w:val="001F5A98"/>
    <w:rsid w:val="001F676F"/>
    <w:rsid w:val="001F6ECE"/>
    <w:rsid w:val="001F77B6"/>
    <w:rsid w:val="001F7E8A"/>
    <w:rsid w:val="00200138"/>
    <w:rsid w:val="00200ED8"/>
    <w:rsid w:val="00200F0F"/>
    <w:rsid w:val="002019E2"/>
    <w:rsid w:val="00201EA0"/>
    <w:rsid w:val="00202A08"/>
    <w:rsid w:val="00202C1F"/>
    <w:rsid w:val="00202E79"/>
    <w:rsid w:val="0020331B"/>
    <w:rsid w:val="002038DB"/>
    <w:rsid w:val="00203A61"/>
    <w:rsid w:val="00203ABA"/>
    <w:rsid w:val="00203C3B"/>
    <w:rsid w:val="0020430E"/>
    <w:rsid w:val="0020438A"/>
    <w:rsid w:val="00204595"/>
    <w:rsid w:val="00204682"/>
    <w:rsid w:val="00204751"/>
    <w:rsid w:val="00204C8E"/>
    <w:rsid w:val="00204DF0"/>
    <w:rsid w:val="00204F2E"/>
    <w:rsid w:val="002051A5"/>
    <w:rsid w:val="002056A9"/>
    <w:rsid w:val="002058C4"/>
    <w:rsid w:val="00205EB6"/>
    <w:rsid w:val="00205F33"/>
    <w:rsid w:val="00206187"/>
    <w:rsid w:val="002061C6"/>
    <w:rsid w:val="002064C2"/>
    <w:rsid w:val="00206ED5"/>
    <w:rsid w:val="00207A7C"/>
    <w:rsid w:val="00207EE1"/>
    <w:rsid w:val="00207F51"/>
    <w:rsid w:val="002100FB"/>
    <w:rsid w:val="00210513"/>
    <w:rsid w:val="0021053D"/>
    <w:rsid w:val="002106C0"/>
    <w:rsid w:val="00210B2F"/>
    <w:rsid w:val="00210D11"/>
    <w:rsid w:val="00211435"/>
    <w:rsid w:val="0021191B"/>
    <w:rsid w:val="00211C43"/>
    <w:rsid w:val="0021214E"/>
    <w:rsid w:val="002121EE"/>
    <w:rsid w:val="00212B29"/>
    <w:rsid w:val="00212C70"/>
    <w:rsid w:val="00212E64"/>
    <w:rsid w:val="0021355B"/>
    <w:rsid w:val="002138B9"/>
    <w:rsid w:val="00213969"/>
    <w:rsid w:val="00213F45"/>
    <w:rsid w:val="00213FA8"/>
    <w:rsid w:val="002141B9"/>
    <w:rsid w:val="002143AB"/>
    <w:rsid w:val="00214894"/>
    <w:rsid w:val="00214EFC"/>
    <w:rsid w:val="00215863"/>
    <w:rsid w:val="00215B0A"/>
    <w:rsid w:val="00215B40"/>
    <w:rsid w:val="00215D07"/>
    <w:rsid w:val="00215D3E"/>
    <w:rsid w:val="00216633"/>
    <w:rsid w:val="0021686C"/>
    <w:rsid w:val="00216FB6"/>
    <w:rsid w:val="00217031"/>
    <w:rsid w:val="002171FC"/>
    <w:rsid w:val="0021743B"/>
    <w:rsid w:val="00217A7B"/>
    <w:rsid w:val="00217B03"/>
    <w:rsid w:val="002200DC"/>
    <w:rsid w:val="00220F9B"/>
    <w:rsid w:val="00221329"/>
    <w:rsid w:val="002216BA"/>
    <w:rsid w:val="00221734"/>
    <w:rsid w:val="0022176B"/>
    <w:rsid w:val="00221921"/>
    <w:rsid w:val="0022194E"/>
    <w:rsid w:val="00221BA2"/>
    <w:rsid w:val="00221BBF"/>
    <w:rsid w:val="00222367"/>
    <w:rsid w:val="00222627"/>
    <w:rsid w:val="002226A0"/>
    <w:rsid w:val="00222A61"/>
    <w:rsid w:val="00223124"/>
    <w:rsid w:val="002232FF"/>
    <w:rsid w:val="002236DA"/>
    <w:rsid w:val="00223908"/>
    <w:rsid w:val="00223B09"/>
    <w:rsid w:val="00224040"/>
    <w:rsid w:val="002244A2"/>
    <w:rsid w:val="002249AF"/>
    <w:rsid w:val="00224CE1"/>
    <w:rsid w:val="00224E09"/>
    <w:rsid w:val="0022512D"/>
    <w:rsid w:val="00225551"/>
    <w:rsid w:val="00225BE6"/>
    <w:rsid w:val="00225C96"/>
    <w:rsid w:val="00225F0E"/>
    <w:rsid w:val="00226779"/>
    <w:rsid w:val="00226A77"/>
    <w:rsid w:val="0022721B"/>
    <w:rsid w:val="002272DD"/>
    <w:rsid w:val="00227E81"/>
    <w:rsid w:val="00227FF7"/>
    <w:rsid w:val="002301D4"/>
    <w:rsid w:val="00230BE9"/>
    <w:rsid w:val="00230E1E"/>
    <w:rsid w:val="00231148"/>
    <w:rsid w:val="002313FC"/>
    <w:rsid w:val="00231814"/>
    <w:rsid w:val="00231B01"/>
    <w:rsid w:val="00231E81"/>
    <w:rsid w:val="0023286A"/>
    <w:rsid w:val="00232991"/>
    <w:rsid w:val="00233251"/>
    <w:rsid w:val="002332DF"/>
    <w:rsid w:val="0023336E"/>
    <w:rsid w:val="002354BB"/>
    <w:rsid w:val="00235821"/>
    <w:rsid w:val="002361AB"/>
    <w:rsid w:val="00236402"/>
    <w:rsid w:val="00236427"/>
    <w:rsid w:val="00236624"/>
    <w:rsid w:val="00236AC1"/>
    <w:rsid w:val="00236E6D"/>
    <w:rsid w:val="00236EEF"/>
    <w:rsid w:val="00236FA1"/>
    <w:rsid w:val="002370F7"/>
    <w:rsid w:val="002372C7"/>
    <w:rsid w:val="00237617"/>
    <w:rsid w:val="0023772F"/>
    <w:rsid w:val="002378F7"/>
    <w:rsid w:val="00237C43"/>
    <w:rsid w:val="00237CDC"/>
    <w:rsid w:val="00237DBC"/>
    <w:rsid w:val="002400A4"/>
    <w:rsid w:val="00240294"/>
    <w:rsid w:val="002405DA"/>
    <w:rsid w:val="002406A2"/>
    <w:rsid w:val="00240B17"/>
    <w:rsid w:val="00240B1A"/>
    <w:rsid w:val="00240E3A"/>
    <w:rsid w:val="002415AD"/>
    <w:rsid w:val="00241705"/>
    <w:rsid w:val="00241CB0"/>
    <w:rsid w:val="002429E5"/>
    <w:rsid w:val="00243148"/>
    <w:rsid w:val="0024318B"/>
    <w:rsid w:val="002433BA"/>
    <w:rsid w:val="00243771"/>
    <w:rsid w:val="002437BD"/>
    <w:rsid w:val="00243997"/>
    <w:rsid w:val="00243AB9"/>
    <w:rsid w:val="002441A0"/>
    <w:rsid w:val="00244297"/>
    <w:rsid w:val="0024438B"/>
    <w:rsid w:val="0024472F"/>
    <w:rsid w:val="002448A9"/>
    <w:rsid w:val="0024532C"/>
    <w:rsid w:val="00245538"/>
    <w:rsid w:val="002458D5"/>
    <w:rsid w:val="00245A59"/>
    <w:rsid w:val="002462E0"/>
    <w:rsid w:val="002465D0"/>
    <w:rsid w:val="00246EEF"/>
    <w:rsid w:val="0024700E"/>
    <w:rsid w:val="0024749F"/>
    <w:rsid w:val="00247CC5"/>
    <w:rsid w:val="00247ECB"/>
    <w:rsid w:val="00250233"/>
    <w:rsid w:val="00250244"/>
    <w:rsid w:val="002503A9"/>
    <w:rsid w:val="0025069A"/>
    <w:rsid w:val="002506DB"/>
    <w:rsid w:val="0025075A"/>
    <w:rsid w:val="002507DC"/>
    <w:rsid w:val="00250982"/>
    <w:rsid w:val="00250A5E"/>
    <w:rsid w:val="00250DA9"/>
    <w:rsid w:val="00251147"/>
    <w:rsid w:val="002512D4"/>
    <w:rsid w:val="0025175A"/>
    <w:rsid w:val="00251FC8"/>
    <w:rsid w:val="00252444"/>
    <w:rsid w:val="002526F9"/>
    <w:rsid w:val="0025295C"/>
    <w:rsid w:val="00252CA6"/>
    <w:rsid w:val="00252CD2"/>
    <w:rsid w:val="002535CE"/>
    <w:rsid w:val="002536B9"/>
    <w:rsid w:val="00253A6A"/>
    <w:rsid w:val="00253AAC"/>
    <w:rsid w:val="00253BEC"/>
    <w:rsid w:val="00253FE2"/>
    <w:rsid w:val="00254038"/>
    <w:rsid w:val="00254898"/>
    <w:rsid w:val="00254BF6"/>
    <w:rsid w:val="00254D4F"/>
    <w:rsid w:val="0025502E"/>
    <w:rsid w:val="0025533A"/>
    <w:rsid w:val="00255466"/>
    <w:rsid w:val="00255692"/>
    <w:rsid w:val="00255BD1"/>
    <w:rsid w:val="00256442"/>
    <w:rsid w:val="00256C16"/>
    <w:rsid w:val="00256F06"/>
    <w:rsid w:val="002570A4"/>
    <w:rsid w:val="00257195"/>
    <w:rsid w:val="002578DA"/>
    <w:rsid w:val="002578FA"/>
    <w:rsid w:val="002579DD"/>
    <w:rsid w:val="00257A99"/>
    <w:rsid w:val="00257CA9"/>
    <w:rsid w:val="00257E82"/>
    <w:rsid w:val="00257F67"/>
    <w:rsid w:val="00260768"/>
    <w:rsid w:val="00260842"/>
    <w:rsid w:val="00260923"/>
    <w:rsid w:val="00260DAB"/>
    <w:rsid w:val="002612A9"/>
    <w:rsid w:val="00261A39"/>
    <w:rsid w:val="00261CA4"/>
    <w:rsid w:val="00261E92"/>
    <w:rsid w:val="00262005"/>
    <w:rsid w:val="00262CA6"/>
    <w:rsid w:val="00263000"/>
    <w:rsid w:val="00263C65"/>
    <w:rsid w:val="002640DF"/>
    <w:rsid w:val="00264A29"/>
    <w:rsid w:val="00264A4B"/>
    <w:rsid w:val="00264E7B"/>
    <w:rsid w:val="00265052"/>
    <w:rsid w:val="0026508B"/>
    <w:rsid w:val="00265266"/>
    <w:rsid w:val="002656AC"/>
    <w:rsid w:val="002658FD"/>
    <w:rsid w:val="00265E5D"/>
    <w:rsid w:val="00265F51"/>
    <w:rsid w:val="002664E5"/>
    <w:rsid w:val="002668B2"/>
    <w:rsid w:val="00267565"/>
    <w:rsid w:val="002678ED"/>
    <w:rsid w:val="00267D8C"/>
    <w:rsid w:val="00270E9C"/>
    <w:rsid w:val="002712BF"/>
    <w:rsid w:val="0027187B"/>
    <w:rsid w:val="00271B62"/>
    <w:rsid w:val="00271F3C"/>
    <w:rsid w:val="00273C13"/>
    <w:rsid w:val="00273DF0"/>
    <w:rsid w:val="002745D5"/>
    <w:rsid w:val="00274A2B"/>
    <w:rsid w:val="00275029"/>
    <w:rsid w:val="002765C3"/>
    <w:rsid w:val="00276772"/>
    <w:rsid w:val="00276CDC"/>
    <w:rsid w:val="00277106"/>
    <w:rsid w:val="00277154"/>
    <w:rsid w:val="00277173"/>
    <w:rsid w:val="002771CD"/>
    <w:rsid w:val="0027755D"/>
    <w:rsid w:val="00277A0D"/>
    <w:rsid w:val="00277CD3"/>
    <w:rsid w:val="00280CEF"/>
    <w:rsid w:val="00280D9D"/>
    <w:rsid w:val="002810D6"/>
    <w:rsid w:val="00281D6D"/>
    <w:rsid w:val="00281DD2"/>
    <w:rsid w:val="002826A1"/>
    <w:rsid w:val="00282B3D"/>
    <w:rsid w:val="00282C54"/>
    <w:rsid w:val="00282EE3"/>
    <w:rsid w:val="002838FE"/>
    <w:rsid w:val="00283AC7"/>
    <w:rsid w:val="00283F79"/>
    <w:rsid w:val="0028455A"/>
    <w:rsid w:val="00285301"/>
    <w:rsid w:val="00285502"/>
    <w:rsid w:val="00285823"/>
    <w:rsid w:val="0028604F"/>
    <w:rsid w:val="00286D82"/>
    <w:rsid w:val="002870C9"/>
    <w:rsid w:val="00287269"/>
    <w:rsid w:val="0028757A"/>
    <w:rsid w:val="00287598"/>
    <w:rsid w:val="00287BDA"/>
    <w:rsid w:val="00287CDB"/>
    <w:rsid w:val="002902F0"/>
    <w:rsid w:val="00290362"/>
    <w:rsid w:val="002903BC"/>
    <w:rsid w:val="002904FE"/>
    <w:rsid w:val="00290691"/>
    <w:rsid w:val="002909B7"/>
    <w:rsid w:val="00290B97"/>
    <w:rsid w:val="00290D9D"/>
    <w:rsid w:val="0029112C"/>
    <w:rsid w:val="002911CC"/>
    <w:rsid w:val="002915D3"/>
    <w:rsid w:val="00291954"/>
    <w:rsid w:val="0029203E"/>
    <w:rsid w:val="00292060"/>
    <w:rsid w:val="002926E5"/>
    <w:rsid w:val="002928BE"/>
    <w:rsid w:val="00292979"/>
    <w:rsid w:val="00292E8A"/>
    <w:rsid w:val="002933F8"/>
    <w:rsid w:val="0029346B"/>
    <w:rsid w:val="00293562"/>
    <w:rsid w:val="00293C2B"/>
    <w:rsid w:val="00293C47"/>
    <w:rsid w:val="002940DA"/>
    <w:rsid w:val="00294261"/>
    <w:rsid w:val="00294F6F"/>
    <w:rsid w:val="0029521C"/>
    <w:rsid w:val="00295384"/>
    <w:rsid w:val="002955D1"/>
    <w:rsid w:val="00295A57"/>
    <w:rsid w:val="00295DC0"/>
    <w:rsid w:val="002960E1"/>
    <w:rsid w:val="00297B62"/>
    <w:rsid w:val="002A01E3"/>
    <w:rsid w:val="002A0DC2"/>
    <w:rsid w:val="002A1D72"/>
    <w:rsid w:val="002A2258"/>
    <w:rsid w:val="002A22DE"/>
    <w:rsid w:val="002A240F"/>
    <w:rsid w:val="002A2A11"/>
    <w:rsid w:val="002A2D4E"/>
    <w:rsid w:val="002A2E14"/>
    <w:rsid w:val="002A3CBE"/>
    <w:rsid w:val="002A3D96"/>
    <w:rsid w:val="002A3FBC"/>
    <w:rsid w:val="002A4214"/>
    <w:rsid w:val="002A457D"/>
    <w:rsid w:val="002A4AA6"/>
    <w:rsid w:val="002A4CF1"/>
    <w:rsid w:val="002A5659"/>
    <w:rsid w:val="002A57EC"/>
    <w:rsid w:val="002A5DA2"/>
    <w:rsid w:val="002A6374"/>
    <w:rsid w:val="002A69B2"/>
    <w:rsid w:val="002A6E2A"/>
    <w:rsid w:val="002A6E9B"/>
    <w:rsid w:val="002A70EE"/>
    <w:rsid w:val="002A7323"/>
    <w:rsid w:val="002A7424"/>
    <w:rsid w:val="002A75C4"/>
    <w:rsid w:val="002A775B"/>
    <w:rsid w:val="002A7E63"/>
    <w:rsid w:val="002A7E80"/>
    <w:rsid w:val="002B03AC"/>
    <w:rsid w:val="002B03D2"/>
    <w:rsid w:val="002B0434"/>
    <w:rsid w:val="002B0D80"/>
    <w:rsid w:val="002B0E32"/>
    <w:rsid w:val="002B146E"/>
    <w:rsid w:val="002B1D0A"/>
    <w:rsid w:val="002B2032"/>
    <w:rsid w:val="002B28EE"/>
    <w:rsid w:val="002B29F4"/>
    <w:rsid w:val="002B2B34"/>
    <w:rsid w:val="002B2D3D"/>
    <w:rsid w:val="002B2D53"/>
    <w:rsid w:val="002B3245"/>
    <w:rsid w:val="002B339C"/>
    <w:rsid w:val="002B36EE"/>
    <w:rsid w:val="002B37D3"/>
    <w:rsid w:val="002B3A68"/>
    <w:rsid w:val="002B446B"/>
    <w:rsid w:val="002B4711"/>
    <w:rsid w:val="002B4B1E"/>
    <w:rsid w:val="002B4D96"/>
    <w:rsid w:val="002B4DA8"/>
    <w:rsid w:val="002B4E9C"/>
    <w:rsid w:val="002B5084"/>
    <w:rsid w:val="002B52C8"/>
    <w:rsid w:val="002B5355"/>
    <w:rsid w:val="002B537A"/>
    <w:rsid w:val="002B5647"/>
    <w:rsid w:val="002B57B0"/>
    <w:rsid w:val="002B59FF"/>
    <w:rsid w:val="002B5DD4"/>
    <w:rsid w:val="002B5E3B"/>
    <w:rsid w:val="002B618C"/>
    <w:rsid w:val="002B6D81"/>
    <w:rsid w:val="002B6DA5"/>
    <w:rsid w:val="002B70BA"/>
    <w:rsid w:val="002B728A"/>
    <w:rsid w:val="002B7EBE"/>
    <w:rsid w:val="002C0028"/>
    <w:rsid w:val="002C0A37"/>
    <w:rsid w:val="002C0D16"/>
    <w:rsid w:val="002C10F1"/>
    <w:rsid w:val="002C17FA"/>
    <w:rsid w:val="002C1835"/>
    <w:rsid w:val="002C1A09"/>
    <w:rsid w:val="002C1BEC"/>
    <w:rsid w:val="002C23A7"/>
    <w:rsid w:val="002C294A"/>
    <w:rsid w:val="002C2C0C"/>
    <w:rsid w:val="002C3164"/>
    <w:rsid w:val="002C32DB"/>
    <w:rsid w:val="002C377B"/>
    <w:rsid w:val="002C39D5"/>
    <w:rsid w:val="002C4196"/>
    <w:rsid w:val="002C4B4A"/>
    <w:rsid w:val="002C4F34"/>
    <w:rsid w:val="002C50A7"/>
    <w:rsid w:val="002C5B9A"/>
    <w:rsid w:val="002C5D6F"/>
    <w:rsid w:val="002C622F"/>
    <w:rsid w:val="002C6F98"/>
    <w:rsid w:val="002C7677"/>
    <w:rsid w:val="002C7977"/>
    <w:rsid w:val="002C7ACB"/>
    <w:rsid w:val="002C7BE6"/>
    <w:rsid w:val="002D0656"/>
    <w:rsid w:val="002D078E"/>
    <w:rsid w:val="002D094F"/>
    <w:rsid w:val="002D0E6E"/>
    <w:rsid w:val="002D141D"/>
    <w:rsid w:val="002D1605"/>
    <w:rsid w:val="002D19B9"/>
    <w:rsid w:val="002D1E26"/>
    <w:rsid w:val="002D2A26"/>
    <w:rsid w:val="002D2B83"/>
    <w:rsid w:val="002D2E38"/>
    <w:rsid w:val="002D31CB"/>
    <w:rsid w:val="002D39AA"/>
    <w:rsid w:val="002D39FA"/>
    <w:rsid w:val="002D3DE6"/>
    <w:rsid w:val="002D3EFC"/>
    <w:rsid w:val="002D4089"/>
    <w:rsid w:val="002D436B"/>
    <w:rsid w:val="002D462B"/>
    <w:rsid w:val="002D4650"/>
    <w:rsid w:val="002D530B"/>
    <w:rsid w:val="002D5AE4"/>
    <w:rsid w:val="002D6181"/>
    <w:rsid w:val="002D6470"/>
    <w:rsid w:val="002D6E16"/>
    <w:rsid w:val="002D71BA"/>
    <w:rsid w:val="002D7797"/>
    <w:rsid w:val="002E006C"/>
    <w:rsid w:val="002E07B3"/>
    <w:rsid w:val="002E0A7D"/>
    <w:rsid w:val="002E0DB7"/>
    <w:rsid w:val="002E16A6"/>
    <w:rsid w:val="002E1B0F"/>
    <w:rsid w:val="002E1E33"/>
    <w:rsid w:val="002E1E3F"/>
    <w:rsid w:val="002E209B"/>
    <w:rsid w:val="002E2118"/>
    <w:rsid w:val="002E2492"/>
    <w:rsid w:val="002E2D34"/>
    <w:rsid w:val="002E2F06"/>
    <w:rsid w:val="002E3372"/>
    <w:rsid w:val="002E37B0"/>
    <w:rsid w:val="002E3EC8"/>
    <w:rsid w:val="002E4052"/>
    <w:rsid w:val="002E43A3"/>
    <w:rsid w:val="002E4AEC"/>
    <w:rsid w:val="002E4B9E"/>
    <w:rsid w:val="002E4C48"/>
    <w:rsid w:val="002E4E84"/>
    <w:rsid w:val="002E4FFE"/>
    <w:rsid w:val="002E5D4C"/>
    <w:rsid w:val="002E61A9"/>
    <w:rsid w:val="002E64FB"/>
    <w:rsid w:val="002E6608"/>
    <w:rsid w:val="002E6AD2"/>
    <w:rsid w:val="002E749A"/>
    <w:rsid w:val="002E7A98"/>
    <w:rsid w:val="002E7D4C"/>
    <w:rsid w:val="002F03B2"/>
    <w:rsid w:val="002F04E3"/>
    <w:rsid w:val="002F0A12"/>
    <w:rsid w:val="002F0A9F"/>
    <w:rsid w:val="002F0C09"/>
    <w:rsid w:val="002F12A4"/>
    <w:rsid w:val="002F1AC3"/>
    <w:rsid w:val="002F1ED4"/>
    <w:rsid w:val="002F23A1"/>
    <w:rsid w:val="002F2635"/>
    <w:rsid w:val="002F2B89"/>
    <w:rsid w:val="002F3003"/>
    <w:rsid w:val="002F3144"/>
    <w:rsid w:val="002F38E9"/>
    <w:rsid w:val="002F3B62"/>
    <w:rsid w:val="002F3BC9"/>
    <w:rsid w:val="002F3C1E"/>
    <w:rsid w:val="002F43C6"/>
    <w:rsid w:val="002F4764"/>
    <w:rsid w:val="002F4D93"/>
    <w:rsid w:val="002F4F62"/>
    <w:rsid w:val="002F5AD4"/>
    <w:rsid w:val="002F5E8F"/>
    <w:rsid w:val="002F64CD"/>
    <w:rsid w:val="002F6765"/>
    <w:rsid w:val="002F695F"/>
    <w:rsid w:val="002F6C0E"/>
    <w:rsid w:val="002F6D65"/>
    <w:rsid w:val="002F7612"/>
    <w:rsid w:val="002F7639"/>
    <w:rsid w:val="002F777C"/>
    <w:rsid w:val="002F77BB"/>
    <w:rsid w:val="002F78B2"/>
    <w:rsid w:val="002F7EBC"/>
    <w:rsid w:val="003004CF"/>
    <w:rsid w:val="00300597"/>
    <w:rsid w:val="00300CCC"/>
    <w:rsid w:val="00300D36"/>
    <w:rsid w:val="00300DA6"/>
    <w:rsid w:val="00300F28"/>
    <w:rsid w:val="003011C7"/>
    <w:rsid w:val="003015A7"/>
    <w:rsid w:val="00301839"/>
    <w:rsid w:val="00301868"/>
    <w:rsid w:val="00301CBE"/>
    <w:rsid w:val="00301DE9"/>
    <w:rsid w:val="00302596"/>
    <w:rsid w:val="0030270F"/>
    <w:rsid w:val="00302DCE"/>
    <w:rsid w:val="003030DB"/>
    <w:rsid w:val="003034C4"/>
    <w:rsid w:val="00303668"/>
    <w:rsid w:val="00303B0F"/>
    <w:rsid w:val="00303C79"/>
    <w:rsid w:val="0030468B"/>
    <w:rsid w:val="003046BB"/>
    <w:rsid w:val="00304BD0"/>
    <w:rsid w:val="00304D25"/>
    <w:rsid w:val="00304DC0"/>
    <w:rsid w:val="0030533A"/>
    <w:rsid w:val="00305979"/>
    <w:rsid w:val="00305D6D"/>
    <w:rsid w:val="003062B1"/>
    <w:rsid w:val="0030654E"/>
    <w:rsid w:val="00306638"/>
    <w:rsid w:val="00306BA3"/>
    <w:rsid w:val="003073B8"/>
    <w:rsid w:val="00307CA1"/>
    <w:rsid w:val="00307D77"/>
    <w:rsid w:val="003104C5"/>
    <w:rsid w:val="00310AB0"/>
    <w:rsid w:val="00311311"/>
    <w:rsid w:val="003114C9"/>
    <w:rsid w:val="003118A3"/>
    <w:rsid w:val="00311C6B"/>
    <w:rsid w:val="00312607"/>
    <w:rsid w:val="003131E8"/>
    <w:rsid w:val="00313981"/>
    <w:rsid w:val="00313AB7"/>
    <w:rsid w:val="00313AFA"/>
    <w:rsid w:val="00313CC7"/>
    <w:rsid w:val="00313E9E"/>
    <w:rsid w:val="00313EEB"/>
    <w:rsid w:val="003146DF"/>
    <w:rsid w:val="00314FD6"/>
    <w:rsid w:val="003150D5"/>
    <w:rsid w:val="003150EB"/>
    <w:rsid w:val="00315792"/>
    <w:rsid w:val="003166A1"/>
    <w:rsid w:val="00316D83"/>
    <w:rsid w:val="00316F43"/>
    <w:rsid w:val="00317017"/>
    <w:rsid w:val="00317BC9"/>
    <w:rsid w:val="00317EE7"/>
    <w:rsid w:val="00320333"/>
    <w:rsid w:val="0032059E"/>
    <w:rsid w:val="00320A7F"/>
    <w:rsid w:val="00320DA2"/>
    <w:rsid w:val="00320F35"/>
    <w:rsid w:val="00320F78"/>
    <w:rsid w:val="00320F90"/>
    <w:rsid w:val="00321A33"/>
    <w:rsid w:val="003222FD"/>
    <w:rsid w:val="003224B8"/>
    <w:rsid w:val="003225C6"/>
    <w:rsid w:val="00322B6F"/>
    <w:rsid w:val="00322FDA"/>
    <w:rsid w:val="003231EE"/>
    <w:rsid w:val="0032326F"/>
    <w:rsid w:val="00323423"/>
    <w:rsid w:val="00323610"/>
    <w:rsid w:val="00323969"/>
    <w:rsid w:val="00323CE4"/>
    <w:rsid w:val="003244F3"/>
    <w:rsid w:val="00324520"/>
    <w:rsid w:val="00324907"/>
    <w:rsid w:val="00324AAC"/>
    <w:rsid w:val="00324AEB"/>
    <w:rsid w:val="00324B7B"/>
    <w:rsid w:val="003254B1"/>
    <w:rsid w:val="00325C97"/>
    <w:rsid w:val="00326044"/>
    <w:rsid w:val="003265BD"/>
    <w:rsid w:val="00326766"/>
    <w:rsid w:val="00326B16"/>
    <w:rsid w:val="00326D06"/>
    <w:rsid w:val="0032719A"/>
    <w:rsid w:val="003271C6"/>
    <w:rsid w:val="003273BE"/>
    <w:rsid w:val="00327855"/>
    <w:rsid w:val="003279A0"/>
    <w:rsid w:val="0033037F"/>
    <w:rsid w:val="003307AB"/>
    <w:rsid w:val="003308A9"/>
    <w:rsid w:val="00331210"/>
    <w:rsid w:val="003315D5"/>
    <w:rsid w:val="00331A31"/>
    <w:rsid w:val="00331AC5"/>
    <w:rsid w:val="00331B70"/>
    <w:rsid w:val="00331D42"/>
    <w:rsid w:val="00331EAA"/>
    <w:rsid w:val="003329CC"/>
    <w:rsid w:val="00332B90"/>
    <w:rsid w:val="00332D98"/>
    <w:rsid w:val="00333052"/>
    <w:rsid w:val="003333B2"/>
    <w:rsid w:val="003337B7"/>
    <w:rsid w:val="00333DD2"/>
    <w:rsid w:val="00334829"/>
    <w:rsid w:val="003348A2"/>
    <w:rsid w:val="003351C6"/>
    <w:rsid w:val="0033524F"/>
    <w:rsid w:val="003354F7"/>
    <w:rsid w:val="003363B9"/>
    <w:rsid w:val="0033653E"/>
    <w:rsid w:val="003366F9"/>
    <w:rsid w:val="003368D1"/>
    <w:rsid w:val="003403B0"/>
    <w:rsid w:val="003403FF"/>
    <w:rsid w:val="0034087D"/>
    <w:rsid w:val="003409E0"/>
    <w:rsid w:val="003412F3"/>
    <w:rsid w:val="00341A8E"/>
    <w:rsid w:val="00341B83"/>
    <w:rsid w:val="0034285E"/>
    <w:rsid w:val="00342ABB"/>
    <w:rsid w:val="003439B3"/>
    <w:rsid w:val="00343FE7"/>
    <w:rsid w:val="003445B4"/>
    <w:rsid w:val="00344786"/>
    <w:rsid w:val="00344E2B"/>
    <w:rsid w:val="00345DD8"/>
    <w:rsid w:val="00345EF6"/>
    <w:rsid w:val="0034674F"/>
    <w:rsid w:val="00346930"/>
    <w:rsid w:val="00346ADC"/>
    <w:rsid w:val="00346F6E"/>
    <w:rsid w:val="00347276"/>
    <w:rsid w:val="00347507"/>
    <w:rsid w:val="00347B13"/>
    <w:rsid w:val="00347FFD"/>
    <w:rsid w:val="0035023A"/>
    <w:rsid w:val="00350375"/>
    <w:rsid w:val="00350748"/>
    <w:rsid w:val="00350B1E"/>
    <w:rsid w:val="0035135D"/>
    <w:rsid w:val="00351BCE"/>
    <w:rsid w:val="00351F43"/>
    <w:rsid w:val="00351F93"/>
    <w:rsid w:val="00352085"/>
    <w:rsid w:val="003524E1"/>
    <w:rsid w:val="003525E6"/>
    <w:rsid w:val="0035263B"/>
    <w:rsid w:val="00353080"/>
    <w:rsid w:val="003534DF"/>
    <w:rsid w:val="00353962"/>
    <w:rsid w:val="00354210"/>
    <w:rsid w:val="00354738"/>
    <w:rsid w:val="00355053"/>
    <w:rsid w:val="0035565A"/>
    <w:rsid w:val="003558B9"/>
    <w:rsid w:val="003569BA"/>
    <w:rsid w:val="003574A6"/>
    <w:rsid w:val="0035768F"/>
    <w:rsid w:val="00357A9F"/>
    <w:rsid w:val="00357D9D"/>
    <w:rsid w:val="0036011A"/>
    <w:rsid w:val="00360B69"/>
    <w:rsid w:val="003610AA"/>
    <w:rsid w:val="00361471"/>
    <w:rsid w:val="003615AC"/>
    <w:rsid w:val="00361C44"/>
    <w:rsid w:val="00361E2B"/>
    <w:rsid w:val="0036213E"/>
    <w:rsid w:val="00362413"/>
    <w:rsid w:val="00362E5B"/>
    <w:rsid w:val="0036323F"/>
    <w:rsid w:val="003634B9"/>
    <w:rsid w:val="003639CD"/>
    <w:rsid w:val="00363F07"/>
    <w:rsid w:val="00364285"/>
    <w:rsid w:val="0036495E"/>
    <w:rsid w:val="0036525C"/>
    <w:rsid w:val="00365375"/>
    <w:rsid w:val="00365CBF"/>
    <w:rsid w:val="00366098"/>
    <w:rsid w:val="003669C3"/>
    <w:rsid w:val="0036703E"/>
    <w:rsid w:val="0036749F"/>
    <w:rsid w:val="00370190"/>
    <w:rsid w:val="0037059D"/>
    <w:rsid w:val="003708B4"/>
    <w:rsid w:val="00370A42"/>
    <w:rsid w:val="00370FA2"/>
    <w:rsid w:val="00371B69"/>
    <w:rsid w:val="00372252"/>
    <w:rsid w:val="003722B1"/>
    <w:rsid w:val="0037251D"/>
    <w:rsid w:val="00372D33"/>
    <w:rsid w:val="00373056"/>
    <w:rsid w:val="00373218"/>
    <w:rsid w:val="00373469"/>
    <w:rsid w:val="003734BA"/>
    <w:rsid w:val="00373ADD"/>
    <w:rsid w:val="003749B2"/>
    <w:rsid w:val="00374CFC"/>
    <w:rsid w:val="00374D14"/>
    <w:rsid w:val="00374E5B"/>
    <w:rsid w:val="00376091"/>
    <w:rsid w:val="003761F0"/>
    <w:rsid w:val="00376BE6"/>
    <w:rsid w:val="00376C52"/>
    <w:rsid w:val="00377466"/>
    <w:rsid w:val="00377612"/>
    <w:rsid w:val="00377734"/>
    <w:rsid w:val="003778C2"/>
    <w:rsid w:val="00377BB9"/>
    <w:rsid w:val="00377E3A"/>
    <w:rsid w:val="0038011B"/>
    <w:rsid w:val="003802E0"/>
    <w:rsid w:val="003803BD"/>
    <w:rsid w:val="003805F6"/>
    <w:rsid w:val="003808F0"/>
    <w:rsid w:val="003810F5"/>
    <w:rsid w:val="003814CA"/>
    <w:rsid w:val="0038177C"/>
    <w:rsid w:val="00381E79"/>
    <w:rsid w:val="00381F46"/>
    <w:rsid w:val="00381FE9"/>
    <w:rsid w:val="003821F8"/>
    <w:rsid w:val="00382A4C"/>
    <w:rsid w:val="00382A85"/>
    <w:rsid w:val="003832A8"/>
    <w:rsid w:val="00383633"/>
    <w:rsid w:val="00383FB5"/>
    <w:rsid w:val="00383FCF"/>
    <w:rsid w:val="003845B2"/>
    <w:rsid w:val="00384993"/>
    <w:rsid w:val="003849AE"/>
    <w:rsid w:val="00385E58"/>
    <w:rsid w:val="00386230"/>
    <w:rsid w:val="003865F3"/>
    <w:rsid w:val="00387024"/>
    <w:rsid w:val="00387356"/>
    <w:rsid w:val="003878BD"/>
    <w:rsid w:val="00387A31"/>
    <w:rsid w:val="00387B4D"/>
    <w:rsid w:val="003905DB"/>
    <w:rsid w:val="0039089B"/>
    <w:rsid w:val="00390C29"/>
    <w:rsid w:val="00390C60"/>
    <w:rsid w:val="003910FC"/>
    <w:rsid w:val="00391E9E"/>
    <w:rsid w:val="0039203C"/>
    <w:rsid w:val="0039226E"/>
    <w:rsid w:val="00392415"/>
    <w:rsid w:val="0039254E"/>
    <w:rsid w:val="00392757"/>
    <w:rsid w:val="003927FC"/>
    <w:rsid w:val="00392967"/>
    <w:rsid w:val="003929D2"/>
    <w:rsid w:val="00392A3D"/>
    <w:rsid w:val="00392CB0"/>
    <w:rsid w:val="00393A76"/>
    <w:rsid w:val="00393B2D"/>
    <w:rsid w:val="00393ECF"/>
    <w:rsid w:val="0039400D"/>
    <w:rsid w:val="00394E28"/>
    <w:rsid w:val="00395080"/>
    <w:rsid w:val="00395733"/>
    <w:rsid w:val="00395D12"/>
    <w:rsid w:val="003961A1"/>
    <w:rsid w:val="0039628A"/>
    <w:rsid w:val="00396555"/>
    <w:rsid w:val="003965A9"/>
    <w:rsid w:val="0039696E"/>
    <w:rsid w:val="00396C48"/>
    <w:rsid w:val="003975DF"/>
    <w:rsid w:val="00397A13"/>
    <w:rsid w:val="00397A6A"/>
    <w:rsid w:val="00397D83"/>
    <w:rsid w:val="003A078D"/>
    <w:rsid w:val="003A0E82"/>
    <w:rsid w:val="003A0EE9"/>
    <w:rsid w:val="003A107E"/>
    <w:rsid w:val="003A10A5"/>
    <w:rsid w:val="003A1E83"/>
    <w:rsid w:val="003A33AD"/>
    <w:rsid w:val="003A3695"/>
    <w:rsid w:val="003A3CCF"/>
    <w:rsid w:val="003A3F63"/>
    <w:rsid w:val="003A44F8"/>
    <w:rsid w:val="003A461E"/>
    <w:rsid w:val="003A4723"/>
    <w:rsid w:val="003A4AD0"/>
    <w:rsid w:val="003A4ED1"/>
    <w:rsid w:val="003A5717"/>
    <w:rsid w:val="003A5905"/>
    <w:rsid w:val="003A5E01"/>
    <w:rsid w:val="003A5F44"/>
    <w:rsid w:val="003A6611"/>
    <w:rsid w:val="003A671B"/>
    <w:rsid w:val="003A676E"/>
    <w:rsid w:val="003A71B2"/>
    <w:rsid w:val="003A797A"/>
    <w:rsid w:val="003A7E1D"/>
    <w:rsid w:val="003B03E5"/>
    <w:rsid w:val="003B0AF1"/>
    <w:rsid w:val="003B0B8A"/>
    <w:rsid w:val="003B1804"/>
    <w:rsid w:val="003B2491"/>
    <w:rsid w:val="003B2835"/>
    <w:rsid w:val="003B2F23"/>
    <w:rsid w:val="003B3485"/>
    <w:rsid w:val="003B36FD"/>
    <w:rsid w:val="003B3761"/>
    <w:rsid w:val="003B3863"/>
    <w:rsid w:val="003B3AD9"/>
    <w:rsid w:val="003B3D46"/>
    <w:rsid w:val="003B40E1"/>
    <w:rsid w:val="003B4BA6"/>
    <w:rsid w:val="003B4F07"/>
    <w:rsid w:val="003B518A"/>
    <w:rsid w:val="003B56FC"/>
    <w:rsid w:val="003B59F2"/>
    <w:rsid w:val="003B5CDD"/>
    <w:rsid w:val="003B6C57"/>
    <w:rsid w:val="003B6CE7"/>
    <w:rsid w:val="003B6D1A"/>
    <w:rsid w:val="003B721E"/>
    <w:rsid w:val="003B7793"/>
    <w:rsid w:val="003B79CD"/>
    <w:rsid w:val="003B7A61"/>
    <w:rsid w:val="003C0090"/>
    <w:rsid w:val="003C0AF5"/>
    <w:rsid w:val="003C152E"/>
    <w:rsid w:val="003C154B"/>
    <w:rsid w:val="003C1575"/>
    <w:rsid w:val="003C17E1"/>
    <w:rsid w:val="003C1874"/>
    <w:rsid w:val="003C1CA5"/>
    <w:rsid w:val="003C1D53"/>
    <w:rsid w:val="003C2120"/>
    <w:rsid w:val="003C2711"/>
    <w:rsid w:val="003C2F7C"/>
    <w:rsid w:val="003C3169"/>
    <w:rsid w:val="003C4190"/>
    <w:rsid w:val="003C49B1"/>
    <w:rsid w:val="003C4CB5"/>
    <w:rsid w:val="003C51B0"/>
    <w:rsid w:val="003C53A5"/>
    <w:rsid w:val="003C5A51"/>
    <w:rsid w:val="003C5ACA"/>
    <w:rsid w:val="003C5D39"/>
    <w:rsid w:val="003C5FFB"/>
    <w:rsid w:val="003C6106"/>
    <w:rsid w:val="003C65F1"/>
    <w:rsid w:val="003C6C00"/>
    <w:rsid w:val="003C7CB5"/>
    <w:rsid w:val="003C7EC0"/>
    <w:rsid w:val="003D018D"/>
    <w:rsid w:val="003D0BDE"/>
    <w:rsid w:val="003D0C04"/>
    <w:rsid w:val="003D13D5"/>
    <w:rsid w:val="003D18AD"/>
    <w:rsid w:val="003D1DB4"/>
    <w:rsid w:val="003D2107"/>
    <w:rsid w:val="003D2570"/>
    <w:rsid w:val="003D25E7"/>
    <w:rsid w:val="003D26F4"/>
    <w:rsid w:val="003D2860"/>
    <w:rsid w:val="003D29EC"/>
    <w:rsid w:val="003D2A64"/>
    <w:rsid w:val="003D2AD1"/>
    <w:rsid w:val="003D2AE7"/>
    <w:rsid w:val="003D32E1"/>
    <w:rsid w:val="003D3455"/>
    <w:rsid w:val="003D36A9"/>
    <w:rsid w:val="003D375D"/>
    <w:rsid w:val="003D3E2B"/>
    <w:rsid w:val="003D3F01"/>
    <w:rsid w:val="003D40B9"/>
    <w:rsid w:val="003D4182"/>
    <w:rsid w:val="003D44D4"/>
    <w:rsid w:val="003D4A96"/>
    <w:rsid w:val="003D5275"/>
    <w:rsid w:val="003D5AAF"/>
    <w:rsid w:val="003D63DF"/>
    <w:rsid w:val="003D6768"/>
    <w:rsid w:val="003D6E09"/>
    <w:rsid w:val="003D737F"/>
    <w:rsid w:val="003D75D0"/>
    <w:rsid w:val="003D7987"/>
    <w:rsid w:val="003D7C6B"/>
    <w:rsid w:val="003E04A0"/>
    <w:rsid w:val="003E09AA"/>
    <w:rsid w:val="003E09D0"/>
    <w:rsid w:val="003E0EF2"/>
    <w:rsid w:val="003E106F"/>
    <w:rsid w:val="003E117A"/>
    <w:rsid w:val="003E126C"/>
    <w:rsid w:val="003E12F1"/>
    <w:rsid w:val="003E1525"/>
    <w:rsid w:val="003E2575"/>
    <w:rsid w:val="003E2D93"/>
    <w:rsid w:val="003E314C"/>
    <w:rsid w:val="003E33E4"/>
    <w:rsid w:val="003E3DFE"/>
    <w:rsid w:val="003E4462"/>
    <w:rsid w:val="003E4CC8"/>
    <w:rsid w:val="003E5082"/>
    <w:rsid w:val="003E516C"/>
    <w:rsid w:val="003E540F"/>
    <w:rsid w:val="003E54BA"/>
    <w:rsid w:val="003E5525"/>
    <w:rsid w:val="003E555E"/>
    <w:rsid w:val="003E57E2"/>
    <w:rsid w:val="003E5DFB"/>
    <w:rsid w:val="003E5E78"/>
    <w:rsid w:val="003E614D"/>
    <w:rsid w:val="003E6602"/>
    <w:rsid w:val="003E6AE1"/>
    <w:rsid w:val="003E6DD3"/>
    <w:rsid w:val="003E6E63"/>
    <w:rsid w:val="003E6EB0"/>
    <w:rsid w:val="003E7662"/>
    <w:rsid w:val="003E774B"/>
    <w:rsid w:val="003E79C8"/>
    <w:rsid w:val="003E7F33"/>
    <w:rsid w:val="003E7F6E"/>
    <w:rsid w:val="003F0C39"/>
    <w:rsid w:val="003F1411"/>
    <w:rsid w:val="003F156B"/>
    <w:rsid w:val="003F19C9"/>
    <w:rsid w:val="003F203C"/>
    <w:rsid w:val="003F249D"/>
    <w:rsid w:val="003F294B"/>
    <w:rsid w:val="003F2C01"/>
    <w:rsid w:val="003F2E5B"/>
    <w:rsid w:val="003F2E63"/>
    <w:rsid w:val="003F31C7"/>
    <w:rsid w:val="003F3A47"/>
    <w:rsid w:val="003F4E45"/>
    <w:rsid w:val="003F4F7C"/>
    <w:rsid w:val="003F5A3E"/>
    <w:rsid w:val="003F5D6A"/>
    <w:rsid w:val="003F626F"/>
    <w:rsid w:val="003F636A"/>
    <w:rsid w:val="003F7474"/>
    <w:rsid w:val="003F7FBB"/>
    <w:rsid w:val="004002EC"/>
    <w:rsid w:val="004010F2"/>
    <w:rsid w:val="00401775"/>
    <w:rsid w:val="00401860"/>
    <w:rsid w:val="00402135"/>
    <w:rsid w:val="004023BD"/>
    <w:rsid w:val="00402890"/>
    <w:rsid w:val="00402D31"/>
    <w:rsid w:val="00402D6F"/>
    <w:rsid w:val="00403981"/>
    <w:rsid w:val="00403DDC"/>
    <w:rsid w:val="00403EF7"/>
    <w:rsid w:val="00403EF9"/>
    <w:rsid w:val="00404074"/>
    <w:rsid w:val="004041A7"/>
    <w:rsid w:val="0040445D"/>
    <w:rsid w:val="00404616"/>
    <w:rsid w:val="0040499C"/>
    <w:rsid w:val="004049CF"/>
    <w:rsid w:val="00404A6B"/>
    <w:rsid w:val="00404F8E"/>
    <w:rsid w:val="004050F8"/>
    <w:rsid w:val="0040517E"/>
    <w:rsid w:val="00405410"/>
    <w:rsid w:val="00405414"/>
    <w:rsid w:val="00405A4B"/>
    <w:rsid w:val="00405AD3"/>
    <w:rsid w:val="00405EBB"/>
    <w:rsid w:val="0040602F"/>
    <w:rsid w:val="004061D8"/>
    <w:rsid w:val="00406557"/>
    <w:rsid w:val="00406D1D"/>
    <w:rsid w:val="00407298"/>
    <w:rsid w:val="004072E2"/>
    <w:rsid w:val="00407B6A"/>
    <w:rsid w:val="00407E31"/>
    <w:rsid w:val="00407F2A"/>
    <w:rsid w:val="00407FCC"/>
    <w:rsid w:val="004107C2"/>
    <w:rsid w:val="004117D7"/>
    <w:rsid w:val="00411BC8"/>
    <w:rsid w:val="00411BD0"/>
    <w:rsid w:val="00411E68"/>
    <w:rsid w:val="00411F56"/>
    <w:rsid w:val="00412103"/>
    <w:rsid w:val="00412159"/>
    <w:rsid w:val="004131CA"/>
    <w:rsid w:val="00413375"/>
    <w:rsid w:val="004135B6"/>
    <w:rsid w:val="00414156"/>
    <w:rsid w:val="00414400"/>
    <w:rsid w:val="004147C7"/>
    <w:rsid w:val="00414994"/>
    <w:rsid w:val="00414997"/>
    <w:rsid w:val="00414B23"/>
    <w:rsid w:val="00414D02"/>
    <w:rsid w:val="00415243"/>
    <w:rsid w:val="0041582A"/>
    <w:rsid w:val="00415F7C"/>
    <w:rsid w:val="004161BC"/>
    <w:rsid w:val="00416F40"/>
    <w:rsid w:val="004171B2"/>
    <w:rsid w:val="00417374"/>
    <w:rsid w:val="004174B2"/>
    <w:rsid w:val="004175B1"/>
    <w:rsid w:val="00417EF5"/>
    <w:rsid w:val="004203F6"/>
    <w:rsid w:val="00420634"/>
    <w:rsid w:val="004209A9"/>
    <w:rsid w:val="00420CD6"/>
    <w:rsid w:val="00420D53"/>
    <w:rsid w:val="004210C5"/>
    <w:rsid w:val="0042137D"/>
    <w:rsid w:val="0042188F"/>
    <w:rsid w:val="0042190F"/>
    <w:rsid w:val="00421C59"/>
    <w:rsid w:val="00421EB4"/>
    <w:rsid w:val="00422027"/>
    <w:rsid w:val="0042234F"/>
    <w:rsid w:val="0042252C"/>
    <w:rsid w:val="00422595"/>
    <w:rsid w:val="00422A54"/>
    <w:rsid w:val="00423A07"/>
    <w:rsid w:val="00423DB8"/>
    <w:rsid w:val="00423E42"/>
    <w:rsid w:val="004240DE"/>
    <w:rsid w:val="0042425A"/>
    <w:rsid w:val="00424349"/>
    <w:rsid w:val="0042490F"/>
    <w:rsid w:val="00424AE0"/>
    <w:rsid w:val="004252A8"/>
    <w:rsid w:val="004252DC"/>
    <w:rsid w:val="0042537E"/>
    <w:rsid w:val="0042542D"/>
    <w:rsid w:val="0042552D"/>
    <w:rsid w:val="0042576E"/>
    <w:rsid w:val="00425A4F"/>
    <w:rsid w:val="00425AF8"/>
    <w:rsid w:val="00425C79"/>
    <w:rsid w:val="00425F3D"/>
    <w:rsid w:val="0042618F"/>
    <w:rsid w:val="00426523"/>
    <w:rsid w:val="0042684E"/>
    <w:rsid w:val="004268C5"/>
    <w:rsid w:val="0042698B"/>
    <w:rsid w:val="00426996"/>
    <w:rsid w:val="00426EEA"/>
    <w:rsid w:val="00426EFB"/>
    <w:rsid w:val="00426F8F"/>
    <w:rsid w:val="004270C5"/>
    <w:rsid w:val="00427184"/>
    <w:rsid w:val="00427450"/>
    <w:rsid w:val="00427519"/>
    <w:rsid w:val="004303C6"/>
    <w:rsid w:val="00431BA5"/>
    <w:rsid w:val="0043214B"/>
    <w:rsid w:val="0043224D"/>
    <w:rsid w:val="004324C9"/>
    <w:rsid w:val="00432624"/>
    <w:rsid w:val="00432983"/>
    <w:rsid w:val="00432B4E"/>
    <w:rsid w:val="00432BE0"/>
    <w:rsid w:val="00432FE1"/>
    <w:rsid w:val="004339D0"/>
    <w:rsid w:val="00433C42"/>
    <w:rsid w:val="00433FF6"/>
    <w:rsid w:val="004344DE"/>
    <w:rsid w:val="00434743"/>
    <w:rsid w:val="00434968"/>
    <w:rsid w:val="00434B75"/>
    <w:rsid w:val="00434C62"/>
    <w:rsid w:val="0043509B"/>
    <w:rsid w:val="0043562D"/>
    <w:rsid w:val="004356C2"/>
    <w:rsid w:val="004360E6"/>
    <w:rsid w:val="0043683C"/>
    <w:rsid w:val="0044063B"/>
    <w:rsid w:val="004408F3"/>
    <w:rsid w:val="00440C76"/>
    <w:rsid w:val="00440D93"/>
    <w:rsid w:val="004414DD"/>
    <w:rsid w:val="0044196E"/>
    <w:rsid w:val="00441AF8"/>
    <w:rsid w:val="00441EBA"/>
    <w:rsid w:val="00442003"/>
    <w:rsid w:val="00442D0D"/>
    <w:rsid w:val="00443136"/>
    <w:rsid w:val="00443215"/>
    <w:rsid w:val="004436BD"/>
    <w:rsid w:val="00443A1F"/>
    <w:rsid w:val="00444444"/>
    <w:rsid w:val="0044487E"/>
    <w:rsid w:val="00444AE7"/>
    <w:rsid w:val="00444DD4"/>
    <w:rsid w:val="00444FD2"/>
    <w:rsid w:val="00444FDF"/>
    <w:rsid w:val="00445382"/>
    <w:rsid w:val="00445928"/>
    <w:rsid w:val="00445A92"/>
    <w:rsid w:val="00445F8E"/>
    <w:rsid w:val="00447021"/>
    <w:rsid w:val="00447181"/>
    <w:rsid w:val="0044768F"/>
    <w:rsid w:val="00447A7A"/>
    <w:rsid w:val="00447B70"/>
    <w:rsid w:val="00447EAB"/>
    <w:rsid w:val="0045001C"/>
    <w:rsid w:val="004502A3"/>
    <w:rsid w:val="00450711"/>
    <w:rsid w:val="00450D3F"/>
    <w:rsid w:val="0045143A"/>
    <w:rsid w:val="004514A2"/>
    <w:rsid w:val="00451560"/>
    <w:rsid w:val="00451F8D"/>
    <w:rsid w:val="0045266D"/>
    <w:rsid w:val="00452B13"/>
    <w:rsid w:val="004532E4"/>
    <w:rsid w:val="00453343"/>
    <w:rsid w:val="004542FE"/>
    <w:rsid w:val="0045475E"/>
    <w:rsid w:val="00454EB2"/>
    <w:rsid w:val="00454F2C"/>
    <w:rsid w:val="00455020"/>
    <w:rsid w:val="0045586C"/>
    <w:rsid w:val="004559C0"/>
    <w:rsid w:val="004559FC"/>
    <w:rsid w:val="00455FB6"/>
    <w:rsid w:val="00455FC2"/>
    <w:rsid w:val="00456B93"/>
    <w:rsid w:val="00457852"/>
    <w:rsid w:val="00457F26"/>
    <w:rsid w:val="0046008D"/>
    <w:rsid w:val="00460254"/>
    <w:rsid w:val="0046066A"/>
    <w:rsid w:val="00460FE9"/>
    <w:rsid w:val="00461023"/>
    <w:rsid w:val="00461267"/>
    <w:rsid w:val="004617D9"/>
    <w:rsid w:val="00461854"/>
    <w:rsid w:val="00461E6B"/>
    <w:rsid w:val="00461EDB"/>
    <w:rsid w:val="004620AF"/>
    <w:rsid w:val="004623D5"/>
    <w:rsid w:val="00463319"/>
    <w:rsid w:val="0046331E"/>
    <w:rsid w:val="0046343E"/>
    <w:rsid w:val="004636FE"/>
    <w:rsid w:val="00464097"/>
    <w:rsid w:val="004642F2"/>
    <w:rsid w:val="00465B3C"/>
    <w:rsid w:val="00465CBE"/>
    <w:rsid w:val="00466724"/>
    <w:rsid w:val="00466849"/>
    <w:rsid w:val="0046741B"/>
    <w:rsid w:val="00467629"/>
    <w:rsid w:val="00467C75"/>
    <w:rsid w:val="00467E01"/>
    <w:rsid w:val="00467E9B"/>
    <w:rsid w:val="00470AE8"/>
    <w:rsid w:val="00470C13"/>
    <w:rsid w:val="004711EF"/>
    <w:rsid w:val="004724BE"/>
    <w:rsid w:val="004728CF"/>
    <w:rsid w:val="00472943"/>
    <w:rsid w:val="00472E74"/>
    <w:rsid w:val="0047322C"/>
    <w:rsid w:val="00473F8D"/>
    <w:rsid w:val="00474210"/>
    <w:rsid w:val="004743A7"/>
    <w:rsid w:val="004745E9"/>
    <w:rsid w:val="00474D87"/>
    <w:rsid w:val="00475360"/>
    <w:rsid w:val="00475564"/>
    <w:rsid w:val="004755AA"/>
    <w:rsid w:val="00475E5E"/>
    <w:rsid w:val="00476038"/>
    <w:rsid w:val="00476DCD"/>
    <w:rsid w:val="00476FC9"/>
    <w:rsid w:val="004778C9"/>
    <w:rsid w:val="00477D8A"/>
    <w:rsid w:val="004803DF"/>
    <w:rsid w:val="00480437"/>
    <w:rsid w:val="004805A6"/>
    <w:rsid w:val="004807A6"/>
    <w:rsid w:val="004809B4"/>
    <w:rsid w:val="00480B96"/>
    <w:rsid w:val="00480DE1"/>
    <w:rsid w:val="00480FBD"/>
    <w:rsid w:val="004813C7"/>
    <w:rsid w:val="004817C1"/>
    <w:rsid w:val="00481B03"/>
    <w:rsid w:val="004821DD"/>
    <w:rsid w:val="00482E2D"/>
    <w:rsid w:val="0048303E"/>
    <w:rsid w:val="0048367C"/>
    <w:rsid w:val="004837C7"/>
    <w:rsid w:val="00483CBE"/>
    <w:rsid w:val="00484067"/>
    <w:rsid w:val="004843BD"/>
    <w:rsid w:val="00484D5C"/>
    <w:rsid w:val="00484E54"/>
    <w:rsid w:val="0048568A"/>
    <w:rsid w:val="004856C8"/>
    <w:rsid w:val="00485EC3"/>
    <w:rsid w:val="00486267"/>
    <w:rsid w:val="0048657C"/>
    <w:rsid w:val="00486722"/>
    <w:rsid w:val="00486AAA"/>
    <w:rsid w:val="00487454"/>
    <w:rsid w:val="0048761A"/>
    <w:rsid w:val="00487B77"/>
    <w:rsid w:val="00487E50"/>
    <w:rsid w:val="00487F0E"/>
    <w:rsid w:val="004904D2"/>
    <w:rsid w:val="00490E74"/>
    <w:rsid w:val="0049151F"/>
    <w:rsid w:val="004916DC"/>
    <w:rsid w:val="00491A64"/>
    <w:rsid w:val="00491DDF"/>
    <w:rsid w:val="004920F6"/>
    <w:rsid w:val="00492B4E"/>
    <w:rsid w:val="00492F7E"/>
    <w:rsid w:val="004930D7"/>
    <w:rsid w:val="00493125"/>
    <w:rsid w:val="004931D5"/>
    <w:rsid w:val="00493319"/>
    <w:rsid w:val="004933AE"/>
    <w:rsid w:val="0049392D"/>
    <w:rsid w:val="00493938"/>
    <w:rsid w:val="00493C0C"/>
    <w:rsid w:val="00494024"/>
    <w:rsid w:val="00494096"/>
    <w:rsid w:val="004942D1"/>
    <w:rsid w:val="00494E3C"/>
    <w:rsid w:val="00494F3E"/>
    <w:rsid w:val="00494F62"/>
    <w:rsid w:val="00495042"/>
    <w:rsid w:val="0049537F"/>
    <w:rsid w:val="00495C22"/>
    <w:rsid w:val="004966FF"/>
    <w:rsid w:val="00496859"/>
    <w:rsid w:val="00497369"/>
    <w:rsid w:val="004A03BC"/>
    <w:rsid w:val="004A0661"/>
    <w:rsid w:val="004A0677"/>
    <w:rsid w:val="004A06CA"/>
    <w:rsid w:val="004A07B9"/>
    <w:rsid w:val="004A0F08"/>
    <w:rsid w:val="004A1159"/>
    <w:rsid w:val="004A1D86"/>
    <w:rsid w:val="004A279E"/>
    <w:rsid w:val="004A2DE8"/>
    <w:rsid w:val="004A2E87"/>
    <w:rsid w:val="004A3938"/>
    <w:rsid w:val="004A439D"/>
    <w:rsid w:val="004A44B1"/>
    <w:rsid w:val="004A4B6C"/>
    <w:rsid w:val="004A4C13"/>
    <w:rsid w:val="004A582E"/>
    <w:rsid w:val="004A5D91"/>
    <w:rsid w:val="004A5DD1"/>
    <w:rsid w:val="004A5DF1"/>
    <w:rsid w:val="004A5E19"/>
    <w:rsid w:val="004A620C"/>
    <w:rsid w:val="004A67E8"/>
    <w:rsid w:val="004A69B2"/>
    <w:rsid w:val="004A6B0D"/>
    <w:rsid w:val="004A6C7E"/>
    <w:rsid w:val="004A6ECE"/>
    <w:rsid w:val="004A7A2D"/>
    <w:rsid w:val="004B037D"/>
    <w:rsid w:val="004B0AB9"/>
    <w:rsid w:val="004B0BE0"/>
    <w:rsid w:val="004B0E15"/>
    <w:rsid w:val="004B1207"/>
    <w:rsid w:val="004B1228"/>
    <w:rsid w:val="004B1287"/>
    <w:rsid w:val="004B14C9"/>
    <w:rsid w:val="004B1AA5"/>
    <w:rsid w:val="004B1F67"/>
    <w:rsid w:val="004B202E"/>
    <w:rsid w:val="004B313E"/>
    <w:rsid w:val="004B4E8D"/>
    <w:rsid w:val="004B518D"/>
    <w:rsid w:val="004B548C"/>
    <w:rsid w:val="004B563F"/>
    <w:rsid w:val="004B5AF4"/>
    <w:rsid w:val="004B5D0A"/>
    <w:rsid w:val="004B5F28"/>
    <w:rsid w:val="004B625E"/>
    <w:rsid w:val="004B6741"/>
    <w:rsid w:val="004B6C84"/>
    <w:rsid w:val="004C0281"/>
    <w:rsid w:val="004C0D99"/>
    <w:rsid w:val="004C0DDF"/>
    <w:rsid w:val="004C0E91"/>
    <w:rsid w:val="004C156B"/>
    <w:rsid w:val="004C1778"/>
    <w:rsid w:val="004C1D3B"/>
    <w:rsid w:val="004C2205"/>
    <w:rsid w:val="004C2470"/>
    <w:rsid w:val="004C2B3F"/>
    <w:rsid w:val="004C2F02"/>
    <w:rsid w:val="004C2F59"/>
    <w:rsid w:val="004C366C"/>
    <w:rsid w:val="004C38E0"/>
    <w:rsid w:val="004C3A76"/>
    <w:rsid w:val="004C3D65"/>
    <w:rsid w:val="004C3F14"/>
    <w:rsid w:val="004C45AA"/>
    <w:rsid w:val="004C4D67"/>
    <w:rsid w:val="004C53D1"/>
    <w:rsid w:val="004C5A81"/>
    <w:rsid w:val="004C63AC"/>
    <w:rsid w:val="004C72CE"/>
    <w:rsid w:val="004C7919"/>
    <w:rsid w:val="004C7D01"/>
    <w:rsid w:val="004D07C5"/>
    <w:rsid w:val="004D088B"/>
    <w:rsid w:val="004D1773"/>
    <w:rsid w:val="004D1B57"/>
    <w:rsid w:val="004D21D5"/>
    <w:rsid w:val="004D2DDF"/>
    <w:rsid w:val="004D2F62"/>
    <w:rsid w:val="004D30A7"/>
    <w:rsid w:val="004D36A2"/>
    <w:rsid w:val="004D4A20"/>
    <w:rsid w:val="004D4BF1"/>
    <w:rsid w:val="004D517F"/>
    <w:rsid w:val="004D520A"/>
    <w:rsid w:val="004D53B7"/>
    <w:rsid w:val="004D5969"/>
    <w:rsid w:val="004D5A46"/>
    <w:rsid w:val="004D626E"/>
    <w:rsid w:val="004D6472"/>
    <w:rsid w:val="004D6503"/>
    <w:rsid w:val="004D6F6A"/>
    <w:rsid w:val="004D7FC0"/>
    <w:rsid w:val="004E0EAC"/>
    <w:rsid w:val="004E0EC3"/>
    <w:rsid w:val="004E0FF8"/>
    <w:rsid w:val="004E103E"/>
    <w:rsid w:val="004E1116"/>
    <w:rsid w:val="004E1167"/>
    <w:rsid w:val="004E167D"/>
    <w:rsid w:val="004E16C8"/>
    <w:rsid w:val="004E1BC5"/>
    <w:rsid w:val="004E1C97"/>
    <w:rsid w:val="004E1E19"/>
    <w:rsid w:val="004E31E8"/>
    <w:rsid w:val="004E36A5"/>
    <w:rsid w:val="004E3707"/>
    <w:rsid w:val="004E4021"/>
    <w:rsid w:val="004E408E"/>
    <w:rsid w:val="004E42ED"/>
    <w:rsid w:val="004E4A02"/>
    <w:rsid w:val="004E4D44"/>
    <w:rsid w:val="004E5294"/>
    <w:rsid w:val="004E577F"/>
    <w:rsid w:val="004E57D6"/>
    <w:rsid w:val="004E5859"/>
    <w:rsid w:val="004E6A65"/>
    <w:rsid w:val="004E6C37"/>
    <w:rsid w:val="004E6D17"/>
    <w:rsid w:val="004E6ECA"/>
    <w:rsid w:val="004E712B"/>
    <w:rsid w:val="004E7512"/>
    <w:rsid w:val="004E7F2C"/>
    <w:rsid w:val="004E7F90"/>
    <w:rsid w:val="004F057F"/>
    <w:rsid w:val="004F0BA9"/>
    <w:rsid w:val="004F1045"/>
    <w:rsid w:val="004F13CB"/>
    <w:rsid w:val="004F1F27"/>
    <w:rsid w:val="004F247F"/>
    <w:rsid w:val="004F284C"/>
    <w:rsid w:val="004F30E9"/>
    <w:rsid w:val="004F32DA"/>
    <w:rsid w:val="004F3783"/>
    <w:rsid w:val="004F402B"/>
    <w:rsid w:val="004F424A"/>
    <w:rsid w:val="004F454A"/>
    <w:rsid w:val="004F4BDF"/>
    <w:rsid w:val="004F5006"/>
    <w:rsid w:val="004F52F5"/>
    <w:rsid w:val="004F559D"/>
    <w:rsid w:val="004F5A2F"/>
    <w:rsid w:val="004F5E4A"/>
    <w:rsid w:val="004F60AF"/>
    <w:rsid w:val="004F6436"/>
    <w:rsid w:val="004F6650"/>
    <w:rsid w:val="004F67A9"/>
    <w:rsid w:val="004F6C3A"/>
    <w:rsid w:val="004F6FD5"/>
    <w:rsid w:val="004F7138"/>
    <w:rsid w:val="004F756A"/>
    <w:rsid w:val="004F7917"/>
    <w:rsid w:val="004F7B3E"/>
    <w:rsid w:val="004F7D62"/>
    <w:rsid w:val="00500069"/>
    <w:rsid w:val="00500149"/>
    <w:rsid w:val="00500D87"/>
    <w:rsid w:val="00500E39"/>
    <w:rsid w:val="00502146"/>
    <w:rsid w:val="0050287E"/>
    <w:rsid w:val="00502C5C"/>
    <w:rsid w:val="0050324D"/>
    <w:rsid w:val="0050420A"/>
    <w:rsid w:val="00504579"/>
    <w:rsid w:val="00504E4F"/>
    <w:rsid w:val="00505018"/>
    <w:rsid w:val="0050518C"/>
    <w:rsid w:val="0050558A"/>
    <w:rsid w:val="00505811"/>
    <w:rsid w:val="00506181"/>
    <w:rsid w:val="00506B91"/>
    <w:rsid w:val="00506F03"/>
    <w:rsid w:val="005073D3"/>
    <w:rsid w:val="00507A56"/>
    <w:rsid w:val="00507B85"/>
    <w:rsid w:val="00507D20"/>
    <w:rsid w:val="00510530"/>
    <w:rsid w:val="005106E5"/>
    <w:rsid w:val="00510A95"/>
    <w:rsid w:val="00510B0E"/>
    <w:rsid w:val="00510CD7"/>
    <w:rsid w:val="00510F41"/>
    <w:rsid w:val="005119B4"/>
    <w:rsid w:val="005119D9"/>
    <w:rsid w:val="00511CC2"/>
    <w:rsid w:val="00511EBB"/>
    <w:rsid w:val="00511F05"/>
    <w:rsid w:val="00512316"/>
    <w:rsid w:val="005123B0"/>
    <w:rsid w:val="00512D5F"/>
    <w:rsid w:val="00512DA2"/>
    <w:rsid w:val="00512EEA"/>
    <w:rsid w:val="005130D7"/>
    <w:rsid w:val="005137D0"/>
    <w:rsid w:val="005138A9"/>
    <w:rsid w:val="00513AFB"/>
    <w:rsid w:val="0051412B"/>
    <w:rsid w:val="00514646"/>
    <w:rsid w:val="00514EF4"/>
    <w:rsid w:val="00515184"/>
    <w:rsid w:val="0051526A"/>
    <w:rsid w:val="00515278"/>
    <w:rsid w:val="00515387"/>
    <w:rsid w:val="0051558E"/>
    <w:rsid w:val="00515733"/>
    <w:rsid w:val="00515E0C"/>
    <w:rsid w:val="00515E98"/>
    <w:rsid w:val="00516962"/>
    <w:rsid w:val="00516AE6"/>
    <w:rsid w:val="005170AC"/>
    <w:rsid w:val="0051795B"/>
    <w:rsid w:val="005179F9"/>
    <w:rsid w:val="00517B47"/>
    <w:rsid w:val="00517D5F"/>
    <w:rsid w:val="005200CA"/>
    <w:rsid w:val="005203B1"/>
    <w:rsid w:val="005209E3"/>
    <w:rsid w:val="00521CBD"/>
    <w:rsid w:val="0052204A"/>
    <w:rsid w:val="00522075"/>
    <w:rsid w:val="005221F5"/>
    <w:rsid w:val="005227A8"/>
    <w:rsid w:val="00522B10"/>
    <w:rsid w:val="0052334D"/>
    <w:rsid w:val="00523645"/>
    <w:rsid w:val="005237B0"/>
    <w:rsid w:val="00523EA1"/>
    <w:rsid w:val="00524C5D"/>
    <w:rsid w:val="00524FB4"/>
    <w:rsid w:val="00525307"/>
    <w:rsid w:val="005256FF"/>
    <w:rsid w:val="0052627C"/>
    <w:rsid w:val="00526D6E"/>
    <w:rsid w:val="0052701E"/>
    <w:rsid w:val="005272A3"/>
    <w:rsid w:val="00527675"/>
    <w:rsid w:val="00527760"/>
    <w:rsid w:val="00527892"/>
    <w:rsid w:val="00527938"/>
    <w:rsid w:val="00527D41"/>
    <w:rsid w:val="00527F3F"/>
    <w:rsid w:val="00530B5B"/>
    <w:rsid w:val="005313A6"/>
    <w:rsid w:val="00531436"/>
    <w:rsid w:val="005316EE"/>
    <w:rsid w:val="0053172B"/>
    <w:rsid w:val="00531821"/>
    <w:rsid w:val="00531A1C"/>
    <w:rsid w:val="00531C66"/>
    <w:rsid w:val="00532359"/>
    <w:rsid w:val="00532BCE"/>
    <w:rsid w:val="005332A2"/>
    <w:rsid w:val="0053345F"/>
    <w:rsid w:val="005337C3"/>
    <w:rsid w:val="0053383D"/>
    <w:rsid w:val="00533E5E"/>
    <w:rsid w:val="0053403B"/>
    <w:rsid w:val="005341AC"/>
    <w:rsid w:val="0053432E"/>
    <w:rsid w:val="00534CB2"/>
    <w:rsid w:val="005352E0"/>
    <w:rsid w:val="00535560"/>
    <w:rsid w:val="00535B37"/>
    <w:rsid w:val="00535B71"/>
    <w:rsid w:val="00535C8A"/>
    <w:rsid w:val="00535EBB"/>
    <w:rsid w:val="00536A1E"/>
    <w:rsid w:val="0053720B"/>
    <w:rsid w:val="005376FF"/>
    <w:rsid w:val="00537B1C"/>
    <w:rsid w:val="00540B10"/>
    <w:rsid w:val="00540B41"/>
    <w:rsid w:val="00540D31"/>
    <w:rsid w:val="00540DDE"/>
    <w:rsid w:val="005416BC"/>
    <w:rsid w:val="00541DE7"/>
    <w:rsid w:val="00541E36"/>
    <w:rsid w:val="0054286D"/>
    <w:rsid w:val="005428D4"/>
    <w:rsid w:val="00543508"/>
    <w:rsid w:val="00543993"/>
    <w:rsid w:val="00543F55"/>
    <w:rsid w:val="00544140"/>
    <w:rsid w:val="0054460C"/>
    <w:rsid w:val="00544A6E"/>
    <w:rsid w:val="00546133"/>
    <w:rsid w:val="00546236"/>
    <w:rsid w:val="0054669F"/>
    <w:rsid w:val="00546B44"/>
    <w:rsid w:val="005470F8"/>
    <w:rsid w:val="00547111"/>
    <w:rsid w:val="00547378"/>
    <w:rsid w:val="00547841"/>
    <w:rsid w:val="00547BFB"/>
    <w:rsid w:val="00547DBA"/>
    <w:rsid w:val="00550429"/>
    <w:rsid w:val="00551050"/>
    <w:rsid w:val="0055123D"/>
    <w:rsid w:val="00551430"/>
    <w:rsid w:val="00551526"/>
    <w:rsid w:val="005515A6"/>
    <w:rsid w:val="005515B5"/>
    <w:rsid w:val="00551810"/>
    <w:rsid w:val="0055194D"/>
    <w:rsid w:val="0055210B"/>
    <w:rsid w:val="005527C0"/>
    <w:rsid w:val="00552828"/>
    <w:rsid w:val="00552852"/>
    <w:rsid w:val="00552B9E"/>
    <w:rsid w:val="00552D32"/>
    <w:rsid w:val="00552EDA"/>
    <w:rsid w:val="0055348E"/>
    <w:rsid w:val="005537E4"/>
    <w:rsid w:val="00553832"/>
    <w:rsid w:val="00553981"/>
    <w:rsid w:val="00553DCB"/>
    <w:rsid w:val="00553FD9"/>
    <w:rsid w:val="005545B0"/>
    <w:rsid w:val="00555103"/>
    <w:rsid w:val="0055558D"/>
    <w:rsid w:val="005557B2"/>
    <w:rsid w:val="005557D8"/>
    <w:rsid w:val="00555E3E"/>
    <w:rsid w:val="00555EDB"/>
    <w:rsid w:val="005560F5"/>
    <w:rsid w:val="005565AC"/>
    <w:rsid w:val="005565EC"/>
    <w:rsid w:val="00556C37"/>
    <w:rsid w:val="005570C7"/>
    <w:rsid w:val="00557391"/>
    <w:rsid w:val="0055752B"/>
    <w:rsid w:val="00560197"/>
    <w:rsid w:val="00560AC6"/>
    <w:rsid w:val="00560B17"/>
    <w:rsid w:val="00560BAE"/>
    <w:rsid w:val="005611BA"/>
    <w:rsid w:val="00561D1A"/>
    <w:rsid w:val="005620BA"/>
    <w:rsid w:val="005620D7"/>
    <w:rsid w:val="005620D9"/>
    <w:rsid w:val="00562861"/>
    <w:rsid w:val="00562930"/>
    <w:rsid w:val="00562CA1"/>
    <w:rsid w:val="005632B5"/>
    <w:rsid w:val="00563864"/>
    <w:rsid w:val="005641CA"/>
    <w:rsid w:val="00564AF5"/>
    <w:rsid w:val="00564B65"/>
    <w:rsid w:val="00564D61"/>
    <w:rsid w:val="00564EDE"/>
    <w:rsid w:val="00565996"/>
    <w:rsid w:val="00565D61"/>
    <w:rsid w:val="005660C9"/>
    <w:rsid w:val="00566439"/>
    <w:rsid w:val="00566926"/>
    <w:rsid w:val="0056719A"/>
    <w:rsid w:val="00567A88"/>
    <w:rsid w:val="0057001D"/>
    <w:rsid w:val="00570041"/>
    <w:rsid w:val="00570217"/>
    <w:rsid w:val="005707F7"/>
    <w:rsid w:val="00570B5D"/>
    <w:rsid w:val="00570CB4"/>
    <w:rsid w:val="0057197E"/>
    <w:rsid w:val="00571F34"/>
    <w:rsid w:val="00572DF2"/>
    <w:rsid w:val="00573037"/>
    <w:rsid w:val="00573084"/>
    <w:rsid w:val="00573169"/>
    <w:rsid w:val="00573F86"/>
    <w:rsid w:val="005740AD"/>
    <w:rsid w:val="005745B4"/>
    <w:rsid w:val="00574635"/>
    <w:rsid w:val="00574745"/>
    <w:rsid w:val="005750E0"/>
    <w:rsid w:val="0057520B"/>
    <w:rsid w:val="0057533A"/>
    <w:rsid w:val="00575447"/>
    <w:rsid w:val="005754BD"/>
    <w:rsid w:val="005754C5"/>
    <w:rsid w:val="00576221"/>
    <w:rsid w:val="005768B7"/>
    <w:rsid w:val="00576C93"/>
    <w:rsid w:val="00577658"/>
    <w:rsid w:val="0057780F"/>
    <w:rsid w:val="00577C12"/>
    <w:rsid w:val="00577D74"/>
    <w:rsid w:val="00581225"/>
    <w:rsid w:val="005812F6"/>
    <w:rsid w:val="005814FF"/>
    <w:rsid w:val="00581BD7"/>
    <w:rsid w:val="00582612"/>
    <w:rsid w:val="005828D1"/>
    <w:rsid w:val="00582CDC"/>
    <w:rsid w:val="00582D0E"/>
    <w:rsid w:val="0058328E"/>
    <w:rsid w:val="00583DB0"/>
    <w:rsid w:val="00583F35"/>
    <w:rsid w:val="0058433D"/>
    <w:rsid w:val="00584556"/>
    <w:rsid w:val="00584B7C"/>
    <w:rsid w:val="005858D4"/>
    <w:rsid w:val="00585A49"/>
    <w:rsid w:val="00585D7C"/>
    <w:rsid w:val="00585F2A"/>
    <w:rsid w:val="0058652D"/>
    <w:rsid w:val="005866C5"/>
    <w:rsid w:val="00586AC6"/>
    <w:rsid w:val="00586F7F"/>
    <w:rsid w:val="005876E3"/>
    <w:rsid w:val="00590328"/>
    <w:rsid w:val="0059036A"/>
    <w:rsid w:val="005903C2"/>
    <w:rsid w:val="00590B9D"/>
    <w:rsid w:val="00590E7D"/>
    <w:rsid w:val="0059157A"/>
    <w:rsid w:val="00591996"/>
    <w:rsid w:val="00591E6D"/>
    <w:rsid w:val="0059298F"/>
    <w:rsid w:val="00593C21"/>
    <w:rsid w:val="00594139"/>
    <w:rsid w:val="00594811"/>
    <w:rsid w:val="00594AEC"/>
    <w:rsid w:val="0059513D"/>
    <w:rsid w:val="005956AA"/>
    <w:rsid w:val="0059587C"/>
    <w:rsid w:val="00596111"/>
    <w:rsid w:val="00596226"/>
    <w:rsid w:val="00596290"/>
    <w:rsid w:val="005967FC"/>
    <w:rsid w:val="00596805"/>
    <w:rsid w:val="005968BA"/>
    <w:rsid w:val="00596DF0"/>
    <w:rsid w:val="00597006"/>
    <w:rsid w:val="00597072"/>
    <w:rsid w:val="00597764"/>
    <w:rsid w:val="0059794E"/>
    <w:rsid w:val="00597D3F"/>
    <w:rsid w:val="00597F99"/>
    <w:rsid w:val="005A05F5"/>
    <w:rsid w:val="005A061C"/>
    <w:rsid w:val="005A0DFC"/>
    <w:rsid w:val="005A10DB"/>
    <w:rsid w:val="005A19B7"/>
    <w:rsid w:val="005A1E68"/>
    <w:rsid w:val="005A226C"/>
    <w:rsid w:val="005A2C1B"/>
    <w:rsid w:val="005A2E89"/>
    <w:rsid w:val="005A366A"/>
    <w:rsid w:val="005A38D6"/>
    <w:rsid w:val="005A3EEA"/>
    <w:rsid w:val="005A400B"/>
    <w:rsid w:val="005A4FF5"/>
    <w:rsid w:val="005A5039"/>
    <w:rsid w:val="005A5144"/>
    <w:rsid w:val="005A5327"/>
    <w:rsid w:val="005A5354"/>
    <w:rsid w:val="005A58B2"/>
    <w:rsid w:val="005A5C63"/>
    <w:rsid w:val="005A5D85"/>
    <w:rsid w:val="005A70F4"/>
    <w:rsid w:val="005A7BAF"/>
    <w:rsid w:val="005A7D88"/>
    <w:rsid w:val="005A7F71"/>
    <w:rsid w:val="005B0EA3"/>
    <w:rsid w:val="005B0F7E"/>
    <w:rsid w:val="005B1D3C"/>
    <w:rsid w:val="005B247A"/>
    <w:rsid w:val="005B2970"/>
    <w:rsid w:val="005B342E"/>
    <w:rsid w:val="005B3781"/>
    <w:rsid w:val="005B3800"/>
    <w:rsid w:val="005B3D3D"/>
    <w:rsid w:val="005B4E2C"/>
    <w:rsid w:val="005B537B"/>
    <w:rsid w:val="005B5497"/>
    <w:rsid w:val="005B55FE"/>
    <w:rsid w:val="005B630D"/>
    <w:rsid w:val="005B6406"/>
    <w:rsid w:val="005B6427"/>
    <w:rsid w:val="005B6AC6"/>
    <w:rsid w:val="005B77B2"/>
    <w:rsid w:val="005B77C9"/>
    <w:rsid w:val="005B79E9"/>
    <w:rsid w:val="005B7CD8"/>
    <w:rsid w:val="005C0281"/>
    <w:rsid w:val="005C0AC4"/>
    <w:rsid w:val="005C0FD3"/>
    <w:rsid w:val="005C1282"/>
    <w:rsid w:val="005C1743"/>
    <w:rsid w:val="005C1C9F"/>
    <w:rsid w:val="005C1E95"/>
    <w:rsid w:val="005C2A6C"/>
    <w:rsid w:val="005C384D"/>
    <w:rsid w:val="005C396A"/>
    <w:rsid w:val="005C39D2"/>
    <w:rsid w:val="005C3AC5"/>
    <w:rsid w:val="005C3E43"/>
    <w:rsid w:val="005C4165"/>
    <w:rsid w:val="005C4175"/>
    <w:rsid w:val="005C442D"/>
    <w:rsid w:val="005C443D"/>
    <w:rsid w:val="005C4608"/>
    <w:rsid w:val="005C472C"/>
    <w:rsid w:val="005C4E98"/>
    <w:rsid w:val="005C58C5"/>
    <w:rsid w:val="005C65E5"/>
    <w:rsid w:val="005C68FC"/>
    <w:rsid w:val="005C6A79"/>
    <w:rsid w:val="005C6B15"/>
    <w:rsid w:val="005C6EE8"/>
    <w:rsid w:val="005C76B4"/>
    <w:rsid w:val="005C7C16"/>
    <w:rsid w:val="005C7CA1"/>
    <w:rsid w:val="005C7E26"/>
    <w:rsid w:val="005C7E3E"/>
    <w:rsid w:val="005D0137"/>
    <w:rsid w:val="005D0222"/>
    <w:rsid w:val="005D0610"/>
    <w:rsid w:val="005D0AD3"/>
    <w:rsid w:val="005D13FE"/>
    <w:rsid w:val="005D1563"/>
    <w:rsid w:val="005D1808"/>
    <w:rsid w:val="005D2028"/>
    <w:rsid w:val="005D20D3"/>
    <w:rsid w:val="005D2621"/>
    <w:rsid w:val="005D2645"/>
    <w:rsid w:val="005D2842"/>
    <w:rsid w:val="005D309C"/>
    <w:rsid w:val="005D3189"/>
    <w:rsid w:val="005D36B5"/>
    <w:rsid w:val="005D3909"/>
    <w:rsid w:val="005D3CCA"/>
    <w:rsid w:val="005D402E"/>
    <w:rsid w:val="005D4219"/>
    <w:rsid w:val="005D4904"/>
    <w:rsid w:val="005D5124"/>
    <w:rsid w:val="005D58B7"/>
    <w:rsid w:val="005D6B87"/>
    <w:rsid w:val="005D6BB1"/>
    <w:rsid w:val="005D6F0E"/>
    <w:rsid w:val="005D7F28"/>
    <w:rsid w:val="005E0268"/>
    <w:rsid w:val="005E03DD"/>
    <w:rsid w:val="005E0714"/>
    <w:rsid w:val="005E103D"/>
    <w:rsid w:val="005E1586"/>
    <w:rsid w:val="005E1DAF"/>
    <w:rsid w:val="005E26A1"/>
    <w:rsid w:val="005E2BDF"/>
    <w:rsid w:val="005E32A8"/>
    <w:rsid w:val="005E3506"/>
    <w:rsid w:val="005E3AD7"/>
    <w:rsid w:val="005E3C2D"/>
    <w:rsid w:val="005E3C34"/>
    <w:rsid w:val="005E3DB8"/>
    <w:rsid w:val="005E42D6"/>
    <w:rsid w:val="005E4906"/>
    <w:rsid w:val="005E4912"/>
    <w:rsid w:val="005E4ACB"/>
    <w:rsid w:val="005E5181"/>
    <w:rsid w:val="005E55E3"/>
    <w:rsid w:val="005E59C5"/>
    <w:rsid w:val="005E5A5F"/>
    <w:rsid w:val="005E61D2"/>
    <w:rsid w:val="005E624A"/>
    <w:rsid w:val="005E67CE"/>
    <w:rsid w:val="005E6B79"/>
    <w:rsid w:val="005E6E54"/>
    <w:rsid w:val="005E6EED"/>
    <w:rsid w:val="005E6F1F"/>
    <w:rsid w:val="005E6FE1"/>
    <w:rsid w:val="005E732B"/>
    <w:rsid w:val="005E77A5"/>
    <w:rsid w:val="005E78D0"/>
    <w:rsid w:val="005F05DF"/>
    <w:rsid w:val="005F0A38"/>
    <w:rsid w:val="005F144B"/>
    <w:rsid w:val="005F1945"/>
    <w:rsid w:val="005F1D5B"/>
    <w:rsid w:val="005F1E8E"/>
    <w:rsid w:val="005F1F5C"/>
    <w:rsid w:val="005F21E6"/>
    <w:rsid w:val="005F2326"/>
    <w:rsid w:val="005F241B"/>
    <w:rsid w:val="005F2846"/>
    <w:rsid w:val="005F2BBF"/>
    <w:rsid w:val="005F2FFA"/>
    <w:rsid w:val="005F409E"/>
    <w:rsid w:val="005F41B7"/>
    <w:rsid w:val="005F44D1"/>
    <w:rsid w:val="005F4A07"/>
    <w:rsid w:val="005F5A6A"/>
    <w:rsid w:val="005F6148"/>
    <w:rsid w:val="005F62BF"/>
    <w:rsid w:val="005F683F"/>
    <w:rsid w:val="005F6BC1"/>
    <w:rsid w:val="005F6FB6"/>
    <w:rsid w:val="005F767A"/>
    <w:rsid w:val="005F76A7"/>
    <w:rsid w:val="005F78E7"/>
    <w:rsid w:val="006003EC"/>
    <w:rsid w:val="00600D90"/>
    <w:rsid w:val="00600F1A"/>
    <w:rsid w:val="00600F50"/>
    <w:rsid w:val="00601C43"/>
    <w:rsid w:val="00602019"/>
    <w:rsid w:val="0060278D"/>
    <w:rsid w:val="00602D65"/>
    <w:rsid w:val="00602FF5"/>
    <w:rsid w:val="006030FD"/>
    <w:rsid w:val="006031C3"/>
    <w:rsid w:val="0060377D"/>
    <w:rsid w:val="0060399B"/>
    <w:rsid w:val="00603B1A"/>
    <w:rsid w:val="00603BA0"/>
    <w:rsid w:val="0060451C"/>
    <w:rsid w:val="006047A4"/>
    <w:rsid w:val="00604A19"/>
    <w:rsid w:val="00604B3A"/>
    <w:rsid w:val="0060504E"/>
    <w:rsid w:val="00605466"/>
    <w:rsid w:val="006060F5"/>
    <w:rsid w:val="00606166"/>
    <w:rsid w:val="0060618B"/>
    <w:rsid w:val="00606A7E"/>
    <w:rsid w:val="006107D3"/>
    <w:rsid w:val="00610F9E"/>
    <w:rsid w:val="006110E6"/>
    <w:rsid w:val="0061134A"/>
    <w:rsid w:val="0061149E"/>
    <w:rsid w:val="006116D3"/>
    <w:rsid w:val="00611B3E"/>
    <w:rsid w:val="00611C09"/>
    <w:rsid w:val="006122B9"/>
    <w:rsid w:val="00612A57"/>
    <w:rsid w:val="00612D86"/>
    <w:rsid w:val="00612F41"/>
    <w:rsid w:val="00612FFD"/>
    <w:rsid w:val="006132E9"/>
    <w:rsid w:val="00613430"/>
    <w:rsid w:val="0061367F"/>
    <w:rsid w:val="00613B7B"/>
    <w:rsid w:val="0061404A"/>
    <w:rsid w:val="00614488"/>
    <w:rsid w:val="00614D04"/>
    <w:rsid w:val="00614D22"/>
    <w:rsid w:val="00614ED4"/>
    <w:rsid w:val="00615107"/>
    <w:rsid w:val="006151A6"/>
    <w:rsid w:val="00615470"/>
    <w:rsid w:val="006155B8"/>
    <w:rsid w:val="0061565D"/>
    <w:rsid w:val="006158B2"/>
    <w:rsid w:val="00615C45"/>
    <w:rsid w:val="0061623F"/>
    <w:rsid w:val="006163A6"/>
    <w:rsid w:val="00616C61"/>
    <w:rsid w:val="00617112"/>
    <w:rsid w:val="0061729C"/>
    <w:rsid w:val="006178CC"/>
    <w:rsid w:val="00617D8C"/>
    <w:rsid w:val="00617F83"/>
    <w:rsid w:val="006200CA"/>
    <w:rsid w:val="00620AFC"/>
    <w:rsid w:val="00620F70"/>
    <w:rsid w:val="00621021"/>
    <w:rsid w:val="00621129"/>
    <w:rsid w:val="00621872"/>
    <w:rsid w:val="00621AED"/>
    <w:rsid w:val="00622349"/>
    <w:rsid w:val="00622BD1"/>
    <w:rsid w:val="00622FA6"/>
    <w:rsid w:val="00623037"/>
    <w:rsid w:val="00623676"/>
    <w:rsid w:val="00623889"/>
    <w:rsid w:val="00623AE3"/>
    <w:rsid w:val="00623C35"/>
    <w:rsid w:val="00624070"/>
    <w:rsid w:val="00624502"/>
    <w:rsid w:val="00624934"/>
    <w:rsid w:val="00624C44"/>
    <w:rsid w:val="0062538A"/>
    <w:rsid w:val="00625C88"/>
    <w:rsid w:val="00626087"/>
    <w:rsid w:val="0062617C"/>
    <w:rsid w:val="006263EF"/>
    <w:rsid w:val="00626E58"/>
    <w:rsid w:val="00626EB0"/>
    <w:rsid w:val="00627005"/>
    <w:rsid w:val="006270AA"/>
    <w:rsid w:val="0062723D"/>
    <w:rsid w:val="006273AC"/>
    <w:rsid w:val="00627714"/>
    <w:rsid w:val="0063062B"/>
    <w:rsid w:val="0063083C"/>
    <w:rsid w:val="0063096E"/>
    <w:rsid w:val="00630A99"/>
    <w:rsid w:val="0063117B"/>
    <w:rsid w:val="00631416"/>
    <w:rsid w:val="00631E3A"/>
    <w:rsid w:val="00632132"/>
    <w:rsid w:val="006323E4"/>
    <w:rsid w:val="006323F2"/>
    <w:rsid w:val="006326BF"/>
    <w:rsid w:val="00632FA5"/>
    <w:rsid w:val="0063346B"/>
    <w:rsid w:val="00633916"/>
    <w:rsid w:val="0063438D"/>
    <w:rsid w:val="00634587"/>
    <w:rsid w:val="006346C2"/>
    <w:rsid w:val="00634DA6"/>
    <w:rsid w:val="00634ECD"/>
    <w:rsid w:val="00634EEE"/>
    <w:rsid w:val="00635002"/>
    <w:rsid w:val="00635023"/>
    <w:rsid w:val="0063551B"/>
    <w:rsid w:val="00635854"/>
    <w:rsid w:val="006359F5"/>
    <w:rsid w:val="00635A16"/>
    <w:rsid w:val="00635AA6"/>
    <w:rsid w:val="00635AE0"/>
    <w:rsid w:val="00635FF1"/>
    <w:rsid w:val="0063677C"/>
    <w:rsid w:val="00636CBD"/>
    <w:rsid w:val="00636D79"/>
    <w:rsid w:val="00636F66"/>
    <w:rsid w:val="00637609"/>
    <w:rsid w:val="0063760A"/>
    <w:rsid w:val="0063771D"/>
    <w:rsid w:val="0063796B"/>
    <w:rsid w:val="00637B58"/>
    <w:rsid w:val="00637CC2"/>
    <w:rsid w:val="0064035E"/>
    <w:rsid w:val="0064036D"/>
    <w:rsid w:val="00640922"/>
    <w:rsid w:val="00641015"/>
    <w:rsid w:val="006413B9"/>
    <w:rsid w:val="0064156E"/>
    <w:rsid w:val="006415D2"/>
    <w:rsid w:val="0064175E"/>
    <w:rsid w:val="00641D2B"/>
    <w:rsid w:val="00641FD5"/>
    <w:rsid w:val="00642425"/>
    <w:rsid w:val="00642891"/>
    <w:rsid w:val="00642B22"/>
    <w:rsid w:val="006440E7"/>
    <w:rsid w:val="00644511"/>
    <w:rsid w:val="00644518"/>
    <w:rsid w:val="00644909"/>
    <w:rsid w:val="00644E41"/>
    <w:rsid w:val="00644F96"/>
    <w:rsid w:val="0064517F"/>
    <w:rsid w:val="00645465"/>
    <w:rsid w:val="00645976"/>
    <w:rsid w:val="00645AE7"/>
    <w:rsid w:val="00645B6E"/>
    <w:rsid w:val="006463B9"/>
    <w:rsid w:val="00646830"/>
    <w:rsid w:val="00646943"/>
    <w:rsid w:val="0064711E"/>
    <w:rsid w:val="00647E18"/>
    <w:rsid w:val="00647FBD"/>
    <w:rsid w:val="00650432"/>
    <w:rsid w:val="00650550"/>
    <w:rsid w:val="006506D8"/>
    <w:rsid w:val="00650B0F"/>
    <w:rsid w:val="00650DA8"/>
    <w:rsid w:val="00651076"/>
    <w:rsid w:val="006511F7"/>
    <w:rsid w:val="0065154C"/>
    <w:rsid w:val="00651750"/>
    <w:rsid w:val="00651C3B"/>
    <w:rsid w:val="00651C96"/>
    <w:rsid w:val="00651D22"/>
    <w:rsid w:val="00652698"/>
    <w:rsid w:val="00652867"/>
    <w:rsid w:val="0065287D"/>
    <w:rsid w:val="00653480"/>
    <w:rsid w:val="0065371E"/>
    <w:rsid w:val="0065387F"/>
    <w:rsid w:val="00654199"/>
    <w:rsid w:val="00654EDE"/>
    <w:rsid w:val="006557B0"/>
    <w:rsid w:val="0065595A"/>
    <w:rsid w:val="006559D8"/>
    <w:rsid w:val="0065638A"/>
    <w:rsid w:val="00656FFF"/>
    <w:rsid w:val="006571A1"/>
    <w:rsid w:val="00657296"/>
    <w:rsid w:val="006572DF"/>
    <w:rsid w:val="006575C9"/>
    <w:rsid w:val="00657DAF"/>
    <w:rsid w:val="006605CB"/>
    <w:rsid w:val="00660969"/>
    <w:rsid w:val="00661410"/>
    <w:rsid w:val="0066191C"/>
    <w:rsid w:val="00661C0E"/>
    <w:rsid w:val="00661D75"/>
    <w:rsid w:val="00662D3E"/>
    <w:rsid w:val="0066301D"/>
    <w:rsid w:val="00663479"/>
    <w:rsid w:val="00663669"/>
    <w:rsid w:val="00663729"/>
    <w:rsid w:val="006638FB"/>
    <w:rsid w:val="006639B1"/>
    <w:rsid w:val="00663A01"/>
    <w:rsid w:val="00663D4B"/>
    <w:rsid w:val="006644A1"/>
    <w:rsid w:val="00664B3D"/>
    <w:rsid w:val="00665042"/>
    <w:rsid w:val="006651A5"/>
    <w:rsid w:val="00665530"/>
    <w:rsid w:val="00665720"/>
    <w:rsid w:val="00665902"/>
    <w:rsid w:val="00665906"/>
    <w:rsid w:val="00665CE0"/>
    <w:rsid w:val="00665D2A"/>
    <w:rsid w:val="00665FFD"/>
    <w:rsid w:val="006660B5"/>
    <w:rsid w:val="00666280"/>
    <w:rsid w:val="00666506"/>
    <w:rsid w:val="00666695"/>
    <w:rsid w:val="006666A3"/>
    <w:rsid w:val="006668BE"/>
    <w:rsid w:val="00666956"/>
    <w:rsid w:val="006669BC"/>
    <w:rsid w:val="00667026"/>
    <w:rsid w:val="00667045"/>
    <w:rsid w:val="0066717E"/>
    <w:rsid w:val="0066749C"/>
    <w:rsid w:val="006674D1"/>
    <w:rsid w:val="006676F9"/>
    <w:rsid w:val="00667719"/>
    <w:rsid w:val="00667949"/>
    <w:rsid w:val="006679FE"/>
    <w:rsid w:val="00667D7D"/>
    <w:rsid w:val="00667E1C"/>
    <w:rsid w:val="00667FCE"/>
    <w:rsid w:val="00670561"/>
    <w:rsid w:val="0067097F"/>
    <w:rsid w:val="006714C0"/>
    <w:rsid w:val="00671E21"/>
    <w:rsid w:val="006721C1"/>
    <w:rsid w:val="006727B7"/>
    <w:rsid w:val="00672B0F"/>
    <w:rsid w:val="00672DDD"/>
    <w:rsid w:val="00672F0F"/>
    <w:rsid w:val="006734D2"/>
    <w:rsid w:val="006738C6"/>
    <w:rsid w:val="00674268"/>
    <w:rsid w:val="0067454F"/>
    <w:rsid w:val="006749BA"/>
    <w:rsid w:val="00675669"/>
    <w:rsid w:val="006756B2"/>
    <w:rsid w:val="00675B54"/>
    <w:rsid w:val="00676281"/>
    <w:rsid w:val="00676C91"/>
    <w:rsid w:val="00676EFF"/>
    <w:rsid w:val="0067769E"/>
    <w:rsid w:val="00677857"/>
    <w:rsid w:val="00677873"/>
    <w:rsid w:val="00680575"/>
    <w:rsid w:val="006807A3"/>
    <w:rsid w:val="00680830"/>
    <w:rsid w:val="00680E30"/>
    <w:rsid w:val="00680F00"/>
    <w:rsid w:val="00681880"/>
    <w:rsid w:val="006818A1"/>
    <w:rsid w:val="0068200E"/>
    <w:rsid w:val="00682353"/>
    <w:rsid w:val="00683044"/>
    <w:rsid w:val="006830BE"/>
    <w:rsid w:val="00684E21"/>
    <w:rsid w:val="00685327"/>
    <w:rsid w:val="00685464"/>
    <w:rsid w:val="006855CA"/>
    <w:rsid w:val="00685F05"/>
    <w:rsid w:val="006864FE"/>
    <w:rsid w:val="00686559"/>
    <w:rsid w:val="00686583"/>
    <w:rsid w:val="00686EF4"/>
    <w:rsid w:val="00687814"/>
    <w:rsid w:val="00687BDF"/>
    <w:rsid w:val="00687EED"/>
    <w:rsid w:val="006900D4"/>
    <w:rsid w:val="006906CB"/>
    <w:rsid w:val="00690B77"/>
    <w:rsid w:val="00690D90"/>
    <w:rsid w:val="00690F52"/>
    <w:rsid w:val="00691971"/>
    <w:rsid w:val="00691D0A"/>
    <w:rsid w:val="00693537"/>
    <w:rsid w:val="0069354F"/>
    <w:rsid w:val="0069377A"/>
    <w:rsid w:val="00693A63"/>
    <w:rsid w:val="006945F9"/>
    <w:rsid w:val="00694799"/>
    <w:rsid w:val="0069485F"/>
    <w:rsid w:val="00694B0C"/>
    <w:rsid w:val="00694FB6"/>
    <w:rsid w:val="00695152"/>
    <w:rsid w:val="006956CB"/>
    <w:rsid w:val="00695757"/>
    <w:rsid w:val="0069592D"/>
    <w:rsid w:val="00695A25"/>
    <w:rsid w:val="00695D87"/>
    <w:rsid w:val="006964AC"/>
    <w:rsid w:val="006964F3"/>
    <w:rsid w:val="00696EFD"/>
    <w:rsid w:val="00696F5B"/>
    <w:rsid w:val="00697251"/>
    <w:rsid w:val="006978CF"/>
    <w:rsid w:val="00697CA2"/>
    <w:rsid w:val="006A02C5"/>
    <w:rsid w:val="006A0973"/>
    <w:rsid w:val="006A1824"/>
    <w:rsid w:val="006A1CEF"/>
    <w:rsid w:val="006A2BA0"/>
    <w:rsid w:val="006A337D"/>
    <w:rsid w:val="006A34D2"/>
    <w:rsid w:val="006A35BD"/>
    <w:rsid w:val="006A35E0"/>
    <w:rsid w:val="006A3B12"/>
    <w:rsid w:val="006A3C14"/>
    <w:rsid w:val="006A3C7E"/>
    <w:rsid w:val="006A3F1F"/>
    <w:rsid w:val="006A4525"/>
    <w:rsid w:val="006A4B2D"/>
    <w:rsid w:val="006A4CA4"/>
    <w:rsid w:val="006A4D59"/>
    <w:rsid w:val="006A4EA0"/>
    <w:rsid w:val="006A4F35"/>
    <w:rsid w:val="006A5A88"/>
    <w:rsid w:val="006A6027"/>
    <w:rsid w:val="006A62A3"/>
    <w:rsid w:val="006A6764"/>
    <w:rsid w:val="006A6958"/>
    <w:rsid w:val="006A6A42"/>
    <w:rsid w:val="006A7B37"/>
    <w:rsid w:val="006A7BAA"/>
    <w:rsid w:val="006B00A4"/>
    <w:rsid w:val="006B01B8"/>
    <w:rsid w:val="006B0676"/>
    <w:rsid w:val="006B13CE"/>
    <w:rsid w:val="006B1BF9"/>
    <w:rsid w:val="006B1CBC"/>
    <w:rsid w:val="006B1D59"/>
    <w:rsid w:val="006B1F8B"/>
    <w:rsid w:val="006B2436"/>
    <w:rsid w:val="006B28AE"/>
    <w:rsid w:val="006B2D1F"/>
    <w:rsid w:val="006B2F3D"/>
    <w:rsid w:val="006B3046"/>
    <w:rsid w:val="006B3048"/>
    <w:rsid w:val="006B34B1"/>
    <w:rsid w:val="006B3994"/>
    <w:rsid w:val="006B3ADB"/>
    <w:rsid w:val="006B3EDB"/>
    <w:rsid w:val="006B4454"/>
    <w:rsid w:val="006B4770"/>
    <w:rsid w:val="006B49B8"/>
    <w:rsid w:val="006B49EA"/>
    <w:rsid w:val="006B5332"/>
    <w:rsid w:val="006B53FF"/>
    <w:rsid w:val="006B5767"/>
    <w:rsid w:val="006B5A36"/>
    <w:rsid w:val="006B5FC6"/>
    <w:rsid w:val="006B64E6"/>
    <w:rsid w:val="006B6FB4"/>
    <w:rsid w:val="006B734A"/>
    <w:rsid w:val="006B7410"/>
    <w:rsid w:val="006B769E"/>
    <w:rsid w:val="006C0317"/>
    <w:rsid w:val="006C031A"/>
    <w:rsid w:val="006C0B8E"/>
    <w:rsid w:val="006C16D6"/>
    <w:rsid w:val="006C33C8"/>
    <w:rsid w:val="006C3525"/>
    <w:rsid w:val="006C38A1"/>
    <w:rsid w:val="006C3B14"/>
    <w:rsid w:val="006C3B2B"/>
    <w:rsid w:val="006C4000"/>
    <w:rsid w:val="006C411A"/>
    <w:rsid w:val="006C4D84"/>
    <w:rsid w:val="006C50CA"/>
    <w:rsid w:val="006C5139"/>
    <w:rsid w:val="006C5164"/>
    <w:rsid w:val="006C5744"/>
    <w:rsid w:val="006C5E71"/>
    <w:rsid w:val="006C5EA7"/>
    <w:rsid w:val="006C678F"/>
    <w:rsid w:val="006C683B"/>
    <w:rsid w:val="006C70B0"/>
    <w:rsid w:val="006C75A0"/>
    <w:rsid w:val="006C7789"/>
    <w:rsid w:val="006D02C0"/>
    <w:rsid w:val="006D0492"/>
    <w:rsid w:val="006D0A3A"/>
    <w:rsid w:val="006D0BC5"/>
    <w:rsid w:val="006D0E56"/>
    <w:rsid w:val="006D1209"/>
    <w:rsid w:val="006D14CF"/>
    <w:rsid w:val="006D17A8"/>
    <w:rsid w:val="006D1B31"/>
    <w:rsid w:val="006D1F30"/>
    <w:rsid w:val="006D23E1"/>
    <w:rsid w:val="006D2B4E"/>
    <w:rsid w:val="006D2B99"/>
    <w:rsid w:val="006D2E69"/>
    <w:rsid w:val="006D33DC"/>
    <w:rsid w:val="006D3BDD"/>
    <w:rsid w:val="006D3DA6"/>
    <w:rsid w:val="006D3DE3"/>
    <w:rsid w:val="006D4043"/>
    <w:rsid w:val="006D4750"/>
    <w:rsid w:val="006D53BE"/>
    <w:rsid w:val="006D5B8D"/>
    <w:rsid w:val="006D6071"/>
    <w:rsid w:val="006D625D"/>
    <w:rsid w:val="006D67A0"/>
    <w:rsid w:val="006D6A08"/>
    <w:rsid w:val="006D6A1F"/>
    <w:rsid w:val="006D6DD0"/>
    <w:rsid w:val="006D7BAE"/>
    <w:rsid w:val="006E0745"/>
    <w:rsid w:val="006E07DA"/>
    <w:rsid w:val="006E0A22"/>
    <w:rsid w:val="006E0EFC"/>
    <w:rsid w:val="006E1494"/>
    <w:rsid w:val="006E1746"/>
    <w:rsid w:val="006E1A98"/>
    <w:rsid w:val="006E1DBE"/>
    <w:rsid w:val="006E1E8F"/>
    <w:rsid w:val="006E20C7"/>
    <w:rsid w:val="006E210B"/>
    <w:rsid w:val="006E302C"/>
    <w:rsid w:val="006E32EC"/>
    <w:rsid w:val="006E3815"/>
    <w:rsid w:val="006E3826"/>
    <w:rsid w:val="006E3C90"/>
    <w:rsid w:val="006E3DE9"/>
    <w:rsid w:val="006E3F5E"/>
    <w:rsid w:val="006E406D"/>
    <w:rsid w:val="006E4415"/>
    <w:rsid w:val="006E53F4"/>
    <w:rsid w:val="006E5496"/>
    <w:rsid w:val="006E56E8"/>
    <w:rsid w:val="006E5718"/>
    <w:rsid w:val="006E573C"/>
    <w:rsid w:val="006E6634"/>
    <w:rsid w:val="006F0150"/>
    <w:rsid w:val="006F0197"/>
    <w:rsid w:val="006F0361"/>
    <w:rsid w:val="006F0465"/>
    <w:rsid w:val="006F0C79"/>
    <w:rsid w:val="006F0F4C"/>
    <w:rsid w:val="006F1013"/>
    <w:rsid w:val="006F12AD"/>
    <w:rsid w:val="006F1B03"/>
    <w:rsid w:val="006F1D9A"/>
    <w:rsid w:val="006F1F3C"/>
    <w:rsid w:val="006F206F"/>
    <w:rsid w:val="006F2335"/>
    <w:rsid w:val="006F25CC"/>
    <w:rsid w:val="006F2BE3"/>
    <w:rsid w:val="006F3069"/>
    <w:rsid w:val="006F3460"/>
    <w:rsid w:val="006F3548"/>
    <w:rsid w:val="006F3A0E"/>
    <w:rsid w:val="006F3AE9"/>
    <w:rsid w:val="006F3E2F"/>
    <w:rsid w:val="006F4095"/>
    <w:rsid w:val="006F451C"/>
    <w:rsid w:val="006F47D3"/>
    <w:rsid w:val="006F4F51"/>
    <w:rsid w:val="006F5233"/>
    <w:rsid w:val="006F5A69"/>
    <w:rsid w:val="006F5E84"/>
    <w:rsid w:val="006F6285"/>
    <w:rsid w:val="006F650D"/>
    <w:rsid w:val="006F653F"/>
    <w:rsid w:val="006F7106"/>
    <w:rsid w:val="006F73AD"/>
    <w:rsid w:val="006F7445"/>
    <w:rsid w:val="006F7B04"/>
    <w:rsid w:val="006F7D43"/>
    <w:rsid w:val="006F7DD6"/>
    <w:rsid w:val="006F7E2C"/>
    <w:rsid w:val="00700219"/>
    <w:rsid w:val="007010AA"/>
    <w:rsid w:val="0070115C"/>
    <w:rsid w:val="00701273"/>
    <w:rsid w:val="0070132B"/>
    <w:rsid w:val="00701A0C"/>
    <w:rsid w:val="0070200B"/>
    <w:rsid w:val="0070219B"/>
    <w:rsid w:val="007028D8"/>
    <w:rsid w:val="0070293B"/>
    <w:rsid w:val="007033D1"/>
    <w:rsid w:val="00703766"/>
    <w:rsid w:val="007038F6"/>
    <w:rsid w:val="00704B84"/>
    <w:rsid w:val="00704DF3"/>
    <w:rsid w:val="00704F2D"/>
    <w:rsid w:val="00705189"/>
    <w:rsid w:val="007055A6"/>
    <w:rsid w:val="00705A8C"/>
    <w:rsid w:val="00705E1B"/>
    <w:rsid w:val="00705E8B"/>
    <w:rsid w:val="00705F38"/>
    <w:rsid w:val="00706947"/>
    <w:rsid w:val="00707877"/>
    <w:rsid w:val="00707F94"/>
    <w:rsid w:val="00710274"/>
    <w:rsid w:val="0071052F"/>
    <w:rsid w:val="007110C8"/>
    <w:rsid w:val="00711200"/>
    <w:rsid w:val="00711583"/>
    <w:rsid w:val="007118FF"/>
    <w:rsid w:val="00711923"/>
    <w:rsid w:val="007119E2"/>
    <w:rsid w:val="007121FA"/>
    <w:rsid w:val="007125A7"/>
    <w:rsid w:val="00712947"/>
    <w:rsid w:val="00712B69"/>
    <w:rsid w:val="00712D1B"/>
    <w:rsid w:val="00712D46"/>
    <w:rsid w:val="00713134"/>
    <w:rsid w:val="0071334B"/>
    <w:rsid w:val="00713C83"/>
    <w:rsid w:val="00714294"/>
    <w:rsid w:val="00714CE1"/>
    <w:rsid w:val="007158C7"/>
    <w:rsid w:val="00715A92"/>
    <w:rsid w:val="00715E43"/>
    <w:rsid w:val="00716776"/>
    <w:rsid w:val="00716A21"/>
    <w:rsid w:val="00716E2F"/>
    <w:rsid w:val="00717005"/>
    <w:rsid w:val="00717A98"/>
    <w:rsid w:val="00720344"/>
    <w:rsid w:val="00720866"/>
    <w:rsid w:val="007209ED"/>
    <w:rsid w:val="00720B56"/>
    <w:rsid w:val="00720BC6"/>
    <w:rsid w:val="00720DD2"/>
    <w:rsid w:val="00720F56"/>
    <w:rsid w:val="0072134E"/>
    <w:rsid w:val="007215EE"/>
    <w:rsid w:val="0072171B"/>
    <w:rsid w:val="00721C02"/>
    <w:rsid w:val="0072225C"/>
    <w:rsid w:val="0072281D"/>
    <w:rsid w:val="00722C68"/>
    <w:rsid w:val="0072397F"/>
    <w:rsid w:val="00724015"/>
    <w:rsid w:val="007240CA"/>
    <w:rsid w:val="007249E2"/>
    <w:rsid w:val="007255DD"/>
    <w:rsid w:val="007258A6"/>
    <w:rsid w:val="007262CB"/>
    <w:rsid w:val="0072631A"/>
    <w:rsid w:val="007265E3"/>
    <w:rsid w:val="00726620"/>
    <w:rsid w:val="00726ACB"/>
    <w:rsid w:val="00726F57"/>
    <w:rsid w:val="00726FB7"/>
    <w:rsid w:val="00727BE5"/>
    <w:rsid w:val="00730202"/>
    <w:rsid w:val="007310FD"/>
    <w:rsid w:val="00731399"/>
    <w:rsid w:val="00731922"/>
    <w:rsid w:val="00731ACB"/>
    <w:rsid w:val="00731E65"/>
    <w:rsid w:val="0073264C"/>
    <w:rsid w:val="0073281E"/>
    <w:rsid w:val="007329E2"/>
    <w:rsid w:val="00733050"/>
    <w:rsid w:val="00733EBA"/>
    <w:rsid w:val="00733FD8"/>
    <w:rsid w:val="00734485"/>
    <w:rsid w:val="00734778"/>
    <w:rsid w:val="00734B88"/>
    <w:rsid w:val="0073514E"/>
    <w:rsid w:val="007351AB"/>
    <w:rsid w:val="00735555"/>
    <w:rsid w:val="007359C2"/>
    <w:rsid w:val="00735B61"/>
    <w:rsid w:val="00735C28"/>
    <w:rsid w:val="00735E52"/>
    <w:rsid w:val="00736001"/>
    <w:rsid w:val="0073637B"/>
    <w:rsid w:val="007364CB"/>
    <w:rsid w:val="007368AD"/>
    <w:rsid w:val="0073690F"/>
    <w:rsid w:val="00737589"/>
    <w:rsid w:val="007375F4"/>
    <w:rsid w:val="0073761C"/>
    <w:rsid w:val="00737AB0"/>
    <w:rsid w:val="0074029B"/>
    <w:rsid w:val="007403A7"/>
    <w:rsid w:val="00740426"/>
    <w:rsid w:val="00740C01"/>
    <w:rsid w:val="00740FC8"/>
    <w:rsid w:val="0074133D"/>
    <w:rsid w:val="0074176A"/>
    <w:rsid w:val="00741A66"/>
    <w:rsid w:val="00742222"/>
    <w:rsid w:val="0074267D"/>
    <w:rsid w:val="00742975"/>
    <w:rsid w:val="00742B7F"/>
    <w:rsid w:val="00742E06"/>
    <w:rsid w:val="0074322A"/>
    <w:rsid w:val="007435A4"/>
    <w:rsid w:val="007436EF"/>
    <w:rsid w:val="00743AE5"/>
    <w:rsid w:val="00743B10"/>
    <w:rsid w:val="00743B53"/>
    <w:rsid w:val="00743C7F"/>
    <w:rsid w:val="00743F06"/>
    <w:rsid w:val="0074486D"/>
    <w:rsid w:val="00744923"/>
    <w:rsid w:val="00744BF0"/>
    <w:rsid w:val="007452E2"/>
    <w:rsid w:val="00745CD4"/>
    <w:rsid w:val="0074609B"/>
    <w:rsid w:val="007463EF"/>
    <w:rsid w:val="0074669B"/>
    <w:rsid w:val="00746980"/>
    <w:rsid w:val="00746C85"/>
    <w:rsid w:val="00746D41"/>
    <w:rsid w:val="00746E20"/>
    <w:rsid w:val="00747645"/>
    <w:rsid w:val="00750181"/>
    <w:rsid w:val="007512AC"/>
    <w:rsid w:val="007515F0"/>
    <w:rsid w:val="007518FD"/>
    <w:rsid w:val="0075196D"/>
    <w:rsid w:val="00751E9B"/>
    <w:rsid w:val="00751F5C"/>
    <w:rsid w:val="00752482"/>
    <w:rsid w:val="00752CDC"/>
    <w:rsid w:val="00752CF6"/>
    <w:rsid w:val="00753178"/>
    <w:rsid w:val="007536BF"/>
    <w:rsid w:val="0075371E"/>
    <w:rsid w:val="00753FE9"/>
    <w:rsid w:val="0075478E"/>
    <w:rsid w:val="00754D94"/>
    <w:rsid w:val="007551DE"/>
    <w:rsid w:val="0075558C"/>
    <w:rsid w:val="00755F52"/>
    <w:rsid w:val="00756434"/>
    <w:rsid w:val="00756C66"/>
    <w:rsid w:val="00756FE1"/>
    <w:rsid w:val="0075720F"/>
    <w:rsid w:val="00757302"/>
    <w:rsid w:val="00757445"/>
    <w:rsid w:val="007577A2"/>
    <w:rsid w:val="00757BEB"/>
    <w:rsid w:val="00757D10"/>
    <w:rsid w:val="00760791"/>
    <w:rsid w:val="00760D1B"/>
    <w:rsid w:val="0076116E"/>
    <w:rsid w:val="00761EFA"/>
    <w:rsid w:val="007622EC"/>
    <w:rsid w:val="00762E9A"/>
    <w:rsid w:val="007630F0"/>
    <w:rsid w:val="00763366"/>
    <w:rsid w:val="00763485"/>
    <w:rsid w:val="00763ED7"/>
    <w:rsid w:val="00763EFE"/>
    <w:rsid w:val="00764127"/>
    <w:rsid w:val="00764343"/>
    <w:rsid w:val="007646A5"/>
    <w:rsid w:val="00764873"/>
    <w:rsid w:val="00764A63"/>
    <w:rsid w:val="00764BB2"/>
    <w:rsid w:val="00764C3F"/>
    <w:rsid w:val="00764DBB"/>
    <w:rsid w:val="00764FCD"/>
    <w:rsid w:val="0076580F"/>
    <w:rsid w:val="00765A93"/>
    <w:rsid w:val="00766292"/>
    <w:rsid w:val="0076653E"/>
    <w:rsid w:val="007666C6"/>
    <w:rsid w:val="0076673B"/>
    <w:rsid w:val="00766B7A"/>
    <w:rsid w:val="00766E81"/>
    <w:rsid w:val="00766F34"/>
    <w:rsid w:val="00766FA2"/>
    <w:rsid w:val="0077006C"/>
    <w:rsid w:val="00770268"/>
    <w:rsid w:val="007707CC"/>
    <w:rsid w:val="00770A23"/>
    <w:rsid w:val="00770E24"/>
    <w:rsid w:val="00771110"/>
    <w:rsid w:val="0077180E"/>
    <w:rsid w:val="007723A4"/>
    <w:rsid w:val="00772C01"/>
    <w:rsid w:val="00772DFB"/>
    <w:rsid w:val="00772F07"/>
    <w:rsid w:val="00773ECF"/>
    <w:rsid w:val="00773F17"/>
    <w:rsid w:val="007748BF"/>
    <w:rsid w:val="00774EAF"/>
    <w:rsid w:val="007750CC"/>
    <w:rsid w:val="00775CE1"/>
    <w:rsid w:val="00775E61"/>
    <w:rsid w:val="007761B9"/>
    <w:rsid w:val="007762E4"/>
    <w:rsid w:val="00776550"/>
    <w:rsid w:val="0077661D"/>
    <w:rsid w:val="00776BED"/>
    <w:rsid w:val="00776FE9"/>
    <w:rsid w:val="00777039"/>
    <w:rsid w:val="0077737C"/>
    <w:rsid w:val="007773DD"/>
    <w:rsid w:val="0077748C"/>
    <w:rsid w:val="00777673"/>
    <w:rsid w:val="007778DD"/>
    <w:rsid w:val="00777925"/>
    <w:rsid w:val="0077795C"/>
    <w:rsid w:val="00777DAA"/>
    <w:rsid w:val="00777E8D"/>
    <w:rsid w:val="00777FFD"/>
    <w:rsid w:val="007800F4"/>
    <w:rsid w:val="00780151"/>
    <w:rsid w:val="0078033D"/>
    <w:rsid w:val="00780903"/>
    <w:rsid w:val="00780931"/>
    <w:rsid w:val="00780A98"/>
    <w:rsid w:val="00780C01"/>
    <w:rsid w:val="00781292"/>
    <w:rsid w:val="00781854"/>
    <w:rsid w:val="00781AE1"/>
    <w:rsid w:val="00781CA9"/>
    <w:rsid w:val="00781D80"/>
    <w:rsid w:val="00781FFC"/>
    <w:rsid w:val="00782736"/>
    <w:rsid w:val="00782833"/>
    <w:rsid w:val="007830B4"/>
    <w:rsid w:val="0078323E"/>
    <w:rsid w:val="0078338B"/>
    <w:rsid w:val="0078354A"/>
    <w:rsid w:val="00783DB7"/>
    <w:rsid w:val="00784DE9"/>
    <w:rsid w:val="00785001"/>
    <w:rsid w:val="007853D9"/>
    <w:rsid w:val="00785B1C"/>
    <w:rsid w:val="00787201"/>
    <w:rsid w:val="007874E7"/>
    <w:rsid w:val="007878A5"/>
    <w:rsid w:val="0078795F"/>
    <w:rsid w:val="00787C52"/>
    <w:rsid w:val="007903C5"/>
    <w:rsid w:val="007907BB"/>
    <w:rsid w:val="007908B3"/>
    <w:rsid w:val="00790FA7"/>
    <w:rsid w:val="00791089"/>
    <w:rsid w:val="00791908"/>
    <w:rsid w:val="00792465"/>
    <w:rsid w:val="007928B6"/>
    <w:rsid w:val="00793189"/>
    <w:rsid w:val="007931F0"/>
    <w:rsid w:val="00793565"/>
    <w:rsid w:val="00793AFC"/>
    <w:rsid w:val="00793C7E"/>
    <w:rsid w:val="00793C9A"/>
    <w:rsid w:val="00793D3C"/>
    <w:rsid w:val="00793E71"/>
    <w:rsid w:val="0079408F"/>
    <w:rsid w:val="00794823"/>
    <w:rsid w:val="00794FEC"/>
    <w:rsid w:val="00795073"/>
    <w:rsid w:val="007950C6"/>
    <w:rsid w:val="00795149"/>
    <w:rsid w:val="00795241"/>
    <w:rsid w:val="0079581E"/>
    <w:rsid w:val="007958D2"/>
    <w:rsid w:val="00795A41"/>
    <w:rsid w:val="0079647A"/>
    <w:rsid w:val="0079662B"/>
    <w:rsid w:val="00796693"/>
    <w:rsid w:val="00797268"/>
    <w:rsid w:val="00797821"/>
    <w:rsid w:val="00797EF4"/>
    <w:rsid w:val="007A03FE"/>
    <w:rsid w:val="007A06EF"/>
    <w:rsid w:val="007A0E44"/>
    <w:rsid w:val="007A157E"/>
    <w:rsid w:val="007A1618"/>
    <w:rsid w:val="007A1823"/>
    <w:rsid w:val="007A1D21"/>
    <w:rsid w:val="007A211F"/>
    <w:rsid w:val="007A2392"/>
    <w:rsid w:val="007A30AE"/>
    <w:rsid w:val="007A3847"/>
    <w:rsid w:val="007A3F2A"/>
    <w:rsid w:val="007A426F"/>
    <w:rsid w:val="007A433F"/>
    <w:rsid w:val="007A49D5"/>
    <w:rsid w:val="007A4B5E"/>
    <w:rsid w:val="007A5178"/>
    <w:rsid w:val="007A5C08"/>
    <w:rsid w:val="007A5C1D"/>
    <w:rsid w:val="007A6092"/>
    <w:rsid w:val="007A6735"/>
    <w:rsid w:val="007A6746"/>
    <w:rsid w:val="007A6831"/>
    <w:rsid w:val="007A6B2A"/>
    <w:rsid w:val="007A71C4"/>
    <w:rsid w:val="007A7869"/>
    <w:rsid w:val="007A7B4D"/>
    <w:rsid w:val="007A7C5A"/>
    <w:rsid w:val="007B0025"/>
    <w:rsid w:val="007B01E1"/>
    <w:rsid w:val="007B0B2C"/>
    <w:rsid w:val="007B1068"/>
    <w:rsid w:val="007B13E2"/>
    <w:rsid w:val="007B14C9"/>
    <w:rsid w:val="007B169A"/>
    <w:rsid w:val="007B1BA3"/>
    <w:rsid w:val="007B1BE6"/>
    <w:rsid w:val="007B1D97"/>
    <w:rsid w:val="007B1EF4"/>
    <w:rsid w:val="007B20DA"/>
    <w:rsid w:val="007B2E3F"/>
    <w:rsid w:val="007B3374"/>
    <w:rsid w:val="007B36EB"/>
    <w:rsid w:val="007B36F0"/>
    <w:rsid w:val="007B3C3C"/>
    <w:rsid w:val="007B45A5"/>
    <w:rsid w:val="007B4BE1"/>
    <w:rsid w:val="007B5209"/>
    <w:rsid w:val="007B5291"/>
    <w:rsid w:val="007B5495"/>
    <w:rsid w:val="007B5546"/>
    <w:rsid w:val="007B57A2"/>
    <w:rsid w:val="007B5938"/>
    <w:rsid w:val="007B5B51"/>
    <w:rsid w:val="007B5D90"/>
    <w:rsid w:val="007B5EE5"/>
    <w:rsid w:val="007B6025"/>
    <w:rsid w:val="007B6555"/>
    <w:rsid w:val="007B699F"/>
    <w:rsid w:val="007B6EF5"/>
    <w:rsid w:val="007B6F32"/>
    <w:rsid w:val="007B71A1"/>
    <w:rsid w:val="007C0096"/>
    <w:rsid w:val="007C0B6D"/>
    <w:rsid w:val="007C0E0D"/>
    <w:rsid w:val="007C155E"/>
    <w:rsid w:val="007C1B7B"/>
    <w:rsid w:val="007C1BEB"/>
    <w:rsid w:val="007C21D6"/>
    <w:rsid w:val="007C275D"/>
    <w:rsid w:val="007C27CE"/>
    <w:rsid w:val="007C285D"/>
    <w:rsid w:val="007C2A10"/>
    <w:rsid w:val="007C2A1A"/>
    <w:rsid w:val="007C39ED"/>
    <w:rsid w:val="007C3C73"/>
    <w:rsid w:val="007C3EDF"/>
    <w:rsid w:val="007C40B0"/>
    <w:rsid w:val="007C4176"/>
    <w:rsid w:val="007C515D"/>
    <w:rsid w:val="007C577E"/>
    <w:rsid w:val="007C5C5A"/>
    <w:rsid w:val="007C5C6D"/>
    <w:rsid w:val="007C6127"/>
    <w:rsid w:val="007C63A1"/>
    <w:rsid w:val="007C6448"/>
    <w:rsid w:val="007C644A"/>
    <w:rsid w:val="007C6683"/>
    <w:rsid w:val="007C66F9"/>
    <w:rsid w:val="007C67E1"/>
    <w:rsid w:val="007C6802"/>
    <w:rsid w:val="007C6D67"/>
    <w:rsid w:val="007C6DC8"/>
    <w:rsid w:val="007C73EE"/>
    <w:rsid w:val="007C7591"/>
    <w:rsid w:val="007C7BAB"/>
    <w:rsid w:val="007D0017"/>
    <w:rsid w:val="007D035A"/>
    <w:rsid w:val="007D0442"/>
    <w:rsid w:val="007D094D"/>
    <w:rsid w:val="007D0E9D"/>
    <w:rsid w:val="007D19BB"/>
    <w:rsid w:val="007D2ACE"/>
    <w:rsid w:val="007D2B4D"/>
    <w:rsid w:val="007D2BE8"/>
    <w:rsid w:val="007D359D"/>
    <w:rsid w:val="007D3AF9"/>
    <w:rsid w:val="007D4134"/>
    <w:rsid w:val="007D42FC"/>
    <w:rsid w:val="007D4807"/>
    <w:rsid w:val="007D5B4E"/>
    <w:rsid w:val="007D5CD5"/>
    <w:rsid w:val="007D6A12"/>
    <w:rsid w:val="007D6D3C"/>
    <w:rsid w:val="007D7469"/>
    <w:rsid w:val="007D7BB3"/>
    <w:rsid w:val="007E049F"/>
    <w:rsid w:val="007E0836"/>
    <w:rsid w:val="007E0A2D"/>
    <w:rsid w:val="007E0DB5"/>
    <w:rsid w:val="007E0EC2"/>
    <w:rsid w:val="007E170F"/>
    <w:rsid w:val="007E1CE0"/>
    <w:rsid w:val="007E2076"/>
    <w:rsid w:val="007E223D"/>
    <w:rsid w:val="007E2984"/>
    <w:rsid w:val="007E2BE7"/>
    <w:rsid w:val="007E349C"/>
    <w:rsid w:val="007E3832"/>
    <w:rsid w:val="007E3D83"/>
    <w:rsid w:val="007E3E58"/>
    <w:rsid w:val="007E41A5"/>
    <w:rsid w:val="007E4CDC"/>
    <w:rsid w:val="007E4D26"/>
    <w:rsid w:val="007E4E8F"/>
    <w:rsid w:val="007E537B"/>
    <w:rsid w:val="007E584B"/>
    <w:rsid w:val="007E6441"/>
    <w:rsid w:val="007E660A"/>
    <w:rsid w:val="007E69E4"/>
    <w:rsid w:val="007E6A36"/>
    <w:rsid w:val="007E7081"/>
    <w:rsid w:val="007E70B7"/>
    <w:rsid w:val="007E74F6"/>
    <w:rsid w:val="007E75EA"/>
    <w:rsid w:val="007E7721"/>
    <w:rsid w:val="007E789D"/>
    <w:rsid w:val="007E7DCB"/>
    <w:rsid w:val="007E7E0F"/>
    <w:rsid w:val="007E7ED6"/>
    <w:rsid w:val="007E7FE6"/>
    <w:rsid w:val="007F00B7"/>
    <w:rsid w:val="007F0212"/>
    <w:rsid w:val="007F065C"/>
    <w:rsid w:val="007F06E6"/>
    <w:rsid w:val="007F07D1"/>
    <w:rsid w:val="007F0D1A"/>
    <w:rsid w:val="007F0DC0"/>
    <w:rsid w:val="007F0F6A"/>
    <w:rsid w:val="007F115A"/>
    <w:rsid w:val="007F1530"/>
    <w:rsid w:val="007F1746"/>
    <w:rsid w:val="007F2069"/>
    <w:rsid w:val="007F22D0"/>
    <w:rsid w:val="007F2493"/>
    <w:rsid w:val="007F2714"/>
    <w:rsid w:val="007F2B2E"/>
    <w:rsid w:val="007F2CC5"/>
    <w:rsid w:val="007F2FF1"/>
    <w:rsid w:val="007F306A"/>
    <w:rsid w:val="007F3A97"/>
    <w:rsid w:val="007F3B5C"/>
    <w:rsid w:val="007F3CDD"/>
    <w:rsid w:val="007F41C9"/>
    <w:rsid w:val="007F459F"/>
    <w:rsid w:val="007F47C3"/>
    <w:rsid w:val="007F486F"/>
    <w:rsid w:val="007F4AA4"/>
    <w:rsid w:val="007F4B6D"/>
    <w:rsid w:val="007F4D85"/>
    <w:rsid w:val="007F4F2C"/>
    <w:rsid w:val="007F564F"/>
    <w:rsid w:val="007F5E67"/>
    <w:rsid w:val="007F5E9F"/>
    <w:rsid w:val="007F60AD"/>
    <w:rsid w:val="007F635A"/>
    <w:rsid w:val="007F6AE9"/>
    <w:rsid w:val="007F7687"/>
    <w:rsid w:val="00800C06"/>
    <w:rsid w:val="00800CED"/>
    <w:rsid w:val="00800F65"/>
    <w:rsid w:val="00801026"/>
    <w:rsid w:val="00801BE7"/>
    <w:rsid w:val="00801BFF"/>
    <w:rsid w:val="00802181"/>
    <w:rsid w:val="008023A5"/>
    <w:rsid w:val="00802BCD"/>
    <w:rsid w:val="00802D0D"/>
    <w:rsid w:val="008031B7"/>
    <w:rsid w:val="008033D9"/>
    <w:rsid w:val="008033DB"/>
    <w:rsid w:val="00803BCC"/>
    <w:rsid w:val="00803CD4"/>
    <w:rsid w:val="00803D3B"/>
    <w:rsid w:val="00804132"/>
    <w:rsid w:val="00804353"/>
    <w:rsid w:val="008047B7"/>
    <w:rsid w:val="00804F68"/>
    <w:rsid w:val="00805447"/>
    <w:rsid w:val="00805455"/>
    <w:rsid w:val="00805AF1"/>
    <w:rsid w:val="00805B3F"/>
    <w:rsid w:val="00805C6A"/>
    <w:rsid w:val="008061AA"/>
    <w:rsid w:val="008061EC"/>
    <w:rsid w:val="008061ED"/>
    <w:rsid w:val="00806487"/>
    <w:rsid w:val="00806533"/>
    <w:rsid w:val="0080660D"/>
    <w:rsid w:val="0080676A"/>
    <w:rsid w:val="008069D5"/>
    <w:rsid w:val="00806C61"/>
    <w:rsid w:val="00806F27"/>
    <w:rsid w:val="0080747F"/>
    <w:rsid w:val="008078D7"/>
    <w:rsid w:val="00807B30"/>
    <w:rsid w:val="00807C06"/>
    <w:rsid w:val="00807E56"/>
    <w:rsid w:val="00807E80"/>
    <w:rsid w:val="00810474"/>
    <w:rsid w:val="00810A39"/>
    <w:rsid w:val="00810F13"/>
    <w:rsid w:val="00811501"/>
    <w:rsid w:val="00811599"/>
    <w:rsid w:val="00811E98"/>
    <w:rsid w:val="00812292"/>
    <w:rsid w:val="00812425"/>
    <w:rsid w:val="008124E9"/>
    <w:rsid w:val="0081270C"/>
    <w:rsid w:val="00812C87"/>
    <w:rsid w:val="0081308F"/>
    <w:rsid w:val="008131EB"/>
    <w:rsid w:val="00813EC1"/>
    <w:rsid w:val="008142F0"/>
    <w:rsid w:val="00814A3C"/>
    <w:rsid w:val="00814ACB"/>
    <w:rsid w:val="00815121"/>
    <w:rsid w:val="00815379"/>
    <w:rsid w:val="00816287"/>
    <w:rsid w:val="0081629E"/>
    <w:rsid w:val="00816373"/>
    <w:rsid w:val="008164BD"/>
    <w:rsid w:val="00816D79"/>
    <w:rsid w:val="008174CC"/>
    <w:rsid w:val="00817BF8"/>
    <w:rsid w:val="00817E66"/>
    <w:rsid w:val="0082014E"/>
    <w:rsid w:val="0082015F"/>
    <w:rsid w:val="00820382"/>
    <w:rsid w:val="00820907"/>
    <w:rsid w:val="008210CC"/>
    <w:rsid w:val="00822B02"/>
    <w:rsid w:val="00822CF6"/>
    <w:rsid w:val="00823E95"/>
    <w:rsid w:val="00823F1D"/>
    <w:rsid w:val="008241D0"/>
    <w:rsid w:val="00824404"/>
    <w:rsid w:val="008245EB"/>
    <w:rsid w:val="00824BD8"/>
    <w:rsid w:val="00824CF9"/>
    <w:rsid w:val="008258CC"/>
    <w:rsid w:val="00826280"/>
    <w:rsid w:val="008266E7"/>
    <w:rsid w:val="008268D7"/>
    <w:rsid w:val="00826A09"/>
    <w:rsid w:val="00826FC4"/>
    <w:rsid w:val="0082700A"/>
    <w:rsid w:val="00827447"/>
    <w:rsid w:val="008276B5"/>
    <w:rsid w:val="008279EC"/>
    <w:rsid w:val="00827FC0"/>
    <w:rsid w:val="00830207"/>
    <w:rsid w:val="008306C2"/>
    <w:rsid w:val="008307D3"/>
    <w:rsid w:val="008307E8"/>
    <w:rsid w:val="008311F0"/>
    <w:rsid w:val="00831C4B"/>
    <w:rsid w:val="00832184"/>
    <w:rsid w:val="008322C5"/>
    <w:rsid w:val="0083254E"/>
    <w:rsid w:val="00832579"/>
    <w:rsid w:val="00832C19"/>
    <w:rsid w:val="00833123"/>
    <w:rsid w:val="008335C2"/>
    <w:rsid w:val="0083371E"/>
    <w:rsid w:val="00833DB2"/>
    <w:rsid w:val="008341A7"/>
    <w:rsid w:val="00834453"/>
    <w:rsid w:val="00834B1B"/>
    <w:rsid w:val="008356CB"/>
    <w:rsid w:val="00835790"/>
    <w:rsid w:val="00835A46"/>
    <w:rsid w:val="00835E39"/>
    <w:rsid w:val="00835F60"/>
    <w:rsid w:val="00836F89"/>
    <w:rsid w:val="008375C6"/>
    <w:rsid w:val="00837641"/>
    <w:rsid w:val="00837A02"/>
    <w:rsid w:val="00837B75"/>
    <w:rsid w:val="00837CBB"/>
    <w:rsid w:val="00840169"/>
    <w:rsid w:val="008406EA"/>
    <w:rsid w:val="0084103B"/>
    <w:rsid w:val="00841128"/>
    <w:rsid w:val="008424C7"/>
    <w:rsid w:val="008427F1"/>
    <w:rsid w:val="00842972"/>
    <w:rsid w:val="00842CE8"/>
    <w:rsid w:val="00843215"/>
    <w:rsid w:val="00843468"/>
    <w:rsid w:val="00843EA5"/>
    <w:rsid w:val="00844380"/>
    <w:rsid w:val="008443FF"/>
    <w:rsid w:val="00844403"/>
    <w:rsid w:val="00844593"/>
    <w:rsid w:val="00844872"/>
    <w:rsid w:val="00844AAA"/>
    <w:rsid w:val="00844C8A"/>
    <w:rsid w:val="00844CEA"/>
    <w:rsid w:val="0084555D"/>
    <w:rsid w:val="00845C00"/>
    <w:rsid w:val="00846459"/>
    <w:rsid w:val="00846801"/>
    <w:rsid w:val="00847102"/>
    <w:rsid w:val="008474F7"/>
    <w:rsid w:val="00850815"/>
    <w:rsid w:val="008509AA"/>
    <w:rsid w:val="00850A3B"/>
    <w:rsid w:val="00850C76"/>
    <w:rsid w:val="00850D0B"/>
    <w:rsid w:val="00850F51"/>
    <w:rsid w:val="00851EE2"/>
    <w:rsid w:val="00852028"/>
    <w:rsid w:val="0085225F"/>
    <w:rsid w:val="00852402"/>
    <w:rsid w:val="00852533"/>
    <w:rsid w:val="008525A0"/>
    <w:rsid w:val="008528E8"/>
    <w:rsid w:val="00852AF0"/>
    <w:rsid w:val="008540F0"/>
    <w:rsid w:val="0085410B"/>
    <w:rsid w:val="0085499B"/>
    <w:rsid w:val="008549F9"/>
    <w:rsid w:val="00854BC0"/>
    <w:rsid w:val="00854BD3"/>
    <w:rsid w:val="00855089"/>
    <w:rsid w:val="00855092"/>
    <w:rsid w:val="00855216"/>
    <w:rsid w:val="00855D80"/>
    <w:rsid w:val="00856172"/>
    <w:rsid w:val="00856AE4"/>
    <w:rsid w:val="00856D4D"/>
    <w:rsid w:val="00857440"/>
    <w:rsid w:val="0085779E"/>
    <w:rsid w:val="008579A0"/>
    <w:rsid w:val="00857E72"/>
    <w:rsid w:val="00860528"/>
    <w:rsid w:val="00860608"/>
    <w:rsid w:val="00860687"/>
    <w:rsid w:val="00860A44"/>
    <w:rsid w:val="0086199F"/>
    <w:rsid w:val="008619CC"/>
    <w:rsid w:val="00862CA2"/>
    <w:rsid w:val="00862ED7"/>
    <w:rsid w:val="00863435"/>
    <w:rsid w:val="00863475"/>
    <w:rsid w:val="008634C8"/>
    <w:rsid w:val="00863553"/>
    <w:rsid w:val="00863E62"/>
    <w:rsid w:val="0086406E"/>
    <w:rsid w:val="00865269"/>
    <w:rsid w:val="00865BB8"/>
    <w:rsid w:val="00865CAB"/>
    <w:rsid w:val="008662BD"/>
    <w:rsid w:val="00866495"/>
    <w:rsid w:val="00866628"/>
    <w:rsid w:val="008670AD"/>
    <w:rsid w:val="0086745C"/>
    <w:rsid w:val="00867AA0"/>
    <w:rsid w:val="00867FA1"/>
    <w:rsid w:val="0087005D"/>
    <w:rsid w:val="008703DE"/>
    <w:rsid w:val="0087095A"/>
    <w:rsid w:val="008709E7"/>
    <w:rsid w:val="00870AAC"/>
    <w:rsid w:val="00871346"/>
    <w:rsid w:val="008715C2"/>
    <w:rsid w:val="0087172D"/>
    <w:rsid w:val="00871D83"/>
    <w:rsid w:val="00871EEB"/>
    <w:rsid w:val="0087203E"/>
    <w:rsid w:val="00872827"/>
    <w:rsid w:val="00872A5D"/>
    <w:rsid w:val="00872A65"/>
    <w:rsid w:val="00872D7F"/>
    <w:rsid w:val="00872E2D"/>
    <w:rsid w:val="008732D9"/>
    <w:rsid w:val="00873416"/>
    <w:rsid w:val="0087349A"/>
    <w:rsid w:val="008735DB"/>
    <w:rsid w:val="008738C8"/>
    <w:rsid w:val="00873F2E"/>
    <w:rsid w:val="0087421B"/>
    <w:rsid w:val="00874333"/>
    <w:rsid w:val="00874709"/>
    <w:rsid w:val="00874975"/>
    <w:rsid w:val="00874D8D"/>
    <w:rsid w:val="00874F96"/>
    <w:rsid w:val="008753FC"/>
    <w:rsid w:val="00875573"/>
    <w:rsid w:val="00875C02"/>
    <w:rsid w:val="00875FA6"/>
    <w:rsid w:val="0087635E"/>
    <w:rsid w:val="008765A6"/>
    <w:rsid w:val="00876982"/>
    <w:rsid w:val="00876B8E"/>
    <w:rsid w:val="00876C4B"/>
    <w:rsid w:val="00876CD8"/>
    <w:rsid w:val="00876ED7"/>
    <w:rsid w:val="00877470"/>
    <w:rsid w:val="00877601"/>
    <w:rsid w:val="0087793D"/>
    <w:rsid w:val="00877A5D"/>
    <w:rsid w:val="00877BE9"/>
    <w:rsid w:val="00877C6E"/>
    <w:rsid w:val="00877E26"/>
    <w:rsid w:val="00880B95"/>
    <w:rsid w:val="008811F9"/>
    <w:rsid w:val="00881312"/>
    <w:rsid w:val="008818F7"/>
    <w:rsid w:val="00881CF4"/>
    <w:rsid w:val="00881FA8"/>
    <w:rsid w:val="0088265E"/>
    <w:rsid w:val="008826BE"/>
    <w:rsid w:val="00882B9A"/>
    <w:rsid w:val="00883314"/>
    <w:rsid w:val="008835F9"/>
    <w:rsid w:val="00883AB4"/>
    <w:rsid w:val="00883CC2"/>
    <w:rsid w:val="008842E3"/>
    <w:rsid w:val="008843D8"/>
    <w:rsid w:val="008844B4"/>
    <w:rsid w:val="008844C0"/>
    <w:rsid w:val="008849C3"/>
    <w:rsid w:val="00884A77"/>
    <w:rsid w:val="00884D6A"/>
    <w:rsid w:val="008854BF"/>
    <w:rsid w:val="00885EEB"/>
    <w:rsid w:val="00886753"/>
    <w:rsid w:val="00886EDD"/>
    <w:rsid w:val="008871C1"/>
    <w:rsid w:val="0088728B"/>
    <w:rsid w:val="0089020F"/>
    <w:rsid w:val="0089023B"/>
    <w:rsid w:val="008906B1"/>
    <w:rsid w:val="00890DC1"/>
    <w:rsid w:val="00891014"/>
    <w:rsid w:val="0089135D"/>
    <w:rsid w:val="00891921"/>
    <w:rsid w:val="00892007"/>
    <w:rsid w:val="008928AA"/>
    <w:rsid w:val="008928D6"/>
    <w:rsid w:val="00892ADB"/>
    <w:rsid w:val="00892AE9"/>
    <w:rsid w:val="008932A1"/>
    <w:rsid w:val="00893AE4"/>
    <w:rsid w:val="0089401E"/>
    <w:rsid w:val="008941C8"/>
    <w:rsid w:val="00894449"/>
    <w:rsid w:val="008944BF"/>
    <w:rsid w:val="00894629"/>
    <w:rsid w:val="0089487A"/>
    <w:rsid w:val="008949B8"/>
    <w:rsid w:val="00894D8C"/>
    <w:rsid w:val="00894DE6"/>
    <w:rsid w:val="00894F56"/>
    <w:rsid w:val="00895223"/>
    <w:rsid w:val="0089567F"/>
    <w:rsid w:val="00895BF0"/>
    <w:rsid w:val="00895C1E"/>
    <w:rsid w:val="00895DF4"/>
    <w:rsid w:val="0089611D"/>
    <w:rsid w:val="008963A7"/>
    <w:rsid w:val="008964AF"/>
    <w:rsid w:val="008968E4"/>
    <w:rsid w:val="00896A39"/>
    <w:rsid w:val="00896ADA"/>
    <w:rsid w:val="00896B6A"/>
    <w:rsid w:val="00896CEE"/>
    <w:rsid w:val="008971AF"/>
    <w:rsid w:val="008972DA"/>
    <w:rsid w:val="0089790B"/>
    <w:rsid w:val="00897A22"/>
    <w:rsid w:val="00897D54"/>
    <w:rsid w:val="00897F8E"/>
    <w:rsid w:val="008A00D6"/>
    <w:rsid w:val="008A079D"/>
    <w:rsid w:val="008A084A"/>
    <w:rsid w:val="008A116E"/>
    <w:rsid w:val="008A1312"/>
    <w:rsid w:val="008A1A7D"/>
    <w:rsid w:val="008A21CC"/>
    <w:rsid w:val="008A231B"/>
    <w:rsid w:val="008A2332"/>
    <w:rsid w:val="008A253B"/>
    <w:rsid w:val="008A2A55"/>
    <w:rsid w:val="008A2DD7"/>
    <w:rsid w:val="008A2ED2"/>
    <w:rsid w:val="008A3046"/>
    <w:rsid w:val="008A334D"/>
    <w:rsid w:val="008A352D"/>
    <w:rsid w:val="008A363E"/>
    <w:rsid w:val="008A3B54"/>
    <w:rsid w:val="008A4564"/>
    <w:rsid w:val="008A4B5E"/>
    <w:rsid w:val="008A57AB"/>
    <w:rsid w:val="008A5D0E"/>
    <w:rsid w:val="008A5D1C"/>
    <w:rsid w:val="008A640F"/>
    <w:rsid w:val="008A65A9"/>
    <w:rsid w:val="008A71F2"/>
    <w:rsid w:val="008A721E"/>
    <w:rsid w:val="008A7220"/>
    <w:rsid w:val="008A722F"/>
    <w:rsid w:val="008A734A"/>
    <w:rsid w:val="008A7422"/>
    <w:rsid w:val="008A75F8"/>
    <w:rsid w:val="008A7707"/>
    <w:rsid w:val="008A7764"/>
    <w:rsid w:val="008A7E4B"/>
    <w:rsid w:val="008B0377"/>
    <w:rsid w:val="008B06E9"/>
    <w:rsid w:val="008B142B"/>
    <w:rsid w:val="008B1437"/>
    <w:rsid w:val="008B1A15"/>
    <w:rsid w:val="008B1A4D"/>
    <w:rsid w:val="008B1B05"/>
    <w:rsid w:val="008B1B57"/>
    <w:rsid w:val="008B1DF8"/>
    <w:rsid w:val="008B2B4B"/>
    <w:rsid w:val="008B319C"/>
    <w:rsid w:val="008B3330"/>
    <w:rsid w:val="008B3688"/>
    <w:rsid w:val="008B3877"/>
    <w:rsid w:val="008B47C8"/>
    <w:rsid w:val="008B499C"/>
    <w:rsid w:val="008B4DB6"/>
    <w:rsid w:val="008B4FCB"/>
    <w:rsid w:val="008B59A5"/>
    <w:rsid w:val="008B5B88"/>
    <w:rsid w:val="008B5C12"/>
    <w:rsid w:val="008B5FC7"/>
    <w:rsid w:val="008B605C"/>
    <w:rsid w:val="008B6370"/>
    <w:rsid w:val="008B66D1"/>
    <w:rsid w:val="008B797A"/>
    <w:rsid w:val="008B7C65"/>
    <w:rsid w:val="008B7CE5"/>
    <w:rsid w:val="008B7DE0"/>
    <w:rsid w:val="008C0E71"/>
    <w:rsid w:val="008C0FCC"/>
    <w:rsid w:val="008C1599"/>
    <w:rsid w:val="008C174F"/>
    <w:rsid w:val="008C197C"/>
    <w:rsid w:val="008C1FA9"/>
    <w:rsid w:val="008C307B"/>
    <w:rsid w:val="008C3273"/>
    <w:rsid w:val="008C3691"/>
    <w:rsid w:val="008C3740"/>
    <w:rsid w:val="008C3900"/>
    <w:rsid w:val="008C3DC6"/>
    <w:rsid w:val="008C4580"/>
    <w:rsid w:val="008C46D7"/>
    <w:rsid w:val="008C4906"/>
    <w:rsid w:val="008C4AA7"/>
    <w:rsid w:val="008C4C24"/>
    <w:rsid w:val="008C51C4"/>
    <w:rsid w:val="008C525C"/>
    <w:rsid w:val="008C553A"/>
    <w:rsid w:val="008C563C"/>
    <w:rsid w:val="008C6313"/>
    <w:rsid w:val="008C633D"/>
    <w:rsid w:val="008C701C"/>
    <w:rsid w:val="008C72BE"/>
    <w:rsid w:val="008C7638"/>
    <w:rsid w:val="008C7FFD"/>
    <w:rsid w:val="008D00C0"/>
    <w:rsid w:val="008D01E4"/>
    <w:rsid w:val="008D031C"/>
    <w:rsid w:val="008D03AE"/>
    <w:rsid w:val="008D061D"/>
    <w:rsid w:val="008D06C1"/>
    <w:rsid w:val="008D06E7"/>
    <w:rsid w:val="008D09AE"/>
    <w:rsid w:val="008D0BA1"/>
    <w:rsid w:val="008D101C"/>
    <w:rsid w:val="008D12F7"/>
    <w:rsid w:val="008D142C"/>
    <w:rsid w:val="008D1768"/>
    <w:rsid w:val="008D1885"/>
    <w:rsid w:val="008D18DF"/>
    <w:rsid w:val="008D1C87"/>
    <w:rsid w:val="008D1F18"/>
    <w:rsid w:val="008D2075"/>
    <w:rsid w:val="008D2334"/>
    <w:rsid w:val="008D2388"/>
    <w:rsid w:val="008D3E91"/>
    <w:rsid w:val="008D49D7"/>
    <w:rsid w:val="008D4A17"/>
    <w:rsid w:val="008D5524"/>
    <w:rsid w:val="008D589C"/>
    <w:rsid w:val="008D5E91"/>
    <w:rsid w:val="008D5F87"/>
    <w:rsid w:val="008D60B4"/>
    <w:rsid w:val="008D62E7"/>
    <w:rsid w:val="008D6726"/>
    <w:rsid w:val="008D6AC1"/>
    <w:rsid w:val="008D6C34"/>
    <w:rsid w:val="008D70BB"/>
    <w:rsid w:val="008D7810"/>
    <w:rsid w:val="008D78FA"/>
    <w:rsid w:val="008D7B0C"/>
    <w:rsid w:val="008E003D"/>
    <w:rsid w:val="008E0911"/>
    <w:rsid w:val="008E0BE6"/>
    <w:rsid w:val="008E0C9B"/>
    <w:rsid w:val="008E0D5C"/>
    <w:rsid w:val="008E0D80"/>
    <w:rsid w:val="008E15AA"/>
    <w:rsid w:val="008E16EB"/>
    <w:rsid w:val="008E18C3"/>
    <w:rsid w:val="008E1AB7"/>
    <w:rsid w:val="008E24C9"/>
    <w:rsid w:val="008E2647"/>
    <w:rsid w:val="008E2BAD"/>
    <w:rsid w:val="008E2CAE"/>
    <w:rsid w:val="008E2E50"/>
    <w:rsid w:val="008E321F"/>
    <w:rsid w:val="008E35F0"/>
    <w:rsid w:val="008E3789"/>
    <w:rsid w:val="008E3FD0"/>
    <w:rsid w:val="008E462E"/>
    <w:rsid w:val="008E47B2"/>
    <w:rsid w:val="008E4E72"/>
    <w:rsid w:val="008E5650"/>
    <w:rsid w:val="008E7085"/>
    <w:rsid w:val="008E759F"/>
    <w:rsid w:val="008E7EE3"/>
    <w:rsid w:val="008F0202"/>
    <w:rsid w:val="008F0503"/>
    <w:rsid w:val="008F08DF"/>
    <w:rsid w:val="008F0B3A"/>
    <w:rsid w:val="008F0C13"/>
    <w:rsid w:val="008F0C4A"/>
    <w:rsid w:val="008F0D54"/>
    <w:rsid w:val="008F1606"/>
    <w:rsid w:val="008F1B0A"/>
    <w:rsid w:val="008F1C7E"/>
    <w:rsid w:val="008F1CB9"/>
    <w:rsid w:val="008F1E5F"/>
    <w:rsid w:val="008F1F55"/>
    <w:rsid w:val="008F315C"/>
    <w:rsid w:val="008F315F"/>
    <w:rsid w:val="008F362F"/>
    <w:rsid w:val="008F37CD"/>
    <w:rsid w:val="008F3AA1"/>
    <w:rsid w:val="008F3B7E"/>
    <w:rsid w:val="008F3CA0"/>
    <w:rsid w:val="008F4702"/>
    <w:rsid w:val="008F4986"/>
    <w:rsid w:val="008F4F0C"/>
    <w:rsid w:val="008F54EF"/>
    <w:rsid w:val="008F5A48"/>
    <w:rsid w:val="008F5E3F"/>
    <w:rsid w:val="008F5FA9"/>
    <w:rsid w:val="008F60C3"/>
    <w:rsid w:val="008F6215"/>
    <w:rsid w:val="008F6A33"/>
    <w:rsid w:val="008F6EE5"/>
    <w:rsid w:val="008F7259"/>
    <w:rsid w:val="008F7449"/>
    <w:rsid w:val="008F748A"/>
    <w:rsid w:val="008F78BE"/>
    <w:rsid w:val="0090081A"/>
    <w:rsid w:val="00900CFA"/>
    <w:rsid w:val="00900E1D"/>
    <w:rsid w:val="00900F9A"/>
    <w:rsid w:val="00901538"/>
    <w:rsid w:val="009018DA"/>
    <w:rsid w:val="00901E2E"/>
    <w:rsid w:val="00902805"/>
    <w:rsid w:val="00902CA4"/>
    <w:rsid w:val="009034BF"/>
    <w:rsid w:val="009038C9"/>
    <w:rsid w:val="00903A8A"/>
    <w:rsid w:val="00903C51"/>
    <w:rsid w:val="009044E6"/>
    <w:rsid w:val="00904513"/>
    <w:rsid w:val="0090491E"/>
    <w:rsid w:val="00904B99"/>
    <w:rsid w:val="00904F53"/>
    <w:rsid w:val="0090552B"/>
    <w:rsid w:val="0090591B"/>
    <w:rsid w:val="009061B2"/>
    <w:rsid w:val="00906ACF"/>
    <w:rsid w:val="00907AB4"/>
    <w:rsid w:val="0091030A"/>
    <w:rsid w:val="00910AE4"/>
    <w:rsid w:val="00910CC5"/>
    <w:rsid w:val="00910F53"/>
    <w:rsid w:val="009114D9"/>
    <w:rsid w:val="009116C1"/>
    <w:rsid w:val="0091180E"/>
    <w:rsid w:val="00911A46"/>
    <w:rsid w:val="0091221C"/>
    <w:rsid w:val="0091262E"/>
    <w:rsid w:val="0091283A"/>
    <w:rsid w:val="009130AC"/>
    <w:rsid w:val="0091333A"/>
    <w:rsid w:val="00913622"/>
    <w:rsid w:val="00913BAB"/>
    <w:rsid w:val="00914169"/>
    <w:rsid w:val="00914ACC"/>
    <w:rsid w:val="0091515A"/>
    <w:rsid w:val="00915AA9"/>
    <w:rsid w:val="00915D3F"/>
    <w:rsid w:val="00915F4C"/>
    <w:rsid w:val="00915F66"/>
    <w:rsid w:val="00916332"/>
    <w:rsid w:val="00916CFC"/>
    <w:rsid w:val="00916DD2"/>
    <w:rsid w:val="009170DB"/>
    <w:rsid w:val="00917328"/>
    <w:rsid w:val="0091754E"/>
    <w:rsid w:val="009175CD"/>
    <w:rsid w:val="00917A36"/>
    <w:rsid w:val="00917C9E"/>
    <w:rsid w:val="00917D83"/>
    <w:rsid w:val="009201AF"/>
    <w:rsid w:val="00920424"/>
    <w:rsid w:val="009208FF"/>
    <w:rsid w:val="0092090A"/>
    <w:rsid w:val="009209B8"/>
    <w:rsid w:val="00920E65"/>
    <w:rsid w:val="0092108A"/>
    <w:rsid w:val="009215BC"/>
    <w:rsid w:val="0092179F"/>
    <w:rsid w:val="0092196B"/>
    <w:rsid w:val="009220E9"/>
    <w:rsid w:val="00922388"/>
    <w:rsid w:val="009227A2"/>
    <w:rsid w:val="0092295A"/>
    <w:rsid w:val="00922CB9"/>
    <w:rsid w:val="00922F3E"/>
    <w:rsid w:val="00923969"/>
    <w:rsid w:val="009239B9"/>
    <w:rsid w:val="009239EA"/>
    <w:rsid w:val="00923B1A"/>
    <w:rsid w:val="00924368"/>
    <w:rsid w:val="0092470A"/>
    <w:rsid w:val="00925643"/>
    <w:rsid w:val="0092590E"/>
    <w:rsid w:val="0092591C"/>
    <w:rsid w:val="009260C7"/>
    <w:rsid w:val="0092639C"/>
    <w:rsid w:val="0092640A"/>
    <w:rsid w:val="00926954"/>
    <w:rsid w:val="0092718D"/>
    <w:rsid w:val="009273A3"/>
    <w:rsid w:val="00927599"/>
    <w:rsid w:val="0092783B"/>
    <w:rsid w:val="009278EF"/>
    <w:rsid w:val="00927B38"/>
    <w:rsid w:val="00927C80"/>
    <w:rsid w:val="00930827"/>
    <w:rsid w:val="00930DB9"/>
    <w:rsid w:val="00931271"/>
    <w:rsid w:val="00931470"/>
    <w:rsid w:val="0093163E"/>
    <w:rsid w:val="009318F5"/>
    <w:rsid w:val="00931CF5"/>
    <w:rsid w:val="00931D79"/>
    <w:rsid w:val="00932214"/>
    <w:rsid w:val="00932854"/>
    <w:rsid w:val="0093290B"/>
    <w:rsid w:val="0093303D"/>
    <w:rsid w:val="0093374F"/>
    <w:rsid w:val="009339E0"/>
    <w:rsid w:val="00933CBA"/>
    <w:rsid w:val="00933E9B"/>
    <w:rsid w:val="00933F20"/>
    <w:rsid w:val="00934857"/>
    <w:rsid w:val="00934AF8"/>
    <w:rsid w:val="00934CA5"/>
    <w:rsid w:val="00934DE5"/>
    <w:rsid w:val="009353A2"/>
    <w:rsid w:val="00935624"/>
    <w:rsid w:val="009358D3"/>
    <w:rsid w:val="009358EE"/>
    <w:rsid w:val="00935B4B"/>
    <w:rsid w:val="00935B5A"/>
    <w:rsid w:val="00935C07"/>
    <w:rsid w:val="00935FCA"/>
    <w:rsid w:val="00936151"/>
    <w:rsid w:val="00936436"/>
    <w:rsid w:val="00936528"/>
    <w:rsid w:val="00936A99"/>
    <w:rsid w:val="00937316"/>
    <w:rsid w:val="009373A9"/>
    <w:rsid w:val="0093770B"/>
    <w:rsid w:val="00937949"/>
    <w:rsid w:val="00940023"/>
    <w:rsid w:val="00940395"/>
    <w:rsid w:val="009404BA"/>
    <w:rsid w:val="00940742"/>
    <w:rsid w:val="00940BB4"/>
    <w:rsid w:val="00940C51"/>
    <w:rsid w:val="009411CC"/>
    <w:rsid w:val="009411CF"/>
    <w:rsid w:val="00941F7A"/>
    <w:rsid w:val="00942570"/>
    <w:rsid w:val="009439F6"/>
    <w:rsid w:val="00943BCD"/>
    <w:rsid w:val="009441CD"/>
    <w:rsid w:val="00944661"/>
    <w:rsid w:val="0094470A"/>
    <w:rsid w:val="00944869"/>
    <w:rsid w:val="00944A74"/>
    <w:rsid w:val="00944B84"/>
    <w:rsid w:val="009450B3"/>
    <w:rsid w:val="00945A25"/>
    <w:rsid w:val="00945A50"/>
    <w:rsid w:val="00945DC0"/>
    <w:rsid w:val="00946531"/>
    <w:rsid w:val="00946861"/>
    <w:rsid w:val="0094772A"/>
    <w:rsid w:val="00947D83"/>
    <w:rsid w:val="00950134"/>
    <w:rsid w:val="0095015A"/>
    <w:rsid w:val="009503B0"/>
    <w:rsid w:val="0095078F"/>
    <w:rsid w:val="009509E5"/>
    <w:rsid w:val="00950DF8"/>
    <w:rsid w:val="00952F94"/>
    <w:rsid w:val="00953162"/>
    <w:rsid w:val="009531C7"/>
    <w:rsid w:val="009532DA"/>
    <w:rsid w:val="0095350A"/>
    <w:rsid w:val="009536BF"/>
    <w:rsid w:val="00953833"/>
    <w:rsid w:val="00953B93"/>
    <w:rsid w:val="0095464D"/>
    <w:rsid w:val="00954658"/>
    <w:rsid w:val="00954B1D"/>
    <w:rsid w:val="00954B7A"/>
    <w:rsid w:val="00954F9B"/>
    <w:rsid w:val="00955001"/>
    <w:rsid w:val="009559D7"/>
    <w:rsid w:val="00955E77"/>
    <w:rsid w:val="00955F18"/>
    <w:rsid w:val="009560C5"/>
    <w:rsid w:val="00956839"/>
    <w:rsid w:val="00956D0B"/>
    <w:rsid w:val="0095712C"/>
    <w:rsid w:val="0095715A"/>
    <w:rsid w:val="009576FA"/>
    <w:rsid w:val="00957A72"/>
    <w:rsid w:val="00960870"/>
    <w:rsid w:val="00961512"/>
    <w:rsid w:val="009617DB"/>
    <w:rsid w:val="00961A7B"/>
    <w:rsid w:val="00962683"/>
    <w:rsid w:val="00962BB2"/>
    <w:rsid w:val="00962BBE"/>
    <w:rsid w:val="00962CF5"/>
    <w:rsid w:val="0096302B"/>
    <w:rsid w:val="00963241"/>
    <w:rsid w:val="00963C9D"/>
    <w:rsid w:val="00963CEA"/>
    <w:rsid w:val="0096480F"/>
    <w:rsid w:val="00964A51"/>
    <w:rsid w:val="00964E21"/>
    <w:rsid w:val="00964F84"/>
    <w:rsid w:val="009650AE"/>
    <w:rsid w:val="0096516A"/>
    <w:rsid w:val="009656DF"/>
    <w:rsid w:val="00965C77"/>
    <w:rsid w:val="009664C3"/>
    <w:rsid w:val="0096676D"/>
    <w:rsid w:val="00966BAC"/>
    <w:rsid w:val="009670B5"/>
    <w:rsid w:val="0096737C"/>
    <w:rsid w:val="00967D14"/>
    <w:rsid w:val="009706FE"/>
    <w:rsid w:val="00970756"/>
    <w:rsid w:val="00970926"/>
    <w:rsid w:val="009711D4"/>
    <w:rsid w:val="00971202"/>
    <w:rsid w:val="0097187D"/>
    <w:rsid w:val="0097241E"/>
    <w:rsid w:val="00972526"/>
    <w:rsid w:val="00972543"/>
    <w:rsid w:val="0097267B"/>
    <w:rsid w:val="009728B5"/>
    <w:rsid w:val="00972D91"/>
    <w:rsid w:val="009733BB"/>
    <w:rsid w:val="00973903"/>
    <w:rsid w:val="00973B27"/>
    <w:rsid w:val="00973BDE"/>
    <w:rsid w:val="009747BD"/>
    <w:rsid w:val="00974BBD"/>
    <w:rsid w:val="009750E0"/>
    <w:rsid w:val="009757FC"/>
    <w:rsid w:val="00975924"/>
    <w:rsid w:val="00975B35"/>
    <w:rsid w:val="00975C66"/>
    <w:rsid w:val="00975D00"/>
    <w:rsid w:val="00975DF5"/>
    <w:rsid w:val="00976624"/>
    <w:rsid w:val="00976BFB"/>
    <w:rsid w:val="00976F71"/>
    <w:rsid w:val="00976F97"/>
    <w:rsid w:val="00977504"/>
    <w:rsid w:val="00980088"/>
    <w:rsid w:val="00980358"/>
    <w:rsid w:val="00980AD0"/>
    <w:rsid w:val="00980FF6"/>
    <w:rsid w:val="0098123C"/>
    <w:rsid w:val="00981C91"/>
    <w:rsid w:val="00982802"/>
    <w:rsid w:val="0098299B"/>
    <w:rsid w:val="00982A28"/>
    <w:rsid w:val="00982C9A"/>
    <w:rsid w:val="00983086"/>
    <w:rsid w:val="0098350F"/>
    <w:rsid w:val="0098362C"/>
    <w:rsid w:val="0098412C"/>
    <w:rsid w:val="00984704"/>
    <w:rsid w:val="00984A01"/>
    <w:rsid w:val="00984D25"/>
    <w:rsid w:val="00985122"/>
    <w:rsid w:val="00986BCA"/>
    <w:rsid w:val="00986FAF"/>
    <w:rsid w:val="00987659"/>
    <w:rsid w:val="00987BE4"/>
    <w:rsid w:val="00987C8B"/>
    <w:rsid w:val="00987FE6"/>
    <w:rsid w:val="00990098"/>
    <w:rsid w:val="0099071A"/>
    <w:rsid w:val="00990B35"/>
    <w:rsid w:val="00990FD4"/>
    <w:rsid w:val="00991AC5"/>
    <w:rsid w:val="00991F3C"/>
    <w:rsid w:val="00992459"/>
    <w:rsid w:val="0099265A"/>
    <w:rsid w:val="0099355C"/>
    <w:rsid w:val="00993865"/>
    <w:rsid w:val="0099428C"/>
    <w:rsid w:val="009944A3"/>
    <w:rsid w:val="0099489D"/>
    <w:rsid w:val="00994F7E"/>
    <w:rsid w:val="009954E9"/>
    <w:rsid w:val="0099554C"/>
    <w:rsid w:val="00995B2F"/>
    <w:rsid w:val="00995CEE"/>
    <w:rsid w:val="00995E91"/>
    <w:rsid w:val="009963C5"/>
    <w:rsid w:val="009963F2"/>
    <w:rsid w:val="00996A58"/>
    <w:rsid w:val="00996B4A"/>
    <w:rsid w:val="0099716C"/>
    <w:rsid w:val="00997272"/>
    <w:rsid w:val="00997799"/>
    <w:rsid w:val="00997A56"/>
    <w:rsid w:val="00997A74"/>
    <w:rsid w:val="00997AF6"/>
    <w:rsid w:val="00997BE2"/>
    <w:rsid w:val="009A00C8"/>
    <w:rsid w:val="009A029D"/>
    <w:rsid w:val="009A09AC"/>
    <w:rsid w:val="009A0E60"/>
    <w:rsid w:val="009A1376"/>
    <w:rsid w:val="009A13DE"/>
    <w:rsid w:val="009A1B19"/>
    <w:rsid w:val="009A1F03"/>
    <w:rsid w:val="009A1FCB"/>
    <w:rsid w:val="009A21F5"/>
    <w:rsid w:val="009A2631"/>
    <w:rsid w:val="009A274C"/>
    <w:rsid w:val="009A2836"/>
    <w:rsid w:val="009A2ABE"/>
    <w:rsid w:val="009A2C89"/>
    <w:rsid w:val="009A2CD2"/>
    <w:rsid w:val="009A2CEE"/>
    <w:rsid w:val="009A305E"/>
    <w:rsid w:val="009A3BF0"/>
    <w:rsid w:val="009A3DF3"/>
    <w:rsid w:val="009A4067"/>
    <w:rsid w:val="009A4206"/>
    <w:rsid w:val="009A4723"/>
    <w:rsid w:val="009A4EC3"/>
    <w:rsid w:val="009A5181"/>
    <w:rsid w:val="009A592C"/>
    <w:rsid w:val="009A5A0A"/>
    <w:rsid w:val="009A6035"/>
    <w:rsid w:val="009A6210"/>
    <w:rsid w:val="009A66A1"/>
    <w:rsid w:val="009A6A2F"/>
    <w:rsid w:val="009A6A34"/>
    <w:rsid w:val="009A705B"/>
    <w:rsid w:val="009A7225"/>
    <w:rsid w:val="009B00E8"/>
    <w:rsid w:val="009B0BE2"/>
    <w:rsid w:val="009B126F"/>
    <w:rsid w:val="009B1904"/>
    <w:rsid w:val="009B19C2"/>
    <w:rsid w:val="009B1A15"/>
    <w:rsid w:val="009B1A23"/>
    <w:rsid w:val="009B1A48"/>
    <w:rsid w:val="009B263A"/>
    <w:rsid w:val="009B276B"/>
    <w:rsid w:val="009B34D4"/>
    <w:rsid w:val="009B377B"/>
    <w:rsid w:val="009B380F"/>
    <w:rsid w:val="009B3A33"/>
    <w:rsid w:val="009B3D48"/>
    <w:rsid w:val="009B3E47"/>
    <w:rsid w:val="009B3E91"/>
    <w:rsid w:val="009B3FF3"/>
    <w:rsid w:val="009B43FD"/>
    <w:rsid w:val="009B47F4"/>
    <w:rsid w:val="009B48CE"/>
    <w:rsid w:val="009B492F"/>
    <w:rsid w:val="009B4D36"/>
    <w:rsid w:val="009B55B3"/>
    <w:rsid w:val="009B5647"/>
    <w:rsid w:val="009B564D"/>
    <w:rsid w:val="009B569F"/>
    <w:rsid w:val="009B5882"/>
    <w:rsid w:val="009B5AE8"/>
    <w:rsid w:val="009B5AFE"/>
    <w:rsid w:val="009B5E6D"/>
    <w:rsid w:val="009B5EA5"/>
    <w:rsid w:val="009B603E"/>
    <w:rsid w:val="009B62FF"/>
    <w:rsid w:val="009B6DD8"/>
    <w:rsid w:val="009B75FB"/>
    <w:rsid w:val="009B7629"/>
    <w:rsid w:val="009B7FE7"/>
    <w:rsid w:val="009C05C2"/>
    <w:rsid w:val="009C0F09"/>
    <w:rsid w:val="009C13CE"/>
    <w:rsid w:val="009C14D7"/>
    <w:rsid w:val="009C20D5"/>
    <w:rsid w:val="009C22A2"/>
    <w:rsid w:val="009C2820"/>
    <w:rsid w:val="009C2CDB"/>
    <w:rsid w:val="009C3AD5"/>
    <w:rsid w:val="009C3BCC"/>
    <w:rsid w:val="009C3BFB"/>
    <w:rsid w:val="009C4135"/>
    <w:rsid w:val="009C459F"/>
    <w:rsid w:val="009C4962"/>
    <w:rsid w:val="009C4B05"/>
    <w:rsid w:val="009C4C5E"/>
    <w:rsid w:val="009C4E80"/>
    <w:rsid w:val="009C5124"/>
    <w:rsid w:val="009C5510"/>
    <w:rsid w:val="009C5922"/>
    <w:rsid w:val="009C5A5F"/>
    <w:rsid w:val="009C5B03"/>
    <w:rsid w:val="009C5B07"/>
    <w:rsid w:val="009C5C23"/>
    <w:rsid w:val="009C5C7B"/>
    <w:rsid w:val="009C5FDF"/>
    <w:rsid w:val="009C636C"/>
    <w:rsid w:val="009C6675"/>
    <w:rsid w:val="009C749A"/>
    <w:rsid w:val="009C74F7"/>
    <w:rsid w:val="009C755C"/>
    <w:rsid w:val="009C780F"/>
    <w:rsid w:val="009C7F9A"/>
    <w:rsid w:val="009D019E"/>
    <w:rsid w:val="009D0D33"/>
    <w:rsid w:val="009D1EE9"/>
    <w:rsid w:val="009D1F4E"/>
    <w:rsid w:val="009D2090"/>
    <w:rsid w:val="009D2FB1"/>
    <w:rsid w:val="009D3068"/>
    <w:rsid w:val="009D3070"/>
    <w:rsid w:val="009D308D"/>
    <w:rsid w:val="009D32F1"/>
    <w:rsid w:val="009D3414"/>
    <w:rsid w:val="009D3BE1"/>
    <w:rsid w:val="009D3C10"/>
    <w:rsid w:val="009D4014"/>
    <w:rsid w:val="009D4160"/>
    <w:rsid w:val="009D4304"/>
    <w:rsid w:val="009D45F5"/>
    <w:rsid w:val="009D4810"/>
    <w:rsid w:val="009D4AEF"/>
    <w:rsid w:val="009D4FFF"/>
    <w:rsid w:val="009D506D"/>
    <w:rsid w:val="009D5A43"/>
    <w:rsid w:val="009D5DB9"/>
    <w:rsid w:val="009D5FD4"/>
    <w:rsid w:val="009D654B"/>
    <w:rsid w:val="009D662C"/>
    <w:rsid w:val="009D6727"/>
    <w:rsid w:val="009D6A37"/>
    <w:rsid w:val="009D6AFC"/>
    <w:rsid w:val="009D7110"/>
    <w:rsid w:val="009D7324"/>
    <w:rsid w:val="009D7334"/>
    <w:rsid w:val="009D740F"/>
    <w:rsid w:val="009D7D3E"/>
    <w:rsid w:val="009E0B95"/>
    <w:rsid w:val="009E0CA1"/>
    <w:rsid w:val="009E1A69"/>
    <w:rsid w:val="009E1D0C"/>
    <w:rsid w:val="009E2136"/>
    <w:rsid w:val="009E224E"/>
    <w:rsid w:val="009E26F9"/>
    <w:rsid w:val="009E2B71"/>
    <w:rsid w:val="009E2C0E"/>
    <w:rsid w:val="009E2DEE"/>
    <w:rsid w:val="009E3424"/>
    <w:rsid w:val="009E40C1"/>
    <w:rsid w:val="009E4760"/>
    <w:rsid w:val="009E4C10"/>
    <w:rsid w:val="009E4F79"/>
    <w:rsid w:val="009E617A"/>
    <w:rsid w:val="009E64C1"/>
    <w:rsid w:val="009E6FCD"/>
    <w:rsid w:val="009E748C"/>
    <w:rsid w:val="009E779B"/>
    <w:rsid w:val="009F1106"/>
    <w:rsid w:val="009F13B9"/>
    <w:rsid w:val="009F1F0A"/>
    <w:rsid w:val="009F316A"/>
    <w:rsid w:val="009F3195"/>
    <w:rsid w:val="009F326E"/>
    <w:rsid w:val="009F34D1"/>
    <w:rsid w:val="009F3BA3"/>
    <w:rsid w:val="009F3CD7"/>
    <w:rsid w:val="009F3E1B"/>
    <w:rsid w:val="009F413E"/>
    <w:rsid w:val="009F45EE"/>
    <w:rsid w:val="009F467D"/>
    <w:rsid w:val="009F47CF"/>
    <w:rsid w:val="009F4920"/>
    <w:rsid w:val="009F4E87"/>
    <w:rsid w:val="009F500C"/>
    <w:rsid w:val="009F544C"/>
    <w:rsid w:val="009F5585"/>
    <w:rsid w:val="009F5D63"/>
    <w:rsid w:val="009F5F18"/>
    <w:rsid w:val="009F6129"/>
    <w:rsid w:val="009F6C58"/>
    <w:rsid w:val="009F6FAB"/>
    <w:rsid w:val="00A0073C"/>
    <w:rsid w:val="00A00DE7"/>
    <w:rsid w:val="00A00E8D"/>
    <w:rsid w:val="00A01159"/>
    <w:rsid w:val="00A011F7"/>
    <w:rsid w:val="00A015F8"/>
    <w:rsid w:val="00A0196E"/>
    <w:rsid w:val="00A01B48"/>
    <w:rsid w:val="00A01B55"/>
    <w:rsid w:val="00A01CA9"/>
    <w:rsid w:val="00A02AB7"/>
    <w:rsid w:val="00A02C03"/>
    <w:rsid w:val="00A0303F"/>
    <w:rsid w:val="00A0327A"/>
    <w:rsid w:val="00A03372"/>
    <w:rsid w:val="00A03720"/>
    <w:rsid w:val="00A03F2E"/>
    <w:rsid w:val="00A03F4A"/>
    <w:rsid w:val="00A0429B"/>
    <w:rsid w:val="00A0429E"/>
    <w:rsid w:val="00A04411"/>
    <w:rsid w:val="00A049C2"/>
    <w:rsid w:val="00A04E53"/>
    <w:rsid w:val="00A051E2"/>
    <w:rsid w:val="00A058C8"/>
    <w:rsid w:val="00A05FA9"/>
    <w:rsid w:val="00A06191"/>
    <w:rsid w:val="00A06587"/>
    <w:rsid w:val="00A06CF5"/>
    <w:rsid w:val="00A06F90"/>
    <w:rsid w:val="00A071DE"/>
    <w:rsid w:val="00A07D41"/>
    <w:rsid w:val="00A07D5B"/>
    <w:rsid w:val="00A07FD2"/>
    <w:rsid w:val="00A10E77"/>
    <w:rsid w:val="00A11483"/>
    <w:rsid w:val="00A11983"/>
    <w:rsid w:val="00A119A1"/>
    <w:rsid w:val="00A11ED1"/>
    <w:rsid w:val="00A1208C"/>
    <w:rsid w:val="00A1220A"/>
    <w:rsid w:val="00A127B2"/>
    <w:rsid w:val="00A130F8"/>
    <w:rsid w:val="00A133AE"/>
    <w:rsid w:val="00A135E9"/>
    <w:rsid w:val="00A13608"/>
    <w:rsid w:val="00A139D9"/>
    <w:rsid w:val="00A13CA9"/>
    <w:rsid w:val="00A14165"/>
    <w:rsid w:val="00A14226"/>
    <w:rsid w:val="00A14348"/>
    <w:rsid w:val="00A14BFD"/>
    <w:rsid w:val="00A154EE"/>
    <w:rsid w:val="00A15907"/>
    <w:rsid w:val="00A15AE3"/>
    <w:rsid w:val="00A15D87"/>
    <w:rsid w:val="00A160BB"/>
    <w:rsid w:val="00A16A7E"/>
    <w:rsid w:val="00A16B55"/>
    <w:rsid w:val="00A17120"/>
    <w:rsid w:val="00A17AE9"/>
    <w:rsid w:val="00A208D8"/>
    <w:rsid w:val="00A20AE2"/>
    <w:rsid w:val="00A20E8F"/>
    <w:rsid w:val="00A214F4"/>
    <w:rsid w:val="00A217D5"/>
    <w:rsid w:val="00A2182C"/>
    <w:rsid w:val="00A2242A"/>
    <w:rsid w:val="00A22B38"/>
    <w:rsid w:val="00A22BEB"/>
    <w:rsid w:val="00A22CCA"/>
    <w:rsid w:val="00A234A7"/>
    <w:rsid w:val="00A2350B"/>
    <w:rsid w:val="00A23745"/>
    <w:rsid w:val="00A2379D"/>
    <w:rsid w:val="00A23C88"/>
    <w:rsid w:val="00A23CFE"/>
    <w:rsid w:val="00A23E19"/>
    <w:rsid w:val="00A2464F"/>
    <w:rsid w:val="00A2540C"/>
    <w:rsid w:val="00A255C8"/>
    <w:rsid w:val="00A257D3"/>
    <w:rsid w:val="00A25D89"/>
    <w:rsid w:val="00A26024"/>
    <w:rsid w:val="00A26057"/>
    <w:rsid w:val="00A2660F"/>
    <w:rsid w:val="00A26628"/>
    <w:rsid w:val="00A269BC"/>
    <w:rsid w:val="00A271D6"/>
    <w:rsid w:val="00A27CD1"/>
    <w:rsid w:val="00A27EC0"/>
    <w:rsid w:val="00A30936"/>
    <w:rsid w:val="00A30967"/>
    <w:rsid w:val="00A30E7F"/>
    <w:rsid w:val="00A30FFD"/>
    <w:rsid w:val="00A31227"/>
    <w:rsid w:val="00A315C9"/>
    <w:rsid w:val="00A318A7"/>
    <w:rsid w:val="00A31A0E"/>
    <w:rsid w:val="00A31ACF"/>
    <w:rsid w:val="00A31DBB"/>
    <w:rsid w:val="00A31EF1"/>
    <w:rsid w:val="00A31F45"/>
    <w:rsid w:val="00A32089"/>
    <w:rsid w:val="00A3210E"/>
    <w:rsid w:val="00A32273"/>
    <w:rsid w:val="00A3270C"/>
    <w:rsid w:val="00A32B28"/>
    <w:rsid w:val="00A32DAF"/>
    <w:rsid w:val="00A33823"/>
    <w:rsid w:val="00A33A92"/>
    <w:rsid w:val="00A33EB4"/>
    <w:rsid w:val="00A342B7"/>
    <w:rsid w:val="00A34651"/>
    <w:rsid w:val="00A347BA"/>
    <w:rsid w:val="00A34F5F"/>
    <w:rsid w:val="00A3544F"/>
    <w:rsid w:val="00A355A9"/>
    <w:rsid w:val="00A35831"/>
    <w:rsid w:val="00A35E5D"/>
    <w:rsid w:val="00A35E72"/>
    <w:rsid w:val="00A35F07"/>
    <w:rsid w:val="00A3615C"/>
    <w:rsid w:val="00A3688A"/>
    <w:rsid w:val="00A36910"/>
    <w:rsid w:val="00A36B4A"/>
    <w:rsid w:val="00A36B67"/>
    <w:rsid w:val="00A374DD"/>
    <w:rsid w:val="00A37593"/>
    <w:rsid w:val="00A3782D"/>
    <w:rsid w:val="00A37ABF"/>
    <w:rsid w:val="00A40210"/>
    <w:rsid w:val="00A4037D"/>
    <w:rsid w:val="00A40AF8"/>
    <w:rsid w:val="00A41209"/>
    <w:rsid w:val="00A4165C"/>
    <w:rsid w:val="00A41ACC"/>
    <w:rsid w:val="00A41B0E"/>
    <w:rsid w:val="00A41B6F"/>
    <w:rsid w:val="00A41D3E"/>
    <w:rsid w:val="00A42087"/>
    <w:rsid w:val="00A4263B"/>
    <w:rsid w:val="00A42945"/>
    <w:rsid w:val="00A42993"/>
    <w:rsid w:val="00A4303A"/>
    <w:rsid w:val="00A432DD"/>
    <w:rsid w:val="00A43A05"/>
    <w:rsid w:val="00A43C39"/>
    <w:rsid w:val="00A43C8D"/>
    <w:rsid w:val="00A43CBD"/>
    <w:rsid w:val="00A4403B"/>
    <w:rsid w:val="00A44317"/>
    <w:rsid w:val="00A445DD"/>
    <w:rsid w:val="00A445F5"/>
    <w:rsid w:val="00A44893"/>
    <w:rsid w:val="00A44EBE"/>
    <w:rsid w:val="00A45729"/>
    <w:rsid w:val="00A45EC8"/>
    <w:rsid w:val="00A46056"/>
    <w:rsid w:val="00A46A68"/>
    <w:rsid w:val="00A472C4"/>
    <w:rsid w:val="00A47343"/>
    <w:rsid w:val="00A4751A"/>
    <w:rsid w:val="00A47A97"/>
    <w:rsid w:val="00A47EA1"/>
    <w:rsid w:val="00A50729"/>
    <w:rsid w:val="00A50903"/>
    <w:rsid w:val="00A50A2F"/>
    <w:rsid w:val="00A50DB3"/>
    <w:rsid w:val="00A50EE9"/>
    <w:rsid w:val="00A52524"/>
    <w:rsid w:val="00A527B1"/>
    <w:rsid w:val="00A52BFB"/>
    <w:rsid w:val="00A52D5D"/>
    <w:rsid w:val="00A52EE5"/>
    <w:rsid w:val="00A53239"/>
    <w:rsid w:val="00A534D7"/>
    <w:rsid w:val="00A53DF8"/>
    <w:rsid w:val="00A543A8"/>
    <w:rsid w:val="00A544C0"/>
    <w:rsid w:val="00A547F2"/>
    <w:rsid w:val="00A5493A"/>
    <w:rsid w:val="00A54974"/>
    <w:rsid w:val="00A552D8"/>
    <w:rsid w:val="00A55568"/>
    <w:rsid w:val="00A559D3"/>
    <w:rsid w:val="00A55EB9"/>
    <w:rsid w:val="00A5652C"/>
    <w:rsid w:val="00A56968"/>
    <w:rsid w:val="00A56BE4"/>
    <w:rsid w:val="00A56BF4"/>
    <w:rsid w:val="00A56C5B"/>
    <w:rsid w:val="00A56DCB"/>
    <w:rsid w:val="00A575C5"/>
    <w:rsid w:val="00A6038C"/>
    <w:rsid w:val="00A60CFE"/>
    <w:rsid w:val="00A626D4"/>
    <w:rsid w:val="00A62B58"/>
    <w:rsid w:val="00A62C70"/>
    <w:rsid w:val="00A638AA"/>
    <w:rsid w:val="00A638F2"/>
    <w:rsid w:val="00A63C31"/>
    <w:rsid w:val="00A6410B"/>
    <w:rsid w:val="00A641C5"/>
    <w:rsid w:val="00A64365"/>
    <w:rsid w:val="00A6445C"/>
    <w:rsid w:val="00A64694"/>
    <w:rsid w:val="00A64969"/>
    <w:rsid w:val="00A664F2"/>
    <w:rsid w:val="00A66A54"/>
    <w:rsid w:val="00A66ED2"/>
    <w:rsid w:val="00A67512"/>
    <w:rsid w:val="00A67731"/>
    <w:rsid w:val="00A67781"/>
    <w:rsid w:val="00A6793F"/>
    <w:rsid w:val="00A67EFA"/>
    <w:rsid w:val="00A67FB2"/>
    <w:rsid w:val="00A70014"/>
    <w:rsid w:val="00A704FE"/>
    <w:rsid w:val="00A705B1"/>
    <w:rsid w:val="00A70760"/>
    <w:rsid w:val="00A70AAA"/>
    <w:rsid w:val="00A70F9A"/>
    <w:rsid w:val="00A71042"/>
    <w:rsid w:val="00A7113A"/>
    <w:rsid w:val="00A713FF"/>
    <w:rsid w:val="00A7190B"/>
    <w:rsid w:val="00A71B66"/>
    <w:rsid w:val="00A71C2A"/>
    <w:rsid w:val="00A71D02"/>
    <w:rsid w:val="00A71EE8"/>
    <w:rsid w:val="00A721C5"/>
    <w:rsid w:val="00A72583"/>
    <w:rsid w:val="00A72AFF"/>
    <w:rsid w:val="00A737E4"/>
    <w:rsid w:val="00A73905"/>
    <w:rsid w:val="00A73D02"/>
    <w:rsid w:val="00A73F5D"/>
    <w:rsid w:val="00A74125"/>
    <w:rsid w:val="00A741C5"/>
    <w:rsid w:val="00A74816"/>
    <w:rsid w:val="00A74DAC"/>
    <w:rsid w:val="00A74DE7"/>
    <w:rsid w:val="00A75235"/>
    <w:rsid w:val="00A75264"/>
    <w:rsid w:val="00A753A2"/>
    <w:rsid w:val="00A75F20"/>
    <w:rsid w:val="00A76463"/>
    <w:rsid w:val="00A76B6B"/>
    <w:rsid w:val="00A76D05"/>
    <w:rsid w:val="00A772F1"/>
    <w:rsid w:val="00A777C6"/>
    <w:rsid w:val="00A77AAF"/>
    <w:rsid w:val="00A77EFB"/>
    <w:rsid w:val="00A8086E"/>
    <w:rsid w:val="00A80B89"/>
    <w:rsid w:val="00A8166B"/>
    <w:rsid w:val="00A81BAD"/>
    <w:rsid w:val="00A81EA6"/>
    <w:rsid w:val="00A81EE6"/>
    <w:rsid w:val="00A81FF4"/>
    <w:rsid w:val="00A82062"/>
    <w:rsid w:val="00A82529"/>
    <w:rsid w:val="00A82F3D"/>
    <w:rsid w:val="00A83229"/>
    <w:rsid w:val="00A8323D"/>
    <w:rsid w:val="00A834F6"/>
    <w:rsid w:val="00A837B7"/>
    <w:rsid w:val="00A83847"/>
    <w:rsid w:val="00A83DA6"/>
    <w:rsid w:val="00A83EB7"/>
    <w:rsid w:val="00A84564"/>
    <w:rsid w:val="00A84585"/>
    <w:rsid w:val="00A84898"/>
    <w:rsid w:val="00A8507D"/>
    <w:rsid w:val="00A85967"/>
    <w:rsid w:val="00A85D52"/>
    <w:rsid w:val="00A85D8A"/>
    <w:rsid w:val="00A85F74"/>
    <w:rsid w:val="00A860C0"/>
    <w:rsid w:val="00A8633B"/>
    <w:rsid w:val="00A86361"/>
    <w:rsid w:val="00A86B4F"/>
    <w:rsid w:val="00A86E3E"/>
    <w:rsid w:val="00A86F48"/>
    <w:rsid w:val="00A86F6A"/>
    <w:rsid w:val="00A87217"/>
    <w:rsid w:val="00A8757A"/>
    <w:rsid w:val="00A87BB8"/>
    <w:rsid w:val="00A87F45"/>
    <w:rsid w:val="00A90229"/>
    <w:rsid w:val="00A904A6"/>
    <w:rsid w:val="00A90C8C"/>
    <w:rsid w:val="00A90D6B"/>
    <w:rsid w:val="00A9136F"/>
    <w:rsid w:val="00A91532"/>
    <w:rsid w:val="00A9203B"/>
    <w:rsid w:val="00A9204B"/>
    <w:rsid w:val="00A922E3"/>
    <w:rsid w:val="00A92378"/>
    <w:rsid w:val="00A924E3"/>
    <w:rsid w:val="00A9257B"/>
    <w:rsid w:val="00A926FF"/>
    <w:rsid w:val="00A93446"/>
    <w:rsid w:val="00A94479"/>
    <w:rsid w:val="00A948F3"/>
    <w:rsid w:val="00A94C56"/>
    <w:rsid w:val="00A955EA"/>
    <w:rsid w:val="00A957EB"/>
    <w:rsid w:val="00A95AF4"/>
    <w:rsid w:val="00A9637E"/>
    <w:rsid w:val="00A96723"/>
    <w:rsid w:val="00A96D33"/>
    <w:rsid w:val="00A9708B"/>
    <w:rsid w:val="00AA0201"/>
    <w:rsid w:val="00AA0442"/>
    <w:rsid w:val="00AA0479"/>
    <w:rsid w:val="00AA0970"/>
    <w:rsid w:val="00AA0A9C"/>
    <w:rsid w:val="00AA0B9F"/>
    <w:rsid w:val="00AA0C33"/>
    <w:rsid w:val="00AA11A0"/>
    <w:rsid w:val="00AA154B"/>
    <w:rsid w:val="00AA1D6E"/>
    <w:rsid w:val="00AA1DEA"/>
    <w:rsid w:val="00AA2197"/>
    <w:rsid w:val="00AA25A5"/>
    <w:rsid w:val="00AA271F"/>
    <w:rsid w:val="00AA29AA"/>
    <w:rsid w:val="00AA29C4"/>
    <w:rsid w:val="00AA2A00"/>
    <w:rsid w:val="00AA2DF8"/>
    <w:rsid w:val="00AA305A"/>
    <w:rsid w:val="00AA36A7"/>
    <w:rsid w:val="00AA3BED"/>
    <w:rsid w:val="00AA4807"/>
    <w:rsid w:val="00AA51F5"/>
    <w:rsid w:val="00AA5928"/>
    <w:rsid w:val="00AA59A4"/>
    <w:rsid w:val="00AA5D5A"/>
    <w:rsid w:val="00AA5F0F"/>
    <w:rsid w:val="00AA6689"/>
    <w:rsid w:val="00AA6967"/>
    <w:rsid w:val="00AA6B2C"/>
    <w:rsid w:val="00AA6BC7"/>
    <w:rsid w:val="00AA6C9F"/>
    <w:rsid w:val="00AA7486"/>
    <w:rsid w:val="00AA78A0"/>
    <w:rsid w:val="00AA78A6"/>
    <w:rsid w:val="00AA7B43"/>
    <w:rsid w:val="00AB005A"/>
    <w:rsid w:val="00AB0B48"/>
    <w:rsid w:val="00AB0BED"/>
    <w:rsid w:val="00AB0F6E"/>
    <w:rsid w:val="00AB114B"/>
    <w:rsid w:val="00AB1A3E"/>
    <w:rsid w:val="00AB1E1C"/>
    <w:rsid w:val="00AB1E8E"/>
    <w:rsid w:val="00AB1EC6"/>
    <w:rsid w:val="00AB1FDC"/>
    <w:rsid w:val="00AB2043"/>
    <w:rsid w:val="00AB2112"/>
    <w:rsid w:val="00AB2440"/>
    <w:rsid w:val="00AB25E4"/>
    <w:rsid w:val="00AB28EC"/>
    <w:rsid w:val="00AB2E0C"/>
    <w:rsid w:val="00AB38EA"/>
    <w:rsid w:val="00AB3970"/>
    <w:rsid w:val="00AB3BA5"/>
    <w:rsid w:val="00AB470F"/>
    <w:rsid w:val="00AB4CB0"/>
    <w:rsid w:val="00AB51A3"/>
    <w:rsid w:val="00AB56FD"/>
    <w:rsid w:val="00AB57DA"/>
    <w:rsid w:val="00AB5A1C"/>
    <w:rsid w:val="00AB5AD6"/>
    <w:rsid w:val="00AB5E1F"/>
    <w:rsid w:val="00AB6AE0"/>
    <w:rsid w:val="00AB6BA8"/>
    <w:rsid w:val="00AB6E73"/>
    <w:rsid w:val="00AB6F2F"/>
    <w:rsid w:val="00AB753B"/>
    <w:rsid w:val="00AB76C9"/>
    <w:rsid w:val="00AB7821"/>
    <w:rsid w:val="00AB79BA"/>
    <w:rsid w:val="00AC0711"/>
    <w:rsid w:val="00AC1FEA"/>
    <w:rsid w:val="00AC2167"/>
    <w:rsid w:val="00AC216E"/>
    <w:rsid w:val="00AC2466"/>
    <w:rsid w:val="00AC2649"/>
    <w:rsid w:val="00AC2DC4"/>
    <w:rsid w:val="00AC2DDF"/>
    <w:rsid w:val="00AC2F31"/>
    <w:rsid w:val="00AC3114"/>
    <w:rsid w:val="00AC3414"/>
    <w:rsid w:val="00AC3575"/>
    <w:rsid w:val="00AC3DDA"/>
    <w:rsid w:val="00AC4157"/>
    <w:rsid w:val="00AC439D"/>
    <w:rsid w:val="00AC4BCC"/>
    <w:rsid w:val="00AC622A"/>
    <w:rsid w:val="00AC6AD3"/>
    <w:rsid w:val="00AC6DE0"/>
    <w:rsid w:val="00AC7938"/>
    <w:rsid w:val="00AC7C56"/>
    <w:rsid w:val="00AD0519"/>
    <w:rsid w:val="00AD0A33"/>
    <w:rsid w:val="00AD1593"/>
    <w:rsid w:val="00AD1DE9"/>
    <w:rsid w:val="00AD2307"/>
    <w:rsid w:val="00AD2823"/>
    <w:rsid w:val="00AD2C90"/>
    <w:rsid w:val="00AD2ECF"/>
    <w:rsid w:val="00AD2F46"/>
    <w:rsid w:val="00AD2F53"/>
    <w:rsid w:val="00AD318B"/>
    <w:rsid w:val="00AD36A2"/>
    <w:rsid w:val="00AD411C"/>
    <w:rsid w:val="00AD4209"/>
    <w:rsid w:val="00AD45FC"/>
    <w:rsid w:val="00AD49B3"/>
    <w:rsid w:val="00AD5181"/>
    <w:rsid w:val="00AD52B9"/>
    <w:rsid w:val="00AD562F"/>
    <w:rsid w:val="00AD5D53"/>
    <w:rsid w:val="00AD5FEF"/>
    <w:rsid w:val="00AD67F3"/>
    <w:rsid w:val="00AD6831"/>
    <w:rsid w:val="00AD6AB4"/>
    <w:rsid w:val="00AD6AEC"/>
    <w:rsid w:val="00AD6B14"/>
    <w:rsid w:val="00AD74E1"/>
    <w:rsid w:val="00AD7738"/>
    <w:rsid w:val="00AE01B9"/>
    <w:rsid w:val="00AE0B9F"/>
    <w:rsid w:val="00AE10F2"/>
    <w:rsid w:val="00AE1829"/>
    <w:rsid w:val="00AE1ACA"/>
    <w:rsid w:val="00AE1E80"/>
    <w:rsid w:val="00AE1F4C"/>
    <w:rsid w:val="00AE29F5"/>
    <w:rsid w:val="00AE2AF6"/>
    <w:rsid w:val="00AE2D20"/>
    <w:rsid w:val="00AE2DB6"/>
    <w:rsid w:val="00AE30E3"/>
    <w:rsid w:val="00AE32F0"/>
    <w:rsid w:val="00AE33EC"/>
    <w:rsid w:val="00AE3569"/>
    <w:rsid w:val="00AE3575"/>
    <w:rsid w:val="00AE36B5"/>
    <w:rsid w:val="00AE3858"/>
    <w:rsid w:val="00AE3EE7"/>
    <w:rsid w:val="00AE400B"/>
    <w:rsid w:val="00AE4541"/>
    <w:rsid w:val="00AE4946"/>
    <w:rsid w:val="00AE4F8A"/>
    <w:rsid w:val="00AE50C7"/>
    <w:rsid w:val="00AE55E9"/>
    <w:rsid w:val="00AE5E35"/>
    <w:rsid w:val="00AE72EE"/>
    <w:rsid w:val="00AE740A"/>
    <w:rsid w:val="00AE75A3"/>
    <w:rsid w:val="00AE7E66"/>
    <w:rsid w:val="00AF05D7"/>
    <w:rsid w:val="00AF0F30"/>
    <w:rsid w:val="00AF0FC6"/>
    <w:rsid w:val="00AF1F07"/>
    <w:rsid w:val="00AF2244"/>
    <w:rsid w:val="00AF2618"/>
    <w:rsid w:val="00AF29D5"/>
    <w:rsid w:val="00AF2B9C"/>
    <w:rsid w:val="00AF32E1"/>
    <w:rsid w:val="00AF381A"/>
    <w:rsid w:val="00AF3B46"/>
    <w:rsid w:val="00AF3D6F"/>
    <w:rsid w:val="00AF3D87"/>
    <w:rsid w:val="00AF47E0"/>
    <w:rsid w:val="00AF4D47"/>
    <w:rsid w:val="00AF54C7"/>
    <w:rsid w:val="00AF575C"/>
    <w:rsid w:val="00AF5B9A"/>
    <w:rsid w:val="00AF6E87"/>
    <w:rsid w:val="00AF6F33"/>
    <w:rsid w:val="00AF7270"/>
    <w:rsid w:val="00AF7271"/>
    <w:rsid w:val="00AF73A8"/>
    <w:rsid w:val="00AF7555"/>
    <w:rsid w:val="00AF7F87"/>
    <w:rsid w:val="00B004E8"/>
    <w:rsid w:val="00B00570"/>
    <w:rsid w:val="00B007C7"/>
    <w:rsid w:val="00B00A09"/>
    <w:rsid w:val="00B011F2"/>
    <w:rsid w:val="00B016FC"/>
    <w:rsid w:val="00B01CB5"/>
    <w:rsid w:val="00B0249F"/>
    <w:rsid w:val="00B02C75"/>
    <w:rsid w:val="00B02F03"/>
    <w:rsid w:val="00B02F3B"/>
    <w:rsid w:val="00B031B6"/>
    <w:rsid w:val="00B03C31"/>
    <w:rsid w:val="00B04844"/>
    <w:rsid w:val="00B04A47"/>
    <w:rsid w:val="00B05044"/>
    <w:rsid w:val="00B051D6"/>
    <w:rsid w:val="00B0533D"/>
    <w:rsid w:val="00B055ED"/>
    <w:rsid w:val="00B05B18"/>
    <w:rsid w:val="00B06194"/>
    <w:rsid w:val="00B066E1"/>
    <w:rsid w:val="00B06AAA"/>
    <w:rsid w:val="00B06AF8"/>
    <w:rsid w:val="00B07037"/>
    <w:rsid w:val="00B07370"/>
    <w:rsid w:val="00B073C5"/>
    <w:rsid w:val="00B074CD"/>
    <w:rsid w:val="00B07524"/>
    <w:rsid w:val="00B07645"/>
    <w:rsid w:val="00B07744"/>
    <w:rsid w:val="00B10660"/>
    <w:rsid w:val="00B1096A"/>
    <w:rsid w:val="00B109D4"/>
    <w:rsid w:val="00B1105C"/>
    <w:rsid w:val="00B11140"/>
    <w:rsid w:val="00B1120C"/>
    <w:rsid w:val="00B11A60"/>
    <w:rsid w:val="00B1314E"/>
    <w:rsid w:val="00B135A7"/>
    <w:rsid w:val="00B135B9"/>
    <w:rsid w:val="00B13DCF"/>
    <w:rsid w:val="00B14028"/>
    <w:rsid w:val="00B1483F"/>
    <w:rsid w:val="00B15146"/>
    <w:rsid w:val="00B1546F"/>
    <w:rsid w:val="00B15AF2"/>
    <w:rsid w:val="00B15B0A"/>
    <w:rsid w:val="00B15C92"/>
    <w:rsid w:val="00B15E05"/>
    <w:rsid w:val="00B16186"/>
    <w:rsid w:val="00B162AB"/>
    <w:rsid w:val="00B16358"/>
    <w:rsid w:val="00B1666E"/>
    <w:rsid w:val="00B171DA"/>
    <w:rsid w:val="00B1764D"/>
    <w:rsid w:val="00B17DB2"/>
    <w:rsid w:val="00B200D5"/>
    <w:rsid w:val="00B20153"/>
    <w:rsid w:val="00B203D0"/>
    <w:rsid w:val="00B20F8C"/>
    <w:rsid w:val="00B21159"/>
    <w:rsid w:val="00B216A7"/>
    <w:rsid w:val="00B21F17"/>
    <w:rsid w:val="00B221D1"/>
    <w:rsid w:val="00B22540"/>
    <w:rsid w:val="00B22BEE"/>
    <w:rsid w:val="00B2336B"/>
    <w:rsid w:val="00B235C3"/>
    <w:rsid w:val="00B23648"/>
    <w:rsid w:val="00B23715"/>
    <w:rsid w:val="00B24230"/>
    <w:rsid w:val="00B2468D"/>
    <w:rsid w:val="00B246FD"/>
    <w:rsid w:val="00B2470C"/>
    <w:rsid w:val="00B247E1"/>
    <w:rsid w:val="00B25470"/>
    <w:rsid w:val="00B25509"/>
    <w:rsid w:val="00B25B9B"/>
    <w:rsid w:val="00B25E0C"/>
    <w:rsid w:val="00B26B2F"/>
    <w:rsid w:val="00B27547"/>
    <w:rsid w:val="00B27AEE"/>
    <w:rsid w:val="00B27CFF"/>
    <w:rsid w:val="00B27E0F"/>
    <w:rsid w:val="00B27F08"/>
    <w:rsid w:val="00B300DD"/>
    <w:rsid w:val="00B30BF5"/>
    <w:rsid w:val="00B30FE2"/>
    <w:rsid w:val="00B31043"/>
    <w:rsid w:val="00B31224"/>
    <w:rsid w:val="00B31589"/>
    <w:rsid w:val="00B31C03"/>
    <w:rsid w:val="00B3214A"/>
    <w:rsid w:val="00B323DF"/>
    <w:rsid w:val="00B3251D"/>
    <w:rsid w:val="00B32973"/>
    <w:rsid w:val="00B32CFC"/>
    <w:rsid w:val="00B33B0D"/>
    <w:rsid w:val="00B33BC6"/>
    <w:rsid w:val="00B33C15"/>
    <w:rsid w:val="00B342B3"/>
    <w:rsid w:val="00B34329"/>
    <w:rsid w:val="00B34C70"/>
    <w:rsid w:val="00B34D04"/>
    <w:rsid w:val="00B34D97"/>
    <w:rsid w:val="00B34DB4"/>
    <w:rsid w:val="00B34F58"/>
    <w:rsid w:val="00B350D5"/>
    <w:rsid w:val="00B35685"/>
    <w:rsid w:val="00B35826"/>
    <w:rsid w:val="00B35B7C"/>
    <w:rsid w:val="00B37782"/>
    <w:rsid w:val="00B37B1F"/>
    <w:rsid w:val="00B37CD2"/>
    <w:rsid w:val="00B37E09"/>
    <w:rsid w:val="00B40A42"/>
    <w:rsid w:val="00B40B08"/>
    <w:rsid w:val="00B413DA"/>
    <w:rsid w:val="00B42004"/>
    <w:rsid w:val="00B42305"/>
    <w:rsid w:val="00B428CE"/>
    <w:rsid w:val="00B428FA"/>
    <w:rsid w:val="00B43090"/>
    <w:rsid w:val="00B43A5C"/>
    <w:rsid w:val="00B43B3C"/>
    <w:rsid w:val="00B4481C"/>
    <w:rsid w:val="00B449F8"/>
    <w:rsid w:val="00B4520B"/>
    <w:rsid w:val="00B45670"/>
    <w:rsid w:val="00B457E7"/>
    <w:rsid w:val="00B45A8F"/>
    <w:rsid w:val="00B45DA2"/>
    <w:rsid w:val="00B45DD0"/>
    <w:rsid w:val="00B46057"/>
    <w:rsid w:val="00B462F4"/>
    <w:rsid w:val="00B465AD"/>
    <w:rsid w:val="00B46887"/>
    <w:rsid w:val="00B46CF8"/>
    <w:rsid w:val="00B46E65"/>
    <w:rsid w:val="00B4708A"/>
    <w:rsid w:val="00B47430"/>
    <w:rsid w:val="00B4779D"/>
    <w:rsid w:val="00B506A6"/>
    <w:rsid w:val="00B50C35"/>
    <w:rsid w:val="00B510F8"/>
    <w:rsid w:val="00B5153D"/>
    <w:rsid w:val="00B51D37"/>
    <w:rsid w:val="00B52237"/>
    <w:rsid w:val="00B522ED"/>
    <w:rsid w:val="00B52646"/>
    <w:rsid w:val="00B52824"/>
    <w:rsid w:val="00B52A17"/>
    <w:rsid w:val="00B52AF9"/>
    <w:rsid w:val="00B5336E"/>
    <w:rsid w:val="00B53959"/>
    <w:rsid w:val="00B53C15"/>
    <w:rsid w:val="00B53F20"/>
    <w:rsid w:val="00B54A69"/>
    <w:rsid w:val="00B54AC5"/>
    <w:rsid w:val="00B55138"/>
    <w:rsid w:val="00B55929"/>
    <w:rsid w:val="00B55E7D"/>
    <w:rsid w:val="00B55F6D"/>
    <w:rsid w:val="00B56026"/>
    <w:rsid w:val="00B56AD5"/>
    <w:rsid w:val="00B56CCE"/>
    <w:rsid w:val="00B56F59"/>
    <w:rsid w:val="00B56F83"/>
    <w:rsid w:val="00B571CC"/>
    <w:rsid w:val="00B57271"/>
    <w:rsid w:val="00B5750E"/>
    <w:rsid w:val="00B5759B"/>
    <w:rsid w:val="00B57814"/>
    <w:rsid w:val="00B57AC8"/>
    <w:rsid w:val="00B57BCB"/>
    <w:rsid w:val="00B600C3"/>
    <w:rsid w:val="00B60314"/>
    <w:rsid w:val="00B608A7"/>
    <w:rsid w:val="00B609C5"/>
    <w:rsid w:val="00B613C1"/>
    <w:rsid w:val="00B6160E"/>
    <w:rsid w:val="00B618ED"/>
    <w:rsid w:val="00B61AF9"/>
    <w:rsid w:val="00B6233A"/>
    <w:rsid w:val="00B627D6"/>
    <w:rsid w:val="00B62961"/>
    <w:rsid w:val="00B62F44"/>
    <w:rsid w:val="00B630C3"/>
    <w:rsid w:val="00B633E4"/>
    <w:rsid w:val="00B64B2D"/>
    <w:rsid w:val="00B64F20"/>
    <w:rsid w:val="00B65446"/>
    <w:rsid w:val="00B6582C"/>
    <w:rsid w:val="00B65F6B"/>
    <w:rsid w:val="00B66013"/>
    <w:rsid w:val="00B661F6"/>
    <w:rsid w:val="00B66380"/>
    <w:rsid w:val="00B665E7"/>
    <w:rsid w:val="00B668DF"/>
    <w:rsid w:val="00B67358"/>
    <w:rsid w:val="00B67DD3"/>
    <w:rsid w:val="00B67E0D"/>
    <w:rsid w:val="00B67F0D"/>
    <w:rsid w:val="00B67FF6"/>
    <w:rsid w:val="00B7030F"/>
    <w:rsid w:val="00B704C9"/>
    <w:rsid w:val="00B70CBF"/>
    <w:rsid w:val="00B70FBF"/>
    <w:rsid w:val="00B7166B"/>
    <w:rsid w:val="00B71831"/>
    <w:rsid w:val="00B71A11"/>
    <w:rsid w:val="00B71C3E"/>
    <w:rsid w:val="00B72388"/>
    <w:rsid w:val="00B72D82"/>
    <w:rsid w:val="00B72F01"/>
    <w:rsid w:val="00B72F76"/>
    <w:rsid w:val="00B73172"/>
    <w:rsid w:val="00B731A4"/>
    <w:rsid w:val="00B731FE"/>
    <w:rsid w:val="00B7328D"/>
    <w:rsid w:val="00B73719"/>
    <w:rsid w:val="00B740C7"/>
    <w:rsid w:val="00B74679"/>
    <w:rsid w:val="00B74A83"/>
    <w:rsid w:val="00B74AA1"/>
    <w:rsid w:val="00B74E7D"/>
    <w:rsid w:val="00B754CD"/>
    <w:rsid w:val="00B75537"/>
    <w:rsid w:val="00B7558C"/>
    <w:rsid w:val="00B75B3D"/>
    <w:rsid w:val="00B75B40"/>
    <w:rsid w:val="00B75C7B"/>
    <w:rsid w:val="00B75DC2"/>
    <w:rsid w:val="00B75E68"/>
    <w:rsid w:val="00B75E7B"/>
    <w:rsid w:val="00B76550"/>
    <w:rsid w:val="00B76637"/>
    <w:rsid w:val="00B76E93"/>
    <w:rsid w:val="00B770D8"/>
    <w:rsid w:val="00B77755"/>
    <w:rsid w:val="00B7789F"/>
    <w:rsid w:val="00B77FA6"/>
    <w:rsid w:val="00B80650"/>
    <w:rsid w:val="00B80863"/>
    <w:rsid w:val="00B81363"/>
    <w:rsid w:val="00B819F4"/>
    <w:rsid w:val="00B81A43"/>
    <w:rsid w:val="00B81BD8"/>
    <w:rsid w:val="00B81DA3"/>
    <w:rsid w:val="00B82009"/>
    <w:rsid w:val="00B82064"/>
    <w:rsid w:val="00B82FD8"/>
    <w:rsid w:val="00B8383E"/>
    <w:rsid w:val="00B83B72"/>
    <w:rsid w:val="00B83B96"/>
    <w:rsid w:val="00B83C12"/>
    <w:rsid w:val="00B83D00"/>
    <w:rsid w:val="00B83DA1"/>
    <w:rsid w:val="00B83E04"/>
    <w:rsid w:val="00B8402F"/>
    <w:rsid w:val="00B840AD"/>
    <w:rsid w:val="00B8410B"/>
    <w:rsid w:val="00B8475C"/>
    <w:rsid w:val="00B8489D"/>
    <w:rsid w:val="00B8516E"/>
    <w:rsid w:val="00B85641"/>
    <w:rsid w:val="00B85887"/>
    <w:rsid w:val="00B85B01"/>
    <w:rsid w:val="00B85C28"/>
    <w:rsid w:val="00B85E97"/>
    <w:rsid w:val="00B860A3"/>
    <w:rsid w:val="00B8615E"/>
    <w:rsid w:val="00B86226"/>
    <w:rsid w:val="00B862C6"/>
    <w:rsid w:val="00B8645C"/>
    <w:rsid w:val="00B866CF"/>
    <w:rsid w:val="00B866ED"/>
    <w:rsid w:val="00B86AE4"/>
    <w:rsid w:val="00B86D65"/>
    <w:rsid w:val="00B86DC7"/>
    <w:rsid w:val="00B86DD6"/>
    <w:rsid w:val="00B870D6"/>
    <w:rsid w:val="00B871C6"/>
    <w:rsid w:val="00B87874"/>
    <w:rsid w:val="00B87904"/>
    <w:rsid w:val="00B879F3"/>
    <w:rsid w:val="00B9043D"/>
    <w:rsid w:val="00B90541"/>
    <w:rsid w:val="00B905AA"/>
    <w:rsid w:val="00B9082F"/>
    <w:rsid w:val="00B91086"/>
    <w:rsid w:val="00B91324"/>
    <w:rsid w:val="00B91535"/>
    <w:rsid w:val="00B9173C"/>
    <w:rsid w:val="00B91835"/>
    <w:rsid w:val="00B91BA2"/>
    <w:rsid w:val="00B91C00"/>
    <w:rsid w:val="00B91DD9"/>
    <w:rsid w:val="00B9210E"/>
    <w:rsid w:val="00B93655"/>
    <w:rsid w:val="00B93692"/>
    <w:rsid w:val="00B937A0"/>
    <w:rsid w:val="00B93A8C"/>
    <w:rsid w:val="00B93B32"/>
    <w:rsid w:val="00B94499"/>
    <w:rsid w:val="00B95362"/>
    <w:rsid w:val="00B966A7"/>
    <w:rsid w:val="00B96791"/>
    <w:rsid w:val="00B96883"/>
    <w:rsid w:val="00B975E6"/>
    <w:rsid w:val="00B977BB"/>
    <w:rsid w:val="00B9782D"/>
    <w:rsid w:val="00B97A95"/>
    <w:rsid w:val="00B97C05"/>
    <w:rsid w:val="00BA0315"/>
    <w:rsid w:val="00BA0A30"/>
    <w:rsid w:val="00BA0F20"/>
    <w:rsid w:val="00BA114D"/>
    <w:rsid w:val="00BA1297"/>
    <w:rsid w:val="00BA2AAC"/>
    <w:rsid w:val="00BA4AA7"/>
    <w:rsid w:val="00BA586A"/>
    <w:rsid w:val="00BA59C7"/>
    <w:rsid w:val="00BA5E67"/>
    <w:rsid w:val="00BA5ED3"/>
    <w:rsid w:val="00BA716E"/>
    <w:rsid w:val="00BA7D25"/>
    <w:rsid w:val="00BB00FD"/>
    <w:rsid w:val="00BB05B9"/>
    <w:rsid w:val="00BB0699"/>
    <w:rsid w:val="00BB08B5"/>
    <w:rsid w:val="00BB09F8"/>
    <w:rsid w:val="00BB0E79"/>
    <w:rsid w:val="00BB111A"/>
    <w:rsid w:val="00BB145F"/>
    <w:rsid w:val="00BB17D3"/>
    <w:rsid w:val="00BB1DE4"/>
    <w:rsid w:val="00BB2744"/>
    <w:rsid w:val="00BB27C7"/>
    <w:rsid w:val="00BB2B0C"/>
    <w:rsid w:val="00BB2E8C"/>
    <w:rsid w:val="00BB3062"/>
    <w:rsid w:val="00BB3A63"/>
    <w:rsid w:val="00BB3F8F"/>
    <w:rsid w:val="00BB4055"/>
    <w:rsid w:val="00BB4565"/>
    <w:rsid w:val="00BB46CC"/>
    <w:rsid w:val="00BB4706"/>
    <w:rsid w:val="00BB4A33"/>
    <w:rsid w:val="00BB4BB6"/>
    <w:rsid w:val="00BB4DEF"/>
    <w:rsid w:val="00BB5560"/>
    <w:rsid w:val="00BB558D"/>
    <w:rsid w:val="00BB5755"/>
    <w:rsid w:val="00BB57B1"/>
    <w:rsid w:val="00BB5DF4"/>
    <w:rsid w:val="00BB60FA"/>
    <w:rsid w:val="00BB6570"/>
    <w:rsid w:val="00BB67C6"/>
    <w:rsid w:val="00BB6CB8"/>
    <w:rsid w:val="00BB6F3A"/>
    <w:rsid w:val="00BB76B5"/>
    <w:rsid w:val="00BB7849"/>
    <w:rsid w:val="00BB784E"/>
    <w:rsid w:val="00BB7A99"/>
    <w:rsid w:val="00BC00D3"/>
    <w:rsid w:val="00BC0282"/>
    <w:rsid w:val="00BC0BF7"/>
    <w:rsid w:val="00BC0DB2"/>
    <w:rsid w:val="00BC0EFB"/>
    <w:rsid w:val="00BC1014"/>
    <w:rsid w:val="00BC16BF"/>
    <w:rsid w:val="00BC1A4C"/>
    <w:rsid w:val="00BC1CBF"/>
    <w:rsid w:val="00BC1F00"/>
    <w:rsid w:val="00BC2907"/>
    <w:rsid w:val="00BC2F00"/>
    <w:rsid w:val="00BC3105"/>
    <w:rsid w:val="00BC38FE"/>
    <w:rsid w:val="00BC43C8"/>
    <w:rsid w:val="00BC4ABA"/>
    <w:rsid w:val="00BC5489"/>
    <w:rsid w:val="00BC554A"/>
    <w:rsid w:val="00BC593E"/>
    <w:rsid w:val="00BC5DAB"/>
    <w:rsid w:val="00BC5DB7"/>
    <w:rsid w:val="00BC6165"/>
    <w:rsid w:val="00BC62FF"/>
    <w:rsid w:val="00BC6358"/>
    <w:rsid w:val="00BC66B3"/>
    <w:rsid w:val="00BC69B1"/>
    <w:rsid w:val="00BC6DE2"/>
    <w:rsid w:val="00BC78E9"/>
    <w:rsid w:val="00BD021A"/>
    <w:rsid w:val="00BD0303"/>
    <w:rsid w:val="00BD0E06"/>
    <w:rsid w:val="00BD0EAE"/>
    <w:rsid w:val="00BD1131"/>
    <w:rsid w:val="00BD14A9"/>
    <w:rsid w:val="00BD186C"/>
    <w:rsid w:val="00BD1EAE"/>
    <w:rsid w:val="00BD2478"/>
    <w:rsid w:val="00BD2655"/>
    <w:rsid w:val="00BD2A4F"/>
    <w:rsid w:val="00BD2C39"/>
    <w:rsid w:val="00BD33C9"/>
    <w:rsid w:val="00BD3522"/>
    <w:rsid w:val="00BD403C"/>
    <w:rsid w:val="00BD41CB"/>
    <w:rsid w:val="00BD43E6"/>
    <w:rsid w:val="00BD4731"/>
    <w:rsid w:val="00BD5543"/>
    <w:rsid w:val="00BD5F55"/>
    <w:rsid w:val="00BD6068"/>
    <w:rsid w:val="00BD6185"/>
    <w:rsid w:val="00BD655D"/>
    <w:rsid w:val="00BD6C34"/>
    <w:rsid w:val="00BD6E42"/>
    <w:rsid w:val="00BD7186"/>
    <w:rsid w:val="00BD7221"/>
    <w:rsid w:val="00BD741C"/>
    <w:rsid w:val="00BD775A"/>
    <w:rsid w:val="00BD7793"/>
    <w:rsid w:val="00BD790C"/>
    <w:rsid w:val="00BD79CB"/>
    <w:rsid w:val="00BD7ACB"/>
    <w:rsid w:val="00BD7ADC"/>
    <w:rsid w:val="00BE1022"/>
    <w:rsid w:val="00BE1027"/>
    <w:rsid w:val="00BE10DD"/>
    <w:rsid w:val="00BE152D"/>
    <w:rsid w:val="00BE16D0"/>
    <w:rsid w:val="00BE1731"/>
    <w:rsid w:val="00BE176D"/>
    <w:rsid w:val="00BE1A9D"/>
    <w:rsid w:val="00BE1B13"/>
    <w:rsid w:val="00BE1BC7"/>
    <w:rsid w:val="00BE1CCF"/>
    <w:rsid w:val="00BE1E03"/>
    <w:rsid w:val="00BE2542"/>
    <w:rsid w:val="00BE30F7"/>
    <w:rsid w:val="00BE33E6"/>
    <w:rsid w:val="00BE411E"/>
    <w:rsid w:val="00BE4375"/>
    <w:rsid w:val="00BE4377"/>
    <w:rsid w:val="00BE444B"/>
    <w:rsid w:val="00BE4469"/>
    <w:rsid w:val="00BE473F"/>
    <w:rsid w:val="00BE4744"/>
    <w:rsid w:val="00BE4752"/>
    <w:rsid w:val="00BE480F"/>
    <w:rsid w:val="00BE4885"/>
    <w:rsid w:val="00BE4FFE"/>
    <w:rsid w:val="00BE522F"/>
    <w:rsid w:val="00BE57D3"/>
    <w:rsid w:val="00BE5A4D"/>
    <w:rsid w:val="00BE5C88"/>
    <w:rsid w:val="00BE60C4"/>
    <w:rsid w:val="00BE6151"/>
    <w:rsid w:val="00BE6519"/>
    <w:rsid w:val="00BE660B"/>
    <w:rsid w:val="00BE6694"/>
    <w:rsid w:val="00BE6BF4"/>
    <w:rsid w:val="00BE6C22"/>
    <w:rsid w:val="00BE6F11"/>
    <w:rsid w:val="00BE70BC"/>
    <w:rsid w:val="00BE7B79"/>
    <w:rsid w:val="00BF0436"/>
    <w:rsid w:val="00BF0605"/>
    <w:rsid w:val="00BF0920"/>
    <w:rsid w:val="00BF0B02"/>
    <w:rsid w:val="00BF0B96"/>
    <w:rsid w:val="00BF0C33"/>
    <w:rsid w:val="00BF13E4"/>
    <w:rsid w:val="00BF14F8"/>
    <w:rsid w:val="00BF1CF4"/>
    <w:rsid w:val="00BF1EF7"/>
    <w:rsid w:val="00BF201D"/>
    <w:rsid w:val="00BF2031"/>
    <w:rsid w:val="00BF2277"/>
    <w:rsid w:val="00BF26F8"/>
    <w:rsid w:val="00BF276A"/>
    <w:rsid w:val="00BF2879"/>
    <w:rsid w:val="00BF3057"/>
    <w:rsid w:val="00BF32B1"/>
    <w:rsid w:val="00BF3454"/>
    <w:rsid w:val="00BF3493"/>
    <w:rsid w:val="00BF35B9"/>
    <w:rsid w:val="00BF3796"/>
    <w:rsid w:val="00BF3981"/>
    <w:rsid w:val="00BF3AE8"/>
    <w:rsid w:val="00BF4404"/>
    <w:rsid w:val="00BF4621"/>
    <w:rsid w:val="00BF4C7E"/>
    <w:rsid w:val="00BF4FAF"/>
    <w:rsid w:val="00BF52FC"/>
    <w:rsid w:val="00BF547A"/>
    <w:rsid w:val="00BF5EF1"/>
    <w:rsid w:val="00BF600F"/>
    <w:rsid w:val="00BF7145"/>
    <w:rsid w:val="00BF73B6"/>
    <w:rsid w:val="00BF748B"/>
    <w:rsid w:val="00BF79C7"/>
    <w:rsid w:val="00BF7C66"/>
    <w:rsid w:val="00BF7EA8"/>
    <w:rsid w:val="00C003C4"/>
    <w:rsid w:val="00C00862"/>
    <w:rsid w:val="00C00BCC"/>
    <w:rsid w:val="00C00EF4"/>
    <w:rsid w:val="00C00FCB"/>
    <w:rsid w:val="00C01588"/>
    <w:rsid w:val="00C0268D"/>
    <w:rsid w:val="00C02740"/>
    <w:rsid w:val="00C027A4"/>
    <w:rsid w:val="00C03C9E"/>
    <w:rsid w:val="00C03D11"/>
    <w:rsid w:val="00C03FC2"/>
    <w:rsid w:val="00C04AFE"/>
    <w:rsid w:val="00C057D9"/>
    <w:rsid w:val="00C05A09"/>
    <w:rsid w:val="00C05C93"/>
    <w:rsid w:val="00C05D13"/>
    <w:rsid w:val="00C05E34"/>
    <w:rsid w:val="00C05F07"/>
    <w:rsid w:val="00C05F4F"/>
    <w:rsid w:val="00C05F74"/>
    <w:rsid w:val="00C067DE"/>
    <w:rsid w:val="00C06EB9"/>
    <w:rsid w:val="00C06F92"/>
    <w:rsid w:val="00C070B1"/>
    <w:rsid w:val="00C0799A"/>
    <w:rsid w:val="00C07C84"/>
    <w:rsid w:val="00C07C8F"/>
    <w:rsid w:val="00C07DE4"/>
    <w:rsid w:val="00C10262"/>
    <w:rsid w:val="00C107CD"/>
    <w:rsid w:val="00C10875"/>
    <w:rsid w:val="00C111B8"/>
    <w:rsid w:val="00C11600"/>
    <w:rsid w:val="00C11C56"/>
    <w:rsid w:val="00C11D0D"/>
    <w:rsid w:val="00C11D42"/>
    <w:rsid w:val="00C124BD"/>
    <w:rsid w:val="00C12656"/>
    <w:rsid w:val="00C12B73"/>
    <w:rsid w:val="00C12D75"/>
    <w:rsid w:val="00C139BD"/>
    <w:rsid w:val="00C13A75"/>
    <w:rsid w:val="00C13ADC"/>
    <w:rsid w:val="00C13CE8"/>
    <w:rsid w:val="00C145CC"/>
    <w:rsid w:val="00C14C66"/>
    <w:rsid w:val="00C14F10"/>
    <w:rsid w:val="00C15491"/>
    <w:rsid w:val="00C156A7"/>
    <w:rsid w:val="00C15DED"/>
    <w:rsid w:val="00C162A7"/>
    <w:rsid w:val="00C16628"/>
    <w:rsid w:val="00C166DA"/>
    <w:rsid w:val="00C16CB6"/>
    <w:rsid w:val="00C174E7"/>
    <w:rsid w:val="00C17AB3"/>
    <w:rsid w:val="00C20776"/>
    <w:rsid w:val="00C20C1E"/>
    <w:rsid w:val="00C20FFF"/>
    <w:rsid w:val="00C21141"/>
    <w:rsid w:val="00C21403"/>
    <w:rsid w:val="00C214C1"/>
    <w:rsid w:val="00C21588"/>
    <w:rsid w:val="00C223B6"/>
    <w:rsid w:val="00C22470"/>
    <w:rsid w:val="00C22885"/>
    <w:rsid w:val="00C22F69"/>
    <w:rsid w:val="00C237D7"/>
    <w:rsid w:val="00C238D9"/>
    <w:rsid w:val="00C23943"/>
    <w:rsid w:val="00C23A3B"/>
    <w:rsid w:val="00C23D6F"/>
    <w:rsid w:val="00C23E09"/>
    <w:rsid w:val="00C244E3"/>
    <w:rsid w:val="00C247EC"/>
    <w:rsid w:val="00C24B59"/>
    <w:rsid w:val="00C24C15"/>
    <w:rsid w:val="00C25F8A"/>
    <w:rsid w:val="00C2626F"/>
    <w:rsid w:val="00C263ED"/>
    <w:rsid w:val="00C26B40"/>
    <w:rsid w:val="00C26CD1"/>
    <w:rsid w:val="00C273DA"/>
    <w:rsid w:val="00C2743F"/>
    <w:rsid w:val="00C277FD"/>
    <w:rsid w:val="00C27AB4"/>
    <w:rsid w:val="00C27DBD"/>
    <w:rsid w:val="00C27DEA"/>
    <w:rsid w:val="00C27DF5"/>
    <w:rsid w:val="00C27E1E"/>
    <w:rsid w:val="00C30184"/>
    <w:rsid w:val="00C30A55"/>
    <w:rsid w:val="00C30B98"/>
    <w:rsid w:val="00C30E8D"/>
    <w:rsid w:val="00C3137C"/>
    <w:rsid w:val="00C31980"/>
    <w:rsid w:val="00C319AA"/>
    <w:rsid w:val="00C31B24"/>
    <w:rsid w:val="00C31BD7"/>
    <w:rsid w:val="00C31E50"/>
    <w:rsid w:val="00C322A3"/>
    <w:rsid w:val="00C3242B"/>
    <w:rsid w:val="00C326AD"/>
    <w:rsid w:val="00C32EA4"/>
    <w:rsid w:val="00C3342F"/>
    <w:rsid w:val="00C33939"/>
    <w:rsid w:val="00C33BCB"/>
    <w:rsid w:val="00C3416B"/>
    <w:rsid w:val="00C3419B"/>
    <w:rsid w:val="00C34477"/>
    <w:rsid w:val="00C348A9"/>
    <w:rsid w:val="00C34A2D"/>
    <w:rsid w:val="00C350BB"/>
    <w:rsid w:val="00C35607"/>
    <w:rsid w:val="00C35A08"/>
    <w:rsid w:val="00C35A4D"/>
    <w:rsid w:val="00C35F33"/>
    <w:rsid w:val="00C362C8"/>
    <w:rsid w:val="00C372F9"/>
    <w:rsid w:val="00C37FD2"/>
    <w:rsid w:val="00C404A4"/>
    <w:rsid w:val="00C407BE"/>
    <w:rsid w:val="00C40AC2"/>
    <w:rsid w:val="00C41BC5"/>
    <w:rsid w:val="00C41C21"/>
    <w:rsid w:val="00C41CD2"/>
    <w:rsid w:val="00C42545"/>
    <w:rsid w:val="00C4271F"/>
    <w:rsid w:val="00C42879"/>
    <w:rsid w:val="00C429C6"/>
    <w:rsid w:val="00C42B7E"/>
    <w:rsid w:val="00C42FC7"/>
    <w:rsid w:val="00C434A5"/>
    <w:rsid w:val="00C43503"/>
    <w:rsid w:val="00C43514"/>
    <w:rsid w:val="00C43AD1"/>
    <w:rsid w:val="00C43BB8"/>
    <w:rsid w:val="00C43C4D"/>
    <w:rsid w:val="00C450D0"/>
    <w:rsid w:val="00C4523E"/>
    <w:rsid w:val="00C457BA"/>
    <w:rsid w:val="00C45E9C"/>
    <w:rsid w:val="00C460C3"/>
    <w:rsid w:val="00C46355"/>
    <w:rsid w:val="00C464A4"/>
    <w:rsid w:val="00C467A8"/>
    <w:rsid w:val="00C46EB1"/>
    <w:rsid w:val="00C470DF"/>
    <w:rsid w:val="00C4721E"/>
    <w:rsid w:val="00C47A28"/>
    <w:rsid w:val="00C47E1D"/>
    <w:rsid w:val="00C500E3"/>
    <w:rsid w:val="00C503BA"/>
    <w:rsid w:val="00C50481"/>
    <w:rsid w:val="00C509C3"/>
    <w:rsid w:val="00C5140B"/>
    <w:rsid w:val="00C51512"/>
    <w:rsid w:val="00C525A3"/>
    <w:rsid w:val="00C52D55"/>
    <w:rsid w:val="00C531B2"/>
    <w:rsid w:val="00C533F8"/>
    <w:rsid w:val="00C534AC"/>
    <w:rsid w:val="00C536DB"/>
    <w:rsid w:val="00C53708"/>
    <w:rsid w:val="00C53B66"/>
    <w:rsid w:val="00C53DF0"/>
    <w:rsid w:val="00C5452C"/>
    <w:rsid w:val="00C548A5"/>
    <w:rsid w:val="00C54E6E"/>
    <w:rsid w:val="00C555FD"/>
    <w:rsid w:val="00C557A7"/>
    <w:rsid w:val="00C559DF"/>
    <w:rsid w:val="00C55E5C"/>
    <w:rsid w:val="00C5603E"/>
    <w:rsid w:val="00C56A2C"/>
    <w:rsid w:val="00C56AC8"/>
    <w:rsid w:val="00C56FB2"/>
    <w:rsid w:val="00C577E5"/>
    <w:rsid w:val="00C578C5"/>
    <w:rsid w:val="00C57E6D"/>
    <w:rsid w:val="00C60029"/>
    <w:rsid w:val="00C60161"/>
    <w:rsid w:val="00C60234"/>
    <w:rsid w:val="00C6043E"/>
    <w:rsid w:val="00C61269"/>
    <w:rsid w:val="00C61317"/>
    <w:rsid w:val="00C616DD"/>
    <w:rsid w:val="00C61CC4"/>
    <w:rsid w:val="00C61D2B"/>
    <w:rsid w:val="00C61E5A"/>
    <w:rsid w:val="00C61E9F"/>
    <w:rsid w:val="00C62434"/>
    <w:rsid w:val="00C62680"/>
    <w:rsid w:val="00C627CF"/>
    <w:rsid w:val="00C62CBF"/>
    <w:rsid w:val="00C63382"/>
    <w:rsid w:val="00C63783"/>
    <w:rsid w:val="00C637DC"/>
    <w:rsid w:val="00C63BE1"/>
    <w:rsid w:val="00C63F01"/>
    <w:rsid w:val="00C63F04"/>
    <w:rsid w:val="00C6409C"/>
    <w:rsid w:val="00C643CE"/>
    <w:rsid w:val="00C6473A"/>
    <w:rsid w:val="00C6492E"/>
    <w:rsid w:val="00C64947"/>
    <w:rsid w:val="00C64B35"/>
    <w:rsid w:val="00C64E24"/>
    <w:rsid w:val="00C651EE"/>
    <w:rsid w:val="00C65DBF"/>
    <w:rsid w:val="00C65DCC"/>
    <w:rsid w:val="00C6619A"/>
    <w:rsid w:val="00C6642A"/>
    <w:rsid w:val="00C6662A"/>
    <w:rsid w:val="00C6695E"/>
    <w:rsid w:val="00C66AF7"/>
    <w:rsid w:val="00C66E24"/>
    <w:rsid w:val="00C66FCB"/>
    <w:rsid w:val="00C67506"/>
    <w:rsid w:val="00C70241"/>
    <w:rsid w:val="00C70562"/>
    <w:rsid w:val="00C70B07"/>
    <w:rsid w:val="00C70BFE"/>
    <w:rsid w:val="00C70EAE"/>
    <w:rsid w:val="00C7108F"/>
    <w:rsid w:val="00C712D3"/>
    <w:rsid w:val="00C71398"/>
    <w:rsid w:val="00C7143C"/>
    <w:rsid w:val="00C71589"/>
    <w:rsid w:val="00C716A7"/>
    <w:rsid w:val="00C71E5A"/>
    <w:rsid w:val="00C72297"/>
    <w:rsid w:val="00C72373"/>
    <w:rsid w:val="00C7299B"/>
    <w:rsid w:val="00C73467"/>
    <w:rsid w:val="00C7353F"/>
    <w:rsid w:val="00C73944"/>
    <w:rsid w:val="00C74381"/>
    <w:rsid w:val="00C74504"/>
    <w:rsid w:val="00C751C7"/>
    <w:rsid w:val="00C75615"/>
    <w:rsid w:val="00C75883"/>
    <w:rsid w:val="00C75900"/>
    <w:rsid w:val="00C75934"/>
    <w:rsid w:val="00C75A23"/>
    <w:rsid w:val="00C76AE2"/>
    <w:rsid w:val="00C76D4D"/>
    <w:rsid w:val="00C76DFF"/>
    <w:rsid w:val="00C76E21"/>
    <w:rsid w:val="00C76F6D"/>
    <w:rsid w:val="00C773B3"/>
    <w:rsid w:val="00C7757D"/>
    <w:rsid w:val="00C7791B"/>
    <w:rsid w:val="00C77B30"/>
    <w:rsid w:val="00C77CF6"/>
    <w:rsid w:val="00C805B3"/>
    <w:rsid w:val="00C80BD4"/>
    <w:rsid w:val="00C80E33"/>
    <w:rsid w:val="00C80E3B"/>
    <w:rsid w:val="00C80F0B"/>
    <w:rsid w:val="00C80FC4"/>
    <w:rsid w:val="00C81BB9"/>
    <w:rsid w:val="00C8243C"/>
    <w:rsid w:val="00C829FA"/>
    <w:rsid w:val="00C8323A"/>
    <w:rsid w:val="00C836CC"/>
    <w:rsid w:val="00C83B65"/>
    <w:rsid w:val="00C83C89"/>
    <w:rsid w:val="00C84E5F"/>
    <w:rsid w:val="00C8520C"/>
    <w:rsid w:val="00C8545E"/>
    <w:rsid w:val="00C85479"/>
    <w:rsid w:val="00C85D51"/>
    <w:rsid w:val="00C85F0F"/>
    <w:rsid w:val="00C863FA"/>
    <w:rsid w:val="00C865A1"/>
    <w:rsid w:val="00C86894"/>
    <w:rsid w:val="00C86F13"/>
    <w:rsid w:val="00C870F4"/>
    <w:rsid w:val="00C879A3"/>
    <w:rsid w:val="00C87A75"/>
    <w:rsid w:val="00C87DFE"/>
    <w:rsid w:val="00C90819"/>
    <w:rsid w:val="00C9082B"/>
    <w:rsid w:val="00C90D45"/>
    <w:rsid w:val="00C90D72"/>
    <w:rsid w:val="00C91694"/>
    <w:rsid w:val="00C917DF"/>
    <w:rsid w:val="00C91932"/>
    <w:rsid w:val="00C91E43"/>
    <w:rsid w:val="00C91F26"/>
    <w:rsid w:val="00C92071"/>
    <w:rsid w:val="00C92CF2"/>
    <w:rsid w:val="00C93039"/>
    <w:rsid w:val="00C93403"/>
    <w:rsid w:val="00C9360C"/>
    <w:rsid w:val="00C9390F"/>
    <w:rsid w:val="00C93D7B"/>
    <w:rsid w:val="00C940C4"/>
    <w:rsid w:val="00C94863"/>
    <w:rsid w:val="00C95439"/>
    <w:rsid w:val="00C95488"/>
    <w:rsid w:val="00C95811"/>
    <w:rsid w:val="00C95B5B"/>
    <w:rsid w:val="00C95D80"/>
    <w:rsid w:val="00C96049"/>
    <w:rsid w:val="00C9629D"/>
    <w:rsid w:val="00C96723"/>
    <w:rsid w:val="00C967B5"/>
    <w:rsid w:val="00C96937"/>
    <w:rsid w:val="00C97258"/>
    <w:rsid w:val="00C974F9"/>
    <w:rsid w:val="00CA01F3"/>
    <w:rsid w:val="00CA036D"/>
    <w:rsid w:val="00CA04E6"/>
    <w:rsid w:val="00CA07FD"/>
    <w:rsid w:val="00CA0849"/>
    <w:rsid w:val="00CA0911"/>
    <w:rsid w:val="00CA123C"/>
    <w:rsid w:val="00CA155A"/>
    <w:rsid w:val="00CA1788"/>
    <w:rsid w:val="00CA186C"/>
    <w:rsid w:val="00CA22D4"/>
    <w:rsid w:val="00CA25BB"/>
    <w:rsid w:val="00CA27F2"/>
    <w:rsid w:val="00CA298C"/>
    <w:rsid w:val="00CA319D"/>
    <w:rsid w:val="00CA31B7"/>
    <w:rsid w:val="00CA3A3E"/>
    <w:rsid w:val="00CA3C7A"/>
    <w:rsid w:val="00CA3E85"/>
    <w:rsid w:val="00CA3F6D"/>
    <w:rsid w:val="00CA42F9"/>
    <w:rsid w:val="00CA4970"/>
    <w:rsid w:val="00CA4AE1"/>
    <w:rsid w:val="00CA50C0"/>
    <w:rsid w:val="00CA532F"/>
    <w:rsid w:val="00CA575A"/>
    <w:rsid w:val="00CA5B98"/>
    <w:rsid w:val="00CA6373"/>
    <w:rsid w:val="00CA6ED9"/>
    <w:rsid w:val="00CA721E"/>
    <w:rsid w:val="00CA748F"/>
    <w:rsid w:val="00CA7EDC"/>
    <w:rsid w:val="00CB022F"/>
    <w:rsid w:val="00CB03EC"/>
    <w:rsid w:val="00CB0431"/>
    <w:rsid w:val="00CB04BB"/>
    <w:rsid w:val="00CB0EF6"/>
    <w:rsid w:val="00CB107B"/>
    <w:rsid w:val="00CB16F6"/>
    <w:rsid w:val="00CB1E5D"/>
    <w:rsid w:val="00CB231E"/>
    <w:rsid w:val="00CB2450"/>
    <w:rsid w:val="00CB28A0"/>
    <w:rsid w:val="00CB2C31"/>
    <w:rsid w:val="00CB2D15"/>
    <w:rsid w:val="00CB2E6F"/>
    <w:rsid w:val="00CB3067"/>
    <w:rsid w:val="00CB3129"/>
    <w:rsid w:val="00CB35D1"/>
    <w:rsid w:val="00CB441E"/>
    <w:rsid w:val="00CB4FDE"/>
    <w:rsid w:val="00CB5374"/>
    <w:rsid w:val="00CB57F2"/>
    <w:rsid w:val="00CB5862"/>
    <w:rsid w:val="00CB5CD5"/>
    <w:rsid w:val="00CB5DAD"/>
    <w:rsid w:val="00CB6762"/>
    <w:rsid w:val="00CB6851"/>
    <w:rsid w:val="00CB6D52"/>
    <w:rsid w:val="00CB6E18"/>
    <w:rsid w:val="00CB777B"/>
    <w:rsid w:val="00CB7979"/>
    <w:rsid w:val="00CC037E"/>
    <w:rsid w:val="00CC055B"/>
    <w:rsid w:val="00CC0EA2"/>
    <w:rsid w:val="00CC10DE"/>
    <w:rsid w:val="00CC186B"/>
    <w:rsid w:val="00CC191B"/>
    <w:rsid w:val="00CC1E26"/>
    <w:rsid w:val="00CC1FD7"/>
    <w:rsid w:val="00CC20BD"/>
    <w:rsid w:val="00CC211C"/>
    <w:rsid w:val="00CC2247"/>
    <w:rsid w:val="00CC22CA"/>
    <w:rsid w:val="00CC256E"/>
    <w:rsid w:val="00CC26D1"/>
    <w:rsid w:val="00CC30E3"/>
    <w:rsid w:val="00CC32A4"/>
    <w:rsid w:val="00CC349F"/>
    <w:rsid w:val="00CC36EE"/>
    <w:rsid w:val="00CC4920"/>
    <w:rsid w:val="00CC4AB8"/>
    <w:rsid w:val="00CC4E89"/>
    <w:rsid w:val="00CC5905"/>
    <w:rsid w:val="00CC6B51"/>
    <w:rsid w:val="00CC6C03"/>
    <w:rsid w:val="00CC728C"/>
    <w:rsid w:val="00CC7F2F"/>
    <w:rsid w:val="00CD0295"/>
    <w:rsid w:val="00CD03CE"/>
    <w:rsid w:val="00CD09B6"/>
    <w:rsid w:val="00CD0B27"/>
    <w:rsid w:val="00CD10D1"/>
    <w:rsid w:val="00CD11FA"/>
    <w:rsid w:val="00CD198D"/>
    <w:rsid w:val="00CD26FA"/>
    <w:rsid w:val="00CD2C67"/>
    <w:rsid w:val="00CD2E2A"/>
    <w:rsid w:val="00CD2F86"/>
    <w:rsid w:val="00CD3258"/>
    <w:rsid w:val="00CD34A1"/>
    <w:rsid w:val="00CD3AA5"/>
    <w:rsid w:val="00CD448D"/>
    <w:rsid w:val="00CD463E"/>
    <w:rsid w:val="00CD50B5"/>
    <w:rsid w:val="00CD522B"/>
    <w:rsid w:val="00CD5370"/>
    <w:rsid w:val="00CD5685"/>
    <w:rsid w:val="00CD5AD0"/>
    <w:rsid w:val="00CD5F77"/>
    <w:rsid w:val="00CD6170"/>
    <w:rsid w:val="00CD61DC"/>
    <w:rsid w:val="00CD635E"/>
    <w:rsid w:val="00CD643A"/>
    <w:rsid w:val="00CD69FA"/>
    <w:rsid w:val="00CD6BBB"/>
    <w:rsid w:val="00CD6DA5"/>
    <w:rsid w:val="00CD6EA2"/>
    <w:rsid w:val="00CD7281"/>
    <w:rsid w:val="00CD73A9"/>
    <w:rsid w:val="00CE0124"/>
    <w:rsid w:val="00CE02BF"/>
    <w:rsid w:val="00CE03E8"/>
    <w:rsid w:val="00CE0867"/>
    <w:rsid w:val="00CE0EFE"/>
    <w:rsid w:val="00CE1340"/>
    <w:rsid w:val="00CE149C"/>
    <w:rsid w:val="00CE1EAB"/>
    <w:rsid w:val="00CE2404"/>
    <w:rsid w:val="00CE2569"/>
    <w:rsid w:val="00CE2676"/>
    <w:rsid w:val="00CE276A"/>
    <w:rsid w:val="00CE2FDA"/>
    <w:rsid w:val="00CE32F3"/>
    <w:rsid w:val="00CE32F5"/>
    <w:rsid w:val="00CE3300"/>
    <w:rsid w:val="00CE341B"/>
    <w:rsid w:val="00CE3DBC"/>
    <w:rsid w:val="00CE41BB"/>
    <w:rsid w:val="00CE4324"/>
    <w:rsid w:val="00CE4348"/>
    <w:rsid w:val="00CE456E"/>
    <w:rsid w:val="00CE4608"/>
    <w:rsid w:val="00CE57EC"/>
    <w:rsid w:val="00CE5B6F"/>
    <w:rsid w:val="00CE5EC6"/>
    <w:rsid w:val="00CE662D"/>
    <w:rsid w:val="00CE6A50"/>
    <w:rsid w:val="00CE76E6"/>
    <w:rsid w:val="00CE7BB8"/>
    <w:rsid w:val="00CF011E"/>
    <w:rsid w:val="00CF0125"/>
    <w:rsid w:val="00CF063B"/>
    <w:rsid w:val="00CF0EBD"/>
    <w:rsid w:val="00CF0F85"/>
    <w:rsid w:val="00CF163E"/>
    <w:rsid w:val="00CF2A76"/>
    <w:rsid w:val="00CF2BA0"/>
    <w:rsid w:val="00CF2E57"/>
    <w:rsid w:val="00CF3024"/>
    <w:rsid w:val="00CF3516"/>
    <w:rsid w:val="00CF3DC9"/>
    <w:rsid w:val="00CF3E30"/>
    <w:rsid w:val="00CF3EC7"/>
    <w:rsid w:val="00CF3F74"/>
    <w:rsid w:val="00CF40B9"/>
    <w:rsid w:val="00CF4B41"/>
    <w:rsid w:val="00CF4DA2"/>
    <w:rsid w:val="00CF4E47"/>
    <w:rsid w:val="00CF546A"/>
    <w:rsid w:val="00CF5A54"/>
    <w:rsid w:val="00CF5B85"/>
    <w:rsid w:val="00CF6025"/>
    <w:rsid w:val="00CF613A"/>
    <w:rsid w:val="00CF6B77"/>
    <w:rsid w:val="00CF7B68"/>
    <w:rsid w:val="00D00118"/>
    <w:rsid w:val="00D00359"/>
    <w:rsid w:val="00D007DC"/>
    <w:rsid w:val="00D00D17"/>
    <w:rsid w:val="00D01108"/>
    <w:rsid w:val="00D01551"/>
    <w:rsid w:val="00D018DD"/>
    <w:rsid w:val="00D01B0C"/>
    <w:rsid w:val="00D01BF3"/>
    <w:rsid w:val="00D01D67"/>
    <w:rsid w:val="00D01E31"/>
    <w:rsid w:val="00D01FA4"/>
    <w:rsid w:val="00D023FE"/>
    <w:rsid w:val="00D029CE"/>
    <w:rsid w:val="00D02B70"/>
    <w:rsid w:val="00D02DAD"/>
    <w:rsid w:val="00D02ECB"/>
    <w:rsid w:val="00D03F36"/>
    <w:rsid w:val="00D04343"/>
    <w:rsid w:val="00D0481C"/>
    <w:rsid w:val="00D04F8F"/>
    <w:rsid w:val="00D0511F"/>
    <w:rsid w:val="00D054B5"/>
    <w:rsid w:val="00D054F4"/>
    <w:rsid w:val="00D056AE"/>
    <w:rsid w:val="00D05B13"/>
    <w:rsid w:val="00D05B8E"/>
    <w:rsid w:val="00D05D4A"/>
    <w:rsid w:val="00D0636A"/>
    <w:rsid w:val="00D067C3"/>
    <w:rsid w:val="00D06B35"/>
    <w:rsid w:val="00D06F12"/>
    <w:rsid w:val="00D07AFE"/>
    <w:rsid w:val="00D1036E"/>
    <w:rsid w:val="00D10693"/>
    <w:rsid w:val="00D10708"/>
    <w:rsid w:val="00D10A0F"/>
    <w:rsid w:val="00D10C03"/>
    <w:rsid w:val="00D10D4C"/>
    <w:rsid w:val="00D111EF"/>
    <w:rsid w:val="00D112AC"/>
    <w:rsid w:val="00D113C4"/>
    <w:rsid w:val="00D11A1A"/>
    <w:rsid w:val="00D11CA5"/>
    <w:rsid w:val="00D11EC0"/>
    <w:rsid w:val="00D11FC9"/>
    <w:rsid w:val="00D1248D"/>
    <w:rsid w:val="00D1260E"/>
    <w:rsid w:val="00D127B2"/>
    <w:rsid w:val="00D13417"/>
    <w:rsid w:val="00D1381A"/>
    <w:rsid w:val="00D13E80"/>
    <w:rsid w:val="00D14144"/>
    <w:rsid w:val="00D1457D"/>
    <w:rsid w:val="00D1489F"/>
    <w:rsid w:val="00D14B5D"/>
    <w:rsid w:val="00D14C78"/>
    <w:rsid w:val="00D152AA"/>
    <w:rsid w:val="00D15338"/>
    <w:rsid w:val="00D15672"/>
    <w:rsid w:val="00D15DD3"/>
    <w:rsid w:val="00D1600F"/>
    <w:rsid w:val="00D16061"/>
    <w:rsid w:val="00D1636D"/>
    <w:rsid w:val="00D16628"/>
    <w:rsid w:val="00D16662"/>
    <w:rsid w:val="00D16726"/>
    <w:rsid w:val="00D1697B"/>
    <w:rsid w:val="00D16986"/>
    <w:rsid w:val="00D16A37"/>
    <w:rsid w:val="00D17295"/>
    <w:rsid w:val="00D173C5"/>
    <w:rsid w:val="00D17586"/>
    <w:rsid w:val="00D2088B"/>
    <w:rsid w:val="00D20ABC"/>
    <w:rsid w:val="00D20ED3"/>
    <w:rsid w:val="00D20ED5"/>
    <w:rsid w:val="00D20F0B"/>
    <w:rsid w:val="00D21182"/>
    <w:rsid w:val="00D212FC"/>
    <w:rsid w:val="00D2148A"/>
    <w:rsid w:val="00D215CB"/>
    <w:rsid w:val="00D217C2"/>
    <w:rsid w:val="00D21CCC"/>
    <w:rsid w:val="00D21EF3"/>
    <w:rsid w:val="00D21F41"/>
    <w:rsid w:val="00D22A51"/>
    <w:rsid w:val="00D22A58"/>
    <w:rsid w:val="00D22E09"/>
    <w:rsid w:val="00D22E14"/>
    <w:rsid w:val="00D22E75"/>
    <w:rsid w:val="00D231E6"/>
    <w:rsid w:val="00D23352"/>
    <w:rsid w:val="00D2396C"/>
    <w:rsid w:val="00D23A4A"/>
    <w:rsid w:val="00D246E4"/>
    <w:rsid w:val="00D24A0D"/>
    <w:rsid w:val="00D24BCF"/>
    <w:rsid w:val="00D24E1F"/>
    <w:rsid w:val="00D250BD"/>
    <w:rsid w:val="00D2564D"/>
    <w:rsid w:val="00D259B5"/>
    <w:rsid w:val="00D262F8"/>
    <w:rsid w:val="00D26E45"/>
    <w:rsid w:val="00D27277"/>
    <w:rsid w:val="00D27291"/>
    <w:rsid w:val="00D27524"/>
    <w:rsid w:val="00D2772D"/>
    <w:rsid w:val="00D27C78"/>
    <w:rsid w:val="00D3007E"/>
    <w:rsid w:val="00D30453"/>
    <w:rsid w:val="00D30586"/>
    <w:rsid w:val="00D30C45"/>
    <w:rsid w:val="00D324E5"/>
    <w:rsid w:val="00D326CA"/>
    <w:rsid w:val="00D32DD7"/>
    <w:rsid w:val="00D32FCB"/>
    <w:rsid w:val="00D33E2D"/>
    <w:rsid w:val="00D33F07"/>
    <w:rsid w:val="00D35227"/>
    <w:rsid w:val="00D3562A"/>
    <w:rsid w:val="00D367D3"/>
    <w:rsid w:val="00D36994"/>
    <w:rsid w:val="00D37B63"/>
    <w:rsid w:val="00D400FD"/>
    <w:rsid w:val="00D40744"/>
    <w:rsid w:val="00D40B78"/>
    <w:rsid w:val="00D40E6A"/>
    <w:rsid w:val="00D40ED1"/>
    <w:rsid w:val="00D41EB7"/>
    <w:rsid w:val="00D423D1"/>
    <w:rsid w:val="00D42514"/>
    <w:rsid w:val="00D4276D"/>
    <w:rsid w:val="00D43122"/>
    <w:rsid w:val="00D4319C"/>
    <w:rsid w:val="00D4322C"/>
    <w:rsid w:val="00D44137"/>
    <w:rsid w:val="00D444A6"/>
    <w:rsid w:val="00D44869"/>
    <w:rsid w:val="00D4493F"/>
    <w:rsid w:val="00D449DA"/>
    <w:rsid w:val="00D44BE8"/>
    <w:rsid w:val="00D45314"/>
    <w:rsid w:val="00D454DA"/>
    <w:rsid w:val="00D456A9"/>
    <w:rsid w:val="00D45CC7"/>
    <w:rsid w:val="00D46790"/>
    <w:rsid w:val="00D46CFC"/>
    <w:rsid w:val="00D47CC2"/>
    <w:rsid w:val="00D5022A"/>
    <w:rsid w:val="00D50305"/>
    <w:rsid w:val="00D50480"/>
    <w:rsid w:val="00D50828"/>
    <w:rsid w:val="00D517EE"/>
    <w:rsid w:val="00D51982"/>
    <w:rsid w:val="00D51C43"/>
    <w:rsid w:val="00D51C7C"/>
    <w:rsid w:val="00D51D26"/>
    <w:rsid w:val="00D52295"/>
    <w:rsid w:val="00D5288E"/>
    <w:rsid w:val="00D52925"/>
    <w:rsid w:val="00D52CA4"/>
    <w:rsid w:val="00D5341E"/>
    <w:rsid w:val="00D53967"/>
    <w:rsid w:val="00D53F0E"/>
    <w:rsid w:val="00D540C7"/>
    <w:rsid w:val="00D542F0"/>
    <w:rsid w:val="00D54549"/>
    <w:rsid w:val="00D54DBB"/>
    <w:rsid w:val="00D5584C"/>
    <w:rsid w:val="00D5584E"/>
    <w:rsid w:val="00D55A61"/>
    <w:rsid w:val="00D56023"/>
    <w:rsid w:val="00D56998"/>
    <w:rsid w:val="00D56C50"/>
    <w:rsid w:val="00D57C86"/>
    <w:rsid w:val="00D603E5"/>
    <w:rsid w:val="00D60634"/>
    <w:rsid w:val="00D60A70"/>
    <w:rsid w:val="00D60B5E"/>
    <w:rsid w:val="00D60CF2"/>
    <w:rsid w:val="00D610FC"/>
    <w:rsid w:val="00D61124"/>
    <w:rsid w:val="00D619B2"/>
    <w:rsid w:val="00D61E0F"/>
    <w:rsid w:val="00D61F8C"/>
    <w:rsid w:val="00D621F9"/>
    <w:rsid w:val="00D62245"/>
    <w:rsid w:val="00D62275"/>
    <w:rsid w:val="00D62420"/>
    <w:rsid w:val="00D62590"/>
    <w:rsid w:val="00D632D3"/>
    <w:rsid w:val="00D633F2"/>
    <w:rsid w:val="00D63959"/>
    <w:rsid w:val="00D63A7E"/>
    <w:rsid w:val="00D641EA"/>
    <w:rsid w:val="00D6421F"/>
    <w:rsid w:val="00D64ADC"/>
    <w:rsid w:val="00D65071"/>
    <w:rsid w:val="00D65701"/>
    <w:rsid w:val="00D6573A"/>
    <w:rsid w:val="00D65781"/>
    <w:rsid w:val="00D65B62"/>
    <w:rsid w:val="00D66077"/>
    <w:rsid w:val="00D663B9"/>
    <w:rsid w:val="00D6661F"/>
    <w:rsid w:val="00D66861"/>
    <w:rsid w:val="00D66A30"/>
    <w:rsid w:val="00D66C29"/>
    <w:rsid w:val="00D67211"/>
    <w:rsid w:val="00D677A0"/>
    <w:rsid w:val="00D67B16"/>
    <w:rsid w:val="00D67BDB"/>
    <w:rsid w:val="00D70468"/>
    <w:rsid w:val="00D70D78"/>
    <w:rsid w:val="00D70E45"/>
    <w:rsid w:val="00D71013"/>
    <w:rsid w:val="00D7134A"/>
    <w:rsid w:val="00D714B5"/>
    <w:rsid w:val="00D71822"/>
    <w:rsid w:val="00D718A8"/>
    <w:rsid w:val="00D71E76"/>
    <w:rsid w:val="00D71E98"/>
    <w:rsid w:val="00D72007"/>
    <w:rsid w:val="00D723D3"/>
    <w:rsid w:val="00D72422"/>
    <w:rsid w:val="00D72B73"/>
    <w:rsid w:val="00D72CDB"/>
    <w:rsid w:val="00D73822"/>
    <w:rsid w:val="00D74514"/>
    <w:rsid w:val="00D7467E"/>
    <w:rsid w:val="00D746BE"/>
    <w:rsid w:val="00D74B7C"/>
    <w:rsid w:val="00D7507B"/>
    <w:rsid w:val="00D75478"/>
    <w:rsid w:val="00D755A9"/>
    <w:rsid w:val="00D759EA"/>
    <w:rsid w:val="00D76326"/>
    <w:rsid w:val="00D76469"/>
    <w:rsid w:val="00D76D00"/>
    <w:rsid w:val="00D771DB"/>
    <w:rsid w:val="00D80281"/>
    <w:rsid w:val="00D803C2"/>
    <w:rsid w:val="00D80AF2"/>
    <w:rsid w:val="00D80C71"/>
    <w:rsid w:val="00D81454"/>
    <w:rsid w:val="00D82425"/>
    <w:rsid w:val="00D82706"/>
    <w:rsid w:val="00D82BA6"/>
    <w:rsid w:val="00D83559"/>
    <w:rsid w:val="00D8395A"/>
    <w:rsid w:val="00D83B52"/>
    <w:rsid w:val="00D83DFE"/>
    <w:rsid w:val="00D845BD"/>
    <w:rsid w:val="00D84C32"/>
    <w:rsid w:val="00D84D46"/>
    <w:rsid w:val="00D850A9"/>
    <w:rsid w:val="00D85138"/>
    <w:rsid w:val="00D85461"/>
    <w:rsid w:val="00D857A2"/>
    <w:rsid w:val="00D857CB"/>
    <w:rsid w:val="00D85A5E"/>
    <w:rsid w:val="00D85DF6"/>
    <w:rsid w:val="00D8626E"/>
    <w:rsid w:val="00D868E1"/>
    <w:rsid w:val="00D86B07"/>
    <w:rsid w:val="00D86BEC"/>
    <w:rsid w:val="00D8748F"/>
    <w:rsid w:val="00D87778"/>
    <w:rsid w:val="00D87799"/>
    <w:rsid w:val="00D87B06"/>
    <w:rsid w:val="00D87B8C"/>
    <w:rsid w:val="00D90510"/>
    <w:rsid w:val="00D90C0A"/>
    <w:rsid w:val="00D90C81"/>
    <w:rsid w:val="00D9120A"/>
    <w:rsid w:val="00D91513"/>
    <w:rsid w:val="00D91B58"/>
    <w:rsid w:val="00D91C27"/>
    <w:rsid w:val="00D91FCD"/>
    <w:rsid w:val="00D934F8"/>
    <w:rsid w:val="00D935FE"/>
    <w:rsid w:val="00D937FC"/>
    <w:rsid w:val="00D93959"/>
    <w:rsid w:val="00D93A81"/>
    <w:rsid w:val="00D93C9A"/>
    <w:rsid w:val="00D94078"/>
    <w:rsid w:val="00D94489"/>
    <w:rsid w:val="00D94592"/>
    <w:rsid w:val="00D947CA"/>
    <w:rsid w:val="00D94CC7"/>
    <w:rsid w:val="00D94FDF"/>
    <w:rsid w:val="00D96150"/>
    <w:rsid w:val="00D96181"/>
    <w:rsid w:val="00D9667F"/>
    <w:rsid w:val="00D967AF"/>
    <w:rsid w:val="00D96BB1"/>
    <w:rsid w:val="00D96E4B"/>
    <w:rsid w:val="00D971C3"/>
    <w:rsid w:val="00D973BD"/>
    <w:rsid w:val="00D97BEE"/>
    <w:rsid w:val="00D97D47"/>
    <w:rsid w:val="00DA0336"/>
    <w:rsid w:val="00DA0920"/>
    <w:rsid w:val="00DA0DCD"/>
    <w:rsid w:val="00DA0FE9"/>
    <w:rsid w:val="00DA166F"/>
    <w:rsid w:val="00DA18FA"/>
    <w:rsid w:val="00DA190A"/>
    <w:rsid w:val="00DA193B"/>
    <w:rsid w:val="00DA1967"/>
    <w:rsid w:val="00DA1A6A"/>
    <w:rsid w:val="00DA1CB8"/>
    <w:rsid w:val="00DA20A9"/>
    <w:rsid w:val="00DA29E8"/>
    <w:rsid w:val="00DA2F44"/>
    <w:rsid w:val="00DA3235"/>
    <w:rsid w:val="00DA3540"/>
    <w:rsid w:val="00DA3CB9"/>
    <w:rsid w:val="00DA46F8"/>
    <w:rsid w:val="00DA5392"/>
    <w:rsid w:val="00DA587C"/>
    <w:rsid w:val="00DA59DC"/>
    <w:rsid w:val="00DA5CB8"/>
    <w:rsid w:val="00DA6555"/>
    <w:rsid w:val="00DA6A31"/>
    <w:rsid w:val="00DA6BF5"/>
    <w:rsid w:val="00DA7823"/>
    <w:rsid w:val="00DA7B92"/>
    <w:rsid w:val="00DB05D1"/>
    <w:rsid w:val="00DB11EE"/>
    <w:rsid w:val="00DB14FF"/>
    <w:rsid w:val="00DB1926"/>
    <w:rsid w:val="00DB297A"/>
    <w:rsid w:val="00DB2AA6"/>
    <w:rsid w:val="00DB2B0B"/>
    <w:rsid w:val="00DB2B6D"/>
    <w:rsid w:val="00DB30EC"/>
    <w:rsid w:val="00DB3141"/>
    <w:rsid w:val="00DB332D"/>
    <w:rsid w:val="00DB33F0"/>
    <w:rsid w:val="00DB35A8"/>
    <w:rsid w:val="00DB37CB"/>
    <w:rsid w:val="00DB3835"/>
    <w:rsid w:val="00DB395E"/>
    <w:rsid w:val="00DB3E9F"/>
    <w:rsid w:val="00DB409B"/>
    <w:rsid w:val="00DB47C2"/>
    <w:rsid w:val="00DB4D63"/>
    <w:rsid w:val="00DB4FC2"/>
    <w:rsid w:val="00DB5267"/>
    <w:rsid w:val="00DB5337"/>
    <w:rsid w:val="00DB57EB"/>
    <w:rsid w:val="00DB59DF"/>
    <w:rsid w:val="00DB63CC"/>
    <w:rsid w:val="00DB76B9"/>
    <w:rsid w:val="00DB788E"/>
    <w:rsid w:val="00DC03C0"/>
    <w:rsid w:val="00DC1CFD"/>
    <w:rsid w:val="00DC1F23"/>
    <w:rsid w:val="00DC2982"/>
    <w:rsid w:val="00DC31A4"/>
    <w:rsid w:val="00DC3235"/>
    <w:rsid w:val="00DC365B"/>
    <w:rsid w:val="00DC3794"/>
    <w:rsid w:val="00DC3C4E"/>
    <w:rsid w:val="00DC4178"/>
    <w:rsid w:val="00DC420A"/>
    <w:rsid w:val="00DC43D2"/>
    <w:rsid w:val="00DC4655"/>
    <w:rsid w:val="00DC472E"/>
    <w:rsid w:val="00DC4944"/>
    <w:rsid w:val="00DC49C7"/>
    <w:rsid w:val="00DC4C92"/>
    <w:rsid w:val="00DC4EEB"/>
    <w:rsid w:val="00DC5677"/>
    <w:rsid w:val="00DC57B0"/>
    <w:rsid w:val="00DC5925"/>
    <w:rsid w:val="00DC5CBD"/>
    <w:rsid w:val="00DC5F6E"/>
    <w:rsid w:val="00DC60FA"/>
    <w:rsid w:val="00DC6299"/>
    <w:rsid w:val="00DC62DA"/>
    <w:rsid w:val="00DC6523"/>
    <w:rsid w:val="00DC6734"/>
    <w:rsid w:val="00DC692F"/>
    <w:rsid w:val="00DC6B79"/>
    <w:rsid w:val="00DC718B"/>
    <w:rsid w:val="00DC7234"/>
    <w:rsid w:val="00DC72A5"/>
    <w:rsid w:val="00DC73B4"/>
    <w:rsid w:val="00DC73E7"/>
    <w:rsid w:val="00DC785D"/>
    <w:rsid w:val="00DC79F3"/>
    <w:rsid w:val="00DD0A52"/>
    <w:rsid w:val="00DD0BB4"/>
    <w:rsid w:val="00DD0D55"/>
    <w:rsid w:val="00DD14AE"/>
    <w:rsid w:val="00DD172D"/>
    <w:rsid w:val="00DD1AB1"/>
    <w:rsid w:val="00DD1CC0"/>
    <w:rsid w:val="00DD1D89"/>
    <w:rsid w:val="00DD1E11"/>
    <w:rsid w:val="00DD2954"/>
    <w:rsid w:val="00DD2F1C"/>
    <w:rsid w:val="00DD314F"/>
    <w:rsid w:val="00DD3206"/>
    <w:rsid w:val="00DD35C4"/>
    <w:rsid w:val="00DD3796"/>
    <w:rsid w:val="00DD3A86"/>
    <w:rsid w:val="00DD3FB1"/>
    <w:rsid w:val="00DD40A8"/>
    <w:rsid w:val="00DD421F"/>
    <w:rsid w:val="00DD4E32"/>
    <w:rsid w:val="00DD4F02"/>
    <w:rsid w:val="00DD5372"/>
    <w:rsid w:val="00DD53C5"/>
    <w:rsid w:val="00DD5684"/>
    <w:rsid w:val="00DD56A8"/>
    <w:rsid w:val="00DD579F"/>
    <w:rsid w:val="00DD5A85"/>
    <w:rsid w:val="00DD5A93"/>
    <w:rsid w:val="00DD61B7"/>
    <w:rsid w:val="00DD6323"/>
    <w:rsid w:val="00DD650D"/>
    <w:rsid w:val="00DD69F9"/>
    <w:rsid w:val="00DD6C96"/>
    <w:rsid w:val="00DD7229"/>
    <w:rsid w:val="00DD76B0"/>
    <w:rsid w:val="00DD7727"/>
    <w:rsid w:val="00DD7777"/>
    <w:rsid w:val="00DD7E45"/>
    <w:rsid w:val="00DE04F0"/>
    <w:rsid w:val="00DE0619"/>
    <w:rsid w:val="00DE0646"/>
    <w:rsid w:val="00DE1324"/>
    <w:rsid w:val="00DE1EC4"/>
    <w:rsid w:val="00DE23AF"/>
    <w:rsid w:val="00DE2914"/>
    <w:rsid w:val="00DE2AD7"/>
    <w:rsid w:val="00DE2B1E"/>
    <w:rsid w:val="00DE3217"/>
    <w:rsid w:val="00DE3472"/>
    <w:rsid w:val="00DE3886"/>
    <w:rsid w:val="00DE393A"/>
    <w:rsid w:val="00DE3B39"/>
    <w:rsid w:val="00DE45D0"/>
    <w:rsid w:val="00DE4621"/>
    <w:rsid w:val="00DE489F"/>
    <w:rsid w:val="00DE4C0B"/>
    <w:rsid w:val="00DE518C"/>
    <w:rsid w:val="00DE52C2"/>
    <w:rsid w:val="00DE654F"/>
    <w:rsid w:val="00DE6695"/>
    <w:rsid w:val="00DE6DF3"/>
    <w:rsid w:val="00DF011B"/>
    <w:rsid w:val="00DF0735"/>
    <w:rsid w:val="00DF08A0"/>
    <w:rsid w:val="00DF0B47"/>
    <w:rsid w:val="00DF0F79"/>
    <w:rsid w:val="00DF104A"/>
    <w:rsid w:val="00DF20FB"/>
    <w:rsid w:val="00DF2C3A"/>
    <w:rsid w:val="00DF318D"/>
    <w:rsid w:val="00DF3205"/>
    <w:rsid w:val="00DF390D"/>
    <w:rsid w:val="00DF3965"/>
    <w:rsid w:val="00DF3B09"/>
    <w:rsid w:val="00DF3F8B"/>
    <w:rsid w:val="00DF407A"/>
    <w:rsid w:val="00DF4154"/>
    <w:rsid w:val="00DF4E32"/>
    <w:rsid w:val="00DF4E57"/>
    <w:rsid w:val="00DF5121"/>
    <w:rsid w:val="00DF5275"/>
    <w:rsid w:val="00DF569E"/>
    <w:rsid w:val="00DF57D0"/>
    <w:rsid w:val="00DF593B"/>
    <w:rsid w:val="00DF5B96"/>
    <w:rsid w:val="00DF675D"/>
    <w:rsid w:val="00DF69B7"/>
    <w:rsid w:val="00DF71C1"/>
    <w:rsid w:val="00DF7422"/>
    <w:rsid w:val="00DF74DE"/>
    <w:rsid w:val="00DF7BC5"/>
    <w:rsid w:val="00DF7C9D"/>
    <w:rsid w:val="00E000DC"/>
    <w:rsid w:val="00E00441"/>
    <w:rsid w:val="00E00741"/>
    <w:rsid w:val="00E02362"/>
    <w:rsid w:val="00E02687"/>
    <w:rsid w:val="00E02BBE"/>
    <w:rsid w:val="00E03131"/>
    <w:rsid w:val="00E0351C"/>
    <w:rsid w:val="00E03AEB"/>
    <w:rsid w:val="00E03B31"/>
    <w:rsid w:val="00E04694"/>
    <w:rsid w:val="00E04841"/>
    <w:rsid w:val="00E04D21"/>
    <w:rsid w:val="00E04EFF"/>
    <w:rsid w:val="00E0520B"/>
    <w:rsid w:val="00E0598E"/>
    <w:rsid w:val="00E059C0"/>
    <w:rsid w:val="00E05ACB"/>
    <w:rsid w:val="00E05E58"/>
    <w:rsid w:val="00E064BC"/>
    <w:rsid w:val="00E06C0A"/>
    <w:rsid w:val="00E0713E"/>
    <w:rsid w:val="00E07300"/>
    <w:rsid w:val="00E075D6"/>
    <w:rsid w:val="00E102ED"/>
    <w:rsid w:val="00E106BB"/>
    <w:rsid w:val="00E109C7"/>
    <w:rsid w:val="00E10BA6"/>
    <w:rsid w:val="00E10D7A"/>
    <w:rsid w:val="00E1103A"/>
    <w:rsid w:val="00E11298"/>
    <w:rsid w:val="00E11DB8"/>
    <w:rsid w:val="00E11E07"/>
    <w:rsid w:val="00E12299"/>
    <w:rsid w:val="00E12560"/>
    <w:rsid w:val="00E12641"/>
    <w:rsid w:val="00E126D2"/>
    <w:rsid w:val="00E12892"/>
    <w:rsid w:val="00E129EB"/>
    <w:rsid w:val="00E12A5D"/>
    <w:rsid w:val="00E12CA5"/>
    <w:rsid w:val="00E12D26"/>
    <w:rsid w:val="00E12D5C"/>
    <w:rsid w:val="00E13195"/>
    <w:rsid w:val="00E13420"/>
    <w:rsid w:val="00E13FEC"/>
    <w:rsid w:val="00E14598"/>
    <w:rsid w:val="00E14C53"/>
    <w:rsid w:val="00E150A6"/>
    <w:rsid w:val="00E153B0"/>
    <w:rsid w:val="00E15573"/>
    <w:rsid w:val="00E15763"/>
    <w:rsid w:val="00E16800"/>
    <w:rsid w:val="00E16A53"/>
    <w:rsid w:val="00E16A6F"/>
    <w:rsid w:val="00E16C9F"/>
    <w:rsid w:val="00E17018"/>
    <w:rsid w:val="00E17598"/>
    <w:rsid w:val="00E17912"/>
    <w:rsid w:val="00E202A1"/>
    <w:rsid w:val="00E20FC5"/>
    <w:rsid w:val="00E2121F"/>
    <w:rsid w:val="00E21B47"/>
    <w:rsid w:val="00E22108"/>
    <w:rsid w:val="00E22295"/>
    <w:rsid w:val="00E22C34"/>
    <w:rsid w:val="00E22C99"/>
    <w:rsid w:val="00E234C4"/>
    <w:rsid w:val="00E23A4A"/>
    <w:rsid w:val="00E23A7F"/>
    <w:rsid w:val="00E23B65"/>
    <w:rsid w:val="00E24C48"/>
    <w:rsid w:val="00E24FDD"/>
    <w:rsid w:val="00E24FF4"/>
    <w:rsid w:val="00E250F6"/>
    <w:rsid w:val="00E25166"/>
    <w:rsid w:val="00E252E4"/>
    <w:rsid w:val="00E25861"/>
    <w:rsid w:val="00E25C2E"/>
    <w:rsid w:val="00E2642C"/>
    <w:rsid w:val="00E2659E"/>
    <w:rsid w:val="00E268B6"/>
    <w:rsid w:val="00E271C5"/>
    <w:rsid w:val="00E2762E"/>
    <w:rsid w:val="00E27C00"/>
    <w:rsid w:val="00E30094"/>
    <w:rsid w:val="00E30C82"/>
    <w:rsid w:val="00E31484"/>
    <w:rsid w:val="00E318FE"/>
    <w:rsid w:val="00E31BB0"/>
    <w:rsid w:val="00E31C0E"/>
    <w:rsid w:val="00E31F06"/>
    <w:rsid w:val="00E32328"/>
    <w:rsid w:val="00E32638"/>
    <w:rsid w:val="00E327B7"/>
    <w:rsid w:val="00E332CA"/>
    <w:rsid w:val="00E3348E"/>
    <w:rsid w:val="00E33CC4"/>
    <w:rsid w:val="00E33FF5"/>
    <w:rsid w:val="00E340F5"/>
    <w:rsid w:val="00E34A51"/>
    <w:rsid w:val="00E34E59"/>
    <w:rsid w:val="00E34EAA"/>
    <w:rsid w:val="00E3511E"/>
    <w:rsid w:val="00E353AA"/>
    <w:rsid w:val="00E35C42"/>
    <w:rsid w:val="00E35CAE"/>
    <w:rsid w:val="00E36105"/>
    <w:rsid w:val="00E366A5"/>
    <w:rsid w:val="00E3679E"/>
    <w:rsid w:val="00E36A79"/>
    <w:rsid w:val="00E36BDF"/>
    <w:rsid w:val="00E4031A"/>
    <w:rsid w:val="00E406FB"/>
    <w:rsid w:val="00E407AD"/>
    <w:rsid w:val="00E40CE6"/>
    <w:rsid w:val="00E40E2B"/>
    <w:rsid w:val="00E410CC"/>
    <w:rsid w:val="00E41A01"/>
    <w:rsid w:val="00E41D9E"/>
    <w:rsid w:val="00E424CC"/>
    <w:rsid w:val="00E425AE"/>
    <w:rsid w:val="00E42886"/>
    <w:rsid w:val="00E42BD2"/>
    <w:rsid w:val="00E42F4F"/>
    <w:rsid w:val="00E4312E"/>
    <w:rsid w:val="00E4383A"/>
    <w:rsid w:val="00E439BB"/>
    <w:rsid w:val="00E44261"/>
    <w:rsid w:val="00E44854"/>
    <w:rsid w:val="00E44F8E"/>
    <w:rsid w:val="00E45059"/>
    <w:rsid w:val="00E45512"/>
    <w:rsid w:val="00E4595E"/>
    <w:rsid w:val="00E46498"/>
    <w:rsid w:val="00E46569"/>
    <w:rsid w:val="00E466AB"/>
    <w:rsid w:val="00E46C85"/>
    <w:rsid w:val="00E46DE0"/>
    <w:rsid w:val="00E47D0C"/>
    <w:rsid w:val="00E5008C"/>
    <w:rsid w:val="00E50419"/>
    <w:rsid w:val="00E5087A"/>
    <w:rsid w:val="00E5087B"/>
    <w:rsid w:val="00E50B4A"/>
    <w:rsid w:val="00E51DCD"/>
    <w:rsid w:val="00E5248A"/>
    <w:rsid w:val="00E52724"/>
    <w:rsid w:val="00E52A3E"/>
    <w:rsid w:val="00E52E3E"/>
    <w:rsid w:val="00E535BC"/>
    <w:rsid w:val="00E53B1B"/>
    <w:rsid w:val="00E53BD5"/>
    <w:rsid w:val="00E53FB6"/>
    <w:rsid w:val="00E5428E"/>
    <w:rsid w:val="00E5435D"/>
    <w:rsid w:val="00E54AF0"/>
    <w:rsid w:val="00E54EAA"/>
    <w:rsid w:val="00E5528D"/>
    <w:rsid w:val="00E55467"/>
    <w:rsid w:val="00E5558D"/>
    <w:rsid w:val="00E555C5"/>
    <w:rsid w:val="00E555F3"/>
    <w:rsid w:val="00E55DD7"/>
    <w:rsid w:val="00E55E37"/>
    <w:rsid w:val="00E55F12"/>
    <w:rsid w:val="00E55F65"/>
    <w:rsid w:val="00E565EB"/>
    <w:rsid w:val="00E569A2"/>
    <w:rsid w:val="00E5700B"/>
    <w:rsid w:val="00E57066"/>
    <w:rsid w:val="00E571F8"/>
    <w:rsid w:val="00E575DB"/>
    <w:rsid w:val="00E579D1"/>
    <w:rsid w:val="00E57A5A"/>
    <w:rsid w:val="00E57DCA"/>
    <w:rsid w:val="00E57E18"/>
    <w:rsid w:val="00E602FF"/>
    <w:rsid w:val="00E603D9"/>
    <w:rsid w:val="00E60CCF"/>
    <w:rsid w:val="00E60D2F"/>
    <w:rsid w:val="00E60E05"/>
    <w:rsid w:val="00E60F18"/>
    <w:rsid w:val="00E6151B"/>
    <w:rsid w:val="00E6155A"/>
    <w:rsid w:val="00E61569"/>
    <w:rsid w:val="00E6172C"/>
    <w:rsid w:val="00E619B5"/>
    <w:rsid w:val="00E61DF2"/>
    <w:rsid w:val="00E61F71"/>
    <w:rsid w:val="00E62907"/>
    <w:rsid w:val="00E62B41"/>
    <w:rsid w:val="00E62C6C"/>
    <w:rsid w:val="00E630B9"/>
    <w:rsid w:val="00E634EC"/>
    <w:rsid w:val="00E6363D"/>
    <w:rsid w:val="00E63AA4"/>
    <w:rsid w:val="00E63D4A"/>
    <w:rsid w:val="00E63D57"/>
    <w:rsid w:val="00E64124"/>
    <w:rsid w:val="00E6471E"/>
    <w:rsid w:val="00E64982"/>
    <w:rsid w:val="00E649C8"/>
    <w:rsid w:val="00E650E2"/>
    <w:rsid w:val="00E650E6"/>
    <w:rsid w:val="00E665FA"/>
    <w:rsid w:val="00E66ACC"/>
    <w:rsid w:val="00E66CB2"/>
    <w:rsid w:val="00E675B5"/>
    <w:rsid w:val="00E677B3"/>
    <w:rsid w:val="00E678E8"/>
    <w:rsid w:val="00E67E10"/>
    <w:rsid w:val="00E67F75"/>
    <w:rsid w:val="00E700AE"/>
    <w:rsid w:val="00E70509"/>
    <w:rsid w:val="00E705CB"/>
    <w:rsid w:val="00E708A3"/>
    <w:rsid w:val="00E70AAA"/>
    <w:rsid w:val="00E714A1"/>
    <w:rsid w:val="00E71648"/>
    <w:rsid w:val="00E716B6"/>
    <w:rsid w:val="00E7176E"/>
    <w:rsid w:val="00E71A4F"/>
    <w:rsid w:val="00E71A6F"/>
    <w:rsid w:val="00E71FB6"/>
    <w:rsid w:val="00E723BA"/>
    <w:rsid w:val="00E724DA"/>
    <w:rsid w:val="00E72609"/>
    <w:rsid w:val="00E726B3"/>
    <w:rsid w:val="00E7292D"/>
    <w:rsid w:val="00E72D1F"/>
    <w:rsid w:val="00E72DA9"/>
    <w:rsid w:val="00E73133"/>
    <w:rsid w:val="00E731DC"/>
    <w:rsid w:val="00E73239"/>
    <w:rsid w:val="00E73383"/>
    <w:rsid w:val="00E7474B"/>
    <w:rsid w:val="00E748DD"/>
    <w:rsid w:val="00E7516B"/>
    <w:rsid w:val="00E75541"/>
    <w:rsid w:val="00E755B0"/>
    <w:rsid w:val="00E75768"/>
    <w:rsid w:val="00E75AE3"/>
    <w:rsid w:val="00E75B92"/>
    <w:rsid w:val="00E76050"/>
    <w:rsid w:val="00E76771"/>
    <w:rsid w:val="00E776A6"/>
    <w:rsid w:val="00E7783F"/>
    <w:rsid w:val="00E779FC"/>
    <w:rsid w:val="00E77D48"/>
    <w:rsid w:val="00E77E9E"/>
    <w:rsid w:val="00E77F74"/>
    <w:rsid w:val="00E77F7F"/>
    <w:rsid w:val="00E8002A"/>
    <w:rsid w:val="00E802D8"/>
    <w:rsid w:val="00E80F3B"/>
    <w:rsid w:val="00E80F57"/>
    <w:rsid w:val="00E811E3"/>
    <w:rsid w:val="00E81240"/>
    <w:rsid w:val="00E821A7"/>
    <w:rsid w:val="00E8245D"/>
    <w:rsid w:val="00E825AE"/>
    <w:rsid w:val="00E828C1"/>
    <w:rsid w:val="00E828D8"/>
    <w:rsid w:val="00E829B6"/>
    <w:rsid w:val="00E82BB6"/>
    <w:rsid w:val="00E82DE7"/>
    <w:rsid w:val="00E839FA"/>
    <w:rsid w:val="00E83BD2"/>
    <w:rsid w:val="00E83FDA"/>
    <w:rsid w:val="00E84CC0"/>
    <w:rsid w:val="00E84EA6"/>
    <w:rsid w:val="00E8571B"/>
    <w:rsid w:val="00E85763"/>
    <w:rsid w:val="00E85CAD"/>
    <w:rsid w:val="00E85F25"/>
    <w:rsid w:val="00E862B0"/>
    <w:rsid w:val="00E8661E"/>
    <w:rsid w:val="00E87194"/>
    <w:rsid w:val="00E87280"/>
    <w:rsid w:val="00E87854"/>
    <w:rsid w:val="00E87B77"/>
    <w:rsid w:val="00E87D2C"/>
    <w:rsid w:val="00E90D9E"/>
    <w:rsid w:val="00E90DB3"/>
    <w:rsid w:val="00E90FBB"/>
    <w:rsid w:val="00E91016"/>
    <w:rsid w:val="00E910D1"/>
    <w:rsid w:val="00E91301"/>
    <w:rsid w:val="00E914C5"/>
    <w:rsid w:val="00E91B72"/>
    <w:rsid w:val="00E92172"/>
    <w:rsid w:val="00E924ED"/>
    <w:rsid w:val="00E9256C"/>
    <w:rsid w:val="00E9292F"/>
    <w:rsid w:val="00E92979"/>
    <w:rsid w:val="00E92AA0"/>
    <w:rsid w:val="00E92EC8"/>
    <w:rsid w:val="00E93558"/>
    <w:rsid w:val="00E93864"/>
    <w:rsid w:val="00E93FF2"/>
    <w:rsid w:val="00E947D0"/>
    <w:rsid w:val="00E947D4"/>
    <w:rsid w:val="00E94C6D"/>
    <w:rsid w:val="00E94D05"/>
    <w:rsid w:val="00E955EC"/>
    <w:rsid w:val="00E9627D"/>
    <w:rsid w:val="00E969FD"/>
    <w:rsid w:val="00E96A82"/>
    <w:rsid w:val="00E9718B"/>
    <w:rsid w:val="00E97231"/>
    <w:rsid w:val="00E974E6"/>
    <w:rsid w:val="00E97CA0"/>
    <w:rsid w:val="00E97CD0"/>
    <w:rsid w:val="00EA03FC"/>
    <w:rsid w:val="00EA05D0"/>
    <w:rsid w:val="00EA14CF"/>
    <w:rsid w:val="00EA1575"/>
    <w:rsid w:val="00EA1C3C"/>
    <w:rsid w:val="00EA2524"/>
    <w:rsid w:val="00EA2BC6"/>
    <w:rsid w:val="00EA2C6D"/>
    <w:rsid w:val="00EA341F"/>
    <w:rsid w:val="00EA354D"/>
    <w:rsid w:val="00EA35EF"/>
    <w:rsid w:val="00EA37CB"/>
    <w:rsid w:val="00EA3A0C"/>
    <w:rsid w:val="00EA3A75"/>
    <w:rsid w:val="00EA3D17"/>
    <w:rsid w:val="00EA4240"/>
    <w:rsid w:val="00EA4295"/>
    <w:rsid w:val="00EA4583"/>
    <w:rsid w:val="00EA48ED"/>
    <w:rsid w:val="00EA496F"/>
    <w:rsid w:val="00EA49D9"/>
    <w:rsid w:val="00EA4EF2"/>
    <w:rsid w:val="00EA4F9C"/>
    <w:rsid w:val="00EA5169"/>
    <w:rsid w:val="00EA5199"/>
    <w:rsid w:val="00EA5441"/>
    <w:rsid w:val="00EA6619"/>
    <w:rsid w:val="00EA6E74"/>
    <w:rsid w:val="00EA723E"/>
    <w:rsid w:val="00EA72C7"/>
    <w:rsid w:val="00EA7D77"/>
    <w:rsid w:val="00EB0A05"/>
    <w:rsid w:val="00EB0B87"/>
    <w:rsid w:val="00EB105E"/>
    <w:rsid w:val="00EB122D"/>
    <w:rsid w:val="00EB1445"/>
    <w:rsid w:val="00EB1546"/>
    <w:rsid w:val="00EB163E"/>
    <w:rsid w:val="00EB17BB"/>
    <w:rsid w:val="00EB1FEC"/>
    <w:rsid w:val="00EB23B9"/>
    <w:rsid w:val="00EB2437"/>
    <w:rsid w:val="00EB25EB"/>
    <w:rsid w:val="00EB2DA9"/>
    <w:rsid w:val="00EB326B"/>
    <w:rsid w:val="00EB338D"/>
    <w:rsid w:val="00EB359C"/>
    <w:rsid w:val="00EB38CB"/>
    <w:rsid w:val="00EB3B88"/>
    <w:rsid w:val="00EB3CDF"/>
    <w:rsid w:val="00EB3FD7"/>
    <w:rsid w:val="00EB4117"/>
    <w:rsid w:val="00EB4233"/>
    <w:rsid w:val="00EB4BC1"/>
    <w:rsid w:val="00EB4BF4"/>
    <w:rsid w:val="00EB4C82"/>
    <w:rsid w:val="00EB4CDF"/>
    <w:rsid w:val="00EB55BC"/>
    <w:rsid w:val="00EB55C5"/>
    <w:rsid w:val="00EB56BB"/>
    <w:rsid w:val="00EB5A9E"/>
    <w:rsid w:val="00EB5BFB"/>
    <w:rsid w:val="00EB636C"/>
    <w:rsid w:val="00EB6A33"/>
    <w:rsid w:val="00EB7802"/>
    <w:rsid w:val="00EB79BE"/>
    <w:rsid w:val="00EB79CA"/>
    <w:rsid w:val="00EB7D5A"/>
    <w:rsid w:val="00EB7F3E"/>
    <w:rsid w:val="00EC0768"/>
    <w:rsid w:val="00EC0CC1"/>
    <w:rsid w:val="00EC0DD4"/>
    <w:rsid w:val="00EC120E"/>
    <w:rsid w:val="00EC180C"/>
    <w:rsid w:val="00EC1A30"/>
    <w:rsid w:val="00EC1C29"/>
    <w:rsid w:val="00EC255C"/>
    <w:rsid w:val="00EC28A5"/>
    <w:rsid w:val="00EC2C37"/>
    <w:rsid w:val="00EC2C68"/>
    <w:rsid w:val="00EC2D0A"/>
    <w:rsid w:val="00EC2D60"/>
    <w:rsid w:val="00EC2FB5"/>
    <w:rsid w:val="00EC2FD5"/>
    <w:rsid w:val="00EC2FF4"/>
    <w:rsid w:val="00EC323E"/>
    <w:rsid w:val="00EC37F4"/>
    <w:rsid w:val="00EC394B"/>
    <w:rsid w:val="00EC4905"/>
    <w:rsid w:val="00EC4AD0"/>
    <w:rsid w:val="00EC4C58"/>
    <w:rsid w:val="00EC4E24"/>
    <w:rsid w:val="00EC5473"/>
    <w:rsid w:val="00EC5487"/>
    <w:rsid w:val="00EC5ADC"/>
    <w:rsid w:val="00EC5D29"/>
    <w:rsid w:val="00EC5FA9"/>
    <w:rsid w:val="00EC6708"/>
    <w:rsid w:val="00EC68DC"/>
    <w:rsid w:val="00EC6E63"/>
    <w:rsid w:val="00EC79A6"/>
    <w:rsid w:val="00EC7A0A"/>
    <w:rsid w:val="00EC7A80"/>
    <w:rsid w:val="00ED0035"/>
    <w:rsid w:val="00ED02F6"/>
    <w:rsid w:val="00ED0377"/>
    <w:rsid w:val="00ED044E"/>
    <w:rsid w:val="00ED0778"/>
    <w:rsid w:val="00ED07C3"/>
    <w:rsid w:val="00ED07EE"/>
    <w:rsid w:val="00ED08FE"/>
    <w:rsid w:val="00ED1020"/>
    <w:rsid w:val="00ED11E5"/>
    <w:rsid w:val="00ED179A"/>
    <w:rsid w:val="00ED2C57"/>
    <w:rsid w:val="00ED3374"/>
    <w:rsid w:val="00ED372A"/>
    <w:rsid w:val="00ED384C"/>
    <w:rsid w:val="00ED3DB1"/>
    <w:rsid w:val="00ED3DD9"/>
    <w:rsid w:val="00ED3E8B"/>
    <w:rsid w:val="00ED3EA8"/>
    <w:rsid w:val="00ED4174"/>
    <w:rsid w:val="00ED4265"/>
    <w:rsid w:val="00ED48EA"/>
    <w:rsid w:val="00ED4B76"/>
    <w:rsid w:val="00ED4F83"/>
    <w:rsid w:val="00ED56FF"/>
    <w:rsid w:val="00ED593D"/>
    <w:rsid w:val="00ED5B22"/>
    <w:rsid w:val="00ED5DDD"/>
    <w:rsid w:val="00ED5E6A"/>
    <w:rsid w:val="00ED6B70"/>
    <w:rsid w:val="00ED74CF"/>
    <w:rsid w:val="00ED7A05"/>
    <w:rsid w:val="00EE06C4"/>
    <w:rsid w:val="00EE075B"/>
    <w:rsid w:val="00EE07A6"/>
    <w:rsid w:val="00EE11F8"/>
    <w:rsid w:val="00EE1465"/>
    <w:rsid w:val="00EE1724"/>
    <w:rsid w:val="00EE1D86"/>
    <w:rsid w:val="00EE1E47"/>
    <w:rsid w:val="00EE21B1"/>
    <w:rsid w:val="00EE23CE"/>
    <w:rsid w:val="00EE24D5"/>
    <w:rsid w:val="00EE334C"/>
    <w:rsid w:val="00EE3505"/>
    <w:rsid w:val="00EE3702"/>
    <w:rsid w:val="00EE42AD"/>
    <w:rsid w:val="00EE4451"/>
    <w:rsid w:val="00EE4CAD"/>
    <w:rsid w:val="00EE50E0"/>
    <w:rsid w:val="00EE559A"/>
    <w:rsid w:val="00EE6A73"/>
    <w:rsid w:val="00EE6CBE"/>
    <w:rsid w:val="00EE7607"/>
    <w:rsid w:val="00EE76D2"/>
    <w:rsid w:val="00EE7C91"/>
    <w:rsid w:val="00EE7E81"/>
    <w:rsid w:val="00EF052D"/>
    <w:rsid w:val="00EF07C5"/>
    <w:rsid w:val="00EF0C9B"/>
    <w:rsid w:val="00EF1057"/>
    <w:rsid w:val="00EF16A0"/>
    <w:rsid w:val="00EF1FAE"/>
    <w:rsid w:val="00EF21C1"/>
    <w:rsid w:val="00EF25DB"/>
    <w:rsid w:val="00EF262A"/>
    <w:rsid w:val="00EF333E"/>
    <w:rsid w:val="00EF33B6"/>
    <w:rsid w:val="00EF3411"/>
    <w:rsid w:val="00EF395A"/>
    <w:rsid w:val="00EF398B"/>
    <w:rsid w:val="00EF3CE7"/>
    <w:rsid w:val="00EF3DF3"/>
    <w:rsid w:val="00EF40CA"/>
    <w:rsid w:val="00EF4D51"/>
    <w:rsid w:val="00EF4E30"/>
    <w:rsid w:val="00EF5B53"/>
    <w:rsid w:val="00EF6238"/>
    <w:rsid w:val="00EF71B3"/>
    <w:rsid w:val="00EF7BC8"/>
    <w:rsid w:val="00EF7E55"/>
    <w:rsid w:val="00EF7E88"/>
    <w:rsid w:val="00EF7F5E"/>
    <w:rsid w:val="00F002CF"/>
    <w:rsid w:val="00F0085A"/>
    <w:rsid w:val="00F00C7D"/>
    <w:rsid w:val="00F00FAD"/>
    <w:rsid w:val="00F01D57"/>
    <w:rsid w:val="00F02153"/>
    <w:rsid w:val="00F02330"/>
    <w:rsid w:val="00F027C2"/>
    <w:rsid w:val="00F0298A"/>
    <w:rsid w:val="00F02B40"/>
    <w:rsid w:val="00F02CF0"/>
    <w:rsid w:val="00F03D07"/>
    <w:rsid w:val="00F04138"/>
    <w:rsid w:val="00F04896"/>
    <w:rsid w:val="00F04CD5"/>
    <w:rsid w:val="00F051E2"/>
    <w:rsid w:val="00F051F9"/>
    <w:rsid w:val="00F0567A"/>
    <w:rsid w:val="00F058C1"/>
    <w:rsid w:val="00F05973"/>
    <w:rsid w:val="00F059D2"/>
    <w:rsid w:val="00F059E7"/>
    <w:rsid w:val="00F05BBD"/>
    <w:rsid w:val="00F05CD7"/>
    <w:rsid w:val="00F05E04"/>
    <w:rsid w:val="00F05E6A"/>
    <w:rsid w:val="00F071BF"/>
    <w:rsid w:val="00F073AD"/>
    <w:rsid w:val="00F07ABD"/>
    <w:rsid w:val="00F07CD9"/>
    <w:rsid w:val="00F07DD8"/>
    <w:rsid w:val="00F100E5"/>
    <w:rsid w:val="00F10596"/>
    <w:rsid w:val="00F10725"/>
    <w:rsid w:val="00F1092F"/>
    <w:rsid w:val="00F10BE5"/>
    <w:rsid w:val="00F10D8B"/>
    <w:rsid w:val="00F1140D"/>
    <w:rsid w:val="00F118B4"/>
    <w:rsid w:val="00F11B44"/>
    <w:rsid w:val="00F1226F"/>
    <w:rsid w:val="00F126ED"/>
    <w:rsid w:val="00F12ED2"/>
    <w:rsid w:val="00F12F03"/>
    <w:rsid w:val="00F136FB"/>
    <w:rsid w:val="00F13923"/>
    <w:rsid w:val="00F13EAA"/>
    <w:rsid w:val="00F13EB6"/>
    <w:rsid w:val="00F1458C"/>
    <w:rsid w:val="00F14A23"/>
    <w:rsid w:val="00F153AD"/>
    <w:rsid w:val="00F154DA"/>
    <w:rsid w:val="00F15675"/>
    <w:rsid w:val="00F156C6"/>
    <w:rsid w:val="00F15726"/>
    <w:rsid w:val="00F15796"/>
    <w:rsid w:val="00F1629B"/>
    <w:rsid w:val="00F162FA"/>
    <w:rsid w:val="00F1698B"/>
    <w:rsid w:val="00F1755C"/>
    <w:rsid w:val="00F17C66"/>
    <w:rsid w:val="00F17C7D"/>
    <w:rsid w:val="00F208FD"/>
    <w:rsid w:val="00F20E64"/>
    <w:rsid w:val="00F21250"/>
    <w:rsid w:val="00F21A5B"/>
    <w:rsid w:val="00F22FBD"/>
    <w:rsid w:val="00F230CB"/>
    <w:rsid w:val="00F23239"/>
    <w:rsid w:val="00F2398D"/>
    <w:rsid w:val="00F23B93"/>
    <w:rsid w:val="00F23BC9"/>
    <w:rsid w:val="00F24196"/>
    <w:rsid w:val="00F245B5"/>
    <w:rsid w:val="00F24664"/>
    <w:rsid w:val="00F24944"/>
    <w:rsid w:val="00F24C17"/>
    <w:rsid w:val="00F25864"/>
    <w:rsid w:val="00F258FA"/>
    <w:rsid w:val="00F26906"/>
    <w:rsid w:val="00F269C2"/>
    <w:rsid w:val="00F26DA5"/>
    <w:rsid w:val="00F274BA"/>
    <w:rsid w:val="00F27BB1"/>
    <w:rsid w:val="00F27CB8"/>
    <w:rsid w:val="00F30BB6"/>
    <w:rsid w:val="00F30CB4"/>
    <w:rsid w:val="00F312B4"/>
    <w:rsid w:val="00F312EF"/>
    <w:rsid w:val="00F31DD4"/>
    <w:rsid w:val="00F31F63"/>
    <w:rsid w:val="00F31FA2"/>
    <w:rsid w:val="00F320A4"/>
    <w:rsid w:val="00F32234"/>
    <w:rsid w:val="00F3224F"/>
    <w:rsid w:val="00F329D0"/>
    <w:rsid w:val="00F33863"/>
    <w:rsid w:val="00F33A8F"/>
    <w:rsid w:val="00F346A4"/>
    <w:rsid w:val="00F352FE"/>
    <w:rsid w:val="00F35B47"/>
    <w:rsid w:val="00F36B51"/>
    <w:rsid w:val="00F36E9B"/>
    <w:rsid w:val="00F3749B"/>
    <w:rsid w:val="00F37A02"/>
    <w:rsid w:val="00F37A70"/>
    <w:rsid w:val="00F37A72"/>
    <w:rsid w:val="00F37B92"/>
    <w:rsid w:val="00F37E93"/>
    <w:rsid w:val="00F37FAD"/>
    <w:rsid w:val="00F40577"/>
    <w:rsid w:val="00F40ED2"/>
    <w:rsid w:val="00F40F64"/>
    <w:rsid w:val="00F41274"/>
    <w:rsid w:val="00F4173B"/>
    <w:rsid w:val="00F41AEB"/>
    <w:rsid w:val="00F41F62"/>
    <w:rsid w:val="00F425CD"/>
    <w:rsid w:val="00F42698"/>
    <w:rsid w:val="00F426E5"/>
    <w:rsid w:val="00F42818"/>
    <w:rsid w:val="00F429E9"/>
    <w:rsid w:val="00F43A6C"/>
    <w:rsid w:val="00F43FEA"/>
    <w:rsid w:val="00F44025"/>
    <w:rsid w:val="00F4408F"/>
    <w:rsid w:val="00F44576"/>
    <w:rsid w:val="00F4474F"/>
    <w:rsid w:val="00F44B82"/>
    <w:rsid w:val="00F44C75"/>
    <w:rsid w:val="00F44D6E"/>
    <w:rsid w:val="00F44DC0"/>
    <w:rsid w:val="00F44EFA"/>
    <w:rsid w:val="00F4519B"/>
    <w:rsid w:val="00F4586F"/>
    <w:rsid w:val="00F458C2"/>
    <w:rsid w:val="00F46338"/>
    <w:rsid w:val="00F46558"/>
    <w:rsid w:val="00F46DB5"/>
    <w:rsid w:val="00F46E62"/>
    <w:rsid w:val="00F46F0D"/>
    <w:rsid w:val="00F5032B"/>
    <w:rsid w:val="00F504A9"/>
    <w:rsid w:val="00F507B5"/>
    <w:rsid w:val="00F509F0"/>
    <w:rsid w:val="00F50C35"/>
    <w:rsid w:val="00F5125F"/>
    <w:rsid w:val="00F51710"/>
    <w:rsid w:val="00F51DBF"/>
    <w:rsid w:val="00F52130"/>
    <w:rsid w:val="00F52587"/>
    <w:rsid w:val="00F525C7"/>
    <w:rsid w:val="00F525FE"/>
    <w:rsid w:val="00F5301A"/>
    <w:rsid w:val="00F530E7"/>
    <w:rsid w:val="00F538C8"/>
    <w:rsid w:val="00F53A6B"/>
    <w:rsid w:val="00F53F74"/>
    <w:rsid w:val="00F53FB6"/>
    <w:rsid w:val="00F546C7"/>
    <w:rsid w:val="00F550AE"/>
    <w:rsid w:val="00F55A99"/>
    <w:rsid w:val="00F56284"/>
    <w:rsid w:val="00F56711"/>
    <w:rsid w:val="00F567D7"/>
    <w:rsid w:val="00F5682C"/>
    <w:rsid w:val="00F568CA"/>
    <w:rsid w:val="00F56BE4"/>
    <w:rsid w:val="00F56D86"/>
    <w:rsid w:val="00F573C0"/>
    <w:rsid w:val="00F573C2"/>
    <w:rsid w:val="00F5789C"/>
    <w:rsid w:val="00F57E33"/>
    <w:rsid w:val="00F57FE0"/>
    <w:rsid w:val="00F6054B"/>
    <w:rsid w:val="00F6056E"/>
    <w:rsid w:val="00F6072B"/>
    <w:rsid w:val="00F60820"/>
    <w:rsid w:val="00F60D6D"/>
    <w:rsid w:val="00F60E80"/>
    <w:rsid w:val="00F60F1C"/>
    <w:rsid w:val="00F61306"/>
    <w:rsid w:val="00F61637"/>
    <w:rsid w:val="00F61D5A"/>
    <w:rsid w:val="00F61E3C"/>
    <w:rsid w:val="00F62156"/>
    <w:rsid w:val="00F626DB"/>
    <w:rsid w:val="00F62A09"/>
    <w:rsid w:val="00F633D6"/>
    <w:rsid w:val="00F634A3"/>
    <w:rsid w:val="00F63597"/>
    <w:rsid w:val="00F639D5"/>
    <w:rsid w:val="00F63DBF"/>
    <w:rsid w:val="00F63DE0"/>
    <w:rsid w:val="00F63E3A"/>
    <w:rsid w:val="00F6418C"/>
    <w:rsid w:val="00F6423F"/>
    <w:rsid w:val="00F6438C"/>
    <w:rsid w:val="00F64B3A"/>
    <w:rsid w:val="00F64F03"/>
    <w:rsid w:val="00F65437"/>
    <w:rsid w:val="00F66196"/>
    <w:rsid w:val="00F6639A"/>
    <w:rsid w:val="00F667F6"/>
    <w:rsid w:val="00F66A22"/>
    <w:rsid w:val="00F66A4E"/>
    <w:rsid w:val="00F66A97"/>
    <w:rsid w:val="00F6700C"/>
    <w:rsid w:val="00F674E7"/>
    <w:rsid w:val="00F675F9"/>
    <w:rsid w:val="00F67C44"/>
    <w:rsid w:val="00F67C7B"/>
    <w:rsid w:val="00F67DB5"/>
    <w:rsid w:val="00F7016F"/>
    <w:rsid w:val="00F70480"/>
    <w:rsid w:val="00F70A40"/>
    <w:rsid w:val="00F7100D"/>
    <w:rsid w:val="00F710F9"/>
    <w:rsid w:val="00F71EA4"/>
    <w:rsid w:val="00F720E6"/>
    <w:rsid w:val="00F7239D"/>
    <w:rsid w:val="00F72626"/>
    <w:rsid w:val="00F727D4"/>
    <w:rsid w:val="00F7288D"/>
    <w:rsid w:val="00F72A38"/>
    <w:rsid w:val="00F72D07"/>
    <w:rsid w:val="00F7382D"/>
    <w:rsid w:val="00F73D62"/>
    <w:rsid w:val="00F73FF5"/>
    <w:rsid w:val="00F74839"/>
    <w:rsid w:val="00F74D56"/>
    <w:rsid w:val="00F76010"/>
    <w:rsid w:val="00F760CC"/>
    <w:rsid w:val="00F76A63"/>
    <w:rsid w:val="00F77597"/>
    <w:rsid w:val="00F775C6"/>
    <w:rsid w:val="00F77798"/>
    <w:rsid w:val="00F77AE4"/>
    <w:rsid w:val="00F77BD9"/>
    <w:rsid w:val="00F77F12"/>
    <w:rsid w:val="00F77F9E"/>
    <w:rsid w:val="00F8041D"/>
    <w:rsid w:val="00F80778"/>
    <w:rsid w:val="00F80FA8"/>
    <w:rsid w:val="00F810B7"/>
    <w:rsid w:val="00F8114C"/>
    <w:rsid w:val="00F814FD"/>
    <w:rsid w:val="00F8266A"/>
    <w:rsid w:val="00F82792"/>
    <w:rsid w:val="00F82943"/>
    <w:rsid w:val="00F82950"/>
    <w:rsid w:val="00F83A40"/>
    <w:rsid w:val="00F83CE5"/>
    <w:rsid w:val="00F83D62"/>
    <w:rsid w:val="00F83E2D"/>
    <w:rsid w:val="00F83F82"/>
    <w:rsid w:val="00F8436E"/>
    <w:rsid w:val="00F84634"/>
    <w:rsid w:val="00F84BC1"/>
    <w:rsid w:val="00F84BDD"/>
    <w:rsid w:val="00F84CF7"/>
    <w:rsid w:val="00F8521F"/>
    <w:rsid w:val="00F8550E"/>
    <w:rsid w:val="00F86255"/>
    <w:rsid w:val="00F86735"/>
    <w:rsid w:val="00F86C32"/>
    <w:rsid w:val="00F86EB5"/>
    <w:rsid w:val="00F876E6"/>
    <w:rsid w:val="00F87B21"/>
    <w:rsid w:val="00F87C0A"/>
    <w:rsid w:val="00F87F40"/>
    <w:rsid w:val="00F902B5"/>
    <w:rsid w:val="00F913D5"/>
    <w:rsid w:val="00F9183C"/>
    <w:rsid w:val="00F91A6C"/>
    <w:rsid w:val="00F91D3E"/>
    <w:rsid w:val="00F920F6"/>
    <w:rsid w:val="00F92991"/>
    <w:rsid w:val="00F92BD9"/>
    <w:rsid w:val="00F92F6D"/>
    <w:rsid w:val="00F93D3A"/>
    <w:rsid w:val="00F9431B"/>
    <w:rsid w:val="00F94604"/>
    <w:rsid w:val="00F95123"/>
    <w:rsid w:val="00F952F4"/>
    <w:rsid w:val="00F9532A"/>
    <w:rsid w:val="00F959CA"/>
    <w:rsid w:val="00F96045"/>
    <w:rsid w:val="00F972C0"/>
    <w:rsid w:val="00F974C9"/>
    <w:rsid w:val="00F97816"/>
    <w:rsid w:val="00F97987"/>
    <w:rsid w:val="00FA0AE4"/>
    <w:rsid w:val="00FA118F"/>
    <w:rsid w:val="00FA145E"/>
    <w:rsid w:val="00FA1529"/>
    <w:rsid w:val="00FA1D0E"/>
    <w:rsid w:val="00FA2796"/>
    <w:rsid w:val="00FA336B"/>
    <w:rsid w:val="00FA342C"/>
    <w:rsid w:val="00FA3D1B"/>
    <w:rsid w:val="00FA3E64"/>
    <w:rsid w:val="00FA4149"/>
    <w:rsid w:val="00FA45D7"/>
    <w:rsid w:val="00FA4689"/>
    <w:rsid w:val="00FA4C41"/>
    <w:rsid w:val="00FA4F97"/>
    <w:rsid w:val="00FA5094"/>
    <w:rsid w:val="00FA5DAB"/>
    <w:rsid w:val="00FA64AD"/>
    <w:rsid w:val="00FA677C"/>
    <w:rsid w:val="00FA6927"/>
    <w:rsid w:val="00FA69A8"/>
    <w:rsid w:val="00FA741F"/>
    <w:rsid w:val="00FA75DF"/>
    <w:rsid w:val="00FA7E0E"/>
    <w:rsid w:val="00FA7F53"/>
    <w:rsid w:val="00FB080A"/>
    <w:rsid w:val="00FB0DB2"/>
    <w:rsid w:val="00FB0EAA"/>
    <w:rsid w:val="00FB0F39"/>
    <w:rsid w:val="00FB1123"/>
    <w:rsid w:val="00FB1186"/>
    <w:rsid w:val="00FB121A"/>
    <w:rsid w:val="00FB1761"/>
    <w:rsid w:val="00FB2F3C"/>
    <w:rsid w:val="00FB30D6"/>
    <w:rsid w:val="00FB30DA"/>
    <w:rsid w:val="00FB3254"/>
    <w:rsid w:val="00FB3639"/>
    <w:rsid w:val="00FB3754"/>
    <w:rsid w:val="00FB3A1C"/>
    <w:rsid w:val="00FB3B5F"/>
    <w:rsid w:val="00FB480C"/>
    <w:rsid w:val="00FB48B1"/>
    <w:rsid w:val="00FB4DBA"/>
    <w:rsid w:val="00FB57B5"/>
    <w:rsid w:val="00FB5979"/>
    <w:rsid w:val="00FB5B5E"/>
    <w:rsid w:val="00FB5DED"/>
    <w:rsid w:val="00FB5E16"/>
    <w:rsid w:val="00FB633D"/>
    <w:rsid w:val="00FB63C7"/>
    <w:rsid w:val="00FB667E"/>
    <w:rsid w:val="00FB6705"/>
    <w:rsid w:val="00FB7313"/>
    <w:rsid w:val="00FB742A"/>
    <w:rsid w:val="00FB77D5"/>
    <w:rsid w:val="00FB7ADE"/>
    <w:rsid w:val="00FC06F6"/>
    <w:rsid w:val="00FC0812"/>
    <w:rsid w:val="00FC0CEC"/>
    <w:rsid w:val="00FC0F47"/>
    <w:rsid w:val="00FC1175"/>
    <w:rsid w:val="00FC11BE"/>
    <w:rsid w:val="00FC13A9"/>
    <w:rsid w:val="00FC16C4"/>
    <w:rsid w:val="00FC1729"/>
    <w:rsid w:val="00FC1816"/>
    <w:rsid w:val="00FC182C"/>
    <w:rsid w:val="00FC1A8E"/>
    <w:rsid w:val="00FC1B29"/>
    <w:rsid w:val="00FC2087"/>
    <w:rsid w:val="00FC210B"/>
    <w:rsid w:val="00FC2267"/>
    <w:rsid w:val="00FC2E53"/>
    <w:rsid w:val="00FC3061"/>
    <w:rsid w:val="00FC312C"/>
    <w:rsid w:val="00FC312E"/>
    <w:rsid w:val="00FC3987"/>
    <w:rsid w:val="00FC3B64"/>
    <w:rsid w:val="00FC4468"/>
    <w:rsid w:val="00FC4AC0"/>
    <w:rsid w:val="00FC4C17"/>
    <w:rsid w:val="00FC4E2C"/>
    <w:rsid w:val="00FC52F5"/>
    <w:rsid w:val="00FC5A03"/>
    <w:rsid w:val="00FC64CD"/>
    <w:rsid w:val="00FC6C2A"/>
    <w:rsid w:val="00FC6EEF"/>
    <w:rsid w:val="00FC73DC"/>
    <w:rsid w:val="00FC7C47"/>
    <w:rsid w:val="00FD01B8"/>
    <w:rsid w:val="00FD04D1"/>
    <w:rsid w:val="00FD0E79"/>
    <w:rsid w:val="00FD0EF3"/>
    <w:rsid w:val="00FD14AB"/>
    <w:rsid w:val="00FD1779"/>
    <w:rsid w:val="00FD1BA4"/>
    <w:rsid w:val="00FD2265"/>
    <w:rsid w:val="00FD282A"/>
    <w:rsid w:val="00FD2C77"/>
    <w:rsid w:val="00FD2D65"/>
    <w:rsid w:val="00FD3287"/>
    <w:rsid w:val="00FD35EF"/>
    <w:rsid w:val="00FD3695"/>
    <w:rsid w:val="00FD37AC"/>
    <w:rsid w:val="00FD38BB"/>
    <w:rsid w:val="00FD3C57"/>
    <w:rsid w:val="00FD3E7B"/>
    <w:rsid w:val="00FD4585"/>
    <w:rsid w:val="00FD4A3F"/>
    <w:rsid w:val="00FD4E63"/>
    <w:rsid w:val="00FD5125"/>
    <w:rsid w:val="00FD55C4"/>
    <w:rsid w:val="00FD5653"/>
    <w:rsid w:val="00FD58E7"/>
    <w:rsid w:val="00FD59B8"/>
    <w:rsid w:val="00FD5A40"/>
    <w:rsid w:val="00FD68E3"/>
    <w:rsid w:val="00FD6AD0"/>
    <w:rsid w:val="00FD6DB3"/>
    <w:rsid w:val="00FD723D"/>
    <w:rsid w:val="00FD76C8"/>
    <w:rsid w:val="00FD7AAA"/>
    <w:rsid w:val="00FD7B2E"/>
    <w:rsid w:val="00FE00AE"/>
    <w:rsid w:val="00FE015B"/>
    <w:rsid w:val="00FE03B0"/>
    <w:rsid w:val="00FE0725"/>
    <w:rsid w:val="00FE0EEB"/>
    <w:rsid w:val="00FE1534"/>
    <w:rsid w:val="00FE158F"/>
    <w:rsid w:val="00FE1899"/>
    <w:rsid w:val="00FE1A29"/>
    <w:rsid w:val="00FE1CB5"/>
    <w:rsid w:val="00FE20EB"/>
    <w:rsid w:val="00FE2773"/>
    <w:rsid w:val="00FE30BC"/>
    <w:rsid w:val="00FE30DD"/>
    <w:rsid w:val="00FE356E"/>
    <w:rsid w:val="00FE39EB"/>
    <w:rsid w:val="00FE432B"/>
    <w:rsid w:val="00FE49FA"/>
    <w:rsid w:val="00FE4C9A"/>
    <w:rsid w:val="00FE4D17"/>
    <w:rsid w:val="00FE4E91"/>
    <w:rsid w:val="00FE4EFC"/>
    <w:rsid w:val="00FE552D"/>
    <w:rsid w:val="00FE62F6"/>
    <w:rsid w:val="00FE68B6"/>
    <w:rsid w:val="00FE6910"/>
    <w:rsid w:val="00FE6995"/>
    <w:rsid w:val="00FE6C0D"/>
    <w:rsid w:val="00FE73CE"/>
    <w:rsid w:val="00FE7699"/>
    <w:rsid w:val="00FE79C9"/>
    <w:rsid w:val="00FF0090"/>
    <w:rsid w:val="00FF0305"/>
    <w:rsid w:val="00FF0464"/>
    <w:rsid w:val="00FF066A"/>
    <w:rsid w:val="00FF0807"/>
    <w:rsid w:val="00FF0A9C"/>
    <w:rsid w:val="00FF0FFF"/>
    <w:rsid w:val="00FF1512"/>
    <w:rsid w:val="00FF16EB"/>
    <w:rsid w:val="00FF181E"/>
    <w:rsid w:val="00FF195C"/>
    <w:rsid w:val="00FF1E6B"/>
    <w:rsid w:val="00FF1F66"/>
    <w:rsid w:val="00FF20B3"/>
    <w:rsid w:val="00FF2E9E"/>
    <w:rsid w:val="00FF30C7"/>
    <w:rsid w:val="00FF3270"/>
    <w:rsid w:val="00FF3785"/>
    <w:rsid w:val="00FF3CBC"/>
    <w:rsid w:val="00FF4174"/>
    <w:rsid w:val="00FF41FA"/>
    <w:rsid w:val="00FF5559"/>
    <w:rsid w:val="00FF55FE"/>
    <w:rsid w:val="00FF5955"/>
    <w:rsid w:val="00FF596C"/>
    <w:rsid w:val="00FF5AF4"/>
    <w:rsid w:val="00FF655C"/>
    <w:rsid w:val="00FF7B3B"/>
    <w:rsid w:val="00FF7CA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바탕" w:hAnsi="Times New Roman" w:cs="Times New Roman"/>
        <w:lang w:val="en-US" w:eastAsia="ko-K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qFormat="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120E"/>
    <w:pPr>
      <w:keepNext/>
      <w:spacing w:before="240" w:after="60" w:line="480" w:lineRule="auto"/>
      <w:outlineLvl w:val="3"/>
    </w:pPr>
    <w:rPr>
      <w:rFonts w:eastAsia="MS Mincho"/>
      <w:bCs/>
      <w:sz w:val="24"/>
      <w:szCs w:val="28"/>
    </w:rPr>
  </w:style>
  <w:style w:type="paragraph" w:styleId="Heading1">
    <w:name w:val="heading 1"/>
    <w:basedOn w:val="Heading2"/>
    <w:next w:val="Normal"/>
    <w:link w:val="Heading1Char"/>
    <w:autoRedefine/>
    <w:qFormat/>
    <w:rsid w:val="00716E2F"/>
    <w:pPr>
      <w:outlineLvl w:val="0"/>
    </w:pPr>
    <w:rPr>
      <w:szCs w:val="24"/>
    </w:rPr>
  </w:style>
  <w:style w:type="paragraph" w:styleId="Heading2">
    <w:name w:val="heading 2"/>
    <w:basedOn w:val="Normal"/>
    <w:next w:val="Normal"/>
    <w:autoRedefine/>
    <w:qFormat/>
    <w:rsid w:val="001D50AB"/>
    <w:pPr>
      <w:keepNext w:val="0"/>
      <w:widowControl w:val="0"/>
      <w:kinsoku w:val="0"/>
      <w:overflowPunct w:val="0"/>
      <w:autoSpaceDE w:val="0"/>
      <w:autoSpaceDN w:val="0"/>
      <w:adjustRightInd w:val="0"/>
      <w:snapToGrid w:val="0"/>
      <w:spacing w:before="0" w:after="0"/>
      <w:jc w:val="center"/>
      <w:outlineLvl w:val="1"/>
    </w:pPr>
    <w:rPr>
      <w:rFonts w:cs="Arial"/>
      <w:bCs w:val="0"/>
      <w:iCs/>
    </w:rPr>
  </w:style>
  <w:style w:type="paragraph" w:styleId="Heading3">
    <w:name w:val="heading 3"/>
    <w:next w:val="Normal"/>
    <w:autoRedefine/>
    <w:qFormat/>
    <w:rsid w:val="00991AC5"/>
    <w:pPr>
      <w:adjustRightInd w:val="0"/>
      <w:spacing w:line="480" w:lineRule="auto"/>
      <w:contextualSpacing/>
      <w:outlineLvl w:val="2"/>
    </w:pPr>
    <w:rPr>
      <w:rFonts w:eastAsia="MS Mincho"/>
      <w:b/>
      <w:sz w:val="24"/>
    </w:rPr>
  </w:style>
  <w:style w:type="paragraph" w:styleId="Heading4">
    <w:name w:val="heading 4"/>
    <w:basedOn w:val="Normal"/>
    <w:next w:val="Normal"/>
    <w:link w:val="Heading4Char"/>
    <w:autoRedefine/>
    <w:unhideWhenUsed/>
    <w:qFormat/>
    <w:rsid w:val="00DD1CC0"/>
    <w:pPr>
      <w:suppressLineNumbers/>
      <w:spacing w:before="0" w:after="0"/>
    </w:pPr>
    <w:rPr>
      <w:b/>
      <w:bCs w:val="0"/>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32FF4"/>
    <w:pPr>
      <w:tabs>
        <w:tab w:val="center" w:pos="4320"/>
        <w:tab w:val="right" w:pos="8640"/>
      </w:tabs>
    </w:pPr>
  </w:style>
  <w:style w:type="paragraph" w:styleId="Header">
    <w:name w:val="header"/>
    <w:basedOn w:val="Normal"/>
    <w:link w:val="HeaderChar"/>
    <w:uiPriority w:val="99"/>
    <w:rsid w:val="00032FF4"/>
    <w:pPr>
      <w:tabs>
        <w:tab w:val="center" w:pos="4320"/>
        <w:tab w:val="right" w:pos="8640"/>
      </w:tabs>
    </w:pPr>
  </w:style>
  <w:style w:type="paragraph" w:customStyle="1" w:styleId="Level1">
    <w:name w:val="Level 1"/>
    <w:rsid w:val="00032FF4"/>
    <w:pPr>
      <w:autoSpaceDE w:val="0"/>
      <w:autoSpaceDN w:val="0"/>
      <w:adjustRightInd w:val="0"/>
      <w:ind w:left="720"/>
    </w:pPr>
    <w:rPr>
      <w:sz w:val="24"/>
      <w:szCs w:val="24"/>
      <w:lang w:eastAsia="en-US"/>
    </w:rPr>
  </w:style>
  <w:style w:type="character" w:customStyle="1" w:styleId="SYSHYPERTEXT">
    <w:name w:val="SYS_HYPERTEXT"/>
    <w:rsid w:val="00032FF4"/>
    <w:rPr>
      <w:noProof/>
      <w:color w:val="0000FF"/>
      <w:u w:val="single"/>
    </w:rPr>
  </w:style>
  <w:style w:type="character" w:customStyle="1" w:styleId="QuickFormat2">
    <w:name w:val="QuickFormat2"/>
    <w:rsid w:val="00032FF4"/>
    <w:rPr>
      <w:rFonts w:ascii="Arial" w:hAnsi="Arial" w:cs="Arial"/>
    </w:rPr>
  </w:style>
  <w:style w:type="character" w:customStyle="1" w:styleId="QuickFormat3">
    <w:name w:val="QuickFormat3"/>
    <w:rsid w:val="00032FF4"/>
    <w:rPr>
      <w:rFonts w:ascii="Arial" w:hAnsi="Arial" w:cs="Arial"/>
      <w:b/>
      <w:bCs/>
      <w:i/>
      <w:iCs/>
    </w:rPr>
  </w:style>
  <w:style w:type="paragraph" w:styleId="Title">
    <w:name w:val="Title"/>
    <w:basedOn w:val="Normal"/>
    <w:qFormat/>
    <w:rsid w:val="00032FF4"/>
    <w:pPr>
      <w:autoSpaceDE w:val="0"/>
      <w:autoSpaceDN w:val="0"/>
      <w:adjustRightInd w:val="0"/>
      <w:jc w:val="center"/>
    </w:pPr>
    <w:rPr>
      <w:sz w:val="28"/>
    </w:rPr>
  </w:style>
  <w:style w:type="paragraph" w:styleId="BodyText">
    <w:name w:val="Body Text"/>
    <w:basedOn w:val="Normal"/>
    <w:link w:val="BodyTextChar"/>
    <w:uiPriority w:val="99"/>
    <w:rsid w:val="00032FF4"/>
    <w:pPr>
      <w:autoSpaceDE w:val="0"/>
      <w:autoSpaceDN w:val="0"/>
      <w:adjustRightInd w:val="0"/>
    </w:pPr>
    <w:rPr>
      <w:sz w:val="22"/>
      <w:szCs w:val="22"/>
    </w:rPr>
  </w:style>
  <w:style w:type="paragraph" w:styleId="Subtitle">
    <w:name w:val="Subtitle"/>
    <w:basedOn w:val="Normal"/>
    <w:qFormat/>
    <w:rsid w:val="00032FF4"/>
    <w:pPr>
      <w:autoSpaceDE w:val="0"/>
      <w:autoSpaceDN w:val="0"/>
      <w:adjustRightInd w:val="0"/>
    </w:pPr>
    <w:rPr>
      <w:b/>
    </w:rPr>
  </w:style>
  <w:style w:type="paragraph" w:styleId="BodyTextIndent">
    <w:name w:val="Body Text Indent"/>
    <w:basedOn w:val="Normal"/>
    <w:link w:val="BodyTextIndentChar"/>
    <w:rsid w:val="00032FF4"/>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032FF4"/>
    <w:pPr>
      <w:autoSpaceDE w:val="0"/>
      <w:autoSpaceDN w:val="0"/>
      <w:adjustRightInd w:val="0"/>
    </w:pPr>
    <w:rPr>
      <w:rFonts w:ascii="Arial" w:hAnsi="Arial" w:cs="Arial"/>
      <w:sz w:val="24"/>
      <w:szCs w:val="24"/>
      <w:lang w:eastAsia="en-US"/>
    </w:rPr>
  </w:style>
  <w:style w:type="character" w:styleId="PageNumber">
    <w:name w:val="page number"/>
    <w:basedOn w:val="DefaultParagraphFont"/>
    <w:rsid w:val="00032FF4"/>
  </w:style>
  <w:style w:type="paragraph" w:styleId="BodyText2">
    <w:name w:val="Body Text 2"/>
    <w:basedOn w:val="Normal"/>
    <w:rsid w:val="00032FF4"/>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032FF4"/>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032FF4"/>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032FF4"/>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1440" w:right="630"/>
    </w:pPr>
    <w:rPr>
      <w:noProof/>
      <w:sz w:val="18"/>
      <w:szCs w:val="18"/>
    </w:rPr>
  </w:style>
  <w:style w:type="paragraph" w:styleId="Caption">
    <w:name w:val="caption"/>
    <w:basedOn w:val="Normal"/>
    <w:next w:val="Normal"/>
    <w:autoRedefine/>
    <w:qFormat/>
    <w:rsid w:val="001D50AB"/>
    <w:pPr>
      <w:spacing w:before="0" w:after="0"/>
    </w:pPr>
    <w:rPr>
      <w:b/>
      <w:color w:val="FF0000"/>
      <w:szCs w:val="20"/>
    </w:rPr>
  </w:style>
  <w:style w:type="paragraph" w:styleId="TableofFigures">
    <w:name w:val="table of figures"/>
    <w:basedOn w:val="Normal"/>
    <w:next w:val="Normal"/>
    <w:autoRedefine/>
    <w:uiPriority w:val="99"/>
    <w:qFormat/>
    <w:rsid w:val="00862CA2"/>
    <w:pPr>
      <w:spacing w:before="0" w:after="0"/>
      <w:ind w:left="480" w:hanging="480"/>
    </w:pPr>
    <w:rPr>
      <w:szCs w:val="20"/>
    </w:rPr>
  </w:style>
  <w:style w:type="character" w:styleId="Hyperlink">
    <w:name w:val="Hyperlink"/>
    <w:uiPriority w:val="99"/>
    <w:rsid w:val="00032FF4"/>
    <w:rPr>
      <w:color w:val="0000FF"/>
      <w:u w:val="single"/>
    </w:rPr>
  </w:style>
  <w:style w:type="paragraph" w:styleId="TOC1">
    <w:name w:val="toc 1"/>
    <w:basedOn w:val="Normal"/>
    <w:next w:val="Normal"/>
    <w:autoRedefine/>
    <w:uiPriority w:val="39"/>
    <w:qFormat/>
    <w:rsid w:val="003D6768"/>
    <w:pPr>
      <w:tabs>
        <w:tab w:val="right" w:leader="dot" w:pos="9350"/>
      </w:tabs>
      <w:jc w:val="center"/>
    </w:pPr>
  </w:style>
  <w:style w:type="paragraph" w:styleId="TOC2">
    <w:name w:val="toc 2"/>
    <w:basedOn w:val="Normal"/>
    <w:next w:val="Normal"/>
    <w:autoRedefine/>
    <w:uiPriority w:val="39"/>
    <w:qFormat/>
    <w:rsid w:val="005876E3"/>
    <w:pPr>
      <w:tabs>
        <w:tab w:val="right" w:leader="dot" w:pos="9350"/>
      </w:tabs>
      <w:spacing w:before="0" w:after="0"/>
      <w:ind w:left="240"/>
    </w:pPr>
  </w:style>
  <w:style w:type="paragraph" w:styleId="TOC3">
    <w:name w:val="toc 3"/>
    <w:basedOn w:val="Normal"/>
    <w:next w:val="Normal"/>
    <w:autoRedefine/>
    <w:uiPriority w:val="39"/>
    <w:qFormat/>
    <w:rsid w:val="008F7259"/>
    <w:pPr>
      <w:tabs>
        <w:tab w:val="right" w:leader="dot" w:pos="8630"/>
      </w:tabs>
      <w:spacing w:before="20" w:after="20"/>
      <w:ind w:left="475"/>
      <w:jc w:val="right"/>
    </w:pPr>
  </w:style>
  <w:style w:type="paragraph" w:styleId="TOC4">
    <w:name w:val="toc 4"/>
    <w:basedOn w:val="Normal"/>
    <w:next w:val="Normal"/>
    <w:autoRedefine/>
    <w:semiHidden/>
    <w:rsid w:val="00032FF4"/>
    <w:pPr>
      <w:ind w:left="720"/>
    </w:pPr>
  </w:style>
  <w:style w:type="paragraph" w:styleId="TOC5">
    <w:name w:val="toc 5"/>
    <w:basedOn w:val="Normal"/>
    <w:next w:val="Normal"/>
    <w:autoRedefine/>
    <w:semiHidden/>
    <w:rsid w:val="00032FF4"/>
    <w:pPr>
      <w:ind w:left="960"/>
    </w:pPr>
  </w:style>
  <w:style w:type="paragraph" w:styleId="TOC6">
    <w:name w:val="toc 6"/>
    <w:basedOn w:val="Normal"/>
    <w:next w:val="Normal"/>
    <w:autoRedefine/>
    <w:semiHidden/>
    <w:rsid w:val="00032FF4"/>
    <w:pPr>
      <w:ind w:left="1200"/>
    </w:pPr>
  </w:style>
  <w:style w:type="paragraph" w:styleId="TOC7">
    <w:name w:val="toc 7"/>
    <w:basedOn w:val="Normal"/>
    <w:next w:val="Normal"/>
    <w:autoRedefine/>
    <w:semiHidden/>
    <w:rsid w:val="00032FF4"/>
    <w:pPr>
      <w:ind w:left="1440"/>
    </w:pPr>
  </w:style>
  <w:style w:type="paragraph" w:styleId="TOC8">
    <w:name w:val="toc 8"/>
    <w:basedOn w:val="Normal"/>
    <w:next w:val="Normal"/>
    <w:autoRedefine/>
    <w:semiHidden/>
    <w:rsid w:val="00032FF4"/>
    <w:pPr>
      <w:ind w:left="1680"/>
    </w:pPr>
  </w:style>
  <w:style w:type="paragraph" w:styleId="TOC9">
    <w:name w:val="toc 9"/>
    <w:basedOn w:val="Normal"/>
    <w:next w:val="Normal"/>
    <w:autoRedefine/>
    <w:semiHidden/>
    <w:rsid w:val="00032FF4"/>
    <w:pPr>
      <w:ind w:left="1920"/>
    </w:pPr>
  </w:style>
  <w:style w:type="paragraph" w:customStyle="1" w:styleId="thesistext">
    <w:name w:val="thesis text"/>
    <w:basedOn w:val="Normal"/>
    <w:autoRedefine/>
    <w:rsid w:val="00032FF4"/>
    <w:pPr>
      <w:spacing w:after="240"/>
      <w:ind w:firstLine="540"/>
    </w:pPr>
    <w:rPr>
      <w:lang w:eastAsia="es-ES"/>
    </w:rPr>
  </w:style>
  <w:style w:type="paragraph" w:customStyle="1" w:styleId="StyleCaptionCentered">
    <w:name w:val="Style Caption + Centered"/>
    <w:basedOn w:val="Caption"/>
    <w:autoRedefine/>
    <w:rsid w:val="000B7AF9"/>
    <w:rPr>
      <w:b w:val="0"/>
    </w:rPr>
  </w:style>
  <w:style w:type="character" w:customStyle="1" w:styleId="Heading1Char">
    <w:name w:val="Heading 1 Char"/>
    <w:link w:val="Heading1"/>
    <w:rsid w:val="00716E2F"/>
    <w:rPr>
      <w:rFonts w:eastAsia="MS Mincho" w:cs="Arial"/>
      <w:iCs/>
      <w:sz w:val="24"/>
      <w:szCs w:val="24"/>
    </w:rPr>
  </w:style>
  <w:style w:type="character" w:customStyle="1" w:styleId="Heading4Char">
    <w:name w:val="Heading 4 Char"/>
    <w:link w:val="Heading4"/>
    <w:rsid w:val="00DD1CC0"/>
    <w:rPr>
      <w:rFonts w:eastAsia="MS Mincho"/>
      <w:b/>
      <w:i/>
      <w:sz w:val="24"/>
      <w:szCs w:val="28"/>
    </w:rPr>
  </w:style>
  <w:style w:type="character" w:customStyle="1" w:styleId="BodyTextChar">
    <w:name w:val="Body Text Char"/>
    <w:link w:val="BodyText"/>
    <w:uiPriority w:val="99"/>
    <w:rsid w:val="00707877"/>
    <w:rPr>
      <w:sz w:val="22"/>
      <w:szCs w:val="22"/>
    </w:rPr>
  </w:style>
  <w:style w:type="character" w:customStyle="1" w:styleId="BodyTextIndentChar">
    <w:name w:val="Body Text Indent Char"/>
    <w:link w:val="BodyTextIndent"/>
    <w:rsid w:val="00707877"/>
    <w:rPr>
      <w:sz w:val="32"/>
      <w:szCs w:val="32"/>
    </w:rPr>
  </w:style>
  <w:style w:type="paragraph" w:styleId="TOCHeading">
    <w:name w:val="TOC Heading"/>
    <w:basedOn w:val="Heading1"/>
    <w:next w:val="Normal"/>
    <w:uiPriority w:val="39"/>
    <w:semiHidden/>
    <w:unhideWhenUsed/>
    <w:qFormat/>
    <w:rsid w:val="00FB1123"/>
    <w:pPr>
      <w:keepLines/>
      <w:spacing w:before="480" w:line="276" w:lineRule="auto"/>
      <w:jc w:val="left"/>
      <w:outlineLvl w:val="9"/>
    </w:pPr>
    <w:rPr>
      <w:rFonts w:asciiTheme="majorHAnsi" w:eastAsiaTheme="majorEastAsia" w:hAnsiTheme="majorHAnsi" w:cstheme="majorBidi"/>
      <w:color w:val="365F91" w:themeColor="accent1" w:themeShade="BF"/>
      <w:sz w:val="28"/>
    </w:rPr>
  </w:style>
  <w:style w:type="paragraph" w:styleId="BalloonText">
    <w:name w:val="Balloon Text"/>
    <w:basedOn w:val="Normal"/>
    <w:link w:val="BalloonTextChar"/>
    <w:uiPriority w:val="99"/>
    <w:rsid w:val="00FB1123"/>
    <w:rPr>
      <w:rFonts w:ascii="Tahoma" w:hAnsi="Tahoma" w:cs="Tahoma"/>
      <w:sz w:val="16"/>
      <w:szCs w:val="16"/>
    </w:rPr>
  </w:style>
  <w:style w:type="character" w:customStyle="1" w:styleId="BalloonTextChar">
    <w:name w:val="Balloon Text Char"/>
    <w:basedOn w:val="DefaultParagraphFont"/>
    <w:link w:val="BalloonText"/>
    <w:uiPriority w:val="99"/>
    <w:rsid w:val="00FB1123"/>
    <w:rPr>
      <w:rFonts w:ascii="Tahoma" w:hAnsi="Tahoma" w:cs="Tahoma"/>
      <w:sz w:val="16"/>
      <w:szCs w:val="16"/>
      <w:lang w:eastAsia="en-US"/>
    </w:rPr>
  </w:style>
  <w:style w:type="character" w:styleId="CommentReference">
    <w:name w:val="annotation reference"/>
    <w:basedOn w:val="DefaultParagraphFont"/>
    <w:uiPriority w:val="99"/>
    <w:unhideWhenUsed/>
    <w:rsid w:val="001C5E9B"/>
    <w:rPr>
      <w:sz w:val="16"/>
      <w:szCs w:val="16"/>
    </w:rPr>
  </w:style>
  <w:style w:type="paragraph" w:styleId="CommentText">
    <w:name w:val="annotation text"/>
    <w:basedOn w:val="Normal"/>
    <w:link w:val="CommentTextChar"/>
    <w:uiPriority w:val="99"/>
    <w:unhideWhenUsed/>
    <w:rsid w:val="001C5E9B"/>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rsid w:val="001C5E9B"/>
    <w:rPr>
      <w:rFonts w:asciiTheme="minorHAnsi" w:eastAsiaTheme="minorEastAsia" w:hAnsiTheme="minorHAnsi" w:cstheme="minorBidi"/>
      <w:lang w:eastAsia="en-US"/>
    </w:rPr>
  </w:style>
  <w:style w:type="paragraph" w:styleId="IntenseQuote">
    <w:name w:val="Intense Quote"/>
    <w:basedOn w:val="Normal"/>
    <w:next w:val="Normal"/>
    <w:link w:val="IntenseQuoteChar"/>
    <w:uiPriority w:val="30"/>
    <w:qFormat/>
    <w:rsid w:val="003B6CE7"/>
    <w:pPr>
      <w:pBdr>
        <w:bottom w:val="single" w:sz="4" w:space="4" w:color="4F81BD" w:themeColor="accent1"/>
      </w:pBdr>
      <w:spacing w:before="200" w:after="280"/>
      <w:ind w:left="936" w:right="936"/>
    </w:pPr>
    <w:rPr>
      <w:b/>
      <w:i/>
      <w:iCs/>
      <w:color w:val="4F81BD" w:themeColor="accent1"/>
    </w:rPr>
  </w:style>
  <w:style w:type="character" w:customStyle="1" w:styleId="IntenseQuoteChar">
    <w:name w:val="Intense Quote Char"/>
    <w:basedOn w:val="DefaultParagraphFont"/>
    <w:link w:val="IntenseQuote"/>
    <w:uiPriority w:val="30"/>
    <w:rsid w:val="003B6CE7"/>
    <w:rPr>
      <w:b/>
      <w:bCs/>
      <w:i/>
      <w:iCs/>
      <w:color w:val="4F81BD" w:themeColor="accent1"/>
      <w:sz w:val="24"/>
      <w:szCs w:val="24"/>
      <w:lang w:eastAsia="en-US"/>
    </w:rPr>
  </w:style>
  <w:style w:type="paragraph" w:styleId="FootnoteText">
    <w:name w:val="footnote text"/>
    <w:basedOn w:val="Normal"/>
    <w:link w:val="FootnoteTextChar"/>
    <w:uiPriority w:val="99"/>
    <w:unhideWhenUsed/>
    <w:qFormat/>
    <w:rsid w:val="00B004E8"/>
    <w:pPr>
      <w:spacing w:before="0" w:after="0" w:line="240" w:lineRule="auto"/>
    </w:pPr>
    <w:rPr>
      <w:rFonts w:eastAsiaTheme="minorEastAsia" w:cstheme="minorBidi"/>
      <w:sz w:val="20"/>
      <w:szCs w:val="20"/>
      <w:lang w:eastAsia="en-US"/>
    </w:rPr>
  </w:style>
  <w:style w:type="character" w:customStyle="1" w:styleId="FootnoteTextChar">
    <w:name w:val="Footnote Text Char"/>
    <w:basedOn w:val="DefaultParagraphFont"/>
    <w:link w:val="FootnoteText"/>
    <w:uiPriority w:val="99"/>
    <w:rsid w:val="00B004E8"/>
    <w:rPr>
      <w:rFonts w:eastAsiaTheme="minorEastAsia" w:cstheme="minorBidi"/>
      <w:bCs/>
      <w:lang w:eastAsia="en-US"/>
    </w:rPr>
  </w:style>
  <w:style w:type="character" w:styleId="FootnoteReference">
    <w:name w:val="footnote reference"/>
    <w:basedOn w:val="DefaultParagraphFont"/>
    <w:uiPriority w:val="99"/>
    <w:unhideWhenUsed/>
    <w:rsid w:val="00D65071"/>
    <w:rPr>
      <w:vertAlign w:val="superscript"/>
    </w:rPr>
  </w:style>
  <w:style w:type="character" w:styleId="Emphasis">
    <w:name w:val="Emphasis"/>
    <w:basedOn w:val="DefaultParagraphFont"/>
    <w:qFormat/>
    <w:rsid w:val="00817BF8"/>
    <w:rPr>
      <w:i/>
      <w:iCs/>
    </w:rPr>
  </w:style>
  <w:style w:type="paragraph" w:styleId="Date">
    <w:name w:val="Date"/>
    <w:basedOn w:val="Normal"/>
    <w:next w:val="Normal"/>
    <w:link w:val="DateChar"/>
    <w:rsid w:val="001A7CBD"/>
  </w:style>
  <w:style w:type="character" w:customStyle="1" w:styleId="DateChar">
    <w:name w:val="Date Char"/>
    <w:basedOn w:val="DefaultParagraphFont"/>
    <w:link w:val="Date"/>
    <w:rsid w:val="001A7CBD"/>
    <w:rPr>
      <w:rFonts w:eastAsia="MS Mincho"/>
      <w:sz w:val="24"/>
      <w:szCs w:val="24"/>
    </w:rPr>
  </w:style>
  <w:style w:type="character" w:styleId="Strong">
    <w:name w:val="Strong"/>
    <w:basedOn w:val="DefaultParagraphFont"/>
    <w:qFormat/>
    <w:rsid w:val="004C0DDF"/>
    <w:rPr>
      <w:b/>
      <w:bCs/>
    </w:rPr>
  </w:style>
  <w:style w:type="character" w:styleId="LineNumber">
    <w:name w:val="line number"/>
    <w:basedOn w:val="DefaultParagraphFont"/>
    <w:rsid w:val="008C1599"/>
  </w:style>
  <w:style w:type="character" w:customStyle="1" w:styleId="HeaderChar">
    <w:name w:val="Header Char"/>
    <w:basedOn w:val="DefaultParagraphFont"/>
    <w:link w:val="Header"/>
    <w:uiPriority w:val="99"/>
    <w:rsid w:val="008D031C"/>
    <w:rPr>
      <w:rFonts w:eastAsia="MS Mincho"/>
      <w:bCs/>
      <w:sz w:val="24"/>
      <w:szCs w:val="28"/>
    </w:rPr>
  </w:style>
  <w:style w:type="character" w:customStyle="1" w:styleId="FooterChar">
    <w:name w:val="Footer Char"/>
    <w:basedOn w:val="DefaultParagraphFont"/>
    <w:link w:val="Footer"/>
    <w:uiPriority w:val="99"/>
    <w:rsid w:val="00B004E8"/>
    <w:rPr>
      <w:rFonts w:eastAsia="MS Mincho"/>
      <w:bCs/>
      <w:sz w:val="24"/>
      <w:szCs w:val="28"/>
    </w:rPr>
  </w:style>
  <w:style w:type="paragraph" w:styleId="ListParagraph">
    <w:name w:val="List Paragraph"/>
    <w:basedOn w:val="Normal"/>
    <w:uiPriority w:val="34"/>
    <w:qFormat/>
    <w:rsid w:val="00862CA2"/>
    <w:pPr>
      <w:ind w:left="720"/>
      <w:contextualSpacing/>
    </w:pPr>
  </w:style>
  <w:style w:type="paragraph" w:styleId="CommentSubject">
    <w:name w:val="annotation subject"/>
    <w:basedOn w:val="CommentText"/>
    <w:next w:val="CommentText"/>
    <w:link w:val="CommentSubjectChar"/>
    <w:uiPriority w:val="99"/>
    <w:rsid w:val="00B31043"/>
    <w:pPr>
      <w:spacing w:line="240" w:lineRule="auto"/>
    </w:pPr>
    <w:rPr>
      <w:rFonts w:ascii="Times New Roman" w:eastAsia="MS Mincho" w:hAnsi="Times New Roman" w:cs="Times New Roman"/>
      <w:b/>
    </w:rPr>
  </w:style>
  <w:style w:type="character" w:customStyle="1" w:styleId="CommentSubjectChar">
    <w:name w:val="Comment Subject Char"/>
    <w:basedOn w:val="CommentTextChar"/>
    <w:link w:val="CommentSubject"/>
    <w:uiPriority w:val="99"/>
    <w:rsid w:val="00B31043"/>
    <w:rPr>
      <w:rFonts w:asciiTheme="minorHAnsi" w:eastAsia="MS Mincho" w:hAnsiTheme="minorHAnsi" w:cstheme="minorBidi"/>
      <w:b/>
      <w:bCs/>
      <w:lang w:eastAsia="en-US"/>
    </w:rPr>
  </w:style>
  <w:style w:type="paragraph" w:styleId="NormalWeb">
    <w:name w:val="Normal (Web)"/>
    <w:basedOn w:val="Normal"/>
    <w:uiPriority w:val="99"/>
    <w:unhideWhenUsed/>
    <w:rsid w:val="00083390"/>
    <w:pPr>
      <w:keepNext w:val="0"/>
      <w:spacing w:before="100" w:beforeAutospacing="1" w:after="100" w:afterAutospacing="1" w:line="240" w:lineRule="auto"/>
      <w:outlineLvl w:val="9"/>
    </w:pPr>
    <w:rPr>
      <w:rFonts w:eastAsiaTheme="minorEastAsia"/>
      <w:bCs w:val="0"/>
      <w:szCs w:val="24"/>
      <w:lang w:eastAsia="en-US"/>
    </w:rPr>
  </w:style>
  <w:style w:type="paragraph" w:styleId="NoSpacing">
    <w:name w:val="No Spacing"/>
    <w:uiPriority w:val="99"/>
    <w:qFormat/>
    <w:rsid w:val="009D3070"/>
    <w:rPr>
      <w:rFonts w:ascii="Calibri" w:eastAsia="SimSun" w:hAnsi="Calibri"/>
      <w:sz w:val="22"/>
      <w:szCs w:val="22"/>
      <w:lang w:eastAsia="zh-CN"/>
    </w:rPr>
  </w:style>
  <w:style w:type="numbering" w:customStyle="1" w:styleId="NoList1">
    <w:name w:val="No List1"/>
    <w:next w:val="NoList"/>
    <w:uiPriority w:val="99"/>
    <w:semiHidden/>
    <w:unhideWhenUsed/>
    <w:rsid w:val="005A2C1B"/>
  </w:style>
  <w:style w:type="paragraph" w:styleId="Revision">
    <w:name w:val="Revision"/>
    <w:hidden/>
    <w:uiPriority w:val="99"/>
    <w:semiHidden/>
    <w:rsid w:val="005A2C1B"/>
    <w:rPr>
      <w:rFonts w:eastAsia="맑은 고딕"/>
      <w:sz w:val="24"/>
      <w:szCs w:val="24"/>
      <w:lang w:eastAsia="en-US"/>
    </w:rPr>
  </w:style>
  <w:style w:type="paragraph" w:customStyle="1" w:styleId="BodyText1">
    <w:name w:val="Body Text1"/>
    <w:basedOn w:val="Normal"/>
    <w:next w:val="BodyText"/>
    <w:uiPriority w:val="99"/>
    <w:unhideWhenUsed/>
    <w:rsid w:val="005A2C1B"/>
    <w:pPr>
      <w:keepNext w:val="0"/>
      <w:spacing w:before="0" w:after="120" w:line="240" w:lineRule="auto"/>
      <w:outlineLvl w:val="9"/>
    </w:pPr>
    <w:rPr>
      <w:rFonts w:ascii="Calibri" w:eastAsia="맑은 고딕" w:hAnsi="Calibri"/>
      <w:bCs w:val="0"/>
      <w:szCs w:val="24"/>
      <w:lang w:eastAsia="en-US"/>
    </w:rPr>
  </w:style>
  <w:style w:type="character" w:customStyle="1" w:styleId="BodyTextChar1">
    <w:name w:val="Body Text Char1"/>
    <w:basedOn w:val="DefaultParagraphFont"/>
    <w:uiPriority w:val="99"/>
    <w:semiHidden/>
    <w:rsid w:val="005A2C1B"/>
    <w:rPr>
      <w:rFonts w:ascii="Times New Roman" w:eastAsia="맑은 고딕" w:hAnsi="Times New Roman" w:cs="Times New Roman"/>
      <w:sz w:val="24"/>
      <w:szCs w:val="24"/>
      <w:lang w:eastAsia="en-US"/>
    </w:rPr>
  </w:style>
  <w:style w:type="table" w:styleId="TableGrid">
    <w:name w:val="Table Grid"/>
    <w:basedOn w:val="TableNormal"/>
    <w:rsid w:val="005A2C1B"/>
    <w:rPr>
      <w:rFonts w:eastAsia="맑은 고딕"/>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rsid w:val="005A2C1B"/>
    <w:rPr>
      <w:rFonts w:eastAsia="맑은 고딕"/>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rsid w:val="005A2C1B"/>
    <w:rPr>
      <w:rFonts w:eastAsia="맑은 고딕"/>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rsid w:val="005A2C1B"/>
    <w:rPr>
      <w:rFonts w:eastAsia="맑은 고딕"/>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glepunch">
    <w:name w:val="Single punch"/>
    <w:rsid w:val="008033D9"/>
    <w:pPr>
      <w:numPr>
        <w:numId w:val="32"/>
      </w:numPr>
    </w:pPr>
  </w:style>
  <w:style w:type="numbering" w:customStyle="1" w:styleId="NoList2">
    <w:name w:val="No List2"/>
    <w:next w:val="NoList"/>
    <w:uiPriority w:val="99"/>
    <w:semiHidden/>
    <w:unhideWhenUsed/>
    <w:rsid w:val="00650B0F"/>
  </w:style>
  <w:style w:type="table" w:customStyle="1" w:styleId="TableGrid4">
    <w:name w:val="Table Grid4"/>
    <w:basedOn w:val="TableNormal"/>
    <w:next w:val="TableGrid"/>
    <w:rsid w:val="00650B0F"/>
    <w:rPr>
      <w:rFonts w:eastAsia="맑은 고딕"/>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rsid w:val="00650B0F"/>
    <w:rPr>
      <w:rFonts w:eastAsia="맑은 고딕"/>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rsid w:val="00650B0F"/>
    <w:rPr>
      <w:rFonts w:eastAsia="맑은 고딕"/>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rsid w:val="00650B0F"/>
    <w:rPr>
      <w:rFonts w:eastAsia="맑은 고딕"/>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semiHidden/>
    <w:unhideWhenUsed/>
    <w:rsid w:val="0076116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2090230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fda.gov/Drugs/ResourcesForYou/Consumers/PrescriptionDrugAdvertising/UCM076768.htm" TargetMode="External"/><Relationship Id="rId18" Type="http://schemas.openxmlformats.org/officeDocument/2006/relationships/hyperlink" Target="http://www.fda.gov/Drugs/ResourcesForYou/Consumers/PrescriptionDrugAdvertising/UCM076768.htm" TargetMode="External"/><Relationship Id="rId26" Type="http://schemas.openxmlformats.org/officeDocument/2006/relationships/image" Target="media/image4.jpeg"/><Relationship Id="rId3" Type="http://schemas.openxmlformats.org/officeDocument/2006/relationships/numbering" Target="numbering.xml"/><Relationship Id="rId21" Type="http://schemas.openxmlformats.org/officeDocument/2006/relationships/hyperlink" Target="http://www.fda.gov/Drugs/ResourcesForYou/Consumers/PrescriptionDrugAdvertising/UCM076768.htm" TargetMode="External"/><Relationship Id="rId7" Type="http://schemas.openxmlformats.org/officeDocument/2006/relationships/footnotes" Target="footnotes.xml"/><Relationship Id="rId12" Type="http://schemas.openxmlformats.org/officeDocument/2006/relationships/hyperlink" Target="http://www.fda.gov/Drugs/ResourcesForYou/Consumers/PrescriptionDrugAdvertising/UCM076768.htm" TargetMode="External"/><Relationship Id="rId17" Type="http://schemas.openxmlformats.org/officeDocument/2006/relationships/image" Target="media/image1.emf"/><Relationship Id="rId25"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hyperlink" Target="http://www.fda.gov/Drugs/ResourcesForYou/Consumers/PrescriptionDrugAdvertising/UCM076768.htm" TargetMode="External"/><Relationship Id="rId20" Type="http://schemas.openxmlformats.org/officeDocument/2006/relationships/hyperlink" Target="http://www.fda.gov/Drugs/ResourcesForYou/Consumers/PrescriptionDrugAdvertising/UCM076768.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da.gov/Drugs/ResourcesForYou/Consumers/PrescriptionDrugAdvertising/UCM076768.htm" TargetMode="External"/><Relationship Id="rId24"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yperlink" Target="http://www.fda.gov/Drugs/ResourcesForYou/Consumers/PrescriptionDrugAdvertising/UCM076768.htm" TargetMode="External"/><Relationship Id="rId23" Type="http://schemas.openxmlformats.org/officeDocument/2006/relationships/hyperlink" Target="http://www.fda.gov/Drugs/ResourcesForYou/Consumers/PrescriptionDrugAdvertising/UCM076768.htm"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www.fda.gov/Drugs/ResourcesForYou/Consumers/PrescriptionDrugAdvertising/UCM076768.htm"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www.fda.gov/Drugs/ResourcesForYou/Consumers/PrescriptionDrugAdvertising/UCM076768.htm" TargetMode="External"/><Relationship Id="rId22" Type="http://schemas.openxmlformats.org/officeDocument/2006/relationships/hyperlink" Target="http://www.fda.gov/Drugs/ResourcesForYou/Consumers/PrescriptionDrugAdvertising/UCM076768.htm"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9F34B2B2-3036-4B3E-94F2-8E5D9190FC82}">
  <ds:schemaRefs>
    <ds:schemaRef ds:uri="http://schemas.openxmlformats.org/officeDocument/2006/bibliography"/>
  </ds:schemaRefs>
</ds:datastoreItem>
</file>

<file path=customXml/itemProps2.xml><?xml version="1.0" encoding="utf-8"?>
<ds:datastoreItem xmlns:ds="http://schemas.openxmlformats.org/officeDocument/2006/customXml" ds:itemID="{DCEE636D-0875-45E0-9F98-0A09E31AC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172</Pages>
  <Words>39872</Words>
  <Characters>227272</Characters>
  <Application>Microsoft Office Word</Application>
  <DocSecurity>0</DocSecurity>
  <Lines>1893</Lines>
  <Paragraphs>533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266611</CharactersWithSpaces>
  <SharedDoc>false</SharedDoc>
  <HLinks>
    <vt:vector size="156" baseType="variant">
      <vt:variant>
        <vt:i4>1310780</vt:i4>
      </vt:variant>
      <vt:variant>
        <vt:i4>160</vt:i4>
      </vt:variant>
      <vt:variant>
        <vt:i4>0</vt:i4>
      </vt:variant>
      <vt:variant>
        <vt:i4>5</vt:i4>
      </vt:variant>
      <vt:variant>
        <vt:lpwstr/>
      </vt:variant>
      <vt:variant>
        <vt:lpwstr>_Toc202755916</vt:lpwstr>
      </vt:variant>
      <vt:variant>
        <vt:i4>1310780</vt:i4>
      </vt:variant>
      <vt:variant>
        <vt:i4>151</vt:i4>
      </vt:variant>
      <vt:variant>
        <vt:i4>0</vt:i4>
      </vt:variant>
      <vt:variant>
        <vt:i4>5</vt:i4>
      </vt:variant>
      <vt:variant>
        <vt:lpwstr/>
      </vt:variant>
      <vt:variant>
        <vt:lpwstr>_Toc202755915</vt:lpwstr>
      </vt:variant>
      <vt:variant>
        <vt:i4>1900604</vt:i4>
      </vt:variant>
      <vt:variant>
        <vt:i4>142</vt:i4>
      </vt:variant>
      <vt:variant>
        <vt:i4>0</vt:i4>
      </vt:variant>
      <vt:variant>
        <vt:i4>5</vt:i4>
      </vt:variant>
      <vt:variant>
        <vt:lpwstr/>
      </vt:variant>
      <vt:variant>
        <vt:lpwstr>_Toc285535822</vt:lpwstr>
      </vt:variant>
      <vt:variant>
        <vt:i4>1900604</vt:i4>
      </vt:variant>
      <vt:variant>
        <vt:i4>136</vt:i4>
      </vt:variant>
      <vt:variant>
        <vt:i4>0</vt:i4>
      </vt:variant>
      <vt:variant>
        <vt:i4>5</vt:i4>
      </vt:variant>
      <vt:variant>
        <vt:lpwstr/>
      </vt:variant>
      <vt:variant>
        <vt:lpwstr>_Toc285535821</vt:lpwstr>
      </vt:variant>
      <vt:variant>
        <vt:i4>1900604</vt:i4>
      </vt:variant>
      <vt:variant>
        <vt:i4>130</vt:i4>
      </vt:variant>
      <vt:variant>
        <vt:i4>0</vt:i4>
      </vt:variant>
      <vt:variant>
        <vt:i4>5</vt:i4>
      </vt:variant>
      <vt:variant>
        <vt:lpwstr/>
      </vt:variant>
      <vt:variant>
        <vt:lpwstr>_Toc285535820</vt:lpwstr>
      </vt:variant>
      <vt:variant>
        <vt:i4>1966140</vt:i4>
      </vt:variant>
      <vt:variant>
        <vt:i4>124</vt:i4>
      </vt:variant>
      <vt:variant>
        <vt:i4>0</vt:i4>
      </vt:variant>
      <vt:variant>
        <vt:i4>5</vt:i4>
      </vt:variant>
      <vt:variant>
        <vt:lpwstr/>
      </vt:variant>
      <vt:variant>
        <vt:lpwstr>_Toc285535819</vt:lpwstr>
      </vt:variant>
      <vt:variant>
        <vt:i4>1966140</vt:i4>
      </vt:variant>
      <vt:variant>
        <vt:i4>118</vt:i4>
      </vt:variant>
      <vt:variant>
        <vt:i4>0</vt:i4>
      </vt:variant>
      <vt:variant>
        <vt:i4>5</vt:i4>
      </vt:variant>
      <vt:variant>
        <vt:lpwstr/>
      </vt:variant>
      <vt:variant>
        <vt:lpwstr>_Toc285535818</vt:lpwstr>
      </vt:variant>
      <vt:variant>
        <vt:i4>1966140</vt:i4>
      </vt:variant>
      <vt:variant>
        <vt:i4>112</vt:i4>
      </vt:variant>
      <vt:variant>
        <vt:i4>0</vt:i4>
      </vt:variant>
      <vt:variant>
        <vt:i4>5</vt:i4>
      </vt:variant>
      <vt:variant>
        <vt:lpwstr/>
      </vt:variant>
      <vt:variant>
        <vt:lpwstr>_Toc285535817</vt:lpwstr>
      </vt:variant>
      <vt:variant>
        <vt:i4>1966140</vt:i4>
      </vt:variant>
      <vt:variant>
        <vt:i4>106</vt:i4>
      </vt:variant>
      <vt:variant>
        <vt:i4>0</vt:i4>
      </vt:variant>
      <vt:variant>
        <vt:i4>5</vt:i4>
      </vt:variant>
      <vt:variant>
        <vt:lpwstr/>
      </vt:variant>
      <vt:variant>
        <vt:lpwstr>_Toc285535816</vt:lpwstr>
      </vt:variant>
      <vt:variant>
        <vt:i4>1966140</vt:i4>
      </vt:variant>
      <vt:variant>
        <vt:i4>100</vt:i4>
      </vt:variant>
      <vt:variant>
        <vt:i4>0</vt:i4>
      </vt:variant>
      <vt:variant>
        <vt:i4>5</vt:i4>
      </vt:variant>
      <vt:variant>
        <vt:lpwstr/>
      </vt:variant>
      <vt:variant>
        <vt:lpwstr>_Toc285535815</vt:lpwstr>
      </vt:variant>
      <vt:variant>
        <vt:i4>1966140</vt:i4>
      </vt:variant>
      <vt:variant>
        <vt:i4>94</vt:i4>
      </vt:variant>
      <vt:variant>
        <vt:i4>0</vt:i4>
      </vt:variant>
      <vt:variant>
        <vt:i4>5</vt:i4>
      </vt:variant>
      <vt:variant>
        <vt:lpwstr/>
      </vt:variant>
      <vt:variant>
        <vt:lpwstr>_Toc285535814</vt:lpwstr>
      </vt:variant>
      <vt:variant>
        <vt:i4>1966140</vt:i4>
      </vt:variant>
      <vt:variant>
        <vt:i4>88</vt:i4>
      </vt:variant>
      <vt:variant>
        <vt:i4>0</vt:i4>
      </vt:variant>
      <vt:variant>
        <vt:i4>5</vt:i4>
      </vt:variant>
      <vt:variant>
        <vt:lpwstr/>
      </vt:variant>
      <vt:variant>
        <vt:lpwstr>_Toc285535813</vt:lpwstr>
      </vt:variant>
      <vt:variant>
        <vt:i4>1966140</vt:i4>
      </vt:variant>
      <vt:variant>
        <vt:i4>82</vt:i4>
      </vt:variant>
      <vt:variant>
        <vt:i4>0</vt:i4>
      </vt:variant>
      <vt:variant>
        <vt:i4>5</vt:i4>
      </vt:variant>
      <vt:variant>
        <vt:lpwstr/>
      </vt:variant>
      <vt:variant>
        <vt:lpwstr>_Toc285535812</vt:lpwstr>
      </vt:variant>
      <vt:variant>
        <vt:i4>1966140</vt:i4>
      </vt:variant>
      <vt:variant>
        <vt:i4>76</vt:i4>
      </vt:variant>
      <vt:variant>
        <vt:i4>0</vt:i4>
      </vt:variant>
      <vt:variant>
        <vt:i4>5</vt:i4>
      </vt:variant>
      <vt:variant>
        <vt:lpwstr/>
      </vt:variant>
      <vt:variant>
        <vt:lpwstr>_Toc285535811</vt:lpwstr>
      </vt:variant>
      <vt:variant>
        <vt:i4>1966140</vt:i4>
      </vt:variant>
      <vt:variant>
        <vt:i4>70</vt:i4>
      </vt:variant>
      <vt:variant>
        <vt:i4>0</vt:i4>
      </vt:variant>
      <vt:variant>
        <vt:i4>5</vt:i4>
      </vt:variant>
      <vt:variant>
        <vt:lpwstr/>
      </vt:variant>
      <vt:variant>
        <vt:lpwstr>_Toc285535810</vt:lpwstr>
      </vt:variant>
      <vt:variant>
        <vt:i4>2031676</vt:i4>
      </vt:variant>
      <vt:variant>
        <vt:i4>64</vt:i4>
      </vt:variant>
      <vt:variant>
        <vt:i4>0</vt:i4>
      </vt:variant>
      <vt:variant>
        <vt:i4>5</vt:i4>
      </vt:variant>
      <vt:variant>
        <vt:lpwstr/>
      </vt:variant>
      <vt:variant>
        <vt:lpwstr>_Toc285535809</vt:lpwstr>
      </vt:variant>
      <vt:variant>
        <vt:i4>2031676</vt:i4>
      </vt:variant>
      <vt:variant>
        <vt:i4>58</vt:i4>
      </vt:variant>
      <vt:variant>
        <vt:i4>0</vt:i4>
      </vt:variant>
      <vt:variant>
        <vt:i4>5</vt:i4>
      </vt:variant>
      <vt:variant>
        <vt:lpwstr/>
      </vt:variant>
      <vt:variant>
        <vt:lpwstr>_Toc285535808</vt:lpwstr>
      </vt:variant>
      <vt:variant>
        <vt:i4>2031676</vt:i4>
      </vt:variant>
      <vt:variant>
        <vt:i4>52</vt:i4>
      </vt:variant>
      <vt:variant>
        <vt:i4>0</vt:i4>
      </vt:variant>
      <vt:variant>
        <vt:i4>5</vt:i4>
      </vt:variant>
      <vt:variant>
        <vt:lpwstr/>
      </vt:variant>
      <vt:variant>
        <vt:lpwstr>_Toc285535807</vt:lpwstr>
      </vt:variant>
      <vt:variant>
        <vt:i4>2031676</vt:i4>
      </vt:variant>
      <vt:variant>
        <vt:i4>46</vt:i4>
      </vt:variant>
      <vt:variant>
        <vt:i4>0</vt:i4>
      </vt:variant>
      <vt:variant>
        <vt:i4>5</vt:i4>
      </vt:variant>
      <vt:variant>
        <vt:lpwstr/>
      </vt:variant>
      <vt:variant>
        <vt:lpwstr>_Toc285535806</vt:lpwstr>
      </vt:variant>
      <vt:variant>
        <vt:i4>2031676</vt:i4>
      </vt:variant>
      <vt:variant>
        <vt:i4>40</vt:i4>
      </vt:variant>
      <vt:variant>
        <vt:i4>0</vt:i4>
      </vt:variant>
      <vt:variant>
        <vt:i4>5</vt:i4>
      </vt:variant>
      <vt:variant>
        <vt:lpwstr/>
      </vt:variant>
      <vt:variant>
        <vt:lpwstr>_Toc285535805</vt:lpwstr>
      </vt:variant>
      <vt:variant>
        <vt:i4>2031676</vt:i4>
      </vt:variant>
      <vt:variant>
        <vt:i4>34</vt:i4>
      </vt:variant>
      <vt:variant>
        <vt:i4>0</vt:i4>
      </vt:variant>
      <vt:variant>
        <vt:i4>5</vt:i4>
      </vt:variant>
      <vt:variant>
        <vt:lpwstr/>
      </vt:variant>
      <vt:variant>
        <vt:lpwstr>_Toc285535804</vt:lpwstr>
      </vt:variant>
      <vt:variant>
        <vt:i4>2031676</vt:i4>
      </vt:variant>
      <vt:variant>
        <vt:i4>28</vt:i4>
      </vt:variant>
      <vt:variant>
        <vt:i4>0</vt:i4>
      </vt:variant>
      <vt:variant>
        <vt:i4>5</vt:i4>
      </vt:variant>
      <vt:variant>
        <vt:lpwstr/>
      </vt:variant>
      <vt:variant>
        <vt:lpwstr>_Toc285535803</vt:lpwstr>
      </vt:variant>
      <vt:variant>
        <vt:i4>2031676</vt:i4>
      </vt:variant>
      <vt:variant>
        <vt:i4>22</vt:i4>
      </vt:variant>
      <vt:variant>
        <vt:i4>0</vt:i4>
      </vt:variant>
      <vt:variant>
        <vt:i4>5</vt:i4>
      </vt:variant>
      <vt:variant>
        <vt:lpwstr/>
      </vt:variant>
      <vt:variant>
        <vt:lpwstr>_Toc285535802</vt:lpwstr>
      </vt:variant>
      <vt:variant>
        <vt:i4>2031676</vt:i4>
      </vt:variant>
      <vt:variant>
        <vt:i4>16</vt:i4>
      </vt:variant>
      <vt:variant>
        <vt:i4>0</vt:i4>
      </vt:variant>
      <vt:variant>
        <vt:i4>5</vt:i4>
      </vt:variant>
      <vt:variant>
        <vt:lpwstr/>
      </vt:variant>
      <vt:variant>
        <vt:lpwstr>_Toc285535801</vt:lpwstr>
      </vt:variant>
      <vt:variant>
        <vt:i4>2031676</vt:i4>
      </vt:variant>
      <vt:variant>
        <vt:i4>10</vt:i4>
      </vt:variant>
      <vt:variant>
        <vt:i4>0</vt:i4>
      </vt:variant>
      <vt:variant>
        <vt:i4>5</vt:i4>
      </vt:variant>
      <vt:variant>
        <vt:lpwstr/>
      </vt:variant>
      <vt:variant>
        <vt:lpwstr>_Toc285535800</vt:lpwstr>
      </vt:variant>
      <vt:variant>
        <vt:i4>1441843</vt:i4>
      </vt:variant>
      <vt:variant>
        <vt:i4>4</vt:i4>
      </vt:variant>
      <vt:variant>
        <vt:i4>0</vt:i4>
      </vt:variant>
      <vt:variant>
        <vt:i4>5</vt:i4>
      </vt:variant>
      <vt:variant>
        <vt:lpwstr/>
      </vt:variant>
      <vt:variant>
        <vt:lpwstr>_Toc285535799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2014-07-22T16:48:00Z</dcterms:created>
  <dcterms:modified xsi:type="dcterms:W3CDTF">2014-07-22T17:54:00Z</dcterms:modified>
</cp:coreProperties>
</file>